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cs="Times New Roman"/>
        </w:rPr>
      </w:pPr>
      <w:bookmarkStart w:id="0" w:name="_Hlk67578514"/>
      <w:r>
        <w:rPr>
          <w:rFonts w:cs="Times New Roman"/>
        </w:rPr>
        <w:t>股票代码：60</w:t>
      </w:r>
      <w:r>
        <w:rPr>
          <w:rFonts w:hint="eastAsia" w:cs="Times New Roman"/>
        </w:rPr>
        <w:t>3191.SH</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股票简称：</w:t>
      </w:r>
      <w:r>
        <w:rPr>
          <w:rFonts w:hint="eastAsia" w:cs="Times New Roman"/>
        </w:rPr>
        <w:t>望变电气</w:t>
      </w:r>
    </w:p>
    <w:p>
      <w:pPr>
        <w:spacing w:before="156" w:beforeLines="50" w:after="156" w:afterLines="50"/>
      </w:pPr>
    </w:p>
    <w:p>
      <w:pPr>
        <w:spacing w:before="156" w:beforeLines="50" w:after="156" w:afterLines="50"/>
        <w:jc w:val="center"/>
      </w:pPr>
    </w:p>
    <w:p>
      <w:pPr>
        <w:spacing w:before="156" w:beforeLines="50" w:after="156" w:afterLines="50"/>
        <w:jc w:val="center"/>
        <w:rPr>
          <w:b/>
          <w:bCs/>
          <w:color w:val="000000"/>
          <w:sz w:val="36"/>
          <w:szCs w:val="48"/>
        </w:rPr>
      </w:pPr>
      <w:r>
        <w:rPr>
          <w:rFonts w:ascii="宋体" w:hAnsi="宋体" w:cs="宋体"/>
          <w:szCs w:val="24"/>
        </w:rPr>
        <w:drawing>
          <wp:inline distT="0" distB="0" distL="114300" distR="114300">
            <wp:extent cx="3058795" cy="979805"/>
            <wp:effectExtent l="0" t="0" r="1905" b="1079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9">
                      <a:lum contrast="12000"/>
                    </a:blip>
                    <a:stretch>
                      <a:fillRect/>
                    </a:stretch>
                  </pic:blipFill>
                  <pic:spPr>
                    <a:xfrm>
                      <a:off x="0" y="0"/>
                      <a:ext cx="3058795" cy="979805"/>
                    </a:xfrm>
                    <a:prstGeom prst="rect">
                      <a:avLst/>
                    </a:prstGeom>
                    <a:noFill/>
                    <a:ln w="9525">
                      <a:noFill/>
                    </a:ln>
                  </pic:spPr>
                </pic:pic>
              </a:graphicData>
            </a:graphic>
          </wp:inline>
        </w:drawing>
      </w:r>
    </w:p>
    <w:p>
      <w:pPr>
        <w:spacing w:before="156" w:beforeLines="50" w:after="156" w:afterLines="50"/>
        <w:jc w:val="center"/>
        <w:rPr>
          <w:b/>
          <w:bCs/>
          <w:color w:val="000000"/>
          <w:sz w:val="36"/>
          <w:szCs w:val="48"/>
        </w:rPr>
      </w:pPr>
    </w:p>
    <w:p>
      <w:pPr>
        <w:spacing w:before="156" w:beforeLines="50" w:after="156" w:afterLines="50"/>
        <w:jc w:val="center"/>
        <w:rPr>
          <w:rFonts w:cs="Times New Roman"/>
          <w:b/>
          <w:sz w:val="48"/>
          <w:szCs w:val="48"/>
        </w:rPr>
      </w:pPr>
      <w:r>
        <w:rPr>
          <w:rFonts w:hint="eastAsia" w:cs="Times New Roman"/>
          <w:b/>
          <w:sz w:val="48"/>
          <w:szCs w:val="48"/>
        </w:rPr>
        <w:t>重庆望变电气（集团）股份有限公司</w:t>
      </w:r>
    </w:p>
    <w:p>
      <w:pPr>
        <w:spacing w:before="156" w:beforeLines="50" w:after="156" w:afterLines="50"/>
        <w:jc w:val="center"/>
        <w:rPr>
          <w:rFonts w:cs="Times New Roman"/>
          <w:b/>
          <w:sz w:val="48"/>
          <w:szCs w:val="48"/>
        </w:rPr>
      </w:pPr>
      <w:bookmarkStart w:id="24" w:name="_GoBack"/>
      <w:r>
        <w:rPr>
          <w:rFonts w:hint="eastAsia" w:cs="Times New Roman"/>
          <w:b/>
          <w:sz w:val="48"/>
          <w:szCs w:val="48"/>
        </w:rPr>
        <w:t>向特定对象发行股票方案的</w:t>
      </w:r>
    </w:p>
    <w:p>
      <w:pPr>
        <w:spacing w:before="156" w:beforeLines="50" w:after="156" w:afterLines="50"/>
        <w:jc w:val="center"/>
        <w:rPr>
          <w:rFonts w:cs="Times New Roman"/>
          <w:b/>
          <w:sz w:val="48"/>
          <w:szCs w:val="48"/>
        </w:rPr>
      </w:pPr>
      <w:r>
        <w:rPr>
          <w:rFonts w:hint="eastAsia" w:cs="Times New Roman"/>
          <w:b/>
          <w:sz w:val="48"/>
          <w:szCs w:val="48"/>
        </w:rPr>
        <w:t>论证分析报告</w:t>
      </w:r>
    </w:p>
    <w:p>
      <w:pPr>
        <w:spacing w:before="156" w:beforeLines="50" w:after="156" w:afterLines="50"/>
        <w:jc w:val="center"/>
        <w:rPr>
          <w:rFonts w:cs="Times New Roman"/>
          <w:b/>
          <w:sz w:val="48"/>
          <w:szCs w:val="48"/>
        </w:rPr>
      </w:pPr>
      <w:r>
        <w:rPr>
          <w:rFonts w:hint="eastAsia" w:cs="Times New Roman"/>
          <w:b/>
          <w:sz w:val="48"/>
          <w:szCs w:val="48"/>
        </w:rPr>
        <w:t>（修订稿）</w:t>
      </w:r>
    </w:p>
    <w:bookmarkEnd w:id="24"/>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ind w:left="480" w:leftChars="200"/>
        <w:rPr>
          <w:rFonts w:cs="Times New Roman"/>
        </w:rPr>
      </w:pPr>
    </w:p>
    <w:p>
      <w:pPr>
        <w:jc w:val="center"/>
        <w:rPr>
          <w:rFonts w:cs="Times New Roman"/>
          <w:b/>
          <w:sz w:val="28"/>
        </w:rPr>
        <w:sectPr>
          <w:headerReference r:id="rId5" w:type="first"/>
          <w:footerReference r:id="rId6" w:type="default"/>
          <w:pgSz w:w="11906" w:h="16838"/>
          <w:pgMar w:top="1440" w:right="1800" w:bottom="1440" w:left="1800" w:header="851" w:footer="992" w:gutter="0"/>
          <w:pgNumType w:start="1"/>
          <w:cols w:space="425" w:num="1"/>
          <w:docGrid w:type="lines" w:linePitch="312" w:charSpace="0"/>
        </w:sectPr>
      </w:pPr>
      <w:r>
        <w:rPr>
          <w:rFonts w:cs="Times New Roman"/>
          <w:b/>
          <w:sz w:val="28"/>
        </w:rPr>
        <w:t>二〇二</w:t>
      </w:r>
      <w:r>
        <w:rPr>
          <w:rFonts w:hint="eastAsia" w:cs="Times New Roman"/>
          <w:b/>
          <w:sz w:val="28"/>
        </w:rPr>
        <w:t>六</w:t>
      </w:r>
      <w:r>
        <w:rPr>
          <w:rFonts w:cs="Times New Roman"/>
          <w:b/>
          <w:sz w:val="28"/>
        </w:rPr>
        <w:t>年</w:t>
      </w:r>
      <w:r>
        <w:rPr>
          <w:rFonts w:hint="eastAsia" w:cs="Times New Roman"/>
          <w:b/>
          <w:sz w:val="28"/>
        </w:rPr>
        <w:t>四</w:t>
      </w:r>
      <w:r>
        <w:rPr>
          <w:rFonts w:cs="Times New Roman"/>
          <w:b/>
          <w:sz w:val="28"/>
        </w:rPr>
        <w:t>月</w:t>
      </w:r>
    </w:p>
    <w:p>
      <w:pPr>
        <w:spacing w:before="156" w:beforeLines="50"/>
        <w:ind w:firstLine="480" w:firstLineChars="200"/>
      </w:pPr>
      <w:r>
        <w:rPr>
          <w:rFonts w:hint="eastAsia" w:cs="Times New Roman"/>
          <w:szCs w:val="24"/>
        </w:rPr>
        <w:t>重庆望变电气（集团）股份有限公司（以下简称“望变电气”或“公司”）是上海证券交易所（以下简称“上交所”）主板上市的公司。为优化公司资本结构，满足公司业务发展的资金需求，提高公司抗风险能力，进一步增强公司控制权的稳定性，促进公司的长远健康发展，根据《中华人民共和国公司法》（以下简称“《公司法》”）、《中华人民共和国证券法》（以下简称“《证券法》”）和《上市公司证券发行注册管理办法》（以下简称“《注册管理办法》”）等有关法律法规和规范性文件的规定，</w:t>
      </w:r>
      <w:r>
        <w:rPr>
          <w:rFonts w:hint="eastAsia"/>
        </w:rPr>
        <w:t>公司拟向控股股东之一的杨泽民先生控制的企业耀泽商管发行股票募集资金。本次向特定对象发行的股票数量为</w:t>
      </w:r>
      <w:r>
        <w:t>19,493,177</w:t>
      </w:r>
      <w:r>
        <w:rPr>
          <w:rFonts w:hint="eastAsia"/>
        </w:rPr>
        <w:t>股，</w:t>
      </w:r>
      <w:r>
        <w:rPr>
          <w:rFonts w:cs="Times New Roman"/>
          <w:szCs w:val="24"/>
        </w:rPr>
        <w:t>募集资金总额</w:t>
      </w:r>
      <w:r>
        <w:rPr>
          <w:rFonts w:hint="eastAsia" w:cs="Times New Roman"/>
          <w:szCs w:val="24"/>
        </w:rPr>
        <w:t>为30,000.00万</w:t>
      </w:r>
      <w:r>
        <w:rPr>
          <w:rFonts w:cs="Times New Roman"/>
          <w:szCs w:val="24"/>
        </w:rPr>
        <w:t>元</w:t>
      </w:r>
      <w:r>
        <w:rPr>
          <w:rFonts w:hint="eastAsia" w:cs="Times New Roman"/>
          <w:szCs w:val="24"/>
        </w:rPr>
        <w:t>，</w:t>
      </w:r>
      <w:r>
        <w:rPr>
          <w:rFonts w:cs="Times New Roman"/>
          <w:szCs w:val="24"/>
        </w:rPr>
        <w:t>在扣除相关发行费用后，</w:t>
      </w:r>
      <w:r>
        <w:rPr>
          <w:rFonts w:hint="eastAsia" w:cs="Times New Roman"/>
          <w:szCs w:val="24"/>
        </w:rPr>
        <w:t>将用于补充流动资金。</w:t>
      </w:r>
    </w:p>
    <w:p>
      <w:pPr>
        <w:spacing w:before="156" w:beforeLines="50"/>
        <w:ind w:firstLine="480" w:firstLineChars="200"/>
        <w:rPr>
          <w:rFonts w:cs="Times New Roman"/>
          <w:sz w:val="21"/>
          <w:szCs w:val="24"/>
        </w:rPr>
      </w:pPr>
      <w:r>
        <w:rPr>
          <w:rFonts w:cs="Times New Roman"/>
          <w:szCs w:val="24"/>
        </w:rPr>
        <w:t>本报告中如无特别说明，相关用语具有与《</w:t>
      </w:r>
      <w:r>
        <w:rPr>
          <w:rFonts w:hint="eastAsia" w:cs="Times New Roman"/>
          <w:szCs w:val="24"/>
        </w:rPr>
        <w:t>重庆望变电气（集团）股份有限公司</w:t>
      </w:r>
      <w:r>
        <w:t>向特定对象发行股票预案</w:t>
      </w:r>
      <w:r>
        <w:rPr>
          <w:rFonts w:hint="eastAsia"/>
        </w:rPr>
        <w:t>（修订稿）</w:t>
      </w:r>
      <w:r>
        <w:rPr>
          <w:rFonts w:cs="Times New Roman"/>
          <w:szCs w:val="24"/>
        </w:rPr>
        <w:t>》中的释义相同的含义。</w:t>
      </w:r>
    </w:p>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1" w:name="_Toc137909425"/>
      <w:bookmarkStart w:id="2" w:name="_Toc138172882"/>
      <w:r>
        <w:rPr>
          <w:rFonts w:hint="eastAsia" w:cs="Times New Roman"/>
          <w:b/>
          <w:bCs/>
          <w:color w:val="000000"/>
          <w:kern w:val="0"/>
          <w:sz w:val="30"/>
          <w:szCs w:val="30"/>
          <w:lang w:bidi="ar"/>
        </w:rPr>
        <w:t>一、</w:t>
      </w:r>
      <w:r>
        <w:rPr>
          <w:rFonts w:cs="Times New Roman"/>
          <w:b/>
          <w:bCs/>
          <w:color w:val="000000"/>
          <w:kern w:val="0"/>
          <w:sz w:val="30"/>
          <w:szCs w:val="30"/>
          <w:lang w:bidi="ar"/>
        </w:rPr>
        <w:t>本次</w:t>
      </w:r>
      <w:r>
        <w:rPr>
          <w:rFonts w:hint="eastAsia" w:cs="Times New Roman"/>
          <w:b/>
          <w:bCs/>
          <w:color w:val="000000"/>
          <w:kern w:val="0"/>
          <w:sz w:val="30"/>
          <w:szCs w:val="30"/>
          <w:lang w:bidi="ar"/>
        </w:rPr>
        <w:t>发行</w:t>
      </w:r>
      <w:r>
        <w:rPr>
          <w:rFonts w:cs="Times New Roman"/>
          <w:b/>
          <w:bCs/>
          <w:color w:val="000000"/>
          <w:kern w:val="0"/>
          <w:sz w:val="30"/>
          <w:szCs w:val="30"/>
          <w:lang w:bidi="ar"/>
        </w:rPr>
        <w:t>的背景和目的</w:t>
      </w:r>
      <w:bookmarkEnd w:id="1"/>
      <w:bookmarkEnd w:id="2"/>
    </w:p>
    <w:p>
      <w:pPr>
        <w:keepNext/>
        <w:keepLines/>
        <w:spacing w:before="156" w:beforeLines="50" w:after="156" w:afterLines="50"/>
        <w:ind w:firstLine="482" w:firstLineChars="200"/>
        <w:outlineLvl w:val="1"/>
        <w:rPr>
          <w:b/>
          <w:bCs/>
          <w:szCs w:val="32"/>
        </w:rPr>
      </w:pPr>
      <w:bookmarkStart w:id="3" w:name="_Hlk58889132"/>
      <w:r>
        <w:rPr>
          <w:rFonts w:hint="eastAsia"/>
          <w:b/>
          <w:bCs/>
          <w:szCs w:val="32"/>
        </w:rPr>
        <w:t>（一）本次发行的背景</w:t>
      </w:r>
    </w:p>
    <w:p>
      <w:pPr>
        <w:keepNext/>
        <w:keepLines/>
        <w:spacing w:before="156" w:beforeLines="50" w:after="156" w:afterLines="50"/>
        <w:ind w:firstLine="482" w:firstLineChars="200"/>
        <w:outlineLvl w:val="2"/>
        <w:rPr>
          <w:rFonts w:cs="Times New Roman"/>
          <w:b/>
          <w:bCs/>
          <w:szCs w:val="24"/>
        </w:rPr>
      </w:pPr>
      <w:r>
        <w:rPr>
          <w:rFonts w:hint="eastAsia" w:cs="Times New Roman"/>
          <w:b/>
          <w:bCs/>
          <w:szCs w:val="24"/>
        </w:rPr>
        <w:t>1、国家产业政策支持电力设备行业发展</w:t>
      </w:r>
    </w:p>
    <w:p>
      <w:pPr>
        <w:spacing w:before="156" w:beforeLines="50"/>
        <w:ind w:firstLine="480" w:firstLineChars="200"/>
        <w:rPr>
          <w:rFonts w:cs="Times New Roman"/>
          <w:szCs w:val="24"/>
        </w:rPr>
      </w:pPr>
      <w:r>
        <w:rPr>
          <w:rFonts w:hint="eastAsia" w:cs="Times New Roman"/>
          <w:szCs w:val="24"/>
        </w:rPr>
        <w:t>近年来，国家有关部门先后发布了诸如《关于加快经济社会发展全面绿色转型的意见》《能源重点领域大规模设备更新实施方案》《加快构建新型电力系统行动方案（2024-2027年）》等一系列的政策法规鼓励电力设备行业的快速发展。其中，《能源重点领域大规模设备更新实施方案》明确提出到2027年，能源重点领域设备投资规模较2023年增长25%以上。</w:t>
      </w:r>
    </w:p>
    <w:p>
      <w:pPr>
        <w:spacing w:before="156" w:beforeLines="50"/>
        <w:ind w:firstLine="480" w:firstLineChars="200"/>
        <w:rPr>
          <w:rFonts w:cs="Times New Roman"/>
          <w:szCs w:val="24"/>
        </w:rPr>
      </w:pPr>
      <w:r>
        <w:rPr>
          <w:rFonts w:hint="eastAsia" w:cs="Times New Roman"/>
          <w:szCs w:val="24"/>
        </w:rPr>
        <w:t>2025年10月，《中共中央关于制定国民经济和社会发展第十五个五年规划的建议》将“全面提升电力系统互补互济和安全韧性水平，科学布局抽水蓄能，大力发展新型储能，加快智能电网和微电网建设”作为我国加快建设新型能源体系的一项重要发展目标。</w:t>
      </w:r>
    </w:p>
    <w:p>
      <w:pPr>
        <w:widowControl w:val="0"/>
        <w:spacing w:before="156" w:beforeLines="50"/>
        <w:ind w:firstLine="480" w:firstLineChars="200"/>
        <w:rPr>
          <w:rFonts w:cs="Times New Roman"/>
          <w:szCs w:val="24"/>
        </w:rPr>
      </w:pPr>
      <w:r>
        <w:rPr>
          <w:rFonts w:hint="eastAsia" w:cs="Times New Roman"/>
          <w:szCs w:val="24"/>
        </w:rPr>
        <w:t>随着国民经济持续发展，社会电力需求和固定资产投资持续增长，在国家产业政策的支持和引导下，我国电力设备市场规模有望实现大幅增长。</w:t>
      </w:r>
    </w:p>
    <w:p>
      <w:pPr>
        <w:keepNext/>
        <w:keepLines/>
        <w:spacing w:before="156" w:beforeLines="50" w:after="156" w:afterLines="50"/>
        <w:ind w:firstLine="482" w:firstLineChars="200"/>
        <w:outlineLvl w:val="2"/>
        <w:rPr>
          <w:rFonts w:cs="Times New Roman"/>
          <w:b/>
          <w:bCs/>
          <w:szCs w:val="24"/>
        </w:rPr>
      </w:pPr>
      <w:r>
        <w:rPr>
          <w:rFonts w:hint="eastAsia" w:cs="Times New Roman"/>
          <w:b/>
          <w:bCs/>
          <w:szCs w:val="24"/>
        </w:rPr>
        <w:t>2、我国电力设备市场进入高速增长周期</w:t>
      </w:r>
    </w:p>
    <w:p>
      <w:pPr>
        <w:widowControl w:val="0"/>
        <w:spacing w:before="156" w:beforeLines="50"/>
        <w:ind w:firstLine="480" w:firstLineChars="200"/>
        <w:rPr>
          <w:rFonts w:cs="Times New Roman"/>
          <w:szCs w:val="24"/>
        </w:rPr>
      </w:pPr>
      <w:r>
        <w:rPr>
          <w:rFonts w:hint="eastAsia" w:cs="Times New Roman"/>
          <w:szCs w:val="24"/>
        </w:rPr>
        <w:t>能源结构转型与新能源技术突破正推动电力设备市场进入高速增长周期。在光伏、风电等可再生能源装机量持续攀升的驱动下，全球能源体系加速向低碳化演进。制造业智能化转型推动产线电气化率显著提升，工业互联网对供电质量提出更高要求。与此同时，人工智能、云计算等数字技术基础设施的快速发展，催生高密度算力设备的规模化部署，形成支撑用电需求增长的新动能。另外，全球电网正面临新能源渗透率持续攀升、并网特性与负荷结构深刻变化、源荷时空分布失衡加剧，以及区域性基础设施老化加剧等多重挑战，这些压力驱动电网系统加速向智能柔性化升级、多能协同优化、跨国电力互联等方向演进，也进而催生电力设备全产业链的增量市场空间。</w:t>
      </w:r>
    </w:p>
    <w:p>
      <w:pPr>
        <w:widowControl w:val="0"/>
        <w:spacing w:before="156" w:beforeLines="50"/>
        <w:ind w:firstLine="480" w:firstLineChars="200"/>
        <w:rPr>
          <w:rFonts w:cs="Times New Roman"/>
          <w:szCs w:val="24"/>
        </w:rPr>
      </w:pPr>
      <w:r>
        <w:rPr>
          <w:rFonts w:hint="eastAsia" w:cs="Times New Roman"/>
          <w:szCs w:val="24"/>
        </w:rPr>
        <w:t>根据国家能源局数据，2024年全国主要发电企业电源工程完成投资11,687亿元，同比增长12.1%；电网工程完成投资6,083亿元，同比增长15.3%；2025年1-6月，电源工程投资完成3,635亿元，同比增长5.9%，电网工程投资完成2,911亿元，同比增长14.6%，发电端的装机增量显著促进了电力设备需求上升。</w:t>
      </w:r>
    </w:p>
    <w:p>
      <w:pPr>
        <w:widowControl w:val="0"/>
        <w:spacing w:before="156" w:beforeLines="50"/>
        <w:ind w:firstLine="480" w:firstLineChars="200"/>
        <w:rPr>
          <w:rFonts w:cs="Times New Roman"/>
          <w:szCs w:val="24"/>
        </w:rPr>
      </w:pPr>
      <w:r>
        <w:rPr>
          <w:rFonts w:hint="eastAsia" w:cs="Times New Roman"/>
          <w:szCs w:val="24"/>
        </w:rPr>
        <w:t>2026年1月，国家电网宣布“十五五”期间固定资产投资预计达到4万亿元，较“十四五”投资增长40%，重点聚焦构建更智能、更绿色的电网体系，将带动新型电力系统全产业链协同发展。</w:t>
      </w:r>
    </w:p>
    <w:p>
      <w:pPr>
        <w:keepNext/>
        <w:keepLines/>
        <w:spacing w:before="156" w:beforeLines="50" w:after="156" w:afterLines="50"/>
        <w:ind w:firstLine="482" w:firstLineChars="200"/>
        <w:outlineLvl w:val="2"/>
        <w:rPr>
          <w:rFonts w:cs="Times New Roman"/>
          <w:b/>
          <w:bCs/>
          <w:szCs w:val="24"/>
        </w:rPr>
      </w:pPr>
      <w:r>
        <w:rPr>
          <w:rFonts w:hint="eastAsia" w:cs="Times New Roman"/>
          <w:b/>
          <w:bCs/>
          <w:szCs w:val="24"/>
        </w:rPr>
        <w:t>3、本次发行符合公司发展战略</w:t>
      </w:r>
    </w:p>
    <w:p>
      <w:pPr>
        <w:spacing w:before="156" w:beforeLines="50"/>
        <w:ind w:firstLine="480" w:firstLineChars="200"/>
        <w:rPr>
          <w:rFonts w:cs="Times New Roman"/>
          <w:szCs w:val="24"/>
        </w:rPr>
      </w:pPr>
      <w:r>
        <w:rPr>
          <w:rFonts w:hint="eastAsia" w:cs="Times New Roman"/>
          <w:szCs w:val="24"/>
        </w:rPr>
        <w:t>公司以“高端材料（取向硅钢）与核心装备（电力装备）”双轮驱动为基础，纵向深化打造“取向硅钢-硅钢铁心-电力变压器-箱式变电站/成套设备-智能运维服务”的一体化产业链，横向拓展“超充运营、储能系统、EPC工程”等新增长极，并积极布局新能源重卡超充及后服务市场，构建开放协同的产业生态。公司将根据电力设备行业未来发展趋势及技术发展方向，加强对新技术与新产品的研发投入，以满足下游应用的新需求。</w:t>
      </w:r>
    </w:p>
    <w:p>
      <w:pPr>
        <w:spacing w:before="156" w:beforeLines="50"/>
        <w:ind w:firstLine="480" w:firstLineChars="200"/>
      </w:pPr>
      <w:r>
        <w:rPr>
          <w:rFonts w:hint="eastAsia" w:cs="Times New Roman"/>
          <w:szCs w:val="24"/>
        </w:rPr>
        <w:t>本次发行有利于公司改善资产负债结构，为公司扩大经营提供了更充足的资金保障，从而有助于抓住市场机遇，在满足市场需求快速增长的同时，提升公司盈利能力。通过本次发行，公司将进一步增强资金实力，提升总资产和净资产规模，优化资本结构，降低财务风险，增强稳健经营能力。</w:t>
      </w:r>
    </w:p>
    <w:p>
      <w:pPr>
        <w:keepNext/>
        <w:keepLines/>
        <w:spacing w:before="156" w:beforeLines="50" w:after="156" w:afterLines="50"/>
        <w:ind w:firstLine="482" w:firstLineChars="200"/>
        <w:outlineLvl w:val="1"/>
        <w:rPr>
          <w:b/>
          <w:bCs/>
          <w:szCs w:val="32"/>
        </w:rPr>
      </w:pPr>
      <w:r>
        <w:rPr>
          <w:rFonts w:hint="eastAsia"/>
          <w:b/>
          <w:bCs/>
          <w:szCs w:val="32"/>
        </w:rPr>
        <w:t>（二）本次发行的目的</w:t>
      </w:r>
    </w:p>
    <w:bookmarkEnd w:id="3"/>
    <w:p>
      <w:pPr>
        <w:keepNext/>
        <w:keepLines/>
        <w:spacing w:before="156" w:beforeLines="50" w:after="156" w:afterLines="50"/>
        <w:ind w:firstLine="482" w:firstLineChars="200"/>
        <w:outlineLvl w:val="2"/>
        <w:rPr>
          <w:rFonts w:cs="Times New Roman"/>
          <w:b/>
          <w:bCs/>
          <w:szCs w:val="24"/>
        </w:rPr>
      </w:pPr>
      <w:bookmarkStart w:id="4" w:name="_Hlk137994349"/>
      <w:bookmarkStart w:id="5" w:name="_Toc137909426"/>
      <w:bookmarkStart w:id="6" w:name="_Hlk58889153"/>
      <w:r>
        <w:rPr>
          <w:rFonts w:hint="eastAsia" w:cs="Times New Roman"/>
          <w:b/>
          <w:bCs/>
          <w:szCs w:val="24"/>
        </w:rPr>
        <w:t>1、巩固控股股东的控制地位，提振市场信心</w:t>
      </w:r>
    </w:p>
    <w:p>
      <w:pPr>
        <w:widowControl w:val="0"/>
        <w:spacing w:before="156" w:beforeLines="50"/>
        <w:ind w:firstLine="480" w:firstLineChars="200"/>
        <w:rPr>
          <w:rFonts w:cs="Times New Roman"/>
          <w:szCs w:val="24"/>
        </w:rPr>
      </w:pPr>
      <w:r>
        <w:rPr>
          <w:rFonts w:hint="eastAsia" w:cs="Times New Roman"/>
          <w:szCs w:val="24"/>
        </w:rPr>
        <w:t>通过认购本次向特定对象发行股票，公司控股股东的持股比例将得到提升，有助于进一步增强公司控制权的稳定性。同时，公司控股股东之一的杨泽民先生控制的企业全额认购此次发行的股票，彰显其对上市公司未来发展前景的坚定信心，有利于向市场以及中小股东传递积极信号。</w:t>
      </w:r>
    </w:p>
    <w:p>
      <w:pPr>
        <w:keepNext/>
        <w:keepLines/>
        <w:spacing w:before="156" w:beforeLines="50" w:after="156" w:afterLines="50"/>
        <w:ind w:firstLine="482" w:firstLineChars="200"/>
        <w:outlineLvl w:val="2"/>
        <w:rPr>
          <w:rFonts w:cs="Times New Roman"/>
          <w:b/>
          <w:bCs/>
          <w:szCs w:val="24"/>
        </w:rPr>
      </w:pPr>
      <w:r>
        <w:rPr>
          <w:rFonts w:hint="eastAsia" w:cs="Times New Roman"/>
          <w:b/>
          <w:bCs/>
          <w:szCs w:val="24"/>
        </w:rPr>
        <w:t>2、优化公司资本结构，满足业务增长需求</w:t>
      </w:r>
    </w:p>
    <w:p>
      <w:pPr>
        <w:widowControl w:val="0"/>
        <w:spacing w:before="156" w:beforeLines="50"/>
        <w:ind w:firstLine="480" w:firstLineChars="200"/>
        <w:rPr>
          <w:rFonts w:cs="Times New Roman"/>
          <w:szCs w:val="24"/>
        </w:rPr>
      </w:pPr>
      <w:r>
        <w:rPr>
          <w:rFonts w:hint="eastAsia" w:cs="Times New Roman"/>
          <w:szCs w:val="24"/>
        </w:rPr>
        <w:t>本次向特定对象发行股票募集资金扣除发行费用后拟用于补充流动资金，将有效提升公司的资金实力。随着公司业务规模的扩张以及公司发展战略的实施，公司资金需求逐步增加。本次向特定对象发行股票募集资金以补充流动资金，可以为公司业务发展提供资金支持，实现战略发展目标。同时，有利于公司增强资本实力，优化资本结构，提高公司抗风险能力。</w:t>
      </w:r>
    </w:p>
    <w:bookmarkEnd w:id="4"/>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7" w:name="_Toc138172883"/>
      <w:r>
        <w:rPr>
          <w:rFonts w:cs="Times New Roman"/>
          <w:b/>
          <w:bCs/>
          <w:color w:val="000000"/>
          <w:kern w:val="0"/>
          <w:sz w:val="30"/>
          <w:szCs w:val="30"/>
          <w:lang w:bidi="ar"/>
        </w:rPr>
        <w:t>二、本次发行证券及其品种选择的必要性</w:t>
      </w:r>
      <w:bookmarkEnd w:id="5"/>
      <w:bookmarkEnd w:id="7"/>
    </w:p>
    <w:p>
      <w:pPr>
        <w:keepNext/>
        <w:keepLines/>
        <w:spacing w:before="156" w:beforeLines="50" w:after="156" w:afterLines="50"/>
        <w:ind w:firstLine="482" w:firstLineChars="200"/>
        <w:outlineLvl w:val="1"/>
        <w:rPr>
          <w:b/>
          <w:bCs/>
          <w:szCs w:val="32"/>
        </w:rPr>
      </w:pPr>
      <w:r>
        <w:rPr>
          <w:b/>
          <w:bCs/>
          <w:szCs w:val="32"/>
        </w:rPr>
        <w:t>（一）本次发行证券的品种</w:t>
      </w:r>
      <w:r>
        <w:rPr>
          <w:rFonts w:hint="eastAsia"/>
          <w:b/>
          <w:bCs/>
          <w:szCs w:val="32"/>
        </w:rPr>
        <w:t>和面值</w:t>
      </w:r>
    </w:p>
    <w:p>
      <w:pPr>
        <w:spacing w:before="120" w:after="156" w:afterLines="50"/>
        <w:ind w:left="-29" w:leftChars="-12" w:firstLine="480" w:firstLineChars="200"/>
        <w:rPr>
          <w:rFonts w:cs="Times New Roman"/>
          <w:bCs/>
          <w:kern w:val="0"/>
          <w:szCs w:val="24"/>
        </w:rPr>
      </w:pPr>
      <w:r>
        <w:rPr>
          <w:rFonts w:hint="eastAsia" w:cs="Times New Roman"/>
          <w:bCs/>
          <w:kern w:val="0"/>
          <w:szCs w:val="24"/>
        </w:rPr>
        <w:t>本次向特定对象发行的股票种类为境内上市人民币普通股（A股），每股面值人民币1.00元。</w:t>
      </w:r>
    </w:p>
    <w:p>
      <w:pPr>
        <w:keepNext/>
        <w:keepLines/>
        <w:spacing w:before="156" w:beforeLines="50" w:after="156" w:afterLines="50"/>
        <w:ind w:firstLine="482" w:firstLineChars="200"/>
        <w:outlineLvl w:val="1"/>
        <w:rPr>
          <w:b/>
          <w:bCs/>
          <w:szCs w:val="32"/>
        </w:rPr>
      </w:pPr>
      <w:r>
        <w:rPr>
          <w:rFonts w:hint="eastAsia"/>
          <w:b/>
          <w:bCs/>
          <w:szCs w:val="32"/>
        </w:rPr>
        <w:t>（二）</w:t>
      </w:r>
      <w:r>
        <w:rPr>
          <w:b/>
          <w:bCs/>
          <w:szCs w:val="32"/>
        </w:rPr>
        <w:t>本次发行证券品种选择的必要性</w:t>
      </w:r>
    </w:p>
    <w:p>
      <w:pPr>
        <w:keepNext/>
        <w:keepLines/>
        <w:spacing w:before="156" w:beforeLines="50" w:after="156" w:afterLines="50"/>
        <w:ind w:firstLine="482" w:firstLineChars="200"/>
        <w:outlineLvl w:val="2"/>
        <w:rPr>
          <w:b/>
          <w:bCs/>
          <w:szCs w:val="32"/>
        </w:rPr>
      </w:pPr>
      <w:r>
        <w:rPr>
          <w:rFonts w:hint="eastAsia"/>
          <w:b/>
          <w:bCs/>
          <w:szCs w:val="32"/>
        </w:rPr>
        <w:t>1、发行股票有利于优化资本结构、提高偿债能力、降低财务风险</w:t>
      </w:r>
    </w:p>
    <w:p>
      <w:pPr>
        <w:widowControl w:val="0"/>
        <w:spacing w:before="156" w:beforeLines="50" w:after="156" w:afterLines="50"/>
        <w:ind w:firstLine="480" w:firstLineChars="200"/>
        <w:rPr>
          <w:rFonts w:cs="Times New Roman"/>
          <w:bCs/>
          <w:kern w:val="0"/>
          <w:szCs w:val="24"/>
        </w:rPr>
      </w:pPr>
      <w:r>
        <w:rPr>
          <w:rFonts w:hint="eastAsia"/>
        </w:rPr>
        <w:t>本次向特定对象发行股票完成后，公司的资本实力进一步增强。公司的总资产和净资产规模均会有所增长，资产负债率将相应下降，公司的资本结构将得到优化，有利于增强公司的偿债能力，降低公司的财务风险，为公司后续发展提供有力保障。综上，本次发行有利于优化资本结构、提高偿债能力、降低财务风险，为公司业务发展奠定坚实的基础。</w:t>
      </w:r>
    </w:p>
    <w:p>
      <w:pPr>
        <w:keepNext/>
        <w:keepLines/>
        <w:spacing w:before="156" w:beforeLines="50" w:after="156" w:afterLines="50"/>
        <w:ind w:firstLine="482" w:firstLineChars="200"/>
        <w:outlineLvl w:val="2"/>
        <w:rPr>
          <w:b/>
          <w:bCs/>
          <w:szCs w:val="32"/>
        </w:rPr>
      </w:pPr>
      <w:r>
        <w:rPr>
          <w:rFonts w:hint="eastAsia"/>
          <w:b/>
          <w:bCs/>
          <w:szCs w:val="32"/>
        </w:rPr>
        <w:t>2、向控股股东发行股票能够满足资金投向需求，募集资金确定性较高</w:t>
      </w:r>
    </w:p>
    <w:p>
      <w:pPr>
        <w:widowControl w:val="0"/>
        <w:spacing w:before="156" w:beforeLines="50" w:after="156" w:afterLines="50"/>
        <w:ind w:firstLine="480" w:firstLineChars="200"/>
        <w:rPr>
          <w:rFonts w:cs="Times New Roman"/>
          <w:bCs/>
          <w:kern w:val="0"/>
          <w:szCs w:val="24"/>
        </w:rPr>
      </w:pPr>
      <w:r>
        <w:rPr>
          <w:rFonts w:hint="eastAsia"/>
        </w:rPr>
        <w:t>根据《证券期货法律适用意见第18号》，通过董事会确定发行对象的向特定对象发行股票方式募集资金的，可以将募集资金全部用于补充流动资金和偿还债务。公司本次募集资金在扣除相关发行费用后拟全部用于补充流动资金，因而董事会确定发行对象的向特定对象发行股票方式募集资金能够满足公司资金投向的需求</w:t>
      </w:r>
      <w:r>
        <w:rPr>
          <w:rFonts w:hint="eastAsia" w:cs="Times New Roman"/>
          <w:szCs w:val="24"/>
        </w:rPr>
        <w:t>，融资确定性较高。</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综上所述，公司本次向特定对象发行股票具有必要性。</w:t>
      </w:r>
    </w:p>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8" w:name="_Toc137909428"/>
      <w:bookmarkStart w:id="9" w:name="_Toc138172885"/>
      <w:r>
        <w:rPr>
          <w:rFonts w:hint="eastAsia" w:cs="Times New Roman"/>
          <w:b/>
          <w:bCs/>
          <w:color w:val="000000"/>
          <w:kern w:val="0"/>
          <w:sz w:val="30"/>
          <w:szCs w:val="30"/>
          <w:lang w:bidi="ar"/>
        </w:rPr>
        <w:t>三、</w:t>
      </w:r>
      <w:bookmarkEnd w:id="8"/>
      <w:bookmarkEnd w:id="9"/>
      <w:r>
        <w:rPr>
          <w:rFonts w:hint="eastAsia" w:cs="Times New Roman"/>
          <w:b/>
          <w:bCs/>
          <w:color w:val="000000"/>
          <w:kern w:val="0"/>
          <w:sz w:val="30"/>
          <w:szCs w:val="30"/>
          <w:lang w:bidi="ar"/>
        </w:rPr>
        <w:t>本次发行对象的选择范围、数量和标准的适当性</w:t>
      </w:r>
    </w:p>
    <w:p>
      <w:pPr>
        <w:keepNext/>
        <w:keepLines/>
        <w:spacing w:before="156" w:beforeLines="50" w:after="156" w:afterLines="50"/>
        <w:ind w:firstLine="482" w:firstLineChars="200"/>
        <w:outlineLvl w:val="1"/>
        <w:rPr>
          <w:b/>
          <w:bCs/>
          <w:szCs w:val="32"/>
        </w:rPr>
      </w:pPr>
      <w:r>
        <w:rPr>
          <w:rFonts w:hint="eastAsia"/>
          <w:b/>
          <w:bCs/>
          <w:szCs w:val="32"/>
        </w:rPr>
        <w:t>（一）本次发行对象选择范围的适当性</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本次发行的发行对象为</w:t>
      </w:r>
      <w:r>
        <w:rPr>
          <w:rFonts w:cs="Times New Roman"/>
        </w:rPr>
        <w:t>公司控股股东</w:t>
      </w:r>
      <w:r>
        <w:rPr>
          <w:rFonts w:hint="eastAsia" w:cs="Times New Roman"/>
        </w:rPr>
        <w:t>之一的</w:t>
      </w:r>
      <w:r>
        <w:rPr>
          <w:rFonts w:hint="eastAsia" w:cs="Times New Roman"/>
          <w:bCs/>
          <w:kern w:val="0"/>
          <w:szCs w:val="24"/>
        </w:rPr>
        <w:t>杨泽民先生控制的企业，发行对象以现金全额认购本次发行股票。本次发行对象的选择范围符合《注册管理办法》等法律法规的相关规定，选择范围适当。</w:t>
      </w:r>
    </w:p>
    <w:p>
      <w:pPr>
        <w:keepNext/>
        <w:keepLines/>
        <w:spacing w:before="156" w:beforeLines="50" w:after="156" w:afterLines="50"/>
        <w:ind w:firstLine="482" w:firstLineChars="200"/>
        <w:outlineLvl w:val="1"/>
        <w:rPr>
          <w:b/>
          <w:bCs/>
          <w:szCs w:val="32"/>
        </w:rPr>
      </w:pPr>
      <w:r>
        <w:rPr>
          <w:rFonts w:hint="eastAsia"/>
          <w:b/>
          <w:bCs/>
          <w:szCs w:val="32"/>
        </w:rPr>
        <w:t>（二）本次发行对象数量的适当性</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本次发行的发行对象数量为1名，发行对象的数量符合《注册管理办法》等相关法律法规的规定，发行对象数量适当。</w:t>
      </w:r>
    </w:p>
    <w:p>
      <w:pPr>
        <w:keepNext/>
        <w:keepLines/>
        <w:spacing w:before="156" w:beforeLines="50" w:after="156" w:afterLines="50"/>
        <w:ind w:firstLine="482" w:firstLineChars="200"/>
        <w:outlineLvl w:val="1"/>
        <w:rPr>
          <w:b/>
          <w:bCs/>
          <w:szCs w:val="32"/>
        </w:rPr>
      </w:pPr>
      <w:r>
        <w:rPr>
          <w:rFonts w:hint="eastAsia"/>
          <w:b/>
          <w:bCs/>
          <w:szCs w:val="32"/>
        </w:rPr>
        <w:t>（三）本次发行对象标准的适当性</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本次发行对象应具有风险识别能力和风险承担能力，并具备相应的资金实力。本次发行对象的标准符合《注册管理办法》等法律法规的相关规定，本次发行对象的标准适当。</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综上所述，本次发行对象的选择范围、数量和标准均符合相关法律法规的要求，合规合理。</w:t>
      </w:r>
    </w:p>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10" w:name="_Toc138172886"/>
      <w:bookmarkStart w:id="11" w:name="_Toc137909429"/>
      <w:r>
        <w:rPr>
          <w:rFonts w:hint="eastAsia" w:cs="Times New Roman"/>
          <w:b/>
          <w:bCs/>
          <w:color w:val="000000"/>
          <w:kern w:val="0"/>
          <w:sz w:val="30"/>
          <w:szCs w:val="30"/>
          <w:lang w:bidi="ar"/>
        </w:rPr>
        <w:t>四、</w:t>
      </w:r>
      <w:r>
        <w:rPr>
          <w:rFonts w:cs="Times New Roman"/>
          <w:b/>
          <w:bCs/>
          <w:color w:val="000000"/>
          <w:kern w:val="0"/>
          <w:sz w:val="30"/>
          <w:szCs w:val="30"/>
          <w:lang w:bidi="ar"/>
        </w:rPr>
        <w:t>本次发行定价的原则、依据、方法和程序的合理性</w:t>
      </w:r>
      <w:bookmarkEnd w:id="10"/>
      <w:bookmarkEnd w:id="11"/>
    </w:p>
    <w:p>
      <w:pPr>
        <w:keepNext/>
        <w:keepLines/>
        <w:spacing w:before="156" w:beforeLines="50" w:after="156" w:afterLines="50"/>
        <w:ind w:firstLine="482" w:firstLineChars="200"/>
        <w:outlineLvl w:val="1"/>
        <w:rPr>
          <w:b/>
          <w:bCs/>
          <w:szCs w:val="32"/>
        </w:rPr>
      </w:pPr>
      <w:r>
        <w:rPr>
          <w:rFonts w:hint="eastAsia"/>
          <w:b/>
          <w:bCs/>
          <w:szCs w:val="32"/>
        </w:rPr>
        <w:t>（一）本次发行定价的原则及依据合理</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本次向特定对象发行股票的定价基准日为公司第四届董事会第十七次会议决议公告日。本次发行的发行价格为</w:t>
      </w:r>
      <w:r>
        <w:rPr>
          <w:rFonts w:hint="eastAsia" w:cs="Times New Roman"/>
        </w:rPr>
        <w:t>15.39</w:t>
      </w:r>
      <w:r>
        <w:rPr>
          <w:rFonts w:hint="eastAsia" w:cs="Times New Roman"/>
          <w:bCs/>
          <w:kern w:val="0"/>
          <w:szCs w:val="24"/>
        </w:rPr>
        <w:t>元/股，不低于定价基准日前20个交易日公司股票交易均价的80%。上述均价的计算公式为：定价基准日前20个交易日股票交易均价=定价基准日前20个交易日股票交易总额/定价基准日前20个交易日股票交易总量。</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若公司在本次发行定价基准日至发行日期间发生派息、送红股、资本公积金转增股本等除权、除息事项，则本次发行的发行价格将进行相应调整。调整方式如下：</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派发现金股利：P</w:t>
      </w:r>
      <w:r>
        <w:rPr>
          <w:rFonts w:cs="Times New Roman"/>
          <w:bCs/>
          <w:kern w:val="0"/>
          <w:szCs w:val="24"/>
          <w:vertAlign w:val="subscript"/>
        </w:rPr>
        <w:t>1</w:t>
      </w:r>
      <w:r>
        <w:rPr>
          <w:rFonts w:hint="eastAsia" w:cs="Times New Roman"/>
          <w:bCs/>
          <w:kern w:val="0"/>
          <w:szCs w:val="24"/>
        </w:rPr>
        <w:t>=P</w:t>
      </w:r>
      <w:r>
        <w:rPr>
          <w:rFonts w:cs="Times New Roman"/>
          <w:bCs/>
          <w:kern w:val="0"/>
          <w:szCs w:val="24"/>
          <w:vertAlign w:val="subscript"/>
        </w:rPr>
        <w:t>0</w:t>
      </w:r>
      <w:r>
        <w:rPr>
          <w:rFonts w:hint="eastAsia" w:cs="Times New Roman"/>
          <w:bCs/>
          <w:kern w:val="0"/>
          <w:szCs w:val="24"/>
        </w:rPr>
        <w:t>-D；</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送红股或转增股本：P</w:t>
      </w:r>
      <w:r>
        <w:rPr>
          <w:rFonts w:cs="Times New Roman"/>
          <w:bCs/>
          <w:kern w:val="0"/>
          <w:szCs w:val="24"/>
          <w:vertAlign w:val="subscript"/>
        </w:rPr>
        <w:t>1</w:t>
      </w:r>
      <w:r>
        <w:rPr>
          <w:rFonts w:hint="eastAsia" w:cs="Times New Roman"/>
          <w:bCs/>
          <w:kern w:val="0"/>
          <w:szCs w:val="24"/>
        </w:rPr>
        <w:t>=P</w:t>
      </w:r>
      <w:r>
        <w:rPr>
          <w:rFonts w:cs="Times New Roman"/>
          <w:bCs/>
          <w:kern w:val="0"/>
          <w:szCs w:val="24"/>
          <w:vertAlign w:val="subscript"/>
        </w:rPr>
        <w:t>0</w:t>
      </w:r>
      <w:r>
        <w:rPr>
          <w:rFonts w:hint="eastAsia" w:cs="Times New Roman"/>
          <w:bCs/>
          <w:kern w:val="0"/>
          <w:szCs w:val="24"/>
        </w:rPr>
        <w:t>/（1+N）；</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派发现金股利同时送红股或转增股本：P</w:t>
      </w:r>
      <w:r>
        <w:rPr>
          <w:rFonts w:cs="Times New Roman"/>
          <w:bCs/>
          <w:kern w:val="0"/>
          <w:szCs w:val="24"/>
          <w:vertAlign w:val="subscript"/>
        </w:rPr>
        <w:t>1</w:t>
      </w:r>
      <w:r>
        <w:rPr>
          <w:rFonts w:hint="eastAsia" w:cs="Times New Roman"/>
          <w:bCs/>
          <w:kern w:val="0"/>
          <w:szCs w:val="24"/>
        </w:rPr>
        <w:t>=（P</w:t>
      </w:r>
      <w:r>
        <w:rPr>
          <w:rFonts w:cs="Times New Roman"/>
          <w:bCs/>
          <w:kern w:val="0"/>
          <w:szCs w:val="24"/>
          <w:vertAlign w:val="subscript"/>
        </w:rPr>
        <w:t>0</w:t>
      </w:r>
      <w:r>
        <w:rPr>
          <w:rFonts w:hint="eastAsia" w:cs="Times New Roman"/>
          <w:bCs/>
          <w:kern w:val="0"/>
          <w:szCs w:val="24"/>
        </w:rPr>
        <w:t>-D）/（1+N）；</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其中，P</w:t>
      </w:r>
      <w:r>
        <w:rPr>
          <w:rFonts w:cs="Times New Roman"/>
          <w:bCs/>
          <w:kern w:val="0"/>
          <w:szCs w:val="24"/>
          <w:vertAlign w:val="subscript"/>
        </w:rPr>
        <w:t>0</w:t>
      </w:r>
      <w:r>
        <w:rPr>
          <w:rFonts w:hint="eastAsia" w:cs="Times New Roman"/>
          <w:bCs/>
          <w:kern w:val="0"/>
          <w:szCs w:val="24"/>
        </w:rPr>
        <w:t>为调整前发行价格，D为每股派发现金股利，N为每股送红股或转增股本数，P</w:t>
      </w:r>
      <w:r>
        <w:rPr>
          <w:rFonts w:cs="Times New Roman"/>
          <w:bCs/>
          <w:kern w:val="0"/>
          <w:szCs w:val="24"/>
          <w:vertAlign w:val="subscript"/>
        </w:rPr>
        <w:t>1</w:t>
      </w:r>
      <w:r>
        <w:rPr>
          <w:rFonts w:hint="eastAsia" w:cs="Times New Roman"/>
          <w:bCs/>
          <w:kern w:val="0"/>
          <w:szCs w:val="24"/>
        </w:rPr>
        <w:t>为调整后发行价格。</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本次发行定价的原则和依据符合《注册管理办法》等法律法规的相关规定，本次发行定价的原则和依据合理。</w:t>
      </w:r>
    </w:p>
    <w:p>
      <w:pPr>
        <w:keepNext/>
        <w:keepLines/>
        <w:spacing w:before="156" w:beforeLines="50" w:after="156" w:afterLines="50"/>
        <w:ind w:firstLine="482" w:firstLineChars="200"/>
        <w:outlineLvl w:val="1"/>
        <w:rPr>
          <w:b/>
          <w:bCs/>
          <w:szCs w:val="32"/>
        </w:rPr>
      </w:pPr>
      <w:r>
        <w:rPr>
          <w:rFonts w:hint="eastAsia"/>
          <w:b/>
          <w:bCs/>
          <w:szCs w:val="32"/>
        </w:rPr>
        <w:t>（二）</w:t>
      </w:r>
      <w:r>
        <w:rPr>
          <w:b/>
          <w:bCs/>
          <w:szCs w:val="32"/>
        </w:rPr>
        <w:t>本次发行定价</w:t>
      </w:r>
      <w:r>
        <w:rPr>
          <w:rFonts w:hint="eastAsia"/>
          <w:b/>
          <w:bCs/>
          <w:szCs w:val="32"/>
        </w:rPr>
        <w:t>的方法和程序合理</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本次发行定价方法和程序均根据《注册管理办法》等法律法规的相关规定，召开董事会并将相关公告在交易所网站及指定的信息披露媒体上进行披露，并拟提请公司股东会审议。本次向特定对象发行股票相关事项尚需</w:t>
      </w:r>
      <w:r>
        <w:rPr>
          <w:rFonts w:hint="eastAsia" w:cs="Times New Roman"/>
          <w:color w:val="000000"/>
          <w:kern w:val="0"/>
          <w:szCs w:val="24"/>
          <w:lang w:bidi="ar"/>
        </w:rPr>
        <w:t>经公司股东会审议通过、上交所审核通过和中国证监会注册后方可实施</w:t>
      </w:r>
      <w:r>
        <w:rPr>
          <w:rFonts w:hint="eastAsia" w:cs="Times New Roman"/>
          <w:bCs/>
          <w:kern w:val="0"/>
          <w:szCs w:val="24"/>
        </w:rPr>
        <w:t>。</w:t>
      </w:r>
    </w:p>
    <w:p>
      <w:pPr>
        <w:widowControl w:val="0"/>
        <w:spacing w:before="156" w:beforeLines="50" w:after="156" w:afterLines="50"/>
        <w:ind w:firstLine="480" w:firstLineChars="200"/>
        <w:rPr>
          <w:rFonts w:cs="Times New Roman"/>
          <w:bCs/>
          <w:kern w:val="0"/>
          <w:szCs w:val="24"/>
        </w:rPr>
      </w:pPr>
      <w:r>
        <w:rPr>
          <w:rFonts w:hint="eastAsia" w:cs="Times New Roman"/>
          <w:bCs/>
          <w:kern w:val="0"/>
          <w:szCs w:val="24"/>
        </w:rPr>
        <w:t>综上所述，本次发行定价的原则、依据、方法和程序均符合相关法律法规的要求，合规合理。</w:t>
      </w:r>
    </w:p>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12" w:name="_Toc137909430"/>
      <w:bookmarkStart w:id="13" w:name="_Toc138172887"/>
      <w:r>
        <w:rPr>
          <w:rFonts w:hint="eastAsia" w:cs="Times New Roman"/>
          <w:b/>
          <w:bCs/>
          <w:color w:val="000000"/>
          <w:kern w:val="0"/>
          <w:sz w:val="30"/>
          <w:szCs w:val="30"/>
          <w:lang w:bidi="ar"/>
        </w:rPr>
        <w:t>五、</w:t>
      </w:r>
      <w:r>
        <w:rPr>
          <w:rFonts w:cs="Times New Roman"/>
          <w:b/>
          <w:bCs/>
          <w:color w:val="000000"/>
          <w:kern w:val="0"/>
          <w:sz w:val="30"/>
          <w:szCs w:val="30"/>
          <w:lang w:bidi="ar"/>
        </w:rPr>
        <w:t>本次发行方式的可行性</w:t>
      </w:r>
      <w:bookmarkEnd w:id="12"/>
      <w:bookmarkEnd w:id="13"/>
    </w:p>
    <w:p>
      <w:pPr>
        <w:keepNext/>
        <w:keepLines/>
        <w:spacing w:before="156" w:beforeLines="50" w:after="156" w:afterLines="50"/>
        <w:ind w:firstLine="482" w:firstLineChars="200"/>
        <w:outlineLvl w:val="1"/>
        <w:rPr>
          <w:b/>
          <w:bCs/>
          <w:szCs w:val="32"/>
        </w:rPr>
      </w:pPr>
      <w:r>
        <w:rPr>
          <w:b/>
          <w:bCs/>
          <w:szCs w:val="32"/>
        </w:rPr>
        <w:t>（一）</w:t>
      </w:r>
      <w:r>
        <w:rPr>
          <w:rFonts w:hint="eastAsia"/>
          <w:b/>
          <w:bCs/>
          <w:szCs w:val="32"/>
        </w:rPr>
        <w:t>本次发行方式合法合规</w:t>
      </w:r>
    </w:p>
    <w:p>
      <w:pPr>
        <w:keepNext/>
        <w:keepLines/>
        <w:spacing w:before="156" w:beforeLines="50" w:after="156" w:afterLines="50"/>
        <w:ind w:firstLine="482" w:firstLineChars="200"/>
        <w:outlineLvl w:val="2"/>
        <w:rPr>
          <w:b/>
          <w:bCs/>
          <w:szCs w:val="32"/>
        </w:rPr>
      </w:pPr>
      <w:r>
        <w:rPr>
          <w:rFonts w:hint="eastAsia"/>
          <w:b/>
          <w:bCs/>
          <w:szCs w:val="32"/>
        </w:rPr>
        <w:t>1、本次发行符合《证券法》规定的发行条件</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（1）本次发行符合《证券法》第九条的相关规定：“向特定对象发行证券，不得采用广告、公开劝诱和变相公开方式。”</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（2）本次发行符合《证券法》第十二条的相关规定：“上市公司发行新股，应当符合经国务院批准的国务院证券监督管理机构规定的条件，具体管理办法由国务院证券监督管理机构规定。”</w:t>
      </w:r>
    </w:p>
    <w:p>
      <w:pPr>
        <w:keepNext/>
        <w:keepLines/>
        <w:spacing w:before="156" w:beforeLines="50" w:after="156" w:afterLines="50"/>
        <w:ind w:firstLine="482" w:firstLineChars="200"/>
        <w:outlineLvl w:val="2"/>
        <w:rPr>
          <w:b/>
          <w:bCs/>
          <w:szCs w:val="32"/>
        </w:rPr>
      </w:pPr>
      <w:r>
        <w:rPr>
          <w:rFonts w:hint="eastAsia"/>
          <w:b/>
          <w:bCs/>
          <w:szCs w:val="32"/>
        </w:rPr>
        <w:t>2、本次发行符合《注册管理办法》的相关规定</w:t>
      </w:r>
    </w:p>
    <w:p>
      <w:pPr>
        <w:spacing w:before="156" w:beforeLines="50"/>
        <w:ind w:firstLine="482" w:firstLineChars="200"/>
        <w:rPr>
          <w:rFonts w:cs="Times New Roman"/>
          <w:b/>
          <w:bCs/>
          <w:color w:val="000000"/>
          <w:kern w:val="0"/>
          <w:szCs w:val="24"/>
          <w:lang w:bidi="ar"/>
        </w:rPr>
      </w:pPr>
      <w:r>
        <w:rPr>
          <w:rFonts w:hint="eastAsia" w:cs="Times New Roman"/>
          <w:b/>
          <w:bCs/>
          <w:color w:val="000000"/>
          <w:kern w:val="0"/>
          <w:szCs w:val="24"/>
          <w:lang w:bidi="ar"/>
        </w:rPr>
        <w:t>（</w:t>
      </w:r>
      <w:r>
        <w:rPr>
          <w:rFonts w:cs="Times New Roman"/>
          <w:b/>
          <w:bCs/>
          <w:color w:val="000000"/>
          <w:kern w:val="0"/>
          <w:szCs w:val="24"/>
          <w:lang w:bidi="ar"/>
        </w:rPr>
        <w:t>1</w:t>
      </w:r>
      <w:r>
        <w:rPr>
          <w:rFonts w:hint="eastAsia" w:cs="Times New Roman"/>
          <w:b/>
          <w:bCs/>
          <w:color w:val="000000"/>
          <w:kern w:val="0"/>
          <w:szCs w:val="24"/>
          <w:lang w:bidi="ar"/>
        </w:rPr>
        <w:t>）公司不存在《注册管理办法》第十一条规定的不得向特定对象发行股票的情形：</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1）擅自改变前次募集资金用途未作纠正，或者未经股东会认可；</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2）最近一年财务报表的编制和披露在重大方面不符合企业会计准则或者相关信息披露规则的规定；最近一年财务会计报告被出具否定意见或者无法表示意见的审计报告；最近一年财务会计报告被出具保留意见的审计报告，且保留意见所涉及事项对上市公司的重大不利影响尚未消除。本次发行涉及重大资产重组的除外；</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3）现任董事、高级管理人员最近三年受到中国证监会行政处罚，或者最近一年受到证券交易所公开谴责；</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4）上市公司或者其现任董事、高级管理人员因涉嫌犯罪正在被司法机关立案侦查或者涉嫌违法违规正在被中国证监会立案调查；</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5）控股股东、实际控制人最近三年存在严重损害上市公司利益或者投资者合法权益的重大违法行为；</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6）最近三年存在严重损害投资者合法权益或者社会公共利益的重大违法行为。</w:t>
      </w:r>
    </w:p>
    <w:p>
      <w:pPr>
        <w:spacing w:before="156" w:beforeLines="50"/>
        <w:ind w:firstLine="482" w:firstLineChars="200"/>
        <w:rPr>
          <w:b/>
          <w:bCs/>
        </w:rPr>
      </w:pPr>
      <w:r>
        <w:rPr>
          <w:rFonts w:hint="eastAsia"/>
          <w:b/>
          <w:bCs/>
        </w:rPr>
        <w:t>（</w:t>
      </w:r>
      <w:r>
        <w:rPr>
          <w:b/>
          <w:bCs/>
        </w:rPr>
        <w:t>2</w:t>
      </w:r>
      <w:r>
        <w:rPr>
          <w:rFonts w:hint="eastAsia"/>
          <w:b/>
          <w:bCs/>
        </w:rPr>
        <w:t>）公司募集资金使用符合《注册管理办法》第十二条的规定：</w:t>
      </w:r>
    </w:p>
    <w:p>
      <w:pPr>
        <w:spacing w:before="156" w:beforeLines="50"/>
        <w:ind w:firstLine="480" w:firstLineChars="200"/>
      </w:pPr>
      <w:r>
        <w:t>1）</w:t>
      </w:r>
      <w:r>
        <w:rPr>
          <w:rFonts w:hint="eastAsia"/>
        </w:rPr>
        <w:t>符合国家产业政策和有关环境保护、土地管理等法律、行政法规规定；</w:t>
      </w:r>
    </w:p>
    <w:p>
      <w:pPr>
        <w:spacing w:before="156" w:beforeLines="50"/>
        <w:ind w:firstLine="480" w:firstLineChars="200"/>
      </w:pPr>
      <w:r>
        <w:t>2）</w:t>
      </w:r>
      <w:r>
        <w:rPr>
          <w:rFonts w:hint="eastAsia"/>
        </w:rPr>
        <w:t>除金融类企业外，本次募集资金使用不得为持有财务性投资，不得直接或者间接投资于以买卖有价证券为主要业务的公司</w:t>
      </w:r>
      <w:r>
        <w:t>；</w:t>
      </w:r>
    </w:p>
    <w:p>
      <w:pPr>
        <w:spacing w:before="156" w:beforeLines="50"/>
        <w:ind w:firstLine="480" w:firstLineChars="200"/>
      </w:pPr>
      <w:r>
        <w:t>3）</w:t>
      </w:r>
      <w:r>
        <w:rPr>
          <w:rFonts w:hint="eastAsia"/>
        </w:rPr>
        <w:t>募集资金项目实施后，不会与控股股东、实际控制人及其控制的其他企业新增构成重大不利影响的同业竞争、显失公平的关联交易，或者严重影响公司生产经营的独立性</w:t>
      </w:r>
      <w:r>
        <w:t>。</w:t>
      </w:r>
    </w:p>
    <w:p>
      <w:pPr>
        <w:spacing w:before="156" w:beforeLines="50"/>
        <w:ind w:firstLine="482" w:firstLineChars="200"/>
        <w:rPr>
          <w:b/>
          <w:bCs/>
        </w:rPr>
      </w:pPr>
      <w:r>
        <w:rPr>
          <w:rFonts w:hint="eastAsia"/>
          <w:b/>
          <w:bCs/>
        </w:rPr>
        <w:t>（3）本次向特定对象发行符合《注册管理办法》第五十五条的相关规定：</w:t>
      </w:r>
    </w:p>
    <w:p>
      <w:pPr>
        <w:spacing w:before="156" w:beforeLines="50"/>
        <w:ind w:firstLine="480" w:firstLineChars="200"/>
      </w:pPr>
      <w:r>
        <w:rPr>
          <w:rFonts w:hint="eastAsia"/>
        </w:rPr>
        <w:t>公司本次发行的发行对象为耀泽商管，发行对象数量为1名，本次向特定对象发行符合《注册管理办法》第五十五条的规定。</w:t>
      </w:r>
    </w:p>
    <w:p>
      <w:pPr>
        <w:spacing w:before="156" w:beforeLines="50"/>
        <w:ind w:firstLine="482" w:firstLineChars="200"/>
        <w:rPr>
          <w:b/>
          <w:bCs/>
        </w:rPr>
      </w:pPr>
      <w:r>
        <w:rPr>
          <w:rFonts w:hint="eastAsia"/>
          <w:b/>
          <w:bCs/>
        </w:rPr>
        <w:t>（4）本次向特定对象发行符合《注册管理办法》第五十六条、第五十七条的相关规定：</w:t>
      </w:r>
    </w:p>
    <w:p>
      <w:pPr>
        <w:spacing w:before="156" w:beforeLines="50"/>
        <w:ind w:firstLine="480" w:firstLineChars="200"/>
      </w:pPr>
      <w:r>
        <w:rPr>
          <w:rFonts w:hint="eastAsia"/>
        </w:rPr>
        <w:t>公司本次发行系董事会决议提前确定全部发行对象，定价基准日为</w:t>
      </w:r>
      <w:r>
        <w:rPr>
          <w:rFonts w:hint="eastAsia" w:cs="Times New Roman"/>
          <w:bCs/>
          <w:kern w:val="0"/>
          <w:szCs w:val="24"/>
        </w:rPr>
        <w:t>公司第四届董事会第十七次会议决议公告日</w:t>
      </w:r>
      <w:r>
        <w:rPr>
          <w:rFonts w:hint="eastAsia"/>
        </w:rPr>
        <w:t>。本次发行的发行价格不低于定价基准日前20个交易日（不含定价基准日）公司股票交易均价的80%。本次向特定对象发行符合《注册管理办法》第五十六条、第五十七条的规定。</w:t>
      </w:r>
    </w:p>
    <w:p>
      <w:pPr>
        <w:spacing w:before="156" w:beforeLines="50"/>
        <w:ind w:firstLine="482" w:firstLineChars="200"/>
        <w:rPr>
          <w:b/>
          <w:bCs/>
        </w:rPr>
      </w:pPr>
      <w:r>
        <w:rPr>
          <w:rFonts w:hint="eastAsia"/>
          <w:b/>
          <w:bCs/>
        </w:rPr>
        <w:t>（5）本次向特定对象发行符合《注册管理办法》第五十九条的相关规定：</w:t>
      </w:r>
    </w:p>
    <w:p>
      <w:pPr>
        <w:spacing w:before="156" w:beforeLines="50"/>
        <w:ind w:firstLine="480" w:firstLineChars="200"/>
        <w:rPr>
          <w:rFonts w:cs="Times New Roman"/>
          <w:szCs w:val="24"/>
        </w:rPr>
      </w:pPr>
      <w:r>
        <w:rPr>
          <w:rFonts w:hint="eastAsia"/>
        </w:rPr>
        <w:t>公司本次向特定对象发行股票完成后，耀泽商管</w:t>
      </w:r>
      <w:r>
        <w:rPr>
          <w:rFonts w:cs="Times New Roman"/>
          <w:szCs w:val="24"/>
        </w:rPr>
        <w:t>认购的本次向特定对象发行的</w:t>
      </w:r>
      <w:r>
        <w:rPr>
          <w:rFonts w:hint="eastAsia" w:cs="Times New Roman"/>
          <w:szCs w:val="24"/>
        </w:rPr>
        <w:t>股票</w:t>
      </w:r>
      <w:r>
        <w:rPr>
          <w:rFonts w:cs="Times New Roman"/>
          <w:szCs w:val="24"/>
        </w:rPr>
        <w:t>，</w:t>
      </w:r>
      <w:r>
        <w:rPr>
          <w:rFonts w:hint="eastAsia" w:cs="Times New Roman"/>
          <w:szCs w:val="24"/>
        </w:rPr>
        <w:t>自本次发行结束之日起36个月内不得转让。自本次发行结束之日起至解除限售之日止，发行对象就其所认购的本次发行的股票，因发行人配股、送红股、转增股本等原因增持的部分亦应遵守上述限售安排。</w:t>
      </w:r>
    </w:p>
    <w:p>
      <w:pPr>
        <w:spacing w:before="156" w:beforeLines="50"/>
        <w:ind w:firstLine="480" w:firstLineChars="200"/>
        <w:rPr>
          <w:rFonts w:cs="Times New Roman"/>
          <w:szCs w:val="24"/>
        </w:rPr>
      </w:pPr>
      <w:r>
        <w:rPr>
          <w:rFonts w:hint="eastAsia" w:cs="Times New Roman"/>
          <w:szCs w:val="24"/>
        </w:rPr>
        <w:t>若上述股份限售安排与中国证监会、上交所等监管部门的最新监管意见不相符，将根据相关监管意见进行调整。</w:t>
      </w:r>
    </w:p>
    <w:p>
      <w:pPr>
        <w:spacing w:before="156" w:beforeLines="50"/>
        <w:ind w:firstLine="480" w:firstLineChars="200"/>
      </w:pPr>
      <w:r>
        <w:rPr>
          <w:rFonts w:hint="eastAsia"/>
        </w:rPr>
        <w:t>本次向特定对象发行符合《注册管理办法》第五十九条的规定。</w:t>
      </w:r>
    </w:p>
    <w:p>
      <w:pPr>
        <w:spacing w:before="156" w:beforeLines="50"/>
        <w:ind w:firstLine="482" w:firstLineChars="200"/>
        <w:rPr>
          <w:b/>
          <w:bCs/>
        </w:rPr>
      </w:pPr>
      <w:r>
        <w:rPr>
          <w:rFonts w:hint="eastAsia"/>
          <w:b/>
          <w:bCs/>
        </w:rPr>
        <w:t>（6）本次向特定对象发行符合《注册管理办法》第八十七条的相关规定：</w:t>
      </w:r>
    </w:p>
    <w:p>
      <w:pPr>
        <w:spacing w:before="156" w:beforeLines="50"/>
        <w:ind w:firstLine="480" w:firstLineChars="200"/>
      </w:pPr>
      <w:r>
        <w:rPr>
          <w:rFonts w:hint="eastAsia"/>
        </w:rPr>
        <w:t>本次向特定对象发行股票前，截至本论证分析报告公告日，公司控股股东为</w:t>
      </w:r>
      <w:r>
        <w:rPr>
          <w:rFonts w:hint="eastAsia" w:cs="Times New Roman"/>
        </w:rPr>
        <w:t>杨泽民先生、秦惠兰女士</w:t>
      </w:r>
      <w:r>
        <w:rPr>
          <w:rFonts w:hint="eastAsia"/>
        </w:rPr>
        <w:t>，实际控制人为杨泽民先生、秦惠兰女士、杨耀先生、杨秦女士。本次发行完成后，公司控股股东和实际控制人不会发生变化，因此，本次向特定对象发行股票不会导致公司实际控制权发生变化。</w:t>
      </w:r>
    </w:p>
    <w:p>
      <w:pPr>
        <w:spacing w:before="156" w:beforeLines="50"/>
        <w:ind w:firstLine="480" w:firstLineChars="200"/>
      </w:pPr>
      <w:r>
        <w:rPr>
          <w:rFonts w:hint="eastAsia"/>
        </w:rPr>
        <w:t>本次向特定对象发行符合《注册管理办法》第八十七条的规定。</w:t>
      </w:r>
    </w:p>
    <w:p>
      <w:pPr>
        <w:keepNext/>
        <w:keepLines/>
        <w:spacing w:before="156" w:beforeLines="50" w:after="156" w:afterLines="50"/>
        <w:ind w:firstLine="482" w:firstLineChars="200"/>
        <w:outlineLvl w:val="2"/>
        <w:rPr>
          <w:b/>
          <w:bCs/>
          <w:szCs w:val="32"/>
        </w:rPr>
      </w:pPr>
      <w:r>
        <w:rPr>
          <w:rFonts w:hint="eastAsia"/>
          <w:b/>
          <w:bCs/>
          <w:szCs w:val="32"/>
        </w:rPr>
        <w:t>3、本次发行符合《&lt;上市公司证券发行注册管理办法&gt;第九条、第十条、第十一条、第十三条、第四十条、第五十七条、第六十条有关规定的适用意见——证券期货法律适用意见第18号》之关于“第四十条‘理性融资，合理确定融资规模’的理解与适用”和“关于募集资金用于补流还贷如何适用第四十条‘主要投向主业’的理解与适用”的相关规定</w:t>
      </w:r>
    </w:p>
    <w:p>
      <w:pPr>
        <w:spacing w:before="156" w:beforeLines="50"/>
        <w:ind w:firstLine="480" w:firstLineChars="200"/>
      </w:pPr>
      <w:r>
        <w:rPr>
          <w:rFonts w:hint="eastAsia"/>
        </w:rPr>
        <w:t>（1）上市公司申请向特定对象发行股票的，拟发行的股份数量原则上不得超过本次发行前总股本的百分之三十；</w:t>
      </w:r>
    </w:p>
    <w:p>
      <w:pPr>
        <w:spacing w:before="156" w:beforeLines="50"/>
        <w:ind w:firstLine="480" w:firstLineChars="200"/>
      </w:pPr>
      <w:r>
        <w:rPr>
          <w:rFonts w:hint="eastAsia"/>
        </w:rPr>
        <w:t>本次向特定对象发行股票数量为</w:t>
      </w:r>
      <w:r>
        <w:t>19,493,177</w:t>
      </w:r>
      <w:r>
        <w:rPr>
          <w:rFonts w:hint="eastAsia"/>
        </w:rPr>
        <w:t>股，不超过发行前公司总股本的30%。</w:t>
      </w:r>
    </w:p>
    <w:p>
      <w:pPr>
        <w:spacing w:before="156" w:beforeLines="50"/>
        <w:ind w:firstLine="480" w:firstLineChars="200"/>
      </w:pPr>
      <w:r>
        <w:rPr>
          <w:rFonts w:hint="eastAsia"/>
        </w:rPr>
        <w:t>（2）上市公司申请增发、配股、向特定对象发行股票的，本次发行董事会决议日距离前次募集资金到位日原则上不得少于十八个月。前次募集资金基本使用完毕或者募集资金投向未发生变更且按计划投入的，相应间隔原则上不得少于六个月。前次募集资金包括首发、增发、配股、向特定对象发行股票，上市公司发行可转债、优先股、发行股份购买资产并配套募集资金和适用简易程序的，不适用上述规定；</w:t>
      </w:r>
    </w:p>
    <w:p>
      <w:pPr>
        <w:spacing w:before="156" w:beforeLines="50"/>
        <w:ind w:firstLine="480" w:firstLineChars="200"/>
      </w:pPr>
      <w:r>
        <w:rPr>
          <w:rFonts w:hint="eastAsia"/>
        </w:rPr>
        <w:t>公司已就本次发行相关事项履行了董事会决策程序，且董事会决议日距离前次募集资金到位日不少于18个月。</w:t>
      </w:r>
    </w:p>
    <w:p>
      <w:pPr>
        <w:spacing w:before="156" w:beforeLines="50"/>
        <w:ind w:firstLine="480" w:firstLineChars="200"/>
      </w:pPr>
      <w:r>
        <w:rPr>
          <w:rFonts w:hint="eastAsia"/>
        </w:rPr>
        <w:t>（3）通过配股、发行优先股或者董事会确定发行对象的向特定对象发行股票方式募集资金的，可以将募集资金全部用于补充流动资金和偿还债务。通过其他方式募集资金的，用于补充流动资金和偿还债务的比例不得超过募集资金总额的百分之三十。对于具有轻资产、高研发投入特点的企业，补充流动资金和偿还债务超过上述比例的，应当充分论证其合理性，且超过部分原则上应当用于主营业务相关的研发投入；</w:t>
      </w:r>
    </w:p>
    <w:p>
      <w:pPr>
        <w:spacing w:before="156" w:beforeLines="50"/>
        <w:ind w:firstLine="480" w:firstLineChars="200"/>
      </w:pPr>
      <w:r>
        <w:rPr>
          <w:rFonts w:hint="eastAsia"/>
        </w:rPr>
        <w:t>公司本次发行的发行对象为控股股东之一的杨泽民先生控制的企业，募集资金扣除发行费用后将全部用于</w:t>
      </w:r>
      <w:r>
        <w:rPr>
          <w:rFonts w:hint="eastAsia" w:cs="Times New Roman"/>
          <w:szCs w:val="24"/>
        </w:rPr>
        <w:t>补充流动资金，</w:t>
      </w:r>
      <w:r>
        <w:rPr>
          <w:rFonts w:hint="eastAsia"/>
        </w:rPr>
        <w:t>符合上述规定。</w:t>
      </w:r>
    </w:p>
    <w:p>
      <w:pPr>
        <w:keepNext/>
        <w:keepLines/>
        <w:spacing w:before="156" w:beforeLines="50" w:after="156" w:afterLines="50"/>
        <w:ind w:firstLine="482" w:firstLineChars="200"/>
        <w:outlineLvl w:val="2"/>
        <w:rPr>
          <w:b/>
          <w:bCs/>
          <w:szCs w:val="32"/>
        </w:rPr>
      </w:pPr>
      <w:r>
        <w:rPr>
          <w:b/>
          <w:bCs/>
          <w:szCs w:val="32"/>
          <w:lang w:bidi="ar"/>
        </w:rPr>
        <w:t>4</w:t>
      </w:r>
      <w:r>
        <w:rPr>
          <w:rFonts w:hint="eastAsia"/>
          <w:b/>
          <w:bCs/>
          <w:szCs w:val="32"/>
          <w:lang w:bidi="ar"/>
        </w:rPr>
        <w:t>、公司不属于《关于对失信被执行人实施联合惩戒的合作备忘录》《关于对海关失信企业实施联合惩戒的合作备忘录》规定的需要惩处的企业范围，不属于一般失信企业和海关失信企业</w:t>
      </w:r>
    </w:p>
    <w:p>
      <w:pPr>
        <w:spacing w:before="156" w:beforeLines="50"/>
        <w:ind w:firstLine="480" w:firstLineChars="200"/>
      </w:pPr>
      <w:r>
        <w:rPr>
          <w:rFonts w:hint="eastAsia"/>
          <w:lang w:bidi="ar"/>
        </w:rPr>
        <w:t>经自查，公司不属于《关于对失信被执行人实施联合惩戒的合作备忘录》和《关于对海关失信企业实施联合惩戒的合作备忘录》规定的需要惩处的企业范围，不属于一般失信企业和海关失信企业。</w:t>
      </w:r>
    </w:p>
    <w:p>
      <w:pPr>
        <w:keepNext/>
        <w:keepLines/>
        <w:spacing w:before="156" w:beforeLines="50" w:after="156" w:afterLines="50"/>
        <w:ind w:firstLine="482" w:firstLineChars="200"/>
        <w:outlineLvl w:val="1"/>
        <w:rPr>
          <w:b/>
          <w:bCs/>
          <w:szCs w:val="32"/>
        </w:rPr>
      </w:pPr>
      <w:r>
        <w:rPr>
          <w:b/>
          <w:bCs/>
          <w:szCs w:val="32"/>
        </w:rPr>
        <w:t>（</w:t>
      </w:r>
      <w:r>
        <w:rPr>
          <w:rFonts w:hint="eastAsia"/>
          <w:b/>
          <w:bCs/>
          <w:szCs w:val="32"/>
        </w:rPr>
        <w:t>二</w:t>
      </w:r>
      <w:r>
        <w:rPr>
          <w:b/>
          <w:bCs/>
          <w:szCs w:val="32"/>
        </w:rPr>
        <w:t>）</w:t>
      </w:r>
      <w:r>
        <w:rPr>
          <w:rFonts w:hint="eastAsia"/>
          <w:b/>
          <w:bCs/>
          <w:szCs w:val="32"/>
        </w:rPr>
        <w:t>本次发行程序合法合规</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本次发行相关事项已经公司第四届董事会第十七次会议、第四届董事会第十九次会议审议通过，且已在上交所网站及指定的信息披露媒体上进行披露，履行了必要的审议程序和信息披露程序。本次发行方案尚需经公司股东会审议通过、上交所审核通过和中国证监会注册后方可实施。</w:t>
      </w:r>
    </w:p>
    <w:p>
      <w:pPr>
        <w:spacing w:before="156" w:beforeLines="50"/>
        <w:ind w:firstLine="480" w:firstLineChars="200"/>
        <w:rPr>
          <w:rFonts w:cs="Times New Roman"/>
          <w:color w:val="000000"/>
          <w:kern w:val="0"/>
          <w:szCs w:val="24"/>
          <w:lang w:bidi="ar"/>
        </w:rPr>
      </w:pPr>
      <w:r>
        <w:rPr>
          <w:rFonts w:hint="eastAsia" w:cs="Times New Roman"/>
          <w:color w:val="000000"/>
          <w:kern w:val="0"/>
          <w:szCs w:val="24"/>
          <w:lang w:bidi="ar"/>
        </w:rPr>
        <w:t>综上所述，公司</w:t>
      </w:r>
      <w:r>
        <w:t>不存在不得发行证券的情形，</w:t>
      </w:r>
      <w:r>
        <w:rPr>
          <w:rFonts w:hint="eastAsia" w:cs="Times New Roman"/>
          <w:color w:val="000000"/>
          <w:kern w:val="0"/>
          <w:szCs w:val="24"/>
          <w:lang w:bidi="ar"/>
        </w:rPr>
        <w:t>本次发行符合《注册管理办法》等法律法规的相关规定，发行方式符合相关法律的要求，审议程序及发行方式合法、合规、可行。</w:t>
      </w:r>
    </w:p>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14" w:name="_Toc138172888"/>
      <w:bookmarkStart w:id="15" w:name="_Toc137909431"/>
      <w:r>
        <w:rPr>
          <w:rFonts w:hint="eastAsia" w:cs="Times New Roman"/>
          <w:b/>
          <w:bCs/>
          <w:color w:val="000000"/>
          <w:kern w:val="0"/>
          <w:sz w:val="30"/>
          <w:szCs w:val="30"/>
          <w:lang w:bidi="ar"/>
        </w:rPr>
        <w:t>六、</w:t>
      </w:r>
      <w:r>
        <w:rPr>
          <w:rFonts w:cs="Times New Roman"/>
          <w:b/>
          <w:bCs/>
          <w:color w:val="000000"/>
          <w:kern w:val="0"/>
          <w:sz w:val="30"/>
          <w:szCs w:val="30"/>
          <w:lang w:bidi="ar"/>
        </w:rPr>
        <w:t>本次发行方案的公平性、合理性</w:t>
      </w:r>
      <w:bookmarkEnd w:id="14"/>
      <w:bookmarkEnd w:id="15"/>
    </w:p>
    <w:p>
      <w:pPr>
        <w:spacing w:before="156" w:beforeLines="50"/>
        <w:ind w:firstLine="480" w:firstLineChars="200"/>
      </w:pPr>
      <w:r>
        <w:t>公司本次</w:t>
      </w:r>
      <w:r>
        <w:rPr>
          <w:rFonts w:hint="eastAsia"/>
        </w:rPr>
        <w:t>发行</w:t>
      </w:r>
      <w:r>
        <w:t>方案经董事会审慎研究后通过</w:t>
      </w:r>
      <w:r>
        <w:rPr>
          <w:rFonts w:cs="Times New Roman"/>
          <w:color w:val="000000"/>
          <w:kern w:val="0"/>
          <w:szCs w:val="24"/>
          <w:lang w:bidi="ar"/>
        </w:rPr>
        <w:t>，并将提交股东会审议</w:t>
      </w:r>
      <w:r>
        <w:rPr>
          <w:rFonts w:hint="eastAsia" w:cs="Times New Roman"/>
          <w:color w:val="000000"/>
          <w:kern w:val="0"/>
          <w:szCs w:val="24"/>
          <w:lang w:bidi="ar"/>
        </w:rPr>
        <w:t>。</w:t>
      </w:r>
      <w:r>
        <w:t>发行方案的实施将有效优化公司资本结构，进一步增加公司资本实力及盈利能力，增强公司的综合竞争优势，符合全体股东利益。</w:t>
      </w:r>
    </w:p>
    <w:p>
      <w:pPr>
        <w:spacing w:before="156" w:beforeLines="50"/>
        <w:ind w:firstLine="480" w:firstLineChars="200"/>
      </w:pPr>
      <w:r>
        <w:t>本次</w:t>
      </w:r>
      <w:r>
        <w:rPr>
          <w:rFonts w:hint="eastAsia"/>
        </w:rPr>
        <w:t>发行</w:t>
      </w:r>
      <w:r>
        <w:t>方案及相关文件在中国证监会指定信息披露媒体上进行了披露，保证了全体股东的知情权。</w:t>
      </w:r>
      <w:r>
        <w:rPr>
          <w:rFonts w:hint="eastAsia"/>
        </w:rPr>
        <w:t>公司将召开股东会审议本次发行方案，全体股东将按照同股同权的方式进行公平的表决。股东会就本次发行相关事项作出决议，须经出席会议的股东所持表决权的三分之二以上通过，中小投资者表决情况应当单独计票，同时公司股东可通过现场或网络表决的方式行使股东权利。</w:t>
      </w:r>
    </w:p>
    <w:p>
      <w:pPr>
        <w:spacing w:before="156" w:beforeLines="50"/>
        <w:ind w:firstLine="480" w:firstLineChars="200"/>
      </w:pPr>
      <w:r>
        <w:rPr>
          <w:rFonts w:hint="eastAsia"/>
        </w:rPr>
        <w:t>由于本次发行构成关联交易，公司股东会就本次向特定对象发行股票相关议案进行表决时，关联股东亦将回避表决。</w:t>
      </w:r>
    </w:p>
    <w:p>
      <w:pPr>
        <w:spacing w:before="156" w:beforeLines="50"/>
        <w:ind w:firstLine="480" w:firstLineChars="200"/>
      </w:pPr>
      <w:r>
        <w:t>综上所述，公司本次</w:t>
      </w:r>
      <w:r>
        <w:rPr>
          <w:rFonts w:hint="eastAsia"/>
        </w:rPr>
        <w:t>发行</w:t>
      </w:r>
      <w:r>
        <w:t>方案已经过董事会审慎研究，认为该发行方案符合全体股东利益；本次</w:t>
      </w:r>
      <w:r>
        <w:rPr>
          <w:rFonts w:hint="eastAsia"/>
        </w:rPr>
        <w:t>发行</w:t>
      </w:r>
      <w:r>
        <w:t>方案及相关文件已履行了相关披露程序，保障了股东的知情权，同时本次发行方案将在股东会上接受参会股东的公平表决，具备公平性和合理性。</w:t>
      </w:r>
    </w:p>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16" w:name="_Toc137909432"/>
      <w:bookmarkStart w:id="17" w:name="_Toc138172889"/>
      <w:r>
        <w:rPr>
          <w:rFonts w:hint="eastAsia" w:cs="Times New Roman"/>
          <w:b/>
          <w:bCs/>
          <w:color w:val="000000"/>
          <w:kern w:val="0"/>
          <w:sz w:val="30"/>
          <w:szCs w:val="30"/>
          <w:lang w:bidi="ar"/>
        </w:rPr>
        <w:t>七、</w:t>
      </w:r>
      <w:r>
        <w:rPr>
          <w:rFonts w:cs="Times New Roman"/>
          <w:b/>
          <w:bCs/>
          <w:color w:val="000000"/>
          <w:kern w:val="0"/>
          <w:sz w:val="30"/>
          <w:szCs w:val="30"/>
          <w:lang w:bidi="ar"/>
        </w:rPr>
        <w:t>本次发行对公司即期回报的影响及填补被摊薄即期回报的措施</w:t>
      </w:r>
      <w:bookmarkEnd w:id="16"/>
      <w:bookmarkEnd w:id="17"/>
    </w:p>
    <w:p>
      <w:pPr>
        <w:spacing w:before="156" w:beforeLines="50"/>
        <w:ind w:firstLine="480" w:firstLineChars="200"/>
        <w:rPr>
          <w:kern w:val="0"/>
        </w:rPr>
      </w:pPr>
      <w:bookmarkStart w:id="18" w:name="_Toc137310064"/>
      <w:r>
        <w:rPr>
          <w:rFonts w:hint="eastAsia"/>
          <w:kern w:val="0"/>
        </w:rPr>
        <w:t>根据《国务院办公厅关于进一步加强资本市场中小投资者合法权益保护工作的意见》（国办发[2013]110号）、《国务院关于进一步促进资本市场健康发展的若干意见》（国发[2014]17号）以及证监会《关于首发及再融资、重大资产重组摊薄即期回报有关事项的指导意见》（证监会公告[2015]31号）等文件的有关规定，为保障中小投资者利益，公司就本次向特定对象发行股票对普通股股东权益和即期回报可能造成的影响进行了分析，并结合公司实际情况提出了填补回报的相关措施，相关主体对公司填补回报措施能够得到切实履行作出了承诺。具体说明如下：</w:t>
      </w:r>
    </w:p>
    <w:p>
      <w:pPr>
        <w:keepNext/>
        <w:keepLines/>
        <w:spacing w:before="156" w:beforeLines="50" w:after="156" w:afterLines="50"/>
        <w:ind w:firstLine="482" w:firstLineChars="200"/>
        <w:outlineLvl w:val="1"/>
        <w:rPr>
          <w:b/>
          <w:bCs/>
          <w:szCs w:val="32"/>
        </w:rPr>
      </w:pPr>
      <w:r>
        <w:rPr>
          <w:rFonts w:hint="eastAsia"/>
          <w:b/>
          <w:bCs/>
          <w:szCs w:val="32"/>
        </w:rPr>
        <w:t>（一）本次向特定对象发行对公司每股收益的影响测算</w:t>
      </w:r>
    </w:p>
    <w:p>
      <w:pPr>
        <w:keepNext/>
        <w:keepLines/>
        <w:spacing w:before="156" w:beforeLines="50" w:after="156" w:afterLines="50"/>
        <w:ind w:firstLine="482" w:firstLineChars="200"/>
        <w:outlineLvl w:val="2"/>
        <w:rPr>
          <w:b/>
          <w:bCs/>
          <w:szCs w:val="32"/>
        </w:rPr>
      </w:pPr>
      <w:r>
        <w:rPr>
          <w:rFonts w:hint="eastAsia"/>
          <w:b/>
          <w:bCs/>
          <w:szCs w:val="32"/>
        </w:rPr>
        <w:t>1、主要假设条件及测算说明</w:t>
      </w:r>
    </w:p>
    <w:p>
      <w:pPr>
        <w:adjustRightInd w:val="0"/>
        <w:spacing w:before="156" w:beforeLines="50"/>
        <w:ind w:firstLine="480" w:firstLineChars="200"/>
        <w:rPr>
          <w:szCs w:val="24"/>
        </w:rPr>
      </w:pPr>
      <w:r>
        <w:rPr>
          <w:rFonts w:hint="eastAsia"/>
          <w:szCs w:val="24"/>
        </w:rPr>
        <w:t>以下假设仅为测算本次发行对公司主要财务指标的影响，不代表公司对未来年度经营情况及财务状况的判断，亦不构成盈利预测。投资者不应据此进行投资决策，如投资者据此进行投资决策而造成任何损失的，公司不承担任何责任。相关假设如下：</w:t>
      </w:r>
    </w:p>
    <w:p>
      <w:pPr>
        <w:adjustRightInd w:val="0"/>
        <w:spacing w:before="156" w:beforeLines="50"/>
        <w:ind w:firstLine="480" w:firstLineChars="200"/>
        <w:rPr>
          <w:szCs w:val="24"/>
        </w:rPr>
      </w:pPr>
      <w:r>
        <w:rPr>
          <w:rFonts w:hint="eastAsia"/>
          <w:szCs w:val="24"/>
        </w:rPr>
        <w:t>1、假设宏观经济环境、产业政策、行业发展状况、产品市场情况、公司经营情况、证券市场情况等方面没有发生重大不利变化。</w:t>
      </w:r>
    </w:p>
    <w:p>
      <w:pPr>
        <w:adjustRightInd w:val="0"/>
        <w:spacing w:before="156" w:beforeLines="50"/>
        <w:ind w:firstLine="480" w:firstLineChars="200"/>
        <w:rPr>
          <w:szCs w:val="24"/>
        </w:rPr>
      </w:pPr>
      <w:r>
        <w:rPr>
          <w:rFonts w:hint="eastAsia"/>
          <w:szCs w:val="24"/>
        </w:rPr>
        <w:t>2、假设本次发行募集资金总额为人民币</w:t>
      </w:r>
      <w:r>
        <w:rPr>
          <w:rFonts w:hint="eastAsia" w:cs="Times New Roman"/>
          <w:szCs w:val="24"/>
        </w:rPr>
        <w:t>30,000.00</w:t>
      </w:r>
      <w:r>
        <w:rPr>
          <w:rFonts w:hint="eastAsia"/>
          <w:szCs w:val="24"/>
        </w:rPr>
        <w:t>万元，以定价基准日前20个交易日股票交易均价的80%计算，本次股票发行的价格为</w:t>
      </w:r>
      <w:r>
        <w:rPr>
          <w:rFonts w:hint="eastAsia" w:cs="Times New Roman"/>
        </w:rPr>
        <w:t>15.39</w:t>
      </w:r>
      <w:r>
        <w:rPr>
          <w:rFonts w:hint="eastAsia"/>
          <w:szCs w:val="24"/>
        </w:rPr>
        <w:t>元/股，对应新增股票数量为</w:t>
      </w:r>
      <w:r>
        <w:rPr>
          <w:szCs w:val="24"/>
        </w:rPr>
        <w:t>19,493,177</w:t>
      </w:r>
      <w:r>
        <w:rPr>
          <w:rFonts w:hint="eastAsia"/>
          <w:szCs w:val="24"/>
        </w:rPr>
        <w:t>股，不考虑扣除发行费用的影响。</w:t>
      </w:r>
    </w:p>
    <w:p>
      <w:pPr>
        <w:adjustRightInd w:val="0"/>
        <w:spacing w:before="156" w:beforeLines="50"/>
        <w:ind w:firstLine="480" w:firstLineChars="200"/>
        <w:rPr>
          <w:szCs w:val="24"/>
        </w:rPr>
      </w:pPr>
      <w:r>
        <w:rPr>
          <w:rFonts w:hint="eastAsia"/>
          <w:szCs w:val="24"/>
        </w:rPr>
        <w:t>3、假设本次发行于2026年9月完成，该完成时间仅用于计算本次发行对摊薄即期回报的影响，最终以经中国证监会同意注册后的实际发行时间为准。</w:t>
      </w:r>
    </w:p>
    <w:p>
      <w:pPr>
        <w:adjustRightInd w:val="0"/>
        <w:spacing w:before="156" w:beforeLines="50"/>
        <w:ind w:firstLine="480" w:firstLineChars="200"/>
        <w:rPr>
          <w:szCs w:val="24"/>
        </w:rPr>
      </w:pPr>
      <w:r>
        <w:rPr>
          <w:rFonts w:hint="eastAsia"/>
          <w:szCs w:val="24"/>
        </w:rPr>
        <w:t>4、本次发行股票的股份数量、募集资金金额、发行时间仅为基于测算目的假设，最终以实际发行股票的股份数量、发行结果和实际日期为准。</w:t>
      </w:r>
    </w:p>
    <w:p>
      <w:pPr>
        <w:adjustRightInd w:val="0"/>
        <w:spacing w:before="156" w:beforeLines="50"/>
        <w:ind w:firstLine="480" w:firstLineChars="200"/>
        <w:rPr>
          <w:szCs w:val="24"/>
        </w:rPr>
      </w:pPr>
      <w:r>
        <w:rPr>
          <w:rFonts w:hint="eastAsia"/>
          <w:szCs w:val="24"/>
        </w:rPr>
        <w:t>5、本测算不考虑本次发行募集资金到账后，对公司生产经营、财务状况（如财务费用、投资收益）等的影响。</w:t>
      </w:r>
    </w:p>
    <w:p>
      <w:pPr>
        <w:adjustRightInd w:val="0"/>
        <w:spacing w:before="156" w:beforeLines="50"/>
        <w:ind w:firstLine="480" w:firstLineChars="200"/>
        <w:rPr>
          <w:szCs w:val="24"/>
        </w:rPr>
      </w:pPr>
      <w:r>
        <w:rPr>
          <w:rFonts w:hint="eastAsia"/>
          <w:szCs w:val="24"/>
        </w:rPr>
        <w:t>6、在预测公司总股本时，以2025年末总股本332,353,407股、本次发行股票</w:t>
      </w:r>
      <w:r>
        <w:rPr>
          <w:szCs w:val="24"/>
        </w:rPr>
        <w:t>19,493,177</w:t>
      </w:r>
      <w:r>
        <w:rPr>
          <w:rFonts w:hint="eastAsia"/>
          <w:szCs w:val="24"/>
        </w:rPr>
        <w:t>股为基础，不考虑除本次向特定对象发行股数之外的其他因素对股本的影响。此外，假设不考虑除募集资金、净利润之外的其他因素对公司净资产的影响，假设公司在本次发行定价基准日至发行日期间不存在派息、送红股、资本公积金转增股本等除权、除息事项。</w:t>
      </w:r>
    </w:p>
    <w:p>
      <w:pPr>
        <w:adjustRightInd w:val="0"/>
        <w:spacing w:before="156" w:beforeLines="50"/>
        <w:ind w:firstLine="480" w:firstLineChars="200"/>
        <w:rPr>
          <w:szCs w:val="24"/>
        </w:rPr>
      </w:pPr>
      <w:r>
        <w:rPr>
          <w:rFonts w:hint="eastAsia"/>
          <w:szCs w:val="24"/>
        </w:rPr>
        <w:t>7、根据公司《2025年年度报告》，2025年度，公司归属于上市公司股东的净利润、归属于上市公司股东的扣除非经常性损益的净利润分别为</w:t>
      </w:r>
      <w:r>
        <w:rPr>
          <w:szCs w:val="24"/>
        </w:rPr>
        <w:t>6,924.32</w:t>
      </w:r>
      <w:r>
        <w:rPr>
          <w:rFonts w:hint="eastAsia"/>
          <w:szCs w:val="24"/>
        </w:rPr>
        <w:t>万元和</w:t>
      </w:r>
      <w:r>
        <w:rPr>
          <w:szCs w:val="24"/>
        </w:rPr>
        <w:t>6,479.47</w:t>
      </w:r>
      <w:r>
        <w:rPr>
          <w:rFonts w:hint="eastAsia"/>
          <w:szCs w:val="24"/>
        </w:rPr>
        <w:t>万元，假设2026年度归属于上市公司股东的净利润、归属于上市公司股东的扣除非经常性损益的净利润较2025年度持平、增长10%、减少10%三种情景分别测算。</w:t>
      </w:r>
    </w:p>
    <w:p>
      <w:pPr>
        <w:keepNext/>
        <w:keepLines/>
        <w:spacing w:before="156" w:beforeLines="50" w:after="156" w:afterLines="50"/>
        <w:ind w:firstLine="482" w:firstLineChars="200"/>
        <w:outlineLvl w:val="2"/>
        <w:rPr>
          <w:b/>
          <w:bCs/>
          <w:szCs w:val="32"/>
        </w:rPr>
      </w:pPr>
      <w:r>
        <w:rPr>
          <w:rFonts w:hint="eastAsia"/>
          <w:b/>
          <w:bCs/>
          <w:szCs w:val="32"/>
        </w:rPr>
        <w:t>2、对公司主要财务指标的影响分析</w:t>
      </w:r>
    </w:p>
    <w:p>
      <w:pPr>
        <w:widowControl w:val="0"/>
        <w:adjustRightInd w:val="0"/>
        <w:spacing w:before="156" w:beforeLines="50"/>
        <w:ind w:firstLine="480" w:firstLineChars="200"/>
        <w:rPr>
          <w:rFonts w:cs="Times New Roman"/>
          <w:szCs w:val="24"/>
        </w:rPr>
      </w:pPr>
      <w:r>
        <w:rPr>
          <w:rFonts w:hint="eastAsia" w:cs="Times New Roman"/>
          <w:szCs w:val="24"/>
        </w:rPr>
        <w:t>基于上述假设，公司测算本次发行对主要财务指标的影响，具体测算情况如下：</w:t>
      </w:r>
    </w:p>
    <w:tbl>
      <w:tblPr>
        <w:tblStyle w:val="15"/>
        <w:tblW w:w="5000" w:type="pct"/>
        <w:tblInd w:w="0" w:type="dxa"/>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Layout w:type="fixed"/>
        <w:tblCellMar>
          <w:top w:w="0" w:type="dxa"/>
          <w:left w:w="108" w:type="dxa"/>
          <w:bottom w:w="0" w:type="dxa"/>
          <w:right w:w="108" w:type="dxa"/>
        </w:tblCellMar>
      </w:tblPr>
      <w:tblGrid>
        <w:gridCol w:w="3794"/>
        <w:gridCol w:w="1594"/>
        <w:gridCol w:w="1605"/>
        <w:gridCol w:w="1529"/>
      </w:tblGrid>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blHeader/>
        </w:trPr>
        <w:tc>
          <w:tcPr>
            <w:tcW w:w="2226" w:type="pct"/>
            <w:vMerge w:val="restart"/>
            <w:tcBorders>
              <w:top w:val="single" w:color="010000" w:sz="12" w:space="0"/>
              <w:bottom w:val="single" w:color="010000" w:sz="4" w:space="0"/>
            </w:tcBorders>
            <w:noWrap/>
            <w:vAlign w:val="center"/>
          </w:tcPr>
          <w:p>
            <w:pPr>
              <w:spacing w:line="240" w:lineRule="auto"/>
              <w:jc w:val="center"/>
              <w:rPr>
                <w:rFonts w:cs="Times New Roman"/>
                <w:b/>
                <w:color w:val="000000"/>
                <w:kern w:val="0"/>
                <w:sz w:val="21"/>
                <w:szCs w:val="21"/>
              </w:rPr>
            </w:pPr>
            <w:bookmarkStart w:id="19" w:name="_Hlk176273375"/>
            <w:r>
              <w:rPr>
                <w:rFonts w:cs="Times New Roman"/>
                <w:b/>
                <w:color w:val="000000"/>
                <w:kern w:val="0"/>
                <w:sz w:val="21"/>
                <w:szCs w:val="21"/>
              </w:rPr>
              <w:t>项目</w:t>
            </w:r>
          </w:p>
        </w:tc>
        <w:tc>
          <w:tcPr>
            <w:tcW w:w="935" w:type="pct"/>
            <w:vMerge w:val="restart"/>
            <w:tcBorders>
              <w:top w:val="single" w:color="010000" w:sz="12" w:space="0"/>
              <w:bottom w:val="single" w:color="010000" w:sz="4" w:space="0"/>
            </w:tcBorders>
            <w:noWrap/>
            <w:vAlign w:val="center"/>
          </w:tcPr>
          <w:p>
            <w:pPr>
              <w:spacing w:line="240" w:lineRule="auto"/>
              <w:jc w:val="center"/>
              <w:rPr>
                <w:rFonts w:cs="Times New Roman"/>
                <w:b/>
                <w:color w:val="000000"/>
                <w:kern w:val="0"/>
                <w:sz w:val="21"/>
                <w:szCs w:val="21"/>
              </w:rPr>
            </w:pPr>
            <w:r>
              <w:rPr>
                <w:rFonts w:cs="Times New Roman"/>
                <w:b/>
                <w:color w:val="000000"/>
                <w:kern w:val="0"/>
                <w:sz w:val="21"/>
                <w:szCs w:val="21"/>
              </w:rPr>
              <w:t>202</w:t>
            </w:r>
            <w:r>
              <w:rPr>
                <w:rFonts w:hint="eastAsia" w:cs="Times New Roman"/>
                <w:b/>
                <w:color w:val="000000"/>
                <w:kern w:val="0"/>
                <w:sz w:val="21"/>
                <w:szCs w:val="21"/>
              </w:rPr>
              <w:t>5</w:t>
            </w:r>
            <w:r>
              <w:rPr>
                <w:rFonts w:cs="Times New Roman"/>
                <w:b/>
                <w:color w:val="000000"/>
                <w:kern w:val="0"/>
                <w:sz w:val="21"/>
                <w:szCs w:val="21"/>
              </w:rPr>
              <w:t>年度</w:t>
            </w:r>
            <w:r>
              <w:rPr>
                <w:rFonts w:hint="eastAsia" w:cs="Times New Roman"/>
                <w:b/>
                <w:color w:val="000000"/>
                <w:kern w:val="0"/>
                <w:sz w:val="21"/>
                <w:szCs w:val="21"/>
              </w:rPr>
              <w:t>/2025年末</w:t>
            </w:r>
          </w:p>
        </w:tc>
        <w:tc>
          <w:tcPr>
            <w:tcW w:w="1839" w:type="pct"/>
            <w:gridSpan w:val="2"/>
            <w:tcBorders>
              <w:top w:val="single" w:color="010000" w:sz="12" w:space="0"/>
              <w:bottom w:val="single" w:color="010000" w:sz="4" w:space="0"/>
            </w:tcBorders>
            <w:vAlign w:val="center"/>
          </w:tcPr>
          <w:p>
            <w:pPr>
              <w:spacing w:line="240" w:lineRule="auto"/>
              <w:jc w:val="center"/>
              <w:rPr>
                <w:rFonts w:cs="Times New Roman"/>
                <w:b/>
                <w:color w:val="000000"/>
                <w:kern w:val="0"/>
                <w:sz w:val="21"/>
                <w:szCs w:val="21"/>
              </w:rPr>
            </w:pPr>
            <w:r>
              <w:rPr>
                <w:rFonts w:cs="Times New Roman"/>
                <w:b/>
                <w:color w:val="000000"/>
                <w:kern w:val="0"/>
                <w:sz w:val="21"/>
                <w:szCs w:val="21"/>
              </w:rPr>
              <w:t>202</w:t>
            </w:r>
            <w:r>
              <w:rPr>
                <w:rFonts w:hint="eastAsia" w:cs="Times New Roman"/>
                <w:b/>
                <w:color w:val="000000"/>
                <w:kern w:val="0"/>
                <w:sz w:val="21"/>
                <w:szCs w:val="21"/>
              </w:rPr>
              <w:t>6</w:t>
            </w:r>
            <w:r>
              <w:rPr>
                <w:rFonts w:cs="Times New Roman"/>
                <w:b/>
                <w:color w:val="000000"/>
                <w:kern w:val="0"/>
                <w:sz w:val="21"/>
                <w:szCs w:val="21"/>
              </w:rPr>
              <w:t>年度</w:t>
            </w:r>
            <w:r>
              <w:rPr>
                <w:rFonts w:hint="eastAsia" w:cs="Times New Roman"/>
                <w:b/>
                <w:color w:val="000000"/>
                <w:kern w:val="0"/>
                <w:sz w:val="21"/>
                <w:szCs w:val="21"/>
              </w:rPr>
              <w:t>/2026年末</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blHeader/>
        </w:trPr>
        <w:tc>
          <w:tcPr>
            <w:tcW w:w="2226" w:type="pct"/>
            <w:vMerge w:val="continue"/>
            <w:tcBorders>
              <w:top w:val="single" w:color="010000" w:sz="4" w:space="0"/>
              <w:bottom w:val="single" w:color="010000" w:sz="4" w:space="0"/>
            </w:tcBorders>
            <w:vAlign w:val="center"/>
          </w:tcPr>
          <w:p>
            <w:pPr>
              <w:spacing w:line="240" w:lineRule="auto"/>
              <w:jc w:val="center"/>
              <w:rPr>
                <w:rFonts w:cs="Times New Roman"/>
                <w:b/>
                <w:color w:val="000000"/>
                <w:kern w:val="0"/>
                <w:sz w:val="21"/>
                <w:szCs w:val="21"/>
              </w:rPr>
            </w:pPr>
          </w:p>
        </w:tc>
        <w:tc>
          <w:tcPr>
            <w:tcW w:w="935" w:type="pct"/>
            <w:vMerge w:val="continue"/>
            <w:tcBorders>
              <w:top w:val="single" w:color="010000" w:sz="4" w:space="0"/>
              <w:bottom w:val="single" w:color="010000" w:sz="4" w:space="0"/>
            </w:tcBorders>
            <w:vAlign w:val="center"/>
          </w:tcPr>
          <w:p>
            <w:pPr>
              <w:spacing w:line="240" w:lineRule="auto"/>
              <w:jc w:val="center"/>
              <w:rPr>
                <w:rFonts w:cs="Times New Roman"/>
                <w:b/>
                <w:color w:val="000000"/>
                <w:kern w:val="0"/>
                <w:sz w:val="21"/>
                <w:szCs w:val="21"/>
              </w:rPr>
            </w:pPr>
          </w:p>
        </w:tc>
        <w:tc>
          <w:tcPr>
            <w:tcW w:w="942" w:type="pct"/>
            <w:tcBorders>
              <w:top w:val="single" w:color="010000" w:sz="4" w:space="0"/>
              <w:bottom w:val="single" w:color="010000" w:sz="4" w:space="0"/>
            </w:tcBorders>
            <w:noWrap/>
            <w:vAlign w:val="center"/>
          </w:tcPr>
          <w:p>
            <w:pPr>
              <w:spacing w:line="240" w:lineRule="auto"/>
              <w:jc w:val="center"/>
              <w:rPr>
                <w:rFonts w:cs="Times New Roman"/>
                <w:b/>
                <w:color w:val="000000"/>
                <w:kern w:val="0"/>
                <w:sz w:val="21"/>
                <w:szCs w:val="21"/>
              </w:rPr>
            </w:pPr>
            <w:r>
              <w:rPr>
                <w:rFonts w:cs="Times New Roman"/>
                <w:b/>
                <w:color w:val="000000"/>
                <w:kern w:val="0"/>
                <w:sz w:val="21"/>
                <w:szCs w:val="21"/>
              </w:rPr>
              <w:t>发行前</w:t>
            </w:r>
          </w:p>
        </w:tc>
        <w:tc>
          <w:tcPr>
            <w:tcW w:w="897" w:type="pct"/>
            <w:tcBorders>
              <w:top w:val="single" w:color="010000" w:sz="4" w:space="0"/>
              <w:bottom w:val="single" w:color="010000" w:sz="4" w:space="0"/>
            </w:tcBorders>
            <w:noWrap/>
            <w:vAlign w:val="center"/>
          </w:tcPr>
          <w:p>
            <w:pPr>
              <w:spacing w:line="240" w:lineRule="auto"/>
              <w:jc w:val="center"/>
              <w:rPr>
                <w:rFonts w:cs="Times New Roman"/>
                <w:b/>
                <w:color w:val="000000"/>
                <w:kern w:val="0"/>
                <w:sz w:val="21"/>
                <w:szCs w:val="21"/>
              </w:rPr>
            </w:pPr>
            <w:r>
              <w:rPr>
                <w:rFonts w:cs="Times New Roman"/>
                <w:b/>
                <w:color w:val="000000"/>
                <w:kern w:val="0"/>
                <w:sz w:val="21"/>
                <w:szCs w:val="21"/>
              </w:rPr>
              <w:t>发行后</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tcBorders>
              <w:top w:val="single" w:color="010000" w:sz="4" w:space="0"/>
            </w:tcBorders>
            <w:vAlign w:val="center"/>
          </w:tcPr>
          <w:p>
            <w:pPr>
              <w:spacing w:line="240" w:lineRule="auto"/>
              <w:jc w:val="left"/>
              <w:rPr>
                <w:rFonts w:cs="Times New Roman"/>
                <w:b/>
                <w:bCs/>
                <w:color w:val="000000"/>
                <w:kern w:val="0"/>
                <w:sz w:val="21"/>
                <w:szCs w:val="21"/>
              </w:rPr>
            </w:pPr>
            <w:r>
              <w:rPr>
                <w:rFonts w:hint="eastAsia" w:cs="Times New Roman"/>
                <w:b/>
                <w:bCs/>
                <w:color w:val="000000"/>
                <w:kern w:val="0"/>
                <w:sz w:val="21"/>
                <w:szCs w:val="21"/>
              </w:rPr>
              <w:t>假设1：假设公司2026年度实现的归属于上市公司股东的净利润、归属于上市公司股东的扣除非经常性损益的净利润与2025年度持平</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总股本（万股）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33,235.34 </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33,235.34</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35,184.66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归属于上市公司股东的净利润（万元）</w:t>
            </w:r>
          </w:p>
        </w:tc>
        <w:tc>
          <w:tcPr>
            <w:tcW w:w="935" w:type="pct"/>
            <w:noWrap/>
            <w:vAlign w:val="center"/>
          </w:tcPr>
          <w:p>
            <w:pPr>
              <w:spacing w:line="240" w:lineRule="auto"/>
              <w:jc w:val="right"/>
              <w:rPr>
                <w:rFonts w:cs="Times New Roman"/>
                <w:kern w:val="0"/>
                <w:sz w:val="21"/>
                <w:szCs w:val="21"/>
              </w:rPr>
            </w:pPr>
            <w:r>
              <w:rPr>
                <w:rFonts w:hint="eastAsia" w:eastAsia="等线" w:cs="Times New Roman"/>
                <w:color w:val="000000"/>
                <w:kern w:val="0"/>
                <w:sz w:val="21"/>
                <w:szCs w:val="21"/>
              </w:rPr>
              <w:t xml:space="preserve">6,924.32 </w:t>
            </w:r>
            <w:r>
              <w:rPr>
                <w:rFonts w:eastAsia="等线" w:cs="Times New Roman"/>
                <w:color w:val="000000"/>
                <w:kern w:val="0"/>
                <w:sz w:val="21"/>
                <w:szCs w:val="21"/>
              </w:rPr>
              <w:t xml:space="preserve"> </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6,924.32</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6,924.32</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归属于上市公司股东的扣除非经常损益的净利润（万元）</w:t>
            </w:r>
          </w:p>
        </w:tc>
        <w:tc>
          <w:tcPr>
            <w:tcW w:w="935" w:type="pct"/>
            <w:noWrap/>
            <w:vAlign w:val="center"/>
          </w:tcPr>
          <w:p>
            <w:pPr>
              <w:spacing w:line="240" w:lineRule="auto"/>
              <w:jc w:val="right"/>
              <w:rPr>
                <w:rFonts w:cs="Times New Roman"/>
                <w:kern w:val="0"/>
                <w:sz w:val="21"/>
                <w:szCs w:val="21"/>
              </w:rPr>
            </w:pPr>
            <w:r>
              <w:rPr>
                <w:rFonts w:hint="eastAsia" w:eastAsia="等线" w:cs="Times New Roman"/>
                <w:color w:val="000000"/>
                <w:kern w:val="0"/>
                <w:sz w:val="21"/>
                <w:szCs w:val="21"/>
              </w:rPr>
              <w:t xml:space="preserve">6,479.47 </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6,479.47</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6,479.47</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归属于上市公司股东的净资产（万元）</w:t>
            </w:r>
          </w:p>
        </w:tc>
        <w:tc>
          <w:tcPr>
            <w:tcW w:w="935" w:type="pct"/>
            <w:noWrap/>
            <w:vAlign w:val="center"/>
          </w:tcPr>
          <w:p>
            <w:pPr>
              <w:spacing w:line="240" w:lineRule="auto"/>
              <w:jc w:val="right"/>
              <w:rPr>
                <w:rFonts w:cs="Times New Roman"/>
                <w:kern w:val="0"/>
                <w:sz w:val="21"/>
                <w:szCs w:val="21"/>
              </w:rPr>
            </w:pPr>
            <w:r>
              <w:rPr>
                <w:rFonts w:hint="eastAsia" w:eastAsia="等线" w:cs="Times New Roman"/>
                <w:color w:val="000000"/>
                <w:kern w:val="0"/>
                <w:sz w:val="21"/>
                <w:szCs w:val="21"/>
              </w:rPr>
              <w:t xml:space="preserve">249,464.17 </w:t>
            </w:r>
            <w:r>
              <w:rPr>
                <w:rFonts w:eastAsia="等线" w:cs="Times New Roman"/>
                <w:color w:val="000000"/>
                <w:kern w:val="0"/>
                <w:sz w:val="21"/>
                <w:szCs w:val="21"/>
              </w:rPr>
              <w:t xml:space="preserve"> </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256,388.49</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286,388.49</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基本每股收益（元/股）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0.2</w:t>
            </w:r>
            <w:r>
              <w:rPr>
                <w:rFonts w:hint="eastAsia" w:eastAsia="等线" w:cs="Times New Roman"/>
                <w:color w:val="000000"/>
                <w:kern w:val="0"/>
                <w:sz w:val="21"/>
                <w:szCs w:val="21"/>
              </w:rPr>
              <w:t>1</w:t>
            </w:r>
            <w:r>
              <w:rPr>
                <w:rFonts w:eastAsia="等线" w:cs="Times New Roman"/>
                <w:color w:val="000000"/>
                <w:kern w:val="0"/>
                <w:sz w:val="21"/>
                <w:szCs w:val="21"/>
              </w:rPr>
              <w:t xml:space="preserve"> </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0.21</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0.21</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稀释每股收益（元/股）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0.</w:t>
            </w:r>
            <w:r>
              <w:rPr>
                <w:rFonts w:hint="eastAsia" w:eastAsia="等线" w:cs="Times New Roman"/>
                <w:color w:val="000000"/>
                <w:kern w:val="0"/>
                <w:sz w:val="21"/>
                <w:szCs w:val="21"/>
              </w:rPr>
              <w:t>21</w:t>
            </w:r>
            <w:r>
              <w:rPr>
                <w:rFonts w:eastAsia="等线" w:cs="Times New Roman"/>
                <w:color w:val="000000"/>
                <w:kern w:val="0"/>
                <w:sz w:val="21"/>
                <w:szCs w:val="21"/>
              </w:rPr>
              <w:t xml:space="preserve"> </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0.21</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0.21</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加权平均净资产收益率</w:t>
            </w:r>
          </w:p>
        </w:tc>
        <w:tc>
          <w:tcPr>
            <w:tcW w:w="935" w:type="pct"/>
            <w:noWrap/>
            <w:vAlign w:val="center"/>
          </w:tcPr>
          <w:p>
            <w:pPr>
              <w:spacing w:line="240" w:lineRule="auto"/>
              <w:jc w:val="right"/>
              <w:rPr>
                <w:rFonts w:cs="Times New Roman"/>
                <w:kern w:val="0"/>
                <w:sz w:val="21"/>
                <w:szCs w:val="21"/>
              </w:rPr>
            </w:pPr>
            <w:r>
              <w:rPr>
                <w:rFonts w:hint="eastAsia" w:eastAsia="等线" w:cs="Times New Roman"/>
                <w:color w:val="000000"/>
                <w:kern w:val="0"/>
                <w:sz w:val="21"/>
                <w:szCs w:val="21"/>
              </w:rPr>
              <w:t>2.83</w:t>
            </w:r>
            <w:r>
              <w:rPr>
                <w:rFonts w:eastAsia="等线" w:cs="Times New Roman"/>
                <w:color w:val="000000"/>
                <w:kern w:val="0"/>
                <w:sz w:val="21"/>
                <w:szCs w:val="21"/>
              </w:rPr>
              <w:t>%</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2.74%</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2.66%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扣除非经常性损益后的加权平均净资产收益率</w:t>
            </w:r>
          </w:p>
        </w:tc>
        <w:tc>
          <w:tcPr>
            <w:tcW w:w="935" w:type="pct"/>
            <w:noWrap/>
            <w:vAlign w:val="center"/>
          </w:tcPr>
          <w:p>
            <w:pPr>
              <w:spacing w:line="240" w:lineRule="auto"/>
              <w:jc w:val="right"/>
              <w:rPr>
                <w:rFonts w:cs="Times New Roman"/>
                <w:kern w:val="0"/>
                <w:sz w:val="21"/>
                <w:szCs w:val="21"/>
              </w:rPr>
            </w:pPr>
            <w:r>
              <w:rPr>
                <w:rFonts w:hint="eastAsia" w:eastAsia="等线" w:cs="Times New Roman"/>
                <w:color w:val="000000"/>
                <w:kern w:val="0"/>
                <w:sz w:val="21"/>
                <w:szCs w:val="21"/>
              </w:rPr>
              <w:t>2.64</w:t>
            </w:r>
            <w:r>
              <w:rPr>
                <w:rFonts w:eastAsia="等线" w:cs="Times New Roman"/>
                <w:color w:val="000000"/>
                <w:kern w:val="0"/>
                <w:sz w:val="21"/>
                <w:szCs w:val="21"/>
              </w:rPr>
              <w:t>%</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2.56%</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2.49%</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vAlign w:val="center"/>
          </w:tcPr>
          <w:p>
            <w:pPr>
              <w:spacing w:line="240" w:lineRule="auto"/>
              <w:jc w:val="left"/>
              <w:rPr>
                <w:rFonts w:cs="Times New Roman"/>
                <w:b/>
                <w:bCs/>
                <w:color w:val="000000"/>
                <w:kern w:val="0"/>
                <w:sz w:val="21"/>
                <w:szCs w:val="21"/>
              </w:rPr>
            </w:pPr>
            <w:r>
              <w:rPr>
                <w:rFonts w:hint="eastAsia" w:cs="Times New Roman"/>
                <w:b/>
                <w:bCs/>
                <w:color w:val="000000"/>
                <w:kern w:val="0"/>
                <w:sz w:val="21"/>
                <w:szCs w:val="21"/>
              </w:rPr>
              <w:t>假设2：假设公司2026年度实现的归属于上市公司股东的净利润、归属于上市公司股东的扣除非经常性损益的净利润较2025年度增长10%</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总股本（万股）</w:t>
            </w:r>
          </w:p>
        </w:tc>
        <w:tc>
          <w:tcPr>
            <w:tcW w:w="935" w:type="pct"/>
            <w:noWrap/>
            <w:vAlign w:val="center"/>
          </w:tcPr>
          <w:p>
            <w:pPr>
              <w:spacing w:line="240" w:lineRule="auto"/>
              <w:jc w:val="right"/>
              <w:rPr>
                <w:rFonts w:cs="Times New Roman"/>
                <w:kern w:val="0"/>
                <w:sz w:val="21"/>
                <w:szCs w:val="21"/>
              </w:rPr>
            </w:pPr>
            <w:r>
              <w:rPr>
                <w:rFonts w:hint="eastAsia" w:cs="Times New Roman"/>
                <w:kern w:val="0"/>
                <w:sz w:val="21"/>
                <w:szCs w:val="21"/>
              </w:rPr>
              <w:t>33,235.34</w:t>
            </w:r>
          </w:p>
        </w:tc>
        <w:tc>
          <w:tcPr>
            <w:tcW w:w="942" w:type="pct"/>
            <w:noWrap/>
            <w:vAlign w:val="center"/>
          </w:tcPr>
          <w:p>
            <w:pPr>
              <w:spacing w:line="240" w:lineRule="auto"/>
              <w:jc w:val="right"/>
              <w:rPr>
                <w:rFonts w:cs="Times New Roman"/>
                <w:kern w:val="0"/>
                <w:sz w:val="21"/>
                <w:szCs w:val="21"/>
              </w:rPr>
            </w:pPr>
            <w:r>
              <w:rPr>
                <w:rFonts w:hint="eastAsia" w:cs="Times New Roman"/>
                <w:kern w:val="0"/>
                <w:sz w:val="21"/>
                <w:szCs w:val="21"/>
              </w:rPr>
              <w:t>33,235.34</w:t>
            </w:r>
          </w:p>
        </w:tc>
        <w:tc>
          <w:tcPr>
            <w:tcW w:w="897" w:type="pct"/>
            <w:noWrap/>
            <w:vAlign w:val="center"/>
          </w:tcPr>
          <w:p>
            <w:pPr>
              <w:spacing w:line="240" w:lineRule="auto"/>
              <w:jc w:val="right"/>
              <w:rPr>
                <w:rFonts w:cs="Times New Roman"/>
                <w:kern w:val="0"/>
                <w:sz w:val="21"/>
                <w:szCs w:val="21"/>
              </w:rPr>
            </w:pPr>
            <w:r>
              <w:rPr>
                <w:rFonts w:hint="eastAsia" w:cs="Times New Roman"/>
                <w:kern w:val="0"/>
                <w:sz w:val="21"/>
                <w:szCs w:val="21"/>
              </w:rPr>
              <w:t>35,184.66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归属于上市公司股东的净利润（万元）</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6,924.32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7,616.75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7,616.75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归属于上市公司股东的扣除非经常损益的净利润（万元）</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6,479.47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7,127.41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7,127.41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归属于上市公司股东的净资产（万元）</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249,464.17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257,080.93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287,080.93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基本每股收益（元/股）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0.21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0.23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0.23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稀释每股收益（元/股）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0.21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0.23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0.23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加权平均净资产收益率</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2.83%</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3.01%</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2.92%</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扣除非经常性损益后的加权平均净资产收益率</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2.64%</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2.81%</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2.73%</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vAlign w:val="center"/>
          </w:tcPr>
          <w:p>
            <w:pPr>
              <w:spacing w:line="240" w:lineRule="auto"/>
              <w:jc w:val="left"/>
              <w:rPr>
                <w:rFonts w:cs="Times New Roman"/>
                <w:b/>
                <w:bCs/>
                <w:color w:val="000000"/>
                <w:kern w:val="0"/>
                <w:sz w:val="21"/>
                <w:szCs w:val="21"/>
              </w:rPr>
            </w:pPr>
            <w:r>
              <w:rPr>
                <w:rFonts w:hint="eastAsia" w:cs="Times New Roman"/>
                <w:b/>
                <w:bCs/>
                <w:color w:val="000000"/>
                <w:kern w:val="0"/>
                <w:sz w:val="21"/>
                <w:szCs w:val="21"/>
              </w:rPr>
              <w:t>假设3：假设公司2026年度实现的归属于上市公司股东的净利润、归属于上市公司股东的扣除非经常性损益的净利润较2025年度减少10%</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总股本（万股）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33,235.34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33,235.34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35,184.66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归属于上市公司股东的净利润（万元）</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6,924.32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6,231.89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6,231.89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归属于上市公司股东的扣除非经常损益的净利润（万元）</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6,479.47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5,831.52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5,831.52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spacing w:line="240" w:lineRule="auto"/>
              <w:jc w:val="left"/>
              <w:rPr>
                <w:rFonts w:cs="Times New Roman"/>
                <w:color w:val="000000"/>
                <w:kern w:val="0"/>
                <w:sz w:val="21"/>
                <w:szCs w:val="21"/>
              </w:rPr>
            </w:pPr>
            <w:r>
              <w:rPr>
                <w:rFonts w:cs="Times New Roman"/>
                <w:color w:val="000000"/>
                <w:kern w:val="0"/>
                <w:sz w:val="21"/>
                <w:szCs w:val="21"/>
              </w:rPr>
              <w:t>归属于上市公司股东的净资产（万元）</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249,464.17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255,696.06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285,696.06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基本每股收益（元/股）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0.21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0.19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0.18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稀释每股收益（元/股）</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0.21 </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0.19 </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 xml:space="preserve">0.18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加权平均净资产收益率</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2.83%</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2.47%</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2.40%</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spacing w:line="240" w:lineRule="auto"/>
              <w:jc w:val="left"/>
              <w:rPr>
                <w:rFonts w:cs="Times New Roman"/>
                <w:color w:val="000000"/>
                <w:kern w:val="0"/>
                <w:sz w:val="21"/>
                <w:szCs w:val="21"/>
              </w:rPr>
            </w:pPr>
            <w:r>
              <w:rPr>
                <w:rFonts w:cs="Times New Roman"/>
                <w:color w:val="000000"/>
                <w:kern w:val="0"/>
                <w:sz w:val="21"/>
                <w:szCs w:val="21"/>
              </w:rPr>
              <w:t>扣除非经常性损益后的加权平均净资产收益率</w:t>
            </w:r>
          </w:p>
        </w:tc>
        <w:tc>
          <w:tcPr>
            <w:tcW w:w="935"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2.64%</w:t>
            </w:r>
          </w:p>
        </w:tc>
        <w:tc>
          <w:tcPr>
            <w:tcW w:w="942"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2.31%</w:t>
            </w:r>
          </w:p>
        </w:tc>
        <w:tc>
          <w:tcPr>
            <w:tcW w:w="897" w:type="pct"/>
            <w:noWrap/>
            <w:vAlign w:val="center"/>
          </w:tcPr>
          <w:p>
            <w:pPr>
              <w:spacing w:line="240" w:lineRule="auto"/>
              <w:jc w:val="right"/>
              <w:rPr>
                <w:rFonts w:cs="Times New Roman"/>
                <w:kern w:val="0"/>
                <w:sz w:val="21"/>
                <w:szCs w:val="21"/>
              </w:rPr>
            </w:pPr>
            <w:r>
              <w:rPr>
                <w:rFonts w:eastAsia="等线" w:cs="Times New Roman"/>
                <w:color w:val="000000"/>
                <w:kern w:val="0"/>
                <w:sz w:val="21"/>
                <w:szCs w:val="21"/>
              </w:rPr>
              <w:t>2.24%</w:t>
            </w:r>
          </w:p>
        </w:tc>
      </w:tr>
      <w:bookmarkEnd w:id="19"/>
    </w:tbl>
    <w:p>
      <w:pPr>
        <w:adjustRightInd w:val="0"/>
        <w:spacing w:line="240" w:lineRule="auto"/>
        <w:rPr>
          <w:rFonts w:cs="Times New Roman"/>
          <w:sz w:val="21"/>
          <w:szCs w:val="24"/>
        </w:rPr>
      </w:pPr>
      <w:r>
        <w:rPr>
          <w:rFonts w:hint="eastAsia" w:cs="Times New Roman"/>
          <w:sz w:val="21"/>
          <w:szCs w:val="24"/>
        </w:rPr>
        <w:t>注1：按照《公开发行证券的公司信息披露编报规则第9号-净资产收益率和每股收益的计算及披露》（证监会公告[2010]2号）的规定计算；</w:t>
      </w:r>
    </w:p>
    <w:p>
      <w:pPr>
        <w:adjustRightInd w:val="0"/>
        <w:spacing w:line="240" w:lineRule="auto"/>
        <w:rPr>
          <w:sz w:val="21"/>
          <w:szCs w:val="21"/>
        </w:rPr>
      </w:pPr>
      <w:r>
        <w:rPr>
          <w:rFonts w:hint="eastAsia" w:cs="Times New Roman"/>
          <w:sz w:val="21"/>
          <w:szCs w:val="24"/>
        </w:rPr>
        <w:t>注2：以上假设分析和测算数据仅作为简单分析测算本次发行摊薄即期回报对公司财务指标的影响之用，并不构成公司的盈利预测和分红计划，投资者不应据此进行投资决策，投资者据此进行投资决策造成损失的，公司不承担赔偿责任。</w:t>
      </w:r>
    </w:p>
    <w:p>
      <w:pPr>
        <w:keepNext/>
        <w:keepLines/>
        <w:spacing w:before="156" w:beforeLines="50" w:after="156" w:afterLines="50"/>
        <w:ind w:firstLine="482" w:firstLineChars="200"/>
        <w:outlineLvl w:val="1"/>
        <w:rPr>
          <w:b/>
          <w:bCs/>
          <w:szCs w:val="32"/>
        </w:rPr>
      </w:pPr>
      <w:r>
        <w:rPr>
          <w:rFonts w:hint="eastAsia"/>
          <w:b/>
          <w:bCs/>
          <w:szCs w:val="32"/>
        </w:rPr>
        <w:t>（二）本次向特定对象发行股票摊薄即期回报风险的特别提示</w:t>
      </w:r>
    </w:p>
    <w:p>
      <w:pPr>
        <w:adjustRightInd w:val="0"/>
        <w:spacing w:before="156" w:beforeLines="50"/>
        <w:ind w:firstLine="480" w:firstLineChars="200"/>
        <w:rPr>
          <w:rFonts w:cs="Times New Roman"/>
        </w:rPr>
      </w:pPr>
      <w:bookmarkStart w:id="20" w:name="_Hlk170889672"/>
      <w:r>
        <w:rPr>
          <w:rFonts w:hint="eastAsia" w:cs="Times New Roman"/>
        </w:rPr>
        <w:t>本次向特定对象发行股票实施完毕后，公司的总股本和净资产将有一定程度的增加，因此，短期内公司的每股收益、净资产收益率等指标存在被摊薄的风险，特此提醒投资者关注本次向特定对象发行摊薄即期回报的风险。</w:t>
      </w:r>
    </w:p>
    <w:p>
      <w:pPr>
        <w:adjustRightInd w:val="0"/>
        <w:spacing w:before="156" w:beforeLines="50"/>
        <w:ind w:firstLine="480" w:firstLineChars="200"/>
        <w:rPr>
          <w:kern w:val="0"/>
        </w:rPr>
      </w:pPr>
      <w:r>
        <w:rPr>
          <w:rFonts w:hint="eastAsia" w:cs="Times New Roman"/>
        </w:rPr>
        <w:t>此外，在测算本次发行对即期回报的摊薄影响过程中，公司对2026年归属于上市公司股东的净利润和扣除非经常性损益后的净利润的假设分析并非公司的盈利预测，为应对即期回报被摊薄风险而制定的填补回报具体措施不等于对公司未来利润做出保证，投资者不应据此进行投资决策，投资者据此进行投资决策造成损失的，公司不承担赔偿责任。敬请广大投资者注意投资风险。</w:t>
      </w:r>
    </w:p>
    <w:bookmarkEnd w:id="20"/>
    <w:p>
      <w:pPr>
        <w:keepNext/>
        <w:keepLines/>
        <w:spacing w:before="156" w:beforeLines="50" w:after="156" w:afterLines="50"/>
        <w:ind w:firstLine="482" w:firstLineChars="200"/>
        <w:outlineLvl w:val="1"/>
        <w:rPr>
          <w:b/>
          <w:bCs/>
          <w:szCs w:val="32"/>
        </w:rPr>
      </w:pPr>
      <w:r>
        <w:rPr>
          <w:rFonts w:hint="eastAsia"/>
          <w:b/>
          <w:bCs/>
          <w:szCs w:val="32"/>
        </w:rPr>
        <w:t>（三）本次向特定对象发行的必要性和合理性</w:t>
      </w:r>
    </w:p>
    <w:p>
      <w:pPr>
        <w:spacing w:before="156" w:beforeLines="50"/>
        <w:ind w:firstLine="480" w:firstLineChars="200"/>
        <w:rPr>
          <w:kern w:val="0"/>
        </w:rPr>
      </w:pPr>
      <w:r>
        <w:rPr>
          <w:rFonts w:hint="eastAsia"/>
          <w:kern w:val="0"/>
        </w:rPr>
        <w:t>本次发行的募集资金在扣除相关发行费用后拟用于补充流动资金，符合公司目前的实际财务状况和未来业务发展的资金需求，有利于提高公司抗风险能力，优化公司资本结构，有助于促进公司的长远健康发展，实现公司和全体股东的利益最大化，具体分析参见公司2026年2月7日于上海证券交易所网站（www.sse.com.cn）披露的《重庆望变电气（集团）股份有限公司向特定对象发行股票募集资金使用的可行性分析报告》。</w:t>
      </w:r>
    </w:p>
    <w:p>
      <w:pPr>
        <w:keepNext/>
        <w:keepLines/>
        <w:spacing w:before="156" w:beforeLines="50" w:after="156" w:afterLines="50"/>
        <w:ind w:firstLine="482" w:firstLineChars="200"/>
        <w:outlineLvl w:val="1"/>
        <w:rPr>
          <w:b/>
          <w:bCs/>
          <w:szCs w:val="32"/>
        </w:rPr>
      </w:pPr>
      <w:r>
        <w:rPr>
          <w:rFonts w:hint="eastAsia"/>
          <w:b/>
          <w:bCs/>
          <w:szCs w:val="32"/>
        </w:rPr>
        <w:t>（四）本次募集资金投资项目与公司现有业务的关系</w:t>
      </w:r>
    </w:p>
    <w:p>
      <w:pPr>
        <w:spacing w:before="156" w:beforeLines="50"/>
        <w:ind w:firstLine="480" w:firstLineChars="200"/>
        <w:rPr>
          <w:kern w:val="0"/>
        </w:rPr>
      </w:pPr>
      <w:r>
        <w:rPr>
          <w:rFonts w:hint="eastAsia"/>
          <w:szCs w:val="24"/>
        </w:rPr>
        <w:t>本次向特定对象发行股票募集资金扣除发行费用后拟用于补充流动资金。本次发行有利于增强公司资金实力，满足经营规模增长的资金需要，同时帮助公司吸引优秀人才，提升自主研发能力和综合服务能力，增强公司现有业务竞争力。本次向特定对象发行股票募集资金使用不涉及具体建设项目和相关人员、技术、市场等方面的储备。</w:t>
      </w:r>
    </w:p>
    <w:p>
      <w:pPr>
        <w:keepNext/>
        <w:keepLines/>
        <w:spacing w:before="156" w:beforeLines="50" w:after="156" w:afterLines="50"/>
        <w:ind w:firstLine="482" w:firstLineChars="200"/>
        <w:outlineLvl w:val="1"/>
        <w:rPr>
          <w:b/>
          <w:bCs/>
          <w:szCs w:val="32"/>
        </w:rPr>
      </w:pPr>
      <w:r>
        <w:rPr>
          <w:rFonts w:hint="eastAsia"/>
          <w:b/>
          <w:bCs/>
          <w:szCs w:val="32"/>
        </w:rPr>
        <w:t>（五）公司拟采取的填补即期回报的具体措施</w:t>
      </w:r>
    </w:p>
    <w:p>
      <w:pPr>
        <w:widowControl w:val="0"/>
        <w:spacing w:before="156" w:beforeLines="50"/>
        <w:ind w:firstLine="480" w:firstLineChars="200"/>
        <w:rPr>
          <w:rFonts w:cs="Times New Roman"/>
          <w:szCs w:val="24"/>
        </w:rPr>
      </w:pPr>
      <w:r>
        <w:rPr>
          <w:rFonts w:hint="eastAsia" w:cs="Times New Roman"/>
          <w:szCs w:val="24"/>
        </w:rPr>
        <w:t>为了保护广大投资者的利益，降低本次向特定对象发行股票可能摊薄即期回报的影响，公司拟采取多种措施保证本次发行股票募集资金有效使用、防范即期回报被摊薄的风险，以提高对股东的即期回报。公司拟采取的具体措施如下：</w:t>
      </w:r>
    </w:p>
    <w:p>
      <w:pPr>
        <w:keepNext/>
        <w:keepLines/>
        <w:spacing w:before="156" w:beforeLines="50" w:after="156" w:afterLines="50"/>
        <w:ind w:firstLine="482" w:firstLineChars="200"/>
        <w:outlineLvl w:val="2"/>
        <w:rPr>
          <w:b/>
          <w:bCs/>
          <w:szCs w:val="32"/>
        </w:rPr>
      </w:pPr>
      <w:r>
        <w:rPr>
          <w:rFonts w:hint="eastAsia"/>
          <w:b/>
          <w:bCs/>
          <w:szCs w:val="32"/>
        </w:rPr>
        <w:t>1、加强对募集资金的管理和使用，防范募集资金使用风险</w:t>
      </w:r>
    </w:p>
    <w:p>
      <w:pPr>
        <w:widowControl w:val="0"/>
        <w:spacing w:before="156" w:beforeLines="50"/>
        <w:ind w:firstLine="480" w:firstLineChars="200"/>
        <w:rPr>
          <w:rFonts w:cs="Times New Roman"/>
          <w:szCs w:val="24"/>
        </w:rPr>
      </w:pPr>
      <w:r>
        <w:rPr>
          <w:rFonts w:hint="eastAsia" w:cs="Times New Roman"/>
          <w:szCs w:val="24"/>
        </w:rPr>
        <w:t>为规范公司募集资金的使用与管理，确保募集资金的使用规范、安全、高效，根据《公司法》《证券法》《上市公司监管指引第2号——上市公司募集资金管理和使用的监管要求》等相关法律法规的规定，公司制定了《募集资金管理制度》及相关内部控制制度。</w:t>
      </w:r>
    </w:p>
    <w:p>
      <w:pPr>
        <w:widowControl w:val="0"/>
        <w:spacing w:before="156" w:beforeLines="50"/>
        <w:ind w:firstLine="480" w:firstLineChars="200"/>
        <w:rPr>
          <w:rFonts w:cs="Times New Roman"/>
          <w:szCs w:val="24"/>
        </w:rPr>
      </w:pPr>
      <w:r>
        <w:rPr>
          <w:rFonts w:hint="eastAsia" w:cs="Times New Roman"/>
          <w:szCs w:val="24"/>
        </w:rPr>
        <w:t>本次发行结束后，募集资金将按照制度要求存放于董事会指定的专项账户中，专户专储、专款专用，以保证募集资金合理规范使用，防范募集资金使用风险。公司将积极配合保荐人和监管银行对资金使用情况进行定期检查监督，确保公司规范、有效使用募集资金。</w:t>
      </w:r>
    </w:p>
    <w:p>
      <w:pPr>
        <w:keepNext/>
        <w:keepLines/>
        <w:spacing w:before="156" w:beforeLines="50" w:after="156" w:afterLines="50"/>
        <w:ind w:firstLine="482" w:firstLineChars="200"/>
        <w:outlineLvl w:val="2"/>
        <w:rPr>
          <w:b/>
          <w:bCs/>
          <w:szCs w:val="32"/>
        </w:rPr>
      </w:pPr>
      <w:r>
        <w:rPr>
          <w:rFonts w:hint="eastAsia"/>
          <w:b/>
          <w:bCs/>
          <w:szCs w:val="32"/>
        </w:rPr>
        <w:t>2、加强经营管理和内部控制，不断完善公司治理</w:t>
      </w:r>
    </w:p>
    <w:p>
      <w:pPr>
        <w:widowControl w:val="0"/>
        <w:spacing w:before="156" w:beforeLines="50"/>
        <w:ind w:firstLine="480" w:firstLineChars="200"/>
        <w:rPr>
          <w:rFonts w:cs="Times New Roman"/>
          <w:szCs w:val="24"/>
        </w:rPr>
      </w:pPr>
      <w:r>
        <w:rPr>
          <w:rFonts w:hint="eastAsia" w:cs="Times New Roman"/>
          <w:szCs w:val="24"/>
        </w:rPr>
        <w:t>公司将严格遵循《公司法》《证券法》《上市公司治理准则》等法律法规和规范性文件的要求，不断完善公司治理结构，确保股东能够充分行使权利，确保董事会能够按照法律法规和《公司章程》的规定行使职权，做出科学、迅速和谨慎的决策，确保独立董事能够认真履行职责，维护公司整体利益，尤其是中小股东的合法权益，确保董事会审计委员会能够独立有效地行使对董事、总经理和其他高级管理人员及公司财务的监督权和检查权，为公司发展提供制度保障。</w:t>
      </w:r>
    </w:p>
    <w:p>
      <w:pPr>
        <w:keepNext/>
        <w:keepLines/>
        <w:spacing w:before="156" w:beforeLines="50" w:after="156" w:afterLines="50"/>
        <w:ind w:firstLine="482" w:firstLineChars="200"/>
        <w:outlineLvl w:val="2"/>
        <w:rPr>
          <w:b/>
          <w:bCs/>
          <w:szCs w:val="32"/>
        </w:rPr>
      </w:pPr>
      <w:r>
        <w:rPr>
          <w:rFonts w:hint="eastAsia"/>
          <w:b/>
          <w:bCs/>
          <w:szCs w:val="32"/>
        </w:rPr>
        <w:t>3、完善利润分配制度，强化投资者回报机制</w:t>
      </w:r>
    </w:p>
    <w:p>
      <w:pPr>
        <w:widowControl w:val="0"/>
        <w:spacing w:before="156" w:beforeLines="50"/>
        <w:ind w:firstLine="480" w:firstLineChars="200"/>
        <w:rPr>
          <w:rFonts w:cs="Times New Roman"/>
          <w:szCs w:val="24"/>
        </w:rPr>
      </w:pPr>
      <w:r>
        <w:rPr>
          <w:rFonts w:hint="eastAsia" w:cs="Times New Roman"/>
          <w:szCs w:val="24"/>
        </w:rPr>
        <w:t>根据中国证监会《关于进一步落实上市公司现金分红有关事项的通知》《上市公司监管指引第3号——上市公司现金分红》相关要求，以及《公司章程》利润分配政策的有关规定，公司在关注公司自身发展的同时，高度重视股东的合理投资回报，制定股东回报规划。公司将严格执行公司制定的分红政策及股东回报规划，努力提升对股东的投资回报。</w:t>
      </w:r>
    </w:p>
    <w:p>
      <w:pPr>
        <w:widowControl w:val="0"/>
        <w:spacing w:before="156" w:beforeLines="50"/>
        <w:ind w:firstLine="480" w:firstLineChars="200"/>
        <w:rPr>
          <w:rFonts w:cs="Times New Roman"/>
        </w:rPr>
      </w:pPr>
      <w:r>
        <w:rPr>
          <w:rFonts w:hint="eastAsia" w:cs="Times New Roman"/>
          <w:szCs w:val="24"/>
        </w:rPr>
        <w:t>本次发行后，公司将依据相关法律法规，实施积极的利润分配政策，并注重保持连续性和稳定性，同时努力强化股东回报，切实维护投资者合法权益，并保障公司股东利益。</w:t>
      </w:r>
    </w:p>
    <w:p>
      <w:pPr>
        <w:keepNext/>
        <w:keepLines/>
        <w:spacing w:before="156" w:beforeLines="50" w:after="156" w:afterLines="50"/>
        <w:ind w:firstLine="482" w:firstLineChars="200"/>
        <w:outlineLvl w:val="1"/>
        <w:rPr>
          <w:b/>
          <w:bCs/>
          <w:szCs w:val="32"/>
        </w:rPr>
      </w:pPr>
      <w:bookmarkStart w:id="21" w:name="_Hlk137410787"/>
      <w:r>
        <w:rPr>
          <w:rFonts w:hint="eastAsia"/>
          <w:b/>
          <w:bCs/>
          <w:szCs w:val="32"/>
        </w:rPr>
        <w:t>（六）</w:t>
      </w:r>
      <w:bookmarkEnd w:id="21"/>
      <w:r>
        <w:rPr>
          <w:rFonts w:hint="eastAsia"/>
          <w:b/>
          <w:bCs/>
          <w:szCs w:val="32"/>
        </w:rPr>
        <w:t>相关主体对公司填补回报措施能够得到切实履行作出承诺</w:t>
      </w:r>
    </w:p>
    <w:p>
      <w:pPr>
        <w:keepNext/>
        <w:keepLines/>
        <w:spacing w:before="156" w:beforeLines="50" w:after="156" w:afterLines="50"/>
        <w:ind w:firstLine="482" w:firstLineChars="200"/>
        <w:outlineLvl w:val="2"/>
        <w:rPr>
          <w:b/>
          <w:bCs/>
          <w:szCs w:val="32"/>
        </w:rPr>
      </w:pPr>
      <w:r>
        <w:rPr>
          <w:rFonts w:hint="eastAsia"/>
          <w:b/>
          <w:bCs/>
          <w:szCs w:val="32"/>
        </w:rPr>
        <w:t>1、公司董事、高级管理人员关于切实履行公司填补向特定对象发行股票被摊薄即期回报措施的承诺</w:t>
      </w:r>
    </w:p>
    <w:p>
      <w:pPr>
        <w:spacing w:before="156" w:beforeLines="50"/>
        <w:ind w:firstLine="480" w:firstLineChars="200"/>
        <w:rPr>
          <w:kern w:val="0"/>
        </w:rPr>
      </w:pPr>
      <w:r>
        <w:rPr>
          <w:rFonts w:hint="eastAsia"/>
          <w:kern w:val="0"/>
        </w:rPr>
        <w:t>为保证公司本次发行完成后填补摊薄即期回报的措施能够得到切实履行，公司董事、高级管理人员作出如下承诺：</w:t>
      </w:r>
    </w:p>
    <w:p>
      <w:pPr>
        <w:spacing w:before="156" w:beforeLines="50"/>
        <w:ind w:firstLine="480" w:firstLineChars="200"/>
        <w:rPr>
          <w:kern w:val="0"/>
        </w:rPr>
      </w:pPr>
      <w:r>
        <w:rPr>
          <w:rFonts w:hint="eastAsia"/>
          <w:kern w:val="0"/>
        </w:rPr>
        <w:t>“1、本承诺人承诺不无偿或以不公平条件向其他单位或者个人输送利益，也不采用其他方式损害公司利益；</w:t>
      </w:r>
    </w:p>
    <w:p>
      <w:pPr>
        <w:spacing w:before="156" w:beforeLines="50"/>
        <w:ind w:firstLine="480" w:firstLineChars="200"/>
        <w:rPr>
          <w:kern w:val="0"/>
        </w:rPr>
      </w:pPr>
      <w:r>
        <w:rPr>
          <w:rFonts w:hint="eastAsia"/>
          <w:kern w:val="0"/>
        </w:rPr>
        <w:t>2、本承诺人承诺对本承诺人的职务消费行为进行约束；</w:t>
      </w:r>
    </w:p>
    <w:p>
      <w:pPr>
        <w:spacing w:before="156" w:beforeLines="50"/>
        <w:ind w:firstLine="480" w:firstLineChars="200"/>
        <w:rPr>
          <w:kern w:val="0"/>
        </w:rPr>
      </w:pPr>
      <w:r>
        <w:rPr>
          <w:rFonts w:hint="eastAsia"/>
          <w:kern w:val="0"/>
        </w:rPr>
        <w:t>3、本承诺人承诺不动用公司资产从事与本承诺人履行职责无关的投资、消费活动；</w:t>
      </w:r>
    </w:p>
    <w:p>
      <w:pPr>
        <w:spacing w:before="156" w:beforeLines="50"/>
        <w:ind w:firstLine="480" w:firstLineChars="200"/>
        <w:rPr>
          <w:kern w:val="0"/>
        </w:rPr>
      </w:pPr>
      <w:r>
        <w:rPr>
          <w:rFonts w:hint="eastAsia"/>
          <w:kern w:val="0"/>
        </w:rPr>
        <w:t>4、本承诺人承诺由董事会或薪酬委员会制定的薪酬制度与公司填补回报措施的执行情况相挂钩；</w:t>
      </w:r>
    </w:p>
    <w:p>
      <w:pPr>
        <w:spacing w:before="156" w:beforeLines="50"/>
        <w:ind w:firstLine="480" w:firstLineChars="200"/>
        <w:rPr>
          <w:kern w:val="0"/>
        </w:rPr>
      </w:pPr>
      <w:r>
        <w:rPr>
          <w:rFonts w:hint="eastAsia"/>
          <w:kern w:val="0"/>
        </w:rPr>
        <w:t>5、本承诺人承诺拟公布的公司股权激励的行权条件与公司填补回报措施的执行情况相挂钩。</w:t>
      </w:r>
    </w:p>
    <w:p>
      <w:pPr>
        <w:spacing w:before="156" w:beforeLines="50"/>
        <w:ind w:firstLine="480" w:firstLineChars="200"/>
        <w:rPr>
          <w:kern w:val="0"/>
        </w:rPr>
      </w:pPr>
      <w:r>
        <w:rPr>
          <w:rFonts w:hint="eastAsia"/>
          <w:kern w:val="0"/>
        </w:rPr>
        <w:t>6、本承诺出具日后至公司本次向特定对象发行实施完毕前，若中国证监会、上海证券交易所作出关于填补回报措施及其承诺的其他新监管规定的，且上述承诺不能满足中国证监会、上海证券交易所该等规定时，本承诺人届时将按照中国证监会、上海证券交易所的最新规定出具补充承诺。</w:t>
      </w:r>
    </w:p>
    <w:p>
      <w:pPr>
        <w:spacing w:before="156" w:beforeLines="50"/>
        <w:ind w:firstLine="480" w:firstLineChars="200"/>
        <w:rPr>
          <w:kern w:val="0"/>
        </w:rPr>
      </w:pPr>
      <w:r>
        <w:rPr>
          <w:rFonts w:hint="eastAsia"/>
          <w:kern w:val="0"/>
        </w:rPr>
        <w:t>7、本承诺至以下情形时终止（以较早为准）：（1）本人不再作为公司的董事/高级管理人员；（2）公司股票终止在上海证券交易所上市；（3）本次发行终止。</w:t>
      </w:r>
    </w:p>
    <w:p>
      <w:pPr>
        <w:spacing w:before="156" w:beforeLines="50"/>
        <w:ind w:firstLine="480" w:firstLineChars="200"/>
        <w:rPr>
          <w:kern w:val="0"/>
        </w:rPr>
      </w:pPr>
      <w:r>
        <w:rPr>
          <w:rFonts w:hint="eastAsia"/>
          <w:kern w:val="0"/>
        </w:rPr>
        <w:t>8、本承诺人承诺切实履行公司制定的有关填补回报措施以及本承诺人对此作出的有关填补回报措施的承诺，若本承诺人违反该等承诺并给公司或者投资者造成损失的，本承诺人愿意依法承担相应的责任。”</w:t>
      </w:r>
    </w:p>
    <w:p>
      <w:pPr>
        <w:keepNext/>
        <w:keepLines/>
        <w:spacing w:before="156" w:beforeLines="50" w:after="156" w:afterLines="50"/>
        <w:ind w:firstLine="482" w:firstLineChars="200"/>
        <w:outlineLvl w:val="2"/>
        <w:rPr>
          <w:b/>
          <w:bCs/>
          <w:szCs w:val="32"/>
        </w:rPr>
      </w:pPr>
      <w:r>
        <w:rPr>
          <w:rFonts w:hint="eastAsia"/>
          <w:b/>
          <w:bCs/>
          <w:szCs w:val="32"/>
        </w:rPr>
        <w:t>2、公司控股股东关于切实履行重庆望变电气（集团）股份有限公司填补向特定对象发行股票被摊薄即期回报措施的承诺</w:t>
      </w:r>
    </w:p>
    <w:bookmarkEnd w:id="18"/>
    <w:p>
      <w:pPr>
        <w:widowControl w:val="0"/>
        <w:spacing w:before="156" w:beforeLines="50"/>
        <w:ind w:firstLine="480" w:firstLineChars="200"/>
        <w:rPr>
          <w:rFonts w:cs="Times New Roman"/>
        </w:rPr>
      </w:pPr>
      <w:r>
        <w:rPr>
          <w:rFonts w:hint="eastAsia" w:cs="Times New Roman"/>
        </w:rPr>
        <w:t>为保证公司本次发行完成后填补摊薄即期回报的措施能够得到切实履行，根据中国证监会的相关规定，公司的控股股东及实际控制人作出以下承诺：</w:t>
      </w:r>
    </w:p>
    <w:p>
      <w:pPr>
        <w:widowControl w:val="0"/>
        <w:spacing w:before="156" w:beforeLines="50"/>
        <w:ind w:firstLine="480" w:firstLineChars="200"/>
        <w:rPr>
          <w:rFonts w:cs="Times New Roman"/>
        </w:rPr>
      </w:pPr>
      <w:r>
        <w:rPr>
          <w:rFonts w:hint="eastAsia" w:cs="Times New Roman"/>
        </w:rPr>
        <w:t>“1、本承诺人承诺将严格执行关于上市公司治理的各项法律、法规及规章制度，保护公司和公众股东的利益，不越权干预公司的经营管理活动。</w:t>
      </w:r>
    </w:p>
    <w:p>
      <w:pPr>
        <w:widowControl w:val="0"/>
        <w:spacing w:before="156" w:beforeLines="50"/>
        <w:ind w:firstLine="480" w:firstLineChars="200"/>
        <w:rPr>
          <w:rFonts w:cs="Times New Roman"/>
        </w:rPr>
      </w:pPr>
      <w:r>
        <w:rPr>
          <w:rFonts w:hint="eastAsia" w:cs="Times New Roman"/>
        </w:rPr>
        <w:t>2、本承诺人承诺不以任何方式侵占公司的利益。</w:t>
      </w:r>
    </w:p>
    <w:p>
      <w:pPr>
        <w:widowControl w:val="0"/>
        <w:spacing w:before="156" w:beforeLines="50"/>
        <w:ind w:firstLine="480" w:firstLineChars="200"/>
        <w:rPr>
          <w:rFonts w:cs="Times New Roman"/>
        </w:rPr>
      </w:pPr>
      <w:r>
        <w:rPr>
          <w:rFonts w:hint="eastAsia" w:cs="Times New Roman"/>
        </w:rPr>
        <w:t>3、自本承诺出具日至公司本次向特定对象发行股票发行完成前，若中国证监会、上海证券交易所作出关于填补回报措施及其承诺的其他新的监管规定，且所作出的承诺不能满足中国证监会、上海证券交易所该等规定时，本承诺人届时将按照中国证监会、上海证券交易所的最新规定出具补充承诺。</w:t>
      </w:r>
    </w:p>
    <w:p>
      <w:pPr>
        <w:widowControl w:val="0"/>
        <w:spacing w:before="156" w:beforeLines="50"/>
        <w:ind w:firstLine="480" w:firstLineChars="200"/>
        <w:rPr>
          <w:rFonts w:cs="Times New Roman"/>
        </w:rPr>
      </w:pPr>
      <w:r>
        <w:rPr>
          <w:rFonts w:hint="eastAsia" w:cs="Times New Roman"/>
        </w:rPr>
        <w:t>4、本承诺至以下情形时终止（以较早为准）：（1）本承诺人不再作为公司的控股股东、实际控制人；（2）公司股票终止在上海证券交易所上市；（3）本次发行终止。</w:t>
      </w:r>
    </w:p>
    <w:p>
      <w:pPr>
        <w:widowControl w:val="0"/>
        <w:spacing w:before="156" w:beforeLines="50"/>
        <w:ind w:firstLine="480" w:firstLineChars="200"/>
        <w:rPr>
          <w:rFonts w:cs="Times New Roman"/>
          <w:lang w:bidi="ar"/>
        </w:rPr>
      </w:pPr>
      <w:r>
        <w:rPr>
          <w:rFonts w:hint="eastAsia" w:cs="Times New Roman"/>
        </w:rPr>
        <w:t>5、本承诺人承诺切实履行公司制定的有关填补回报措施以及本承诺人对此作出的有关填补回报措施的承诺，若本承诺人违反该等承诺并给公司或者投资者造成损失的，本承诺人愿意依法承担相应的责任。”</w:t>
      </w:r>
    </w:p>
    <w:p>
      <w:pPr>
        <w:keepNext/>
        <w:widowControl w:val="0"/>
        <w:spacing w:before="156" w:beforeLines="50" w:after="156" w:afterLines="50" w:line="240" w:lineRule="auto"/>
        <w:jc w:val="left"/>
        <w:outlineLvl w:val="0"/>
        <w:rPr>
          <w:rFonts w:cs="Times New Roman"/>
          <w:b/>
          <w:bCs/>
          <w:color w:val="000000"/>
          <w:kern w:val="0"/>
          <w:sz w:val="30"/>
          <w:szCs w:val="30"/>
          <w:lang w:bidi="ar"/>
        </w:rPr>
      </w:pPr>
      <w:bookmarkStart w:id="22" w:name="_Toc137909433"/>
      <w:bookmarkStart w:id="23" w:name="_Toc138172890"/>
      <w:r>
        <w:rPr>
          <w:rFonts w:hint="eastAsia" w:cs="Times New Roman"/>
          <w:b/>
          <w:bCs/>
          <w:color w:val="000000"/>
          <w:kern w:val="0"/>
          <w:sz w:val="30"/>
          <w:szCs w:val="30"/>
          <w:lang w:bidi="ar"/>
        </w:rPr>
        <w:t>八、</w:t>
      </w:r>
      <w:r>
        <w:rPr>
          <w:rFonts w:cs="Times New Roman"/>
          <w:b/>
          <w:bCs/>
          <w:color w:val="000000"/>
          <w:kern w:val="0"/>
          <w:sz w:val="30"/>
          <w:szCs w:val="30"/>
          <w:lang w:bidi="ar"/>
        </w:rPr>
        <w:t>结论</w:t>
      </w:r>
      <w:bookmarkEnd w:id="22"/>
      <w:bookmarkEnd w:id="23"/>
    </w:p>
    <w:bookmarkEnd w:id="6"/>
    <w:p>
      <w:pPr>
        <w:ind w:firstLine="480" w:firstLineChars="200"/>
        <w:rPr>
          <w:rFonts w:cs="Times New Roman"/>
          <w:color w:val="000000"/>
          <w:kern w:val="0"/>
          <w:szCs w:val="24"/>
          <w:lang w:bidi="ar"/>
        </w:rPr>
      </w:pPr>
      <w:r>
        <w:rPr>
          <w:rFonts w:hint="eastAsia" w:cs="Times New Roman"/>
          <w:color w:val="000000"/>
          <w:kern w:val="0"/>
          <w:szCs w:val="24"/>
          <w:lang w:bidi="ar"/>
        </w:rPr>
        <w:t>综上所述，公司本次向特定对象发行股票具备必要性与可行性，本次向特定对象发行股票方案公平、合理，符合相关法律法规的要求，将有利于进一步提高公司业绩，符合公司发展战略，符合公司及全体股东利益。</w:t>
      </w:r>
    </w:p>
    <w:p>
      <w:pPr>
        <w:ind w:firstLine="480" w:firstLineChars="200"/>
        <w:rPr>
          <w:rFonts w:cs="Times New Roman"/>
          <w:color w:val="000000"/>
          <w:kern w:val="0"/>
          <w:szCs w:val="24"/>
          <w:lang w:bidi="ar"/>
        </w:rPr>
      </w:pPr>
    </w:p>
    <w:bookmarkEnd w:id="0"/>
    <w:p>
      <w:pPr>
        <w:autoSpaceDE w:val="0"/>
        <w:autoSpaceDN w:val="0"/>
        <w:adjustRightInd w:val="0"/>
        <w:snapToGrid w:val="0"/>
        <w:spacing w:before="156" w:beforeLines="50"/>
        <w:ind w:firstLine="480" w:firstLineChars="200"/>
        <w:jc w:val="right"/>
        <w:rPr>
          <w:rFonts w:cs="Times New Roman"/>
        </w:rPr>
      </w:pPr>
    </w:p>
    <w:p>
      <w:pPr>
        <w:autoSpaceDE w:val="0"/>
        <w:autoSpaceDN w:val="0"/>
        <w:adjustRightInd w:val="0"/>
        <w:snapToGrid w:val="0"/>
        <w:spacing w:before="156" w:beforeLines="50"/>
        <w:ind w:firstLine="480" w:firstLineChars="200"/>
        <w:jc w:val="right"/>
        <w:rPr>
          <w:rFonts w:cs="Times New Roman"/>
        </w:rPr>
      </w:pPr>
    </w:p>
    <w:p>
      <w:pPr>
        <w:autoSpaceDE w:val="0"/>
        <w:autoSpaceDN w:val="0"/>
        <w:adjustRightInd w:val="0"/>
        <w:snapToGrid w:val="0"/>
        <w:spacing w:before="156" w:beforeLines="50"/>
        <w:ind w:firstLine="480" w:firstLineChars="200"/>
        <w:jc w:val="right"/>
        <w:rPr>
          <w:rFonts w:cs="Times New Roman"/>
        </w:rPr>
      </w:pPr>
      <w:r>
        <w:rPr>
          <w:rFonts w:hint="eastAsia" w:cs="Times New Roman"/>
        </w:rPr>
        <w:t>重庆望变电气（集团）股份有限公司董事会</w:t>
      </w:r>
    </w:p>
    <w:p>
      <w:pPr>
        <w:autoSpaceDE w:val="0"/>
        <w:autoSpaceDN w:val="0"/>
        <w:adjustRightInd w:val="0"/>
        <w:snapToGrid w:val="0"/>
        <w:spacing w:before="156" w:beforeLines="50"/>
        <w:ind w:firstLine="480" w:firstLineChars="200"/>
        <w:jc w:val="right"/>
        <w:rPr>
          <w:rFonts w:cs="Times New Roman"/>
        </w:rPr>
      </w:pPr>
      <w:r>
        <w:rPr>
          <w:rFonts w:hint="eastAsia" w:cs="Times New Roman"/>
        </w:rPr>
        <w:t>2026</w:t>
      </w:r>
      <w:r>
        <w:rPr>
          <w:rFonts w:cs="Times New Roman"/>
        </w:rPr>
        <w:t>年</w:t>
      </w:r>
      <w:r>
        <w:rPr>
          <w:rFonts w:hint="eastAsia" w:cs="Times New Roman"/>
        </w:rPr>
        <w:t>4</w:t>
      </w:r>
      <w:r>
        <w:rPr>
          <w:rFonts w:cs="Times New Roman"/>
        </w:rPr>
        <w:t>月</w:t>
      </w:r>
      <w:r>
        <w:rPr>
          <w:rFonts w:hint="eastAsia" w:cs="Times New Roman"/>
        </w:rPr>
        <w:t>3</w:t>
      </w:r>
      <w:r>
        <w:rPr>
          <w:rFonts w:cs="Times New Roman"/>
        </w:rPr>
        <w:t>日</w:t>
      </w:r>
    </w:p>
    <w:sectPr>
      <w:head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360098"/>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4CD595"/>
    <w:multiLevelType w:val="multilevel"/>
    <w:tmpl w:val="454CD595"/>
    <w:lvl w:ilvl="0" w:tentative="0">
      <w:start w:val="1"/>
      <w:numFmt w:val="chineseCountingThousand"/>
      <w:suff w:val="nothing"/>
      <w:lvlText w:val="第%1节"/>
      <w:lvlJc w:val="left"/>
      <w:pPr>
        <w:ind w:left="0" w:firstLine="0"/>
      </w:pPr>
      <w:rPr>
        <w:rFonts w:hint="eastAsia" w:ascii="黑体" w:hAnsi="黑体" w:eastAsia="黑体"/>
        <w:b w:val="0"/>
        <w:i w:val="0"/>
        <w:sz w:val="32"/>
      </w:rPr>
    </w:lvl>
    <w:lvl w:ilvl="1" w:tentative="0">
      <w:start w:val="1"/>
      <w:numFmt w:val="koreanDigital2"/>
      <w:suff w:val="nothing"/>
      <w:lvlText w:val="%2、"/>
      <w:lvlJc w:val="left"/>
      <w:pPr>
        <w:ind w:left="0" w:firstLine="0"/>
      </w:pPr>
      <w:rPr>
        <w:rFonts w:hint="default" w:ascii="Times New Roman" w:hAnsi="Times New Roman" w:cs="Times New Roman"/>
        <w:b w:val="0"/>
        <w:i w:val="0"/>
        <w:sz w:val="28"/>
      </w:rPr>
    </w:lvl>
    <w:lvl w:ilvl="2" w:tentative="0">
      <w:start w:val="1"/>
      <w:numFmt w:val="koreanDigital2"/>
      <w:suff w:val="nothing"/>
      <w:lvlText w:val="（%3）"/>
      <w:lvlJc w:val="left"/>
      <w:rPr>
        <w:rFonts w:hint="default" w:ascii="Times New Roman" w:hAnsi="Times New Roman" w:cs="Times New Roman"/>
        <w:b w:val="0"/>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3"/>
      <w:suff w:val="nothing"/>
      <w:lvlText w:val="%4、"/>
      <w:lvlJc w:val="left"/>
      <w:pPr>
        <w:ind w:left="0" w:firstLine="0"/>
      </w:pPr>
      <w:rPr>
        <w:rFonts w:hint="default" w:ascii="Times New Roman" w:hAnsi="Times New Roman" w:cs="Times New Roman"/>
        <w:b/>
        <w:i w:val="0"/>
        <w:sz w:val="24"/>
      </w:rPr>
    </w:lvl>
    <w:lvl w:ilvl="4" w:tentative="0">
      <w:start w:val="1"/>
      <w:numFmt w:val="decimal"/>
      <w:suff w:val="nothing"/>
      <w:lvlText w:val="（%5）"/>
      <w:lvlJc w:val="left"/>
      <w:rPr>
        <w:rFonts w:hint="default" w:ascii="Times New Roman" w:hAnsi="Times New Roman" w:cs="Times New Roman"/>
        <w:b w:val="0"/>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5" w:tentative="0">
      <w:start w:val="1"/>
      <w:numFmt w:val="decimal"/>
      <w:suff w:val="nothing"/>
      <w:lvlText w:val="%6）"/>
      <w:lvlJc w:val="left"/>
      <w:pPr>
        <w:ind w:left="0" w:firstLine="0"/>
      </w:pPr>
      <w:rPr>
        <w:rFonts w:hint="default" w:ascii="Times New Roman" w:hAnsi="Times New Roman" w:cs="Times New Roman"/>
        <w:b w:val="0"/>
        <w:i w:val="0"/>
        <w:sz w:val="24"/>
        <w:u w:val="none"/>
      </w:rPr>
    </w:lvl>
    <w:lvl w:ilvl="6" w:tentative="0">
      <w:start w:val="1"/>
      <w:numFmt w:val="decimalEnclosedCircle"/>
      <w:suff w:val="nothing"/>
      <w:lvlText w:val="%7"/>
      <w:lvlJc w:val="left"/>
      <w:pPr>
        <w:ind w:left="0" w:firstLine="0"/>
      </w:pPr>
      <w:rPr>
        <w:rFonts w:hint="default" w:ascii="Times New Roman" w:hAnsi="Times New Roman" w:cs="Times New Roman"/>
        <w:b w:val="0"/>
        <w:i w:val="0"/>
        <w:sz w:val="24"/>
        <w:lang w:val="en-US"/>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673578"/>
    <w:rsid w:val="000003AD"/>
    <w:rsid w:val="000011B2"/>
    <w:rsid w:val="00001DC3"/>
    <w:rsid w:val="00006FE3"/>
    <w:rsid w:val="000102F4"/>
    <w:rsid w:val="000107F3"/>
    <w:rsid w:val="00010B03"/>
    <w:rsid w:val="00011688"/>
    <w:rsid w:val="00014277"/>
    <w:rsid w:val="00016137"/>
    <w:rsid w:val="00021884"/>
    <w:rsid w:val="00023912"/>
    <w:rsid w:val="000254BE"/>
    <w:rsid w:val="00025BCD"/>
    <w:rsid w:val="00026C80"/>
    <w:rsid w:val="0003129D"/>
    <w:rsid w:val="00031477"/>
    <w:rsid w:val="00037161"/>
    <w:rsid w:val="0004032C"/>
    <w:rsid w:val="00043E7B"/>
    <w:rsid w:val="00044630"/>
    <w:rsid w:val="00063889"/>
    <w:rsid w:val="0006394A"/>
    <w:rsid w:val="000641FD"/>
    <w:rsid w:val="00064D8F"/>
    <w:rsid w:val="000657FA"/>
    <w:rsid w:val="00072478"/>
    <w:rsid w:val="00073FC7"/>
    <w:rsid w:val="00074B6E"/>
    <w:rsid w:val="00076D0F"/>
    <w:rsid w:val="00077A20"/>
    <w:rsid w:val="00080AB4"/>
    <w:rsid w:val="00082B3E"/>
    <w:rsid w:val="000849FB"/>
    <w:rsid w:val="00085D5A"/>
    <w:rsid w:val="00086D8A"/>
    <w:rsid w:val="000A2595"/>
    <w:rsid w:val="000A2CA4"/>
    <w:rsid w:val="000A67F4"/>
    <w:rsid w:val="000B2AB3"/>
    <w:rsid w:val="000B406A"/>
    <w:rsid w:val="000B67CE"/>
    <w:rsid w:val="000B75AD"/>
    <w:rsid w:val="000C35F8"/>
    <w:rsid w:val="000C39A0"/>
    <w:rsid w:val="000C5B0A"/>
    <w:rsid w:val="000C7939"/>
    <w:rsid w:val="000D5327"/>
    <w:rsid w:val="000E7628"/>
    <w:rsid w:val="000F0417"/>
    <w:rsid w:val="000F17C1"/>
    <w:rsid w:val="000F1EEC"/>
    <w:rsid w:val="000F4A07"/>
    <w:rsid w:val="00103BFE"/>
    <w:rsid w:val="00104F9C"/>
    <w:rsid w:val="00110B8E"/>
    <w:rsid w:val="001124D7"/>
    <w:rsid w:val="00115EBD"/>
    <w:rsid w:val="00131805"/>
    <w:rsid w:val="00132996"/>
    <w:rsid w:val="00132EDE"/>
    <w:rsid w:val="00132F9E"/>
    <w:rsid w:val="0013685E"/>
    <w:rsid w:val="00143A09"/>
    <w:rsid w:val="00143D95"/>
    <w:rsid w:val="00144136"/>
    <w:rsid w:val="0014571C"/>
    <w:rsid w:val="0015535A"/>
    <w:rsid w:val="00155F38"/>
    <w:rsid w:val="00162ABC"/>
    <w:rsid w:val="00171B09"/>
    <w:rsid w:val="00172D0D"/>
    <w:rsid w:val="00173788"/>
    <w:rsid w:val="00174F2E"/>
    <w:rsid w:val="001762FA"/>
    <w:rsid w:val="00176669"/>
    <w:rsid w:val="00180181"/>
    <w:rsid w:val="001826F4"/>
    <w:rsid w:val="001831B5"/>
    <w:rsid w:val="001856B5"/>
    <w:rsid w:val="0018773F"/>
    <w:rsid w:val="00187751"/>
    <w:rsid w:val="00191692"/>
    <w:rsid w:val="00193596"/>
    <w:rsid w:val="00193EFA"/>
    <w:rsid w:val="0019590F"/>
    <w:rsid w:val="0019593D"/>
    <w:rsid w:val="001978CF"/>
    <w:rsid w:val="001A0A32"/>
    <w:rsid w:val="001A1819"/>
    <w:rsid w:val="001A1E9A"/>
    <w:rsid w:val="001A213E"/>
    <w:rsid w:val="001A27E1"/>
    <w:rsid w:val="001B173E"/>
    <w:rsid w:val="001B3461"/>
    <w:rsid w:val="001B49B2"/>
    <w:rsid w:val="001B71CD"/>
    <w:rsid w:val="001B73EE"/>
    <w:rsid w:val="001B785A"/>
    <w:rsid w:val="001C0879"/>
    <w:rsid w:val="001C3EF8"/>
    <w:rsid w:val="001C4425"/>
    <w:rsid w:val="001D3988"/>
    <w:rsid w:val="001D6652"/>
    <w:rsid w:val="001E19F1"/>
    <w:rsid w:val="001E22EA"/>
    <w:rsid w:val="001E3987"/>
    <w:rsid w:val="001E3DDE"/>
    <w:rsid w:val="001F2985"/>
    <w:rsid w:val="001F4EF9"/>
    <w:rsid w:val="00200ADB"/>
    <w:rsid w:val="00201040"/>
    <w:rsid w:val="00206D44"/>
    <w:rsid w:val="0020792B"/>
    <w:rsid w:val="0020799E"/>
    <w:rsid w:val="0021384B"/>
    <w:rsid w:val="00214C56"/>
    <w:rsid w:val="00215F26"/>
    <w:rsid w:val="00220F26"/>
    <w:rsid w:val="00223B16"/>
    <w:rsid w:val="00223EC2"/>
    <w:rsid w:val="0023128C"/>
    <w:rsid w:val="00243078"/>
    <w:rsid w:val="00243E17"/>
    <w:rsid w:val="002458CE"/>
    <w:rsid w:val="00246F37"/>
    <w:rsid w:val="0025330C"/>
    <w:rsid w:val="0025544E"/>
    <w:rsid w:val="00261D9E"/>
    <w:rsid w:val="00265CF9"/>
    <w:rsid w:val="00274BC8"/>
    <w:rsid w:val="0028157B"/>
    <w:rsid w:val="002924AC"/>
    <w:rsid w:val="00292616"/>
    <w:rsid w:val="00294D33"/>
    <w:rsid w:val="00295ABC"/>
    <w:rsid w:val="002A23EB"/>
    <w:rsid w:val="002B063A"/>
    <w:rsid w:val="002B094D"/>
    <w:rsid w:val="002B4B80"/>
    <w:rsid w:val="002B5AA8"/>
    <w:rsid w:val="002B61B7"/>
    <w:rsid w:val="002B6F63"/>
    <w:rsid w:val="002C141B"/>
    <w:rsid w:val="002C33F2"/>
    <w:rsid w:val="002C3B39"/>
    <w:rsid w:val="002C3DB1"/>
    <w:rsid w:val="002C4E11"/>
    <w:rsid w:val="002D248F"/>
    <w:rsid w:val="002D2987"/>
    <w:rsid w:val="002D5238"/>
    <w:rsid w:val="002E23A3"/>
    <w:rsid w:val="002E2CE1"/>
    <w:rsid w:val="002E3FD8"/>
    <w:rsid w:val="002E4A9C"/>
    <w:rsid w:val="002F1BF9"/>
    <w:rsid w:val="002F2714"/>
    <w:rsid w:val="002F2B87"/>
    <w:rsid w:val="002F3E1D"/>
    <w:rsid w:val="002F508D"/>
    <w:rsid w:val="002F6B95"/>
    <w:rsid w:val="00300C51"/>
    <w:rsid w:val="00301698"/>
    <w:rsid w:val="00303A9D"/>
    <w:rsid w:val="00304DA0"/>
    <w:rsid w:val="00305A46"/>
    <w:rsid w:val="003061CE"/>
    <w:rsid w:val="003078B7"/>
    <w:rsid w:val="00307A01"/>
    <w:rsid w:val="00313547"/>
    <w:rsid w:val="003145AA"/>
    <w:rsid w:val="0031588B"/>
    <w:rsid w:val="003164CE"/>
    <w:rsid w:val="00317953"/>
    <w:rsid w:val="003201A0"/>
    <w:rsid w:val="003201F1"/>
    <w:rsid w:val="00322750"/>
    <w:rsid w:val="00324E1B"/>
    <w:rsid w:val="0033136C"/>
    <w:rsid w:val="0033395E"/>
    <w:rsid w:val="00335B4C"/>
    <w:rsid w:val="00340A99"/>
    <w:rsid w:val="00356069"/>
    <w:rsid w:val="00356D67"/>
    <w:rsid w:val="00361EEF"/>
    <w:rsid w:val="00362136"/>
    <w:rsid w:val="00362C07"/>
    <w:rsid w:val="00362F62"/>
    <w:rsid w:val="003637F8"/>
    <w:rsid w:val="003667C5"/>
    <w:rsid w:val="0037215B"/>
    <w:rsid w:val="00373874"/>
    <w:rsid w:val="00373DA2"/>
    <w:rsid w:val="00373E94"/>
    <w:rsid w:val="00374BF3"/>
    <w:rsid w:val="0037756D"/>
    <w:rsid w:val="00382223"/>
    <w:rsid w:val="0039051F"/>
    <w:rsid w:val="003910A0"/>
    <w:rsid w:val="003930FE"/>
    <w:rsid w:val="0039759F"/>
    <w:rsid w:val="003A0A4E"/>
    <w:rsid w:val="003A3126"/>
    <w:rsid w:val="003B2535"/>
    <w:rsid w:val="003B4A9D"/>
    <w:rsid w:val="003B547A"/>
    <w:rsid w:val="003C03DB"/>
    <w:rsid w:val="003C04C2"/>
    <w:rsid w:val="003C1173"/>
    <w:rsid w:val="003C3D4A"/>
    <w:rsid w:val="003C5E31"/>
    <w:rsid w:val="003C78CF"/>
    <w:rsid w:val="003D5B9A"/>
    <w:rsid w:val="003E1123"/>
    <w:rsid w:val="003E1191"/>
    <w:rsid w:val="003E4110"/>
    <w:rsid w:val="003E4F0C"/>
    <w:rsid w:val="003E6521"/>
    <w:rsid w:val="003E69DF"/>
    <w:rsid w:val="003E7D10"/>
    <w:rsid w:val="003F5B0D"/>
    <w:rsid w:val="003F6BD6"/>
    <w:rsid w:val="003F7963"/>
    <w:rsid w:val="004002D9"/>
    <w:rsid w:val="00400963"/>
    <w:rsid w:val="004026EA"/>
    <w:rsid w:val="00403277"/>
    <w:rsid w:val="00404D2F"/>
    <w:rsid w:val="00405BF5"/>
    <w:rsid w:val="004073A4"/>
    <w:rsid w:val="00411832"/>
    <w:rsid w:val="004214BB"/>
    <w:rsid w:val="004229BF"/>
    <w:rsid w:val="00424883"/>
    <w:rsid w:val="00425F03"/>
    <w:rsid w:val="004268A3"/>
    <w:rsid w:val="004275DE"/>
    <w:rsid w:val="00430143"/>
    <w:rsid w:val="00430CD8"/>
    <w:rsid w:val="00434BDF"/>
    <w:rsid w:val="00442227"/>
    <w:rsid w:val="0044282B"/>
    <w:rsid w:val="00445DF2"/>
    <w:rsid w:val="00451769"/>
    <w:rsid w:val="0045262A"/>
    <w:rsid w:val="0045429A"/>
    <w:rsid w:val="004577FF"/>
    <w:rsid w:val="0046071A"/>
    <w:rsid w:val="00460AA6"/>
    <w:rsid w:val="00462A52"/>
    <w:rsid w:val="00465AEF"/>
    <w:rsid w:val="00466834"/>
    <w:rsid w:val="0046775B"/>
    <w:rsid w:val="00470E36"/>
    <w:rsid w:val="0047309D"/>
    <w:rsid w:val="004737EF"/>
    <w:rsid w:val="00476B51"/>
    <w:rsid w:val="00480D3D"/>
    <w:rsid w:val="00485FE3"/>
    <w:rsid w:val="004877DB"/>
    <w:rsid w:val="004913E5"/>
    <w:rsid w:val="004933CF"/>
    <w:rsid w:val="004A6476"/>
    <w:rsid w:val="004B0603"/>
    <w:rsid w:val="004B2E97"/>
    <w:rsid w:val="004B41A3"/>
    <w:rsid w:val="004B5609"/>
    <w:rsid w:val="004B76BD"/>
    <w:rsid w:val="004C2EE3"/>
    <w:rsid w:val="004C56D3"/>
    <w:rsid w:val="004D0AB0"/>
    <w:rsid w:val="004D2B35"/>
    <w:rsid w:val="004D48BA"/>
    <w:rsid w:val="004D4A9B"/>
    <w:rsid w:val="004D4BA5"/>
    <w:rsid w:val="004D55E2"/>
    <w:rsid w:val="004D7003"/>
    <w:rsid w:val="004E2F78"/>
    <w:rsid w:val="004F01B9"/>
    <w:rsid w:val="004F1F8E"/>
    <w:rsid w:val="004F37CF"/>
    <w:rsid w:val="004F6DF0"/>
    <w:rsid w:val="00502A1B"/>
    <w:rsid w:val="005053AA"/>
    <w:rsid w:val="00511B31"/>
    <w:rsid w:val="00512183"/>
    <w:rsid w:val="0051242B"/>
    <w:rsid w:val="00516CF0"/>
    <w:rsid w:val="005170E3"/>
    <w:rsid w:val="005216EF"/>
    <w:rsid w:val="005306C4"/>
    <w:rsid w:val="00532D76"/>
    <w:rsid w:val="00534531"/>
    <w:rsid w:val="00534DB9"/>
    <w:rsid w:val="00534DD7"/>
    <w:rsid w:val="00535CBB"/>
    <w:rsid w:val="005367AD"/>
    <w:rsid w:val="00537AB5"/>
    <w:rsid w:val="005468CC"/>
    <w:rsid w:val="00547311"/>
    <w:rsid w:val="00550081"/>
    <w:rsid w:val="005500A4"/>
    <w:rsid w:val="00552126"/>
    <w:rsid w:val="00552CFF"/>
    <w:rsid w:val="00552EAC"/>
    <w:rsid w:val="005565BF"/>
    <w:rsid w:val="005569EE"/>
    <w:rsid w:val="00557A6F"/>
    <w:rsid w:val="00562DC8"/>
    <w:rsid w:val="00567812"/>
    <w:rsid w:val="00570BE9"/>
    <w:rsid w:val="00570D85"/>
    <w:rsid w:val="00570E4D"/>
    <w:rsid w:val="00572F50"/>
    <w:rsid w:val="005763B4"/>
    <w:rsid w:val="005815AF"/>
    <w:rsid w:val="005848B4"/>
    <w:rsid w:val="0059065D"/>
    <w:rsid w:val="00590849"/>
    <w:rsid w:val="00590B98"/>
    <w:rsid w:val="005931F5"/>
    <w:rsid w:val="00597019"/>
    <w:rsid w:val="0059767B"/>
    <w:rsid w:val="00597828"/>
    <w:rsid w:val="005A457E"/>
    <w:rsid w:val="005A532B"/>
    <w:rsid w:val="005A62AF"/>
    <w:rsid w:val="005B0F2D"/>
    <w:rsid w:val="005B3309"/>
    <w:rsid w:val="005B3932"/>
    <w:rsid w:val="005B554C"/>
    <w:rsid w:val="005B56E3"/>
    <w:rsid w:val="005B7B1E"/>
    <w:rsid w:val="005C0AF2"/>
    <w:rsid w:val="005C247C"/>
    <w:rsid w:val="005C4047"/>
    <w:rsid w:val="005C5001"/>
    <w:rsid w:val="005D4D9D"/>
    <w:rsid w:val="005D5D86"/>
    <w:rsid w:val="005D6A11"/>
    <w:rsid w:val="005D7E25"/>
    <w:rsid w:val="005E2B6C"/>
    <w:rsid w:val="005E2EC7"/>
    <w:rsid w:val="005E3FB2"/>
    <w:rsid w:val="005E499F"/>
    <w:rsid w:val="005E524E"/>
    <w:rsid w:val="005F2A0F"/>
    <w:rsid w:val="005F4DF6"/>
    <w:rsid w:val="005F5A85"/>
    <w:rsid w:val="005F6558"/>
    <w:rsid w:val="00600356"/>
    <w:rsid w:val="00605270"/>
    <w:rsid w:val="006067C5"/>
    <w:rsid w:val="006072D9"/>
    <w:rsid w:val="00610C29"/>
    <w:rsid w:val="00610F31"/>
    <w:rsid w:val="006114C7"/>
    <w:rsid w:val="006171CD"/>
    <w:rsid w:val="006171D7"/>
    <w:rsid w:val="0062475D"/>
    <w:rsid w:val="006260E2"/>
    <w:rsid w:val="00631D20"/>
    <w:rsid w:val="006365CC"/>
    <w:rsid w:val="006403FD"/>
    <w:rsid w:val="0064185D"/>
    <w:rsid w:val="00645DBD"/>
    <w:rsid w:val="00647340"/>
    <w:rsid w:val="00653FB2"/>
    <w:rsid w:val="006619B1"/>
    <w:rsid w:val="00664368"/>
    <w:rsid w:val="00665556"/>
    <w:rsid w:val="00666102"/>
    <w:rsid w:val="00670074"/>
    <w:rsid w:val="00673578"/>
    <w:rsid w:val="00674868"/>
    <w:rsid w:val="006765D6"/>
    <w:rsid w:val="0068050C"/>
    <w:rsid w:val="00680770"/>
    <w:rsid w:val="006815F2"/>
    <w:rsid w:val="00682D00"/>
    <w:rsid w:val="006832C6"/>
    <w:rsid w:val="006916B2"/>
    <w:rsid w:val="00694133"/>
    <w:rsid w:val="0069429E"/>
    <w:rsid w:val="00694846"/>
    <w:rsid w:val="006A06C3"/>
    <w:rsid w:val="006A1F54"/>
    <w:rsid w:val="006A48B2"/>
    <w:rsid w:val="006A7782"/>
    <w:rsid w:val="006B5DEF"/>
    <w:rsid w:val="006C1343"/>
    <w:rsid w:val="006C141D"/>
    <w:rsid w:val="006C2588"/>
    <w:rsid w:val="006C2797"/>
    <w:rsid w:val="006C4523"/>
    <w:rsid w:val="006C56D0"/>
    <w:rsid w:val="006C63D6"/>
    <w:rsid w:val="006D13B6"/>
    <w:rsid w:val="006D34F8"/>
    <w:rsid w:val="0070104C"/>
    <w:rsid w:val="00702870"/>
    <w:rsid w:val="00702EE2"/>
    <w:rsid w:val="007033FF"/>
    <w:rsid w:val="00703A8B"/>
    <w:rsid w:val="00703E66"/>
    <w:rsid w:val="0070756E"/>
    <w:rsid w:val="00707BAE"/>
    <w:rsid w:val="0071424E"/>
    <w:rsid w:val="00716016"/>
    <w:rsid w:val="00726ACE"/>
    <w:rsid w:val="00733663"/>
    <w:rsid w:val="007362B0"/>
    <w:rsid w:val="00737296"/>
    <w:rsid w:val="00743158"/>
    <w:rsid w:val="007435CF"/>
    <w:rsid w:val="007439CF"/>
    <w:rsid w:val="00746CF1"/>
    <w:rsid w:val="00746EB5"/>
    <w:rsid w:val="0074720F"/>
    <w:rsid w:val="00747FF4"/>
    <w:rsid w:val="007525E4"/>
    <w:rsid w:val="00756E3A"/>
    <w:rsid w:val="00760B2D"/>
    <w:rsid w:val="00761357"/>
    <w:rsid w:val="00766205"/>
    <w:rsid w:val="0077075C"/>
    <w:rsid w:val="00770980"/>
    <w:rsid w:val="00774D9A"/>
    <w:rsid w:val="0077620A"/>
    <w:rsid w:val="0077742A"/>
    <w:rsid w:val="007800D1"/>
    <w:rsid w:val="00783D13"/>
    <w:rsid w:val="0078752E"/>
    <w:rsid w:val="00787AAA"/>
    <w:rsid w:val="007957F6"/>
    <w:rsid w:val="007A159F"/>
    <w:rsid w:val="007A1A21"/>
    <w:rsid w:val="007A5106"/>
    <w:rsid w:val="007A558B"/>
    <w:rsid w:val="007A5D62"/>
    <w:rsid w:val="007A5F89"/>
    <w:rsid w:val="007B1605"/>
    <w:rsid w:val="007B3CFF"/>
    <w:rsid w:val="007B561B"/>
    <w:rsid w:val="007B590F"/>
    <w:rsid w:val="007B7828"/>
    <w:rsid w:val="007C3904"/>
    <w:rsid w:val="007C50F5"/>
    <w:rsid w:val="007D0597"/>
    <w:rsid w:val="007D32A0"/>
    <w:rsid w:val="007D6479"/>
    <w:rsid w:val="007E0817"/>
    <w:rsid w:val="007E1B83"/>
    <w:rsid w:val="007E32AD"/>
    <w:rsid w:val="007E7EDC"/>
    <w:rsid w:val="007F0C26"/>
    <w:rsid w:val="007F42E0"/>
    <w:rsid w:val="007F7367"/>
    <w:rsid w:val="008008A3"/>
    <w:rsid w:val="00802B56"/>
    <w:rsid w:val="008059AF"/>
    <w:rsid w:val="008060EF"/>
    <w:rsid w:val="008063DC"/>
    <w:rsid w:val="00816846"/>
    <w:rsid w:val="00816F86"/>
    <w:rsid w:val="00823208"/>
    <w:rsid w:val="00832CE5"/>
    <w:rsid w:val="008341C4"/>
    <w:rsid w:val="00835A82"/>
    <w:rsid w:val="008420DD"/>
    <w:rsid w:val="008439C6"/>
    <w:rsid w:val="0084591F"/>
    <w:rsid w:val="00847098"/>
    <w:rsid w:val="00850EDF"/>
    <w:rsid w:val="00855FD2"/>
    <w:rsid w:val="00867A9D"/>
    <w:rsid w:val="00883211"/>
    <w:rsid w:val="00883213"/>
    <w:rsid w:val="00894E5E"/>
    <w:rsid w:val="00896216"/>
    <w:rsid w:val="008A1A43"/>
    <w:rsid w:val="008A43FA"/>
    <w:rsid w:val="008B0675"/>
    <w:rsid w:val="008B442E"/>
    <w:rsid w:val="008B776A"/>
    <w:rsid w:val="008C261A"/>
    <w:rsid w:val="008C6587"/>
    <w:rsid w:val="008D3768"/>
    <w:rsid w:val="008D38CD"/>
    <w:rsid w:val="008D54DA"/>
    <w:rsid w:val="008E1B1C"/>
    <w:rsid w:val="008E3A69"/>
    <w:rsid w:val="008E3CCC"/>
    <w:rsid w:val="008E400C"/>
    <w:rsid w:val="008E4DDF"/>
    <w:rsid w:val="008F1B6B"/>
    <w:rsid w:val="008F2AA2"/>
    <w:rsid w:val="00901F34"/>
    <w:rsid w:val="00906F96"/>
    <w:rsid w:val="009114B3"/>
    <w:rsid w:val="009159C1"/>
    <w:rsid w:val="00915B4D"/>
    <w:rsid w:val="009215C7"/>
    <w:rsid w:val="00921ECE"/>
    <w:rsid w:val="00921ED0"/>
    <w:rsid w:val="00922EA1"/>
    <w:rsid w:val="009231BF"/>
    <w:rsid w:val="0092498B"/>
    <w:rsid w:val="009268C1"/>
    <w:rsid w:val="00931DFF"/>
    <w:rsid w:val="00931F00"/>
    <w:rsid w:val="00934F73"/>
    <w:rsid w:val="00935240"/>
    <w:rsid w:val="00941334"/>
    <w:rsid w:val="00942EFB"/>
    <w:rsid w:val="00944DBC"/>
    <w:rsid w:val="009504F1"/>
    <w:rsid w:val="00952C6F"/>
    <w:rsid w:val="00960D2D"/>
    <w:rsid w:val="00961242"/>
    <w:rsid w:val="00975C1F"/>
    <w:rsid w:val="00976F4B"/>
    <w:rsid w:val="00977AB4"/>
    <w:rsid w:val="00980C73"/>
    <w:rsid w:val="00981EEB"/>
    <w:rsid w:val="00984BF6"/>
    <w:rsid w:val="00986D10"/>
    <w:rsid w:val="00990995"/>
    <w:rsid w:val="00991709"/>
    <w:rsid w:val="00993380"/>
    <w:rsid w:val="00993B9C"/>
    <w:rsid w:val="00994398"/>
    <w:rsid w:val="00995813"/>
    <w:rsid w:val="0099688F"/>
    <w:rsid w:val="00997DC4"/>
    <w:rsid w:val="009A0010"/>
    <w:rsid w:val="009A5DF2"/>
    <w:rsid w:val="009A7176"/>
    <w:rsid w:val="009B2B0F"/>
    <w:rsid w:val="009B3852"/>
    <w:rsid w:val="009B5947"/>
    <w:rsid w:val="009B6BF2"/>
    <w:rsid w:val="009C037F"/>
    <w:rsid w:val="009C10F3"/>
    <w:rsid w:val="009C11EE"/>
    <w:rsid w:val="009C1C0A"/>
    <w:rsid w:val="009C3EC3"/>
    <w:rsid w:val="009C452B"/>
    <w:rsid w:val="009C5C7B"/>
    <w:rsid w:val="009C7122"/>
    <w:rsid w:val="009D1EB2"/>
    <w:rsid w:val="009E14B0"/>
    <w:rsid w:val="009E37A1"/>
    <w:rsid w:val="009F005C"/>
    <w:rsid w:val="009F0E3D"/>
    <w:rsid w:val="009F403B"/>
    <w:rsid w:val="009F453B"/>
    <w:rsid w:val="00A00564"/>
    <w:rsid w:val="00A01643"/>
    <w:rsid w:val="00A02ECD"/>
    <w:rsid w:val="00A03812"/>
    <w:rsid w:val="00A052A4"/>
    <w:rsid w:val="00A130B9"/>
    <w:rsid w:val="00A13FFE"/>
    <w:rsid w:val="00A14940"/>
    <w:rsid w:val="00A205F7"/>
    <w:rsid w:val="00A27EB2"/>
    <w:rsid w:val="00A31224"/>
    <w:rsid w:val="00A361A9"/>
    <w:rsid w:val="00A36EC2"/>
    <w:rsid w:val="00A4585D"/>
    <w:rsid w:val="00A57FD7"/>
    <w:rsid w:val="00A644C2"/>
    <w:rsid w:val="00A64ED2"/>
    <w:rsid w:val="00A701EF"/>
    <w:rsid w:val="00A80C05"/>
    <w:rsid w:val="00A86DE1"/>
    <w:rsid w:val="00A8736A"/>
    <w:rsid w:val="00A9080C"/>
    <w:rsid w:val="00A924E9"/>
    <w:rsid w:val="00A979B6"/>
    <w:rsid w:val="00AA0818"/>
    <w:rsid w:val="00AA3566"/>
    <w:rsid w:val="00AA51A5"/>
    <w:rsid w:val="00AA767E"/>
    <w:rsid w:val="00AB1010"/>
    <w:rsid w:val="00AB1457"/>
    <w:rsid w:val="00AB1C2C"/>
    <w:rsid w:val="00AB61C9"/>
    <w:rsid w:val="00AB64BA"/>
    <w:rsid w:val="00AD4FC6"/>
    <w:rsid w:val="00AD6B4B"/>
    <w:rsid w:val="00AE0423"/>
    <w:rsid w:val="00AE5F68"/>
    <w:rsid w:val="00B01641"/>
    <w:rsid w:val="00B04EA5"/>
    <w:rsid w:val="00B05F6F"/>
    <w:rsid w:val="00B0607A"/>
    <w:rsid w:val="00B060C8"/>
    <w:rsid w:val="00B06A80"/>
    <w:rsid w:val="00B07B18"/>
    <w:rsid w:val="00B07DAC"/>
    <w:rsid w:val="00B11FB9"/>
    <w:rsid w:val="00B1483C"/>
    <w:rsid w:val="00B14862"/>
    <w:rsid w:val="00B2003B"/>
    <w:rsid w:val="00B2361F"/>
    <w:rsid w:val="00B26121"/>
    <w:rsid w:val="00B27903"/>
    <w:rsid w:val="00B30656"/>
    <w:rsid w:val="00B40E30"/>
    <w:rsid w:val="00B41B57"/>
    <w:rsid w:val="00B42A63"/>
    <w:rsid w:val="00B47934"/>
    <w:rsid w:val="00B53AD1"/>
    <w:rsid w:val="00B55A63"/>
    <w:rsid w:val="00B608D9"/>
    <w:rsid w:val="00B62175"/>
    <w:rsid w:val="00B65217"/>
    <w:rsid w:val="00B65901"/>
    <w:rsid w:val="00B66DF2"/>
    <w:rsid w:val="00B7029B"/>
    <w:rsid w:val="00B74AC4"/>
    <w:rsid w:val="00B761CF"/>
    <w:rsid w:val="00B810E5"/>
    <w:rsid w:val="00B8131A"/>
    <w:rsid w:val="00B8162A"/>
    <w:rsid w:val="00B8444F"/>
    <w:rsid w:val="00B8477E"/>
    <w:rsid w:val="00B8761A"/>
    <w:rsid w:val="00B916B2"/>
    <w:rsid w:val="00B95866"/>
    <w:rsid w:val="00B9692C"/>
    <w:rsid w:val="00BA0D50"/>
    <w:rsid w:val="00BA142B"/>
    <w:rsid w:val="00BA29CC"/>
    <w:rsid w:val="00BA37FF"/>
    <w:rsid w:val="00BA3D06"/>
    <w:rsid w:val="00BB0CFC"/>
    <w:rsid w:val="00BB2020"/>
    <w:rsid w:val="00BB29BC"/>
    <w:rsid w:val="00BB5974"/>
    <w:rsid w:val="00BB7260"/>
    <w:rsid w:val="00BC5EEE"/>
    <w:rsid w:val="00BC72E1"/>
    <w:rsid w:val="00BD3635"/>
    <w:rsid w:val="00BD3694"/>
    <w:rsid w:val="00BD7071"/>
    <w:rsid w:val="00BE5375"/>
    <w:rsid w:val="00BE6EFF"/>
    <w:rsid w:val="00BE7CA0"/>
    <w:rsid w:val="00BF1361"/>
    <w:rsid w:val="00BF3E72"/>
    <w:rsid w:val="00BF5582"/>
    <w:rsid w:val="00C03624"/>
    <w:rsid w:val="00C03746"/>
    <w:rsid w:val="00C0427E"/>
    <w:rsid w:val="00C0474B"/>
    <w:rsid w:val="00C049CE"/>
    <w:rsid w:val="00C059B2"/>
    <w:rsid w:val="00C12038"/>
    <w:rsid w:val="00C1654D"/>
    <w:rsid w:val="00C175B3"/>
    <w:rsid w:val="00C2060C"/>
    <w:rsid w:val="00C21FE3"/>
    <w:rsid w:val="00C222B7"/>
    <w:rsid w:val="00C23F3C"/>
    <w:rsid w:val="00C31558"/>
    <w:rsid w:val="00C32748"/>
    <w:rsid w:val="00C36672"/>
    <w:rsid w:val="00C3668B"/>
    <w:rsid w:val="00C427C8"/>
    <w:rsid w:val="00C42E82"/>
    <w:rsid w:val="00C43280"/>
    <w:rsid w:val="00C4467D"/>
    <w:rsid w:val="00C472F6"/>
    <w:rsid w:val="00C47B97"/>
    <w:rsid w:val="00C47C59"/>
    <w:rsid w:val="00C47D53"/>
    <w:rsid w:val="00C5103F"/>
    <w:rsid w:val="00C52A57"/>
    <w:rsid w:val="00C52DB9"/>
    <w:rsid w:val="00C55127"/>
    <w:rsid w:val="00C5565B"/>
    <w:rsid w:val="00C60176"/>
    <w:rsid w:val="00C60C8D"/>
    <w:rsid w:val="00C6177B"/>
    <w:rsid w:val="00C65347"/>
    <w:rsid w:val="00C66F34"/>
    <w:rsid w:val="00C70274"/>
    <w:rsid w:val="00C728EB"/>
    <w:rsid w:val="00C8258C"/>
    <w:rsid w:val="00C83898"/>
    <w:rsid w:val="00C842DF"/>
    <w:rsid w:val="00C877B9"/>
    <w:rsid w:val="00C922BF"/>
    <w:rsid w:val="00C95CD7"/>
    <w:rsid w:val="00C95D57"/>
    <w:rsid w:val="00CA32C5"/>
    <w:rsid w:val="00CA4D24"/>
    <w:rsid w:val="00CB108E"/>
    <w:rsid w:val="00CB39FD"/>
    <w:rsid w:val="00CB4D09"/>
    <w:rsid w:val="00CB5B62"/>
    <w:rsid w:val="00CB5DAC"/>
    <w:rsid w:val="00CB6BCF"/>
    <w:rsid w:val="00CC29B8"/>
    <w:rsid w:val="00CC4040"/>
    <w:rsid w:val="00CC4467"/>
    <w:rsid w:val="00CC69F3"/>
    <w:rsid w:val="00CC71AD"/>
    <w:rsid w:val="00CD2D3B"/>
    <w:rsid w:val="00CD31A7"/>
    <w:rsid w:val="00CD3689"/>
    <w:rsid w:val="00CE278D"/>
    <w:rsid w:val="00CE34F8"/>
    <w:rsid w:val="00CE5CE3"/>
    <w:rsid w:val="00CE76F7"/>
    <w:rsid w:val="00CF43CD"/>
    <w:rsid w:val="00CF6B25"/>
    <w:rsid w:val="00CF6C7C"/>
    <w:rsid w:val="00CF73BB"/>
    <w:rsid w:val="00CF77F6"/>
    <w:rsid w:val="00D0322B"/>
    <w:rsid w:val="00D118E8"/>
    <w:rsid w:val="00D2381B"/>
    <w:rsid w:val="00D25894"/>
    <w:rsid w:val="00D25EF3"/>
    <w:rsid w:val="00D31135"/>
    <w:rsid w:val="00D32EE8"/>
    <w:rsid w:val="00D34372"/>
    <w:rsid w:val="00D53320"/>
    <w:rsid w:val="00D53AE4"/>
    <w:rsid w:val="00D54F9E"/>
    <w:rsid w:val="00D555B6"/>
    <w:rsid w:val="00D60BD3"/>
    <w:rsid w:val="00D61B24"/>
    <w:rsid w:val="00D679D6"/>
    <w:rsid w:val="00D75294"/>
    <w:rsid w:val="00D77A9A"/>
    <w:rsid w:val="00D822D1"/>
    <w:rsid w:val="00DA178B"/>
    <w:rsid w:val="00DA1AB3"/>
    <w:rsid w:val="00DA44D0"/>
    <w:rsid w:val="00DA4CBE"/>
    <w:rsid w:val="00DA6A52"/>
    <w:rsid w:val="00DB3C3A"/>
    <w:rsid w:val="00DC08A3"/>
    <w:rsid w:val="00DC0AD3"/>
    <w:rsid w:val="00DC2978"/>
    <w:rsid w:val="00DC5ED1"/>
    <w:rsid w:val="00DC7620"/>
    <w:rsid w:val="00DD1E70"/>
    <w:rsid w:val="00DD2563"/>
    <w:rsid w:val="00DD2A8F"/>
    <w:rsid w:val="00DD4E21"/>
    <w:rsid w:val="00DD7585"/>
    <w:rsid w:val="00DE21D4"/>
    <w:rsid w:val="00DE33FD"/>
    <w:rsid w:val="00DE4D40"/>
    <w:rsid w:val="00DE670D"/>
    <w:rsid w:val="00DF1520"/>
    <w:rsid w:val="00DF2B96"/>
    <w:rsid w:val="00DF498B"/>
    <w:rsid w:val="00E01A94"/>
    <w:rsid w:val="00E032EF"/>
    <w:rsid w:val="00E07781"/>
    <w:rsid w:val="00E07C80"/>
    <w:rsid w:val="00E130F8"/>
    <w:rsid w:val="00E15817"/>
    <w:rsid w:val="00E17FE1"/>
    <w:rsid w:val="00E23BD4"/>
    <w:rsid w:val="00E25A0F"/>
    <w:rsid w:val="00E32DC8"/>
    <w:rsid w:val="00E33ACC"/>
    <w:rsid w:val="00E33C45"/>
    <w:rsid w:val="00E37CC5"/>
    <w:rsid w:val="00E4034B"/>
    <w:rsid w:val="00E40BB0"/>
    <w:rsid w:val="00E40FD5"/>
    <w:rsid w:val="00E431CB"/>
    <w:rsid w:val="00E474DA"/>
    <w:rsid w:val="00E53696"/>
    <w:rsid w:val="00E5534A"/>
    <w:rsid w:val="00E56962"/>
    <w:rsid w:val="00E61CE7"/>
    <w:rsid w:val="00E63AE6"/>
    <w:rsid w:val="00E66826"/>
    <w:rsid w:val="00E719A6"/>
    <w:rsid w:val="00E73FC1"/>
    <w:rsid w:val="00E74658"/>
    <w:rsid w:val="00E76577"/>
    <w:rsid w:val="00E76B1E"/>
    <w:rsid w:val="00E8174F"/>
    <w:rsid w:val="00E82768"/>
    <w:rsid w:val="00E82A10"/>
    <w:rsid w:val="00E83E91"/>
    <w:rsid w:val="00E854B4"/>
    <w:rsid w:val="00E868D7"/>
    <w:rsid w:val="00E86B0A"/>
    <w:rsid w:val="00E87C55"/>
    <w:rsid w:val="00E90F21"/>
    <w:rsid w:val="00E9331D"/>
    <w:rsid w:val="00E95C24"/>
    <w:rsid w:val="00E975B3"/>
    <w:rsid w:val="00EA06AE"/>
    <w:rsid w:val="00EA32D1"/>
    <w:rsid w:val="00EA41CC"/>
    <w:rsid w:val="00EB0266"/>
    <w:rsid w:val="00EB1A49"/>
    <w:rsid w:val="00EB1DC3"/>
    <w:rsid w:val="00EB4198"/>
    <w:rsid w:val="00EB5373"/>
    <w:rsid w:val="00EB6918"/>
    <w:rsid w:val="00EB6EF7"/>
    <w:rsid w:val="00EC0F25"/>
    <w:rsid w:val="00EC1645"/>
    <w:rsid w:val="00EC23B2"/>
    <w:rsid w:val="00EC3198"/>
    <w:rsid w:val="00EC37B4"/>
    <w:rsid w:val="00ED1820"/>
    <w:rsid w:val="00ED2407"/>
    <w:rsid w:val="00ED2ABF"/>
    <w:rsid w:val="00ED3868"/>
    <w:rsid w:val="00ED40C6"/>
    <w:rsid w:val="00ED59BE"/>
    <w:rsid w:val="00ED6369"/>
    <w:rsid w:val="00ED7BCF"/>
    <w:rsid w:val="00ED7EFC"/>
    <w:rsid w:val="00EE2F99"/>
    <w:rsid w:val="00EE42F0"/>
    <w:rsid w:val="00EE6BB2"/>
    <w:rsid w:val="00EF0199"/>
    <w:rsid w:val="00EF0855"/>
    <w:rsid w:val="00EF2654"/>
    <w:rsid w:val="00EF4794"/>
    <w:rsid w:val="00F021B2"/>
    <w:rsid w:val="00F02392"/>
    <w:rsid w:val="00F06CB1"/>
    <w:rsid w:val="00F1124B"/>
    <w:rsid w:val="00F16135"/>
    <w:rsid w:val="00F169B4"/>
    <w:rsid w:val="00F2002A"/>
    <w:rsid w:val="00F23880"/>
    <w:rsid w:val="00F244FA"/>
    <w:rsid w:val="00F27695"/>
    <w:rsid w:val="00F316C8"/>
    <w:rsid w:val="00F35993"/>
    <w:rsid w:val="00F3768C"/>
    <w:rsid w:val="00F42C08"/>
    <w:rsid w:val="00F4483C"/>
    <w:rsid w:val="00F47A85"/>
    <w:rsid w:val="00F553E0"/>
    <w:rsid w:val="00F5682A"/>
    <w:rsid w:val="00F57849"/>
    <w:rsid w:val="00F6357C"/>
    <w:rsid w:val="00F63D92"/>
    <w:rsid w:val="00F6645A"/>
    <w:rsid w:val="00F67042"/>
    <w:rsid w:val="00F73FED"/>
    <w:rsid w:val="00F762C0"/>
    <w:rsid w:val="00F8182A"/>
    <w:rsid w:val="00F82825"/>
    <w:rsid w:val="00F829D7"/>
    <w:rsid w:val="00F8732B"/>
    <w:rsid w:val="00F905B5"/>
    <w:rsid w:val="00F92CDC"/>
    <w:rsid w:val="00FA015A"/>
    <w:rsid w:val="00FA0E0F"/>
    <w:rsid w:val="00FA1AEE"/>
    <w:rsid w:val="00FA7B5E"/>
    <w:rsid w:val="00FB0140"/>
    <w:rsid w:val="00FB06AF"/>
    <w:rsid w:val="00FB1FDA"/>
    <w:rsid w:val="00FB4AA7"/>
    <w:rsid w:val="00FC0C4F"/>
    <w:rsid w:val="00FD112C"/>
    <w:rsid w:val="00FD397A"/>
    <w:rsid w:val="00FD3E0A"/>
    <w:rsid w:val="00FD4B3F"/>
    <w:rsid w:val="00FD4DCA"/>
    <w:rsid w:val="00FE0D28"/>
    <w:rsid w:val="00FE7DB3"/>
    <w:rsid w:val="00FF1075"/>
    <w:rsid w:val="00FF352E"/>
    <w:rsid w:val="00FF6822"/>
    <w:rsid w:val="03D42E2E"/>
    <w:rsid w:val="084560A8"/>
    <w:rsid w:val="0EE43FDB"/>
    <w:rsid w:val="0FE268D2"/>
    <w:rsid w:val="10E87F18"/>
    <w:rsid w:val="1198193E"/>
    <w:rsid w:val="124D2729"/>
    <w:rsid w:val="1C5B3C94"/>
    <w:rsid w:val="1C664620"/>
    <w:rsid w:val="1D576500"/>
    <w:rsid w:val="1DAB47A7"/>
    <w:rsid w:val="1ECB5101"/>
    <w:rsid w:val="20E93F65"/>
    <w:rsid w:val="27A85F06"/>
    <w:rsid w:val="2C163734"/>
    <w:rsid w:val="2C876322"/>
    <w:rsid w:val="30B8300C"/>
    <w:rsid w:val="314174A5"/>
    <w:rsid w:val="317E6003"/>
    <w:rsid w:val="331A61FF"/>
    <w:rsid w:val="34586FDF"/>
    <w:rsid w:val="35B23F7A"/>
    <w:rsid w:val="35EA458A"/>
    <w:rsid w:val="3ABB3E24"/>
    <w:rsid w:val="3D8C7E17"/>
    <w:rsid w:val="3E4826AF"/>
    <w:rsid w:val="3EB14A58"/>
    <w:rsid w:val="3EEC2650"/>
    <w:rsid w:val="428419AD"/>
    <w:rsid w:val="42BC00D2"/>
    <w:rsid w:val="436C20FF"/>
    <w:rsid w:val="46511AE0"/>
    <w:rsid w:val="47370831"/>
    <w:rsid w:val="49A86E80"/>
    <w:rsid w:val="4A6A1B85"/>
    <w:rsid w:val="4B8F2A87"/>
    <w:rsid w:val="4C6439A0"/>
    <w:rsid w:val="4DF705FA"/>
    <w:rsid w:val="4F2C4E99"/>
    <w:rsid w:val="4FF736F9"/>
    <w:rsid w:val="50212524"/>
    <w:rsid w:val="52652B92"/>
    <w:rsid w:val="52862B12"/>
    <w:rsid w:val="54534C76"/>
    <w:rsid w:val="548B2661"/>
    <w:rsid w:val="55F76E97"/>
    <w:rsid w:val="581C423E"/>
    <w:rsid w:val="59EF76C0"/>
    <w:rsid w:val="5B496210"/>
    <w:rsid w:val="5EF329D5"/>
    <w:rsid w:val="5F9C4986"/>
    <w:rsid w:val="60662E96"/>
    <w:rsid w:val="66292819"/>
    <w:rsid w:val="66B772E6"/>
    <w:rsid w:val="68A5389A"/>
    <w:rsid w:val="68CA3301"/>
    <w:rsid w:val="6CBF686D"/>
    <w:rsid w:val="6D632046"/>
    <w:rsid w:val="6F1F4627"/>
    <w:rsid w:val="702A1E76"/>
    <w:rsid w:val="70D01A20"/>
    <w:rsid w:val="76F52177"/>
    <w:rsid w:val="770C454B"/>
    <w:rsid w:val="78160310"/>
    <w:rsid w:val="7AA5772A"/>
    <w:rsid w:val="7C172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qFormat="1" w:unhideWhenUsed="0" w:uiPriority="99" w:semiHidden="0"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eastAsia="宋体" w:cstheme="minorBidi"/>
      <w:kern w:val="2"/>
      <w:sz w:val="24"/>
      <w:szCs w:val="22"/>
      <w:lang w:val="en-US" w:eastAsia="zh-CN" w:bidi="ar-SA"/>
    </w:rPr>
  </w:style>
  <w:style w:type="paragraph" w:styleId="2">
    <w:name w:val="heading 3"/>
    <w:basedOn w:val="1"/>
    <w:next w:val="1"/>
    <w:link w:val="40"/>
    <w:unhideWhenUsed/>
    <w:qFormat/>
    <w:uiPriority w:val="9"/>
    <w:pPr>
      <w:keepNext/>
      <w:keepLines/>
      <w:spacing w:before="260" w:after="260" w:line="416" w:lineRule="auto"/>
      <w:outlineLvl w:val="2"/>
    </w:pPr>
    <w:rPr>
      <w:b/>
      <w:bCs/>
      <w:sz w:val="32"/>
      <w:szCs w:val="32"/>
    </w:rPr>
  </w:style>
  <w:style w:type="paragraph" w:styleId="3">
    <w:name w:val="heading 4"/>
    <w:next w:val="4"/>
    <w:unhideWhenUsed/>
    <w:qFormat/>
    <w:uiPriority w:val="9"/>
    <w:pPr>
      <w:keepNext/>
      <w:keepLines/>
      <w:numPr>
        <w:ilvl w:val="3"/>
        <w:numId w:val="1"/>
      </w:numPr>
      <w:spacing w:before="50" w:beforeLines="50" w:after="50" w:afterLines="50" w:line="360" w:lineRule="auto"/>
      <w:jc w:val="both"/>
      <w:outlineLvl w:val="3"/>
    </w:pPr>
    <w:rPr>
      <w:rFonts w:ascii="Times New Roman" w:hAnsi="Times New Roman" w:eastAsia="宋体" w:cs="Times New Roman"/>
      <w:b/>
      <w:bCs/>
      <w:kern w:val="2"/>
      <w:sz w:val="24"/>
      <w:szCs w:val="28"/>
      <w:lang w:val="en-US" w:eastAsia="zh-CN" w:bidi="ar-SA"/>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semiHidden/>
    <w:unhideWhenUsed/>
    <w:qFormat/>
    <w:uiPriority w:val="99"/>
    <w:pPr>
      <w:spacing w:before="50" w:beforeLines="50" w:line="360" w:lineRule="auto"/>
      <w:ind w:firstLine="200" w:firstLineChars="200"/>
      <w:jc w:val="both"/>
    </w:pPr>
    <w:rPr>
      <w:rFonts w:ascii="Times New Roman" w:hAnsi="Times New Roman" w:eastAsia="宋体" w:cs="Times New Roman"/>
      <w:kern w:val="2"/>
      <w:sz w:val="24"/>
      <w:szCs w:val="23"/>
      <w:lang w:val="en-US" w:eastAsia="zh-CN" w:bidi="ar-SA"/>
    </w:rPr>
  </w:style>
  <w:style w:type="paragraph" w:styleId="5">
    <w:name w:val="E-mail Signature"/>
    <w:basedOn w:val="1"/>
    <w:link w:val="28"/>
    <w:qFormat/>
    <w:uiPriority w:val="99"/>
    <w:pPr>
      <w:spacing w:line="240" w:lineRule="auto"/>
      <w:jc w:val="left"/>
    </w:pPr>
    <w:rPr>
      <w:rFonts w:eastAsia="Times New Roman" w:cs="Calibri"/>
      <w:color w:val="000000"/>
      <w:kern w:val="0"/>
      <w:szCs w:val="24"/>
    </w:rPr>
  </w:style>
  <w:style w:type="paragraph" w:styleId="6">
    <w:name w:val="annotation text"/>
    <w:basedOn w:val="1"/>
    <w:link w:val="27"/>
    <w:unhideWhenUsed/>
    <w:qFormat/>
    <w:uiPriority w:val="99"/>
    <w:pPr>
      <w:widowControl w:val="0"/>
      <w:spacing w:line="240" w:lineRule="auto"/>
      <w:jc w:val="left"/>
    </w:pPr>
    <w:rPr>
      <w:rFonts w:ascii="Calibri" w:hAnsi="Calibri" w:cs="Calibri"/>
      <w:color w:val="000000"/>
      <w:szCs w:val="20"/>
    </w:rPr>
  </w:style>
  <w:style w:type="paragraph" w:styleId="7">
    <w:name w:val="toc 3"/>
    <w:basedOn w:val="1"/>
    <w:next w:val="1"/>
    <w:unhideWhenUsed/>
    <w:qFormat/>
    <w:uiPriority w:val="39"/>
    <w:pPr>
      <w:ind w:left="840" w:leftChars="400"/>
    </w:pPr>
  </w:style>
  <w:style w:type="paragraph" w:styleId="8">
    <w:name w:val="Balloon Text"/>
    <w:basedOn w:val="1"/>
    <w:link w:val="19"/>
    <w:semiHidden/>
    <w:unhideWhenUsed/>
    <w:qFormat/>
    <w:uiPriority w:val="99"/>
    <w:pPr>
      <w:spacing w:line="240" w:lineRule="auto"/>
    </w:pPr>
    <w:rPr>
      <w:sz w:val="18"/>
      <w:szCs w:val="18"/>
    </w:rPr>
  </w:style>
  <w:style w:type="paragraph" w:styleId="9">
    <w:name w:val="footer"/>
    <w:basedOn w:val="1"/>
    <w:link w:val="21"/>
    <w:unhideWhenUsed/>
    <w:qFormat/>
    <w:uiPriority w:val="99"/>
    <w:pPr>
      <w:tabs>
        <w:tab w:val="center" w:pos="4153"/>
        <w:tab w:val="right" w:pos="8306"/>
      </w:tabs>
      <w:snapToGrid w:val="0"/>
      <w:spacing w:line="240" w:lineRule="auto"/>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1">
    <w:name w:val="toc 1"/>
    <w:basedOn w:val="1"/>
    <w:next w:val="1"/>
    <w:unhideWhenUsed/>
    <w:qFormat/>
    <w:uiPriority w:val="39"/>
    <w:pPr>
      <w:tabs>
        <w:tab w:val="right" w:leader="dot" w:pos="8296"/>
      </w:tabs>
    </w:pPr>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spacing w:before="100" w:beforeAutospacing="1" w:after="100" w:afterAutospacing="1" w:line="240" w:lineRule="auto"/>
      <w:jc w:val="left"/>
    </w:pPr>
    <w:rPr>
      <w:rFonts w:ascii="宋体" w:hAnsi="宋体" w:cs="宋体"/>
      <w:kern w:val="0"/>
      <w:szCs w:val="24"/>
    </w:rPr>
  </w:style>
  <w:style w:type="paragraph" w:styleId="14">
    <w:name w:val="annotation subject"/>
    <w:basedOn w:val="6"/>
    <w:next w:val="6"/>
    <w:link w:val="32"/>
    <w:semiHidden/>
    <w:unhideWhenUsed/>
    <w:qFormat/>
    <w:uiPriority w:val="99"/>
    <w:pPr>
      <w:widowControl/>
      <w:spacing w:line="360" w:lineRule="auto"/>
    </w:pPr>
    <w:rPr>
      <w:rFonts w:ascii="Times New Roman" w:hAnsi="Times New Roman" w:cstheme="minorBidi"/>
      <w:b/>
      <w:bCs/>
      <w:color w:val="auto"/>
      <w:szCs w:val="22"/>
    </w:r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unhideWhenUsed/>
    <w:qFormat/>
    <w:uiPriority w:val="99"/>
    <w:rPr>
      <w:sz w:val="21"/>
      <w:szCs w:val="21"/>
    </w:rPr>
  </w:style>
  <w:style w:type="character" w:customStyle="1" w:styleId="19">
    <w:name w:val="批注框文本 字符"/>
    <w:basedOn w:val="16"/>
    <w:link w:val="8"/>
    <w:semiHidden/>
    <w:qFormat/>
    <w:uiPriority w:val="99"/>
    <w:rPr>
      <w:sz w:val="18"/>
      <w:szCs w:val="18"/>
    </w:rPr>
  </w:style>
  <w:style w:type="character" w:customStyle="1" w:styleId="20">
    <w:name w:val="页眉 字符"/>
    <w:basedOn w:val="16"/>
    <w:link w:val="10"/>
    <w:qFormat/>
    <w:uiPriority w:val="99"/>
    <w:rPr>
      <w:sz w:val="18"/>
      <w:szCs w:val="18"/>
    </w:rPr>
  </w:style>
  <w:style w:type="character" w:customStyle="1" w:styleId="21">
    <w:name w:val="页脚 字符"/>
    <w:basedOn w:val="16"/>
    <w:link w:val="9"/>
    <w:qFormat/>
    <w:uiPriority w:val="99"/>
    <w:rPr>
      <w:sz w:val="18"/>
      <w:szCs w:val="18"/>
    </w:rPr>
  </w:style>
  <w:style w:type="paragraph" w:customStyle="1" w:styleId="22">
    <w:name w:val="标题2"/>
    <w:basedOn w:val="1"/>
    <w:link w:val="23"/>
    <w:qFormat/>
    <w:uiPriority w:val="0"/>
    <w:pPr>
      <w:adjustRightInd w:val="0"/>
      <w:spacing w:before="50" w:beforeLines="50" w:after="50" w:afterLines="50"/>
      <w:jc w:val="left"/>
      <w:outlineLvl w:val="1"/>
    </w:pPr>
    <w:rPr>
      <w:rFonts w:ascii="宋体" w:hAnsi="宋体" w:eastAsia="黑体" w:cs="Times New Roman"/>
      <w:b/>
      <w:kern w:val="0"/>
      <w:sz w:val="32"/>
      <w:szCs w:val="24"/>
    </w:rPr>
  </w:style>
  <w:style w:type="character" w:customStyle="1" w:styleId="23">
    <w:name w:val="标题2 Char"/>
    <w:link w:val="22"/>
    <w:qFormat/>
    <w:uiPriority w:val="0"/>
    <w:rPr>
      <w:rFonts w:ascii="宋体" w:hAnsi="宋体" w:eastAsia="黑体" w:cs="Times New Roman"/>
      <w:b/>
      <w:kern w:val="0"/>
      <w:sz w:val="32"/>
      <w:szCs w:val="24"/>
    </w:rPr>
  </w:style>
  <w:style w:type="paragraph" w:customStyle="1" w:styleId="24">
    <w:name w:val="005正文"/>
    <w:link w:val="30"/>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5">
    <w:name w:val="004四级标题"/>
    <w:qFormat/>
    <w:uiPriority w:val="0"/>
    <w:pPr>
      <w:keepNext/>
      <w:keepLines/>
      <w:widowControl w:val="0"/>
      <w:spacing w:line="360" w:lineRule="auto"/>
      <w:ind w:firstLine="200" w:firstLineChars="200"/>
      <w:outlineLvl w:val="3"/>
    </w:pPr>
    <w:rPr>
      <w:rFonts w:ascii="Times New Roman" w:hAnsi="Times New Roman" w:eastAsia="宋体" w:cs="Times New Roman"/>
      <w:b/>
      <w:bCs/>
      <w:kern w:val="2"/>
      <w:sz w:val="24"/>
      <w:szCs w:val="28"/>
      <w:lang w:val="zh-CN" w:eastAsia="zh-CN" w:bidi="ar-SA"/>
    </w:rPr>
  </w:style>
  <w:style w:type="paragraph" w:customStyle="1" w:styleId="26">
    <w:name w:val="003三级标题"/>
    <w:qFormat/>
    <w:uiPriority w:val="0"/>
    <w:pPr>
      <w:keepNext/>
      <w:keepLines/>
      <w:spacing w:line="360" w:lineRule="auto"/>
      <w:ind w:firstLine="200" w:firstLineChars="200"/>
      <w:outlineLvl w:val="2"/>
    </w:pPr>
    <w:rPr>
      <w:rFonts w:ascii="Times New Roman" w:hAnsi="Times New Roman" w:eastAsia="黑体" w:cs="Times New Roman"/>
      <w:b/>
      <w:bCs/>
      <w:kern w:val="2"/>
      <w:sz w:val="24"/>
      <w:szCs w:val="28"/>
      <w:lang w:val="en-US" w:eastAsia="zh-CN" w:bidi="ar-SA"/>
    </w:rPr>
  </w:style>
  <w:style w:type="character" w:customStyle="1" w:styleId="27">
    <w:name w:val="批注文字 字符"/>
    <w:basedOn w:val="16"/>
    <w:link w:val="6"/>
    <w:qFormat/>
    <w:uiPriority w:val="99"/>
    <w:rPr>
      <w:rFonts w:ascii="Calibri" w:hAnsi="Calibri" w:cs="Calibri"/>
      <w:color w:val="000000"/>
      <w:szCs w:val="20"/>
    </w:rPr>
  </w:style>
  <w:style w:type="character" w:customStyle="1" w:styleId="28">
    <w:name w:val="电子邮件签名 字符"/>
    <w:basedOn w:val="16"/>
    <w:link w:val="5"/>
    <w:qFormat/>
    <w:uiPriority w:val="99"/>
    <w:rPr>
      <w:rFonts w:eastAsia="Times New Roman" w:cs="Calibri"/>
      <w:color w:val="000000"/>
      <w:kern w:val="0"/>
      <w:szCs w:val="24"/>
    </w:rPr>
  </w:style>
  <w:style w:type="character" w:customStyle="1" w:styleId="29">
    <w:name w:val="批注文字 Char4"/>
    <w:basedOn w:val="16"/>
    <w:qFormat/>
    <w:uiPriority w:val="99"/>
    <w:rPr>
      <w:rFonts w:ascii="Times New Roman" w:hAnsi="Times New Roman" w:eastAsia="宋体" w:cs="Times New Roman"/>
      <w:sz w:val="24"/>
      <w:szCs w:val="24"/>
    </w:rPr>
  </w:style>
  <w:style w:type="character" w:customStyle="1" w:styleId="30">
    <w:name w:val="005正文 Char"/>
    <w:link w:val="24"/>
    <w:qFormat/>
    <w:uiPriority w:val="0"/>
    <w:rPr>
      <w:rFonts w:cs="Times New Roman"/>
    </w:rPr>
  </w:style>
  <w:style w:type="paragraph" w:customStyle="1" w:styleId="31">
    <w:name w:val="修订1"/>
    <w:hidden/>
    <w:semiHidden/>
    <w:qFormat/>
    <w:uiPriority w:val="99"/>
    <w:rPr>
      <w:rFonts w:ascii="Times New Roman" w:hAnsi="Times New Roman" w:eastAsia="宋体" w:cstheme="minorBidi"/>
      <w:kern w:val="2"/>
      <w:sz w:val="24"/>
      <w:szCs w:val="22"/>
      <w:lang w:val="en-US" w:eastAsia="zh-CN" w:bidi="ar-SA"/>
    </w:rPr>
  </w:style>
  <w:style w:type="character" w:customStyle="1" w:styleId="32">
    <w:name w:val="批注主题 字符"/>
    <w:basedOn w:val="27"/>
    <w:link w:val="14"/>
    <w:semiHidden/>
    <w:qFormat/>
    <w:uiPriority w:val="99"/>
    <w:rPr>
      <w:rFonts w:ascii="Calibri" w:hAnsi="Calibri" w:cs="Calibri"/>
      <w:b/>
      <w:bCs/>
      <w:color w:val="000000"/>
      <w:szCs w:val="20"/>
    </w:rPr>
  </w:style>
  <w:style w:type="paragraph" w:styleId="33">
    <w:name w:val="List Paragraph"/>
    <w:basedOn w:val="1"/>
    <w:qFormat/>
    <w:uiPriority w:val="34"/>
    <w:pPr>
      <w:ind w:firstLine="420" w:firstLineChars="200"/>
    </w:pPr>
  </w:style>
  <w:style w:type="paragraph" w:customStyle="1" w:styleId="34">
    <w:name w:val="4级"/>
    <w:basedOn w:val="1"/>
    <w:next w:val="1"/>
    <w:qFormat/>
    <w:uiPriority w:val="0"/>
    <w:pPr>
      <w:spacing w:beforeLines="50"/>
      <w:ind w:firstLine="200" w:firstLineChars="200"/>
      <w:outlineLvl w:val="3"/>
    </w:pPr>
    <w:rPr>
      <w:rFonts w:cs="Times New Roman"/>
      <w:b/>
      <w:szCs w:val="24"/>
    </w:rPr>
  </w:style>
  <w:style w:type="table" w:customStyle="1" w:styleId="35">
    <w:name w:val="样式1"/>
    <w:basedOn w:val="15"/>
    <w:qFormat/>
    <w:uiPriority w:val="99"/>
    <w:tblPr>
      <w:tblBorders>
        <w:top w:val="single" w:color="auto" w:sz="12" w:space="0"/>
        <w:bottom w:val="single" w:color="auto" w:sz="12" w:space="0"/>
        <w:insideH w:val="single" w:color="auto" w:sz="4" w:space="0"/>
        <w:insideV w:val="single" w:color="auto" w:sz="4" w:space="0"/>
      </w:tblBorders>
    </w:tblPr>
    <w:tcPr>
      <w:vAlign w:val="center"/>
    </w:tcPr>
    <w:tblStylePr w:type="lastRow">
      <w:rPr>
        <w:b/>
      </w:rPr>
    </w:tblStylePr>
    <w:tblStylePr w:type="swCell">
      <w:pPr>
        <w:jc w:val="center"/>
      </w:pPr>
      <w:tcPr>
        <w:vAlign w:val="center"/>
      </w:tcPr>
    </w:tblStylePr>
  </w:style>
  <w:style w:type="table" w:customStyle="1" w:styleId="36">
    <w:name w:val="恒工精密"/>
    <w:basedOn w:val="15"/>
    <w:qFormat/>
    <w:uiPriority w:val="99"/>
    <w:pPr>
      <w:jc w:val="center"/>
    </w:pPr>
    <w:rPr>
      <w:rFonts w:eastAsia="Times New Roman"/>
      <w:sz w:val="21"/>
    </w:rPr>
    <w:tblPr>
      <w:tblBorders>
        <w:top w:val="single" w:color="auto" w:sz="12" w:space="0"/>
        <w:bottom w:val="single" w:color="auto" w:sz="12" w:space="0"/>
        <w:insideH w:val="single" w:color="auto" w:sz="4" w:space="0"/>
        <w:insideV w:val="single" w:color="auto" w:sz="4" w:space="0"/>
      </w:tblBorders>
    </w:tblPr>
    <w:tcPr>
      <w:vAlign w:val="center"/>
    </w:tcPr>
    <w:tblStylePr w:type="firstRow">
      <w:tblPr/>
      <w:trPr>
        <w:cantSplit/>
        <w:tblHeader/>
      </w:trPr>
    </w:tblStylePr>
  </w:style>
  <w:style w:type="paragraph" w:customStyle="1" w:styleId="37">
    <w:name w:val="006备注"/>
    <w:basedOn w:val="1"/>
    <w:qFormat/>
    <w:uiPriority w:val="0"/>
    <w:pPr>
      <w:adjustRightInd w:val="0"/>
    </w:pPr>
    <w:rPr>
      <w:rFonts w:cs="Arial"/>
      <w:bCs/>
    </w:rPr>
  </w:style>
  <w:style w:type="character" w:customStyle="1" w:styleId="38">
    <w:name w:val="font11"/>
    <w:basedOn w:val="16"/>
    <w:qFormat/>
    <w:uiPriority w:val="0"/>
    <w:rPr>
      <w:rFonts w:hint="default" w:ascii="Times New Roman" w:hAnsi="Times New Roman" w:cs="Times New Roman"/>
      <w:b/>
      <w:bCs/>
      <w:color w:val="000000"/>
      <w:sz w:val="21"/>
      <w:szCs w:val="21"/>
      <w:u w:val="none"/>
    </w:rPr>
  </w:style>
  <w:style w:type="paragraph" w:customStyle="1" w:styleId="39">
    <w:name w:val="009单位"/>
    <w:basedOn w:val="24"/>
    <w:qFormat/>
    <w:uiPriority w:val="0"/>
    <w:pPr>
      <w:keepNext/>
      <w:adjustRightInd w:val="0"/>
      <w:snapToGrid w:val="0"/>
      <w:spacing w:line="240" w:lineRule="auto"/>
      <w:ind w:firstLine="0" w:firstLineChars="0"/>
      <w:jc w:val="right"/>
    </w:pPr>
    <w:rPr>
      <w:sz w:val="21"/>
    </w:rPr>
  </w:style>
  <w:style w:type="character" w:customStyle="1" w:styleId="40">
    <w:name w:val="标题 3 字符"/>
    <w:basedOn w:val="16"/>
    <w:link w:val="2"/>
    <w:qFormat/>
    <w:uiPriority w:val="9"/>
    <w:rPr>
      <w:rFonts w:cstheme="minorBidi"/>
      <w:b/>
      <w:bCs/>
      <w:kern w:val="2"/>
      <w:sz w:val="32"/>
      <w:szCs w:val="32"/>
    </w:rPr>
  </w:style>
  <w:style w:type="character" w:customStyle="1" w:styleId="41">
    <w:name w:val="批注文字 字符3"/>
    <w:qFormat/>
    <w:uiPriority w:val="0"/>
    <w:rPr>
      <w:rFonts w:ascii="Times New Roman" w:hAnsi="Times New Roman" w:eastAsia="宋体" w:cs="Times New Roman"/>
      <w:kern w:val="0"/>
      <w:sz w:val="24"/>
      <w:szCs w:val="24"/>
    </w:rPr>
  </w:style>
  <w:style w:type="paragraph" w:customStyle="1" w:styleId="42">
    <w:name w:val="6级"/>
    <w:basedOn w:val="1"/>
    <w:link w:val="43"/>
    <w:qFormat/>
    <w:uiPriority w:val="0"/>
    <w:pPr>
      <w:spacing w:before="50" w:beforeLines="50" w:after="50" w:afterLines="50"/>
      <w:ind w:firstLine="200" w:firstLineChars="200"/>
    </w:pPr>
    <w:rPr>
      <w:rFonts w:cs="Times New Roman"/>
      <w:kern w:val="0"/>
      <w:szCs w:val="24"/>
      <w:lang w:val="zh-CN"/>
    </w:rPr>
  </w:style>
  <w:style w:type="character" w:customStyle="1" w:styleId="43">
    <w:name w:val="6级 字符"/>
    <w:link w:val="42"/>
    <w:qFormat/>
    <w:uiPriority w:val="0"/>
    <w:rPr>
      <w:sz w:val="24"/>
      <w:szCs w:val="24"/>
      <w:lang w:val="zh-CN" w:eastAsia="zh-CN"/>
    </w:rPr>
  </w:style>
  <w:style w:type="paragraph" w:customStyle="1" w:styleId="44">
    <w:name w:val="修订2"/>
    <w:hidden/>
    <w:semiHidden/>
    <w:qFormat/>
    <w:uiPriority w:val="99"/>
    <w:rPr>
      <w:rFonts w:ascii="Times New Roman" w:hAnsi="Times New Roman" w:eastAsia="宋体" w:cstheme="minorBidi"/>
      <w:kern w:val="2"/>
      <w:sz w:val="24"/>
      <w:szCs w:val="22"/>
      <w:lang w:val="en-US" w:eastAsia="zh-CN" w:bidi="ar-SA"/>
    </w:rPr>
  </w:style>
  <w:style w:type="paragraph" w:customStyle="1" w:styleId="45">
    <w:name w:val="修订3"/>
    <w:hidden/>
    <w:semiHidden/>
    <w:qFormat/>
    <w:uiPriority w:val="99"/>
    <w:rPr>
      <w:rFonts w:ascii="Times New Roman" w:hAnsi="Times New Roman" w:eastAsia="宋体" w:cstheme="minorBidi"/>
      <w:kern w:val="2"/>
      <w:sz w:val="24"/>
      <w:szCs w:val="22"/>
      <w:lang w:val="en-US" w:eastAsia="zh-CN" w:bidi="ar-SA"/>
    </w:rPr>
  </w:style>
  <w:style w:type="paragraph" w:customStyle="1" w:styleId="46">
    <w:name w:val="修订4"/>
    <w:hidden/>
    <w:unhideWhenUsed/>
    <w:qFormat/>
    <w:uiPriority w:val="99"/>
    <w:rPr>
      <w:rFonts w:ascii="Times New Roman" w:hAnsi="Times New Roman" w:eastAsia="宋体" w:cstheme="minorBidi"/>
      <w:kern w:val="2"/>
      <w:sz w:val="24"/>
      <w:szCs w:val="22"/>
      <w:lang w:val="en-US" w:eastAsia="zh-CN" w:bidi="ar-SA"/>
    </w:rPr>
  </w:style>
  <w:style w:type="paragraph" w:customStyle="1" w:styleId="47">
    <w:name w:val="修订5"/>
    <w:hidden/>
    <w:unhideWhenUsed/>
    <w:qFormat/>
    <w:uiPriority w:val="99"/>
    <w:rPr>
      <w:rFonts w:ascii="Times New Roman" w:hAnsi="Times New Roman" w:eastAsia="宋体" w:cstheme="minorBidi"/>
      <w:kern w:val="2"/>
      <w:sz w:val="24"/>
      <w:szCs w:val="22"/>
      <w:lang w:val="en-US" w:eastAsia="zh-CN" w:bidi="ar-SA"/>
    </w:rPr>
  </w:style>
  <w:style w:type="paragraph" w:customStyle="1" w:styleId="48">
    <w:name w:val="修订6"/>
    <w:hidden/>
    <w:unhideWhenUsed/>
    <w:qFormat/>
    <w:uiPriority w:val="99"/>
    <w:rPr>
      <w:rFonts w:ascii="Times New Roman" w:hAnsi="Times New Roman" w:eastAsia="宋体" w:cstheme="minorBidi"/>
      <w:kern w:val="2"/>
      <w:sz w:val="24"/>
      <w:szCs w:val="22"/>
      <w:lang w:val="en-US" w:eastAsia="zh-CN" w:bidi="ar-SA"/>
    </w:rPr>
  </w:style>
  <w:style w:type="paragraph" w:customStyle="1" w:styleId="49">
    <w:name w:val="Revision"/>
    <w:hidden/>
    <w:unhideWhenUsed/>
    <w:qFormat/>
    <w:uiPriority w:val="99"/>
    <w:rPr>
      <w:rFonts w:ascii="Times New Roman" w:hAnsi="Times New Roman" w:eastAsia="宋体"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B436A-82B7-4AA7-8A7B-CE41BC5478E2}">
  <ds:schemaRefs/>
</ds:datastoreItem>
</file>

<file path=docProps/app.xml><?xml version="1.0" encoding="utf-8"?>
<Properties xmlns="http://schemas.openxmlformats.org/officeDocument/2006/extended-properties" xmlns:vt="http://schemas.openxmlformats.org/officeDocument/2006/docPropsVTypes">
  <Template>Normal</Template>
  <Pages>17</Pages>
  <Words>10940</Words>
  <Characters>11655</Characters>
  <Lines>280</Lines>
  <Paragraphs>261</Paragraphs>
  <TotalTime>155</TotalTime>
  <ScaleCrop>false</ScaleCrop>
  <LinksUpToDate>false</LinksUpToDate>
  <CharactersWithSpaces>11705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2026-01-27T07:16:00Z</dcterms:created>
  <dc:creator>yifan liu</dc:creator>
  <cp:lastModifiedBy>雯亦</cp:lastModifiedBy>
  <dcterms:modified xsi:type="dcterms:W3CDTF">2026-04-02T12:48:50Z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623E5937E5C04AD4AE6D7BBE348BB79E</vt:lpwstr>
  </property>
  <property fmtid="{D5CDD505-2E9C-101B-9397-08002B2CF9AE}" pid="4" name="BD_Revisions_Count">
    <vt:lpwstr>0</vt:lpwstr>
  </property>
  <property fmtid="{D5CDD505-2E9C-101B-9397-08002B2CF9AE}" pid="5" name="BD_IsTrackRevisions">
    <vt:lpwstr>0</vt:lpwstr>
  </property>
  <property fmtid="{D5CDD505-2E9C-101B-9397-08002B2CF9AE}" pid="6" name="BD_Word_FileSize">
    <vt:lpwstr>1167097</vt:lpwstr>
  </property>
  <property fmtid="{D5CDD505-2E9C-101B-9397-08002B2CF9AE}" pid="7" name="BD_Report_Pages">
    <vt:lpwstr>20</vt:lpwstr>
  </property>
  <property fmtid="{D5CDD505-2E9C-101B-9397-08002B2CF9AE}" pid="8" name="BD_Report_Characters">
    <vt:lpwstr>13929</vt:lpwstr>
  </property>
  <property fmtid="{D5CDD505-2E9C-101B-9397-08002B2CF9AE}" pid="9" name="BD_CompareCompanyModel">
    <vt:lpwstr/>
  </property>
  <property fmtid="{D5CDD505-2E9C-101B-9397-08002B2CF9AE}" pid="10" name="BD_WORD_Version">
    <vt:lpwstr>16.0.16026.20200</vt:lpwstr>
  </property>
  <property fmtid="{D5CDD505-2E9C-101B-9397-08002B2CF9AE}" pid="11" name="BD_Word_Protection_Status">
    <vt:lpwstr>0</vt:lpwstr>
  </property>
  <property fmtid="{D5CDD505-2E9C-101B-9397-08002B2CF9AE}" pid="12" name="BD_Word_Remind_Lock">
    <vt:lpwstr>0</vt:lpwstr>
  </property>
  <property fmtid="{D5CDD505-2E9C-101B-9397-08002B2CF9AE}" pid="13" name="MSIP_Label_defa4170-0d19-0005-0004-bc88714345d2_Enabled">
    <vt:lpwstr>true</vt:lpwstr>
  </property>
  <property fmtid="{D5CDD505-2E9C-101B-9397-08002B2CF9AE}" pid="14" name="MSIP_Label_defa4170-0d19-0005-0004-bc88714345d2_SetDate">
    <vt:lpwstr>2023-06-20T07:03:37Z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9e2f213d-c800-4318-8eb8-544d8ae269cb</vt:lpwstr>
  </property>
  <property fmtid="{D5CDD505-2E9C-101B-9397-08002B2CF9AE}" pid="18" name="MSIP_Label_defa4170-0d19-0005-0004-bc88714345d2_ActionId">
    <vt:lpwstr>aef068c5-bebc-4440-b96d-2c3351223dfd</vt:lpwstr>
  </property>
  <property fmtid="{D5CDD505-2E9C-101B-9397-08002B2CF9AE}" pid="19" name="MSIP_Label_defa4170-0d19-0005-0004-bc88714345d2_ContentBits">
    <vt:lpwstr>0</vt:lpwstr>
  </property>
  <property fmtid="{D5CDD505-2E9C-101B-9397-08002B2CF9AE}" pid="20" name="KSOTemplateDocerSaveRecord">
    <vt:lpwstr>eyJoZGlkIjoiZmMwYzNmMjQwZDE0YmZkZGI3NTMwNmUwNjQ2ZmU5NjQiLCJ1c2VySWQiOiIxNTYwOTE2OTA1In0=</vt:lpwstr>
  </property>
</Properties>
</file>