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253" w:line="217" w:lineRule="auto"/>
        <w:ind w:left="98"/>
        <w:rPr>
          <w:lang w:eastAsia="zh-CN"/>
        </w:rPr>
      </w:pPr>
      <w:r>
        <w:rPr>
          <w:b/>
          <w:bCs/>
          <w:spacing w:val="-1"/>
          <w:lang w:eastAsia="zh-CN"/>
        </w:rPr>
        <w:t>证券代码：603191</w:t>
      </w:r>
      <w:r>
        <w:rPr>
          <w:rFonts w:hint="eastAsia"/>
          <w:b/>
          <w:bCs/>
          <w:spacing w:val="-1"/>
          <w:lang w:eastAsia="zh-CN"/>
        </w:rPr>
        <w:t xml:space="preserve">        </w:t>
      </w:r>
      <w:r>
        <w:rPr>
          <w:b/>
          <w:bCs/>
          <w:spacing w:val="-1"/>
          <w:lang w:eastAsia="zh-CN"/>
        </w:rPr>
        <w:t>证券简称：望变电气</w:t>
      </w:r>
      <w:r>
        <w:rPr>
          <w:rFonts w:hint="eastAsia"/>
          <w:b/>
          <w:bCs/>
          <w:spacing w:val="-1"/>
          <w:lang w:eastAsia="zh-CN"/>
        </w:rPr>
        <w:t xml:space="preserve">        </w:t>
      </w:r>
      <w:r>
        <w:rPr>
          <w:b/>
          <w:bCs/>
          <w:spacing w:val="-2"/>
          <w:lang w:eastAsia="zh-CN"/>
        </w:rPr>
        <w:t>公告编号：202</w:t>
      </w:r>
      <w:r>
        <w:rPr>
          <w:rFonts w:hint="eastAsia"/>
          <w:b/>
          <w:bCs/>
          <w:spacing w:val="-2"/>
          <w:lang w:eastAsia="zh-CN"/>
        </w:rPr>
        <w:t>6</w:t>
      </w:r>
      <w:r>
        <w:rPr>
          <w:b/>
          <w:bCs/>
          <w:spacing w:val="-2"/>
          <w:lang w:eastAsia="zh-CN"/>
        </w:rPr>
        <w:t>-0</w:t>
      </w:r>
      <w:r>
        <w:rPr>
          <w:rFonts w:hint="eastAsia"/>
          <w:b/>
          <w:bCs/>
          <w:spacing w:val="-2"/>
          <w:lang w:eastAsia="zh-CN"/>
        </w:rPr>
        <w:t>28</w:t>
      </w:r>
    </w:p>
    <w:p>
      <w:pPr>
        <w:spacing w:line="257" w:lineRule="auto"/>
        <w:rPr>
          <w:lang w:eastAsia="zh-CN"/>
        </w:rPr>
      </w:pPr>
    </w:p>
    <w:p>
      <w:pPr>
        <w:spacing w:line="257" w:lineRule="auto"/>
        <w:rPr>
          <w:lang w:eastAsia="zh-CN"/>
        </w:rPr>
      </w:pPr>
    </w:p>
    <w:p>
      <w:pPr>
        <w:spacing w:line="257" w:lineRule="auto"/>
        <w:rPr>
          <w:lang w:eastAsia="zh-CN"/>
        </w:rPr>
      </w:pPr>
    </w:p>
    <w:p>
      <w:pPr>
        <w:spacing w:line="560" w:lineRule="exact"/>
        <w:jc w:val="center"/>
        <w:rPr>
          <w:rFonts w:ascii="宋体" w:hAnsi="宋体" w:eastAsia="宋体" w:cs="仿宋_GB2312"/>
          <w:b/>
          <w:color w:val="FF0000"/>
          <w:sz w:val="36"/>
          <w:szCs w:val="36"/>
          <w:lang w:eastAsia="zh-CN"/>
        </w:rPr>
      </w:pPr>
      <w:r>
        <w:rPr>
          <w:rFonts w:hint="eastAsia" w:ascii="宋体" w:hAnsi="宋体" w:eastAsia="宋体" w:cs="仿宋_GB2312"/>
          <w:b/>
          <w:color w:val="FF0000"/>
          <w:sz w:val="36"/>
          <w:szCs w:val="36"/>
          <w:lang w:eastAsia="zh-CN"/>
        </w:rPr>
        <w:t>重庆望变电气（集团）股份有限公司</w:t>
      </w:r>
    </w:p>
    <w:p>
      <w:pPr>
        <w:spacing w:line="560" w:lineRule="exact"/>
        <w:jc w:val="center"/>
        <w:rPr>
          <w:rFonts w:ascii="宋体" w:hAnsi="宋体" w:eastAsia="宋体" w:cs="仿宋_GB2312"/>
          <w:b/>
          <w:color w:val="FF0000"/>
          <w:sz w:val="36"/>
          <w:szCs w:val="36"/>
          <w:lang w:eastAsia="zh-CN"/>
        </w:rPr>
      </w:pPr>
      <w:r>
        <w:rPr>
          <w:rFonts w:hint="eastAsia" w:ascii="宋体" w:hAnsi="宋体" w:eastAsia="宋体" w:cs="仿宋_GB2312"/>
          <w:b/>
          <w:color w:val="FF0000"/>
          <w:sz w:val="36"/>
          <w:szCs w:val="36"/>
          <w:lang w:eastAsia="zh-CN"/>
        </w:rPr>
        <w:t>第四届董事会第十九次会议决议公告</w:t>
      </w:r>
    </w:p>
    <w:p>
      <w:pPr>
        <w:spacing w:before="175"/>
        <w:rPr>
          <w:lang w:eastAsia="zh-CN"/>
        </w:rPr>
      </w:pPr>
    </w:p>
    <w:tbl>
      <w:tblPr>
        <w:tblStyle w:val="11"/>
        <w:tblW w:w="847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7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69" w:hRule="atLeast"/>
        </w:trPr>
        <w:tc>
          <w:tcPr>
            <w:tcW w:w="8479" w:type="dxa"/>
          </w:tcPr>
          <w:p>
            <w:pPr>
              <w:spacing w:before="267" w:line="343" w:lineRule="auto"/>
              <w:ind w:left="104" w:right="82" w:firstLine="477"/>
              <w:rPr>
                <w:rFonts w:ascii="宋体" w:hAnsi="宋体" w:eastAsia="宋体" w:cs="宋体"/>
                <w:sz w:val="24"/>
                <w:szCs w:val="24"/>
                <w:lang w:eastAsia="zh-CN"/>
              </w:rPr>
            </w:pPr>
            <w:bookmarkStart w:id="0" w:name="_GoBack"/>
            <w:r>
              <w:rPr>
                <w:rFonts w:ascii="仿宋" w:hAnsi="仿宋" w:eastAsia="仿宋" w:cs="仿宋"/>
                <w:spacing w:val="-3"/>
                <w:sz w:val="24"/>
                <w:szCs w:val="24"/>
                <w:lang w:eastAsia="zh-CN"/>
              </w:rPr>
              <w:t>本公司董事会及全体董事保证本公告内容不存</w:t>
            </w:r>
            <w:r>
              <w:rPr>
                <w:rFonts w:ascii="仿宋" w:hAnsi="仿宋" w:eastAsia="仿宋" w:cs="仿宋"/>
                <w:spacing w:val="-4"/>
                <w:sz w:val="24"/>
                <w:szCs w:val="24"/>
                <w:lang w:eastAsia="zh-CN"/>
              </w:rPr>
              <w:t>在任何虚假记载、误导性陈述</w:t>
            </w:r>
            <w:r>
              <w:rPr>
                <w:rFonts w:ascii="仿宋" w:hAnsi="仿宋" w:eastAsia="仿宋" w:cs="仿宋"/>
                <w:spacing w:val="-1"/>
                <w:sz w:val="24"/>
                <w:szCs w:val="24"/>
                <w:lang w:eastAsia="zh-CN"/>
              </w:rPr>
              <w:t>或者重大遗漏，并对其内容的真实性、准确性和完整性承担法律责任</w:t>
            </w:r>
            <w:r>
              <w:rPr>
                <w:rFonts w:ascii="宋体" w:hAnsi="宋体" w:eastAsia="宋体" w:cs="宋体"/>
                <w:spacing w:val="-1"/>
                <w:sz w:val="24"/>
                <w:szCs w:val="24"/>
                <w:lang w:eastAsia="zh-CN"/>
              </w:rPr>
              <w:t>。</w:t>
            </w:r>
          </w:p>
        </w:tc>
      </w:tr>
      <w:bookmarkEnd w:id="0"/>
    </w:tbl>
    <w:p>
      <w:pPr>
        <w:rPr>
          <w:lang w:eastAsia="zh-CN"/>
        </w:rPr>
      </w:pPr>
    </w:p>
    <w:p>
      <w:pPr>
        <w:rPr>
          <w:lang w:eastAsia="zh-CN"/>
        </w:rPr>
      </w:pPr>
    </w:p>
    <w:p>
      <w:pPr>
        <w:rPr>
          <w:lang w:eastAsia="zh-CN"/>
        </w:rPr>
      </w:pPr>
    </w:p>
    <w:p>
      <w:pPr>
        <w:pStyle w:val="3"/>
        <w:spacing w:before="78" w:line="560" w:lineRule="exact"/>
        <w:ind w:left="584"/>
        <w:jc w:val="both"/>
        <w:outlineLvl w:val="1"/>
        <w:rPr>
          <w:lang w:eastAsia="zh-CN"/>
        </w:rPr>
      </w:pPr>
      <w:r>
        <w:rPr>
          <w:b/>
          <w:bCs/>
          <w:spacing w:val="-3"/>
          <w:lang w:eastAsia="zh-CN"/>
        </w:rPr>
        <w:t>一、董事会会议召开情况</w:t>
      </w:r>
    </w:p>
    <w:p>
      <w:pPr>
        <w:pStyle w:val="3"/>
        <w:spacing w:before="275" w:line="560" w:lineRule="exact"/>
        <w:ind w:left="98" w:right="15" w:firstLine="483"/>
        <w:jc w:val="both"/>
        <w:rPr>
          <w:lang w:eastAsia="zh-CN"/>
        </w:rPr>
      </w:pPr>
      <w:r>
        <w:rPr>
          <w:spacing w:val="-3"/>
          <w:lang w:eastAsia="zh-CN"/>
        </w:rPr>
        <w:t>重庆望变电气（集团）股份有限公司（以下简称“公司”或“望变电气”）</w:t>
      </w:r>
      <w:r>
        <w:rPr>
          <w:spacing w:val="7"/>
          <w:lang w:eastAsia="zh-CN"/>
        </w:rPr>
        <w:t>第四届董事会第十</w:t>
      </w:r>
      <w:r>
        <w:rPr>
          <w:rFonts w:hint="eastAsia"/>
          <w:spacing w:val="7"/>
          <w:lang w:eastAsia="zh-CN"/>
        </w:rPr>
        <w:t>九</w:t>
      </w:r>
      <w:r>
        <w:rPr>
          <w:spacing w:val="7"/>
          <w:lang w:eastAsia="zh-CN"/>
        </w:rPr>
        <w:t>次会议通知于202</w:t>
      </w:r>
      <w:r>
        <w:rPr>
          <w:rFonts w:hint="eastAsia"/>
          <w:spacing w:val="7"/>
          <w:lang w:eastAsia="zh-CN"/>
        </w:rPr>
        <w:t>6</w:t>
      </w:r>
      <w:r>
        <w:rPr>
          <w:spacing w:val="7"/>
          <w:lang w:eastAsia="zh-CN"/>
        </w:rPr>
        <w:t>年</w:t>
      </w:r>
      <w:r>
        <w:rPr>
          <w:rFonts w:hint="eastAsia"/>
          <w:spacing w:val="7"/>
          <w:lang w:eastAsia="zh-CN"/>
        </w:rPr>
        <w:t>3</w:t>
      </w:r>
      <w:r>
        <w:rPr>
          <w:spacing w:val="7"/>
          <w:lang w:eastAsia="zh-CN"/>
        </w:rPr>
        <w:t>月</w:t>
      </w:r>
      <w:r>
        <w:rPr>
          <w:rFonts w:hint="eastAsia"/>
          <w:spacing w:val="7"/>
          <w:lang w:eastAsia="zh-CN"/>
        </w:rPr>
        <w:t>24</w:t>
      </w:r>
      <w:r>
        <w:rPr>
          <w:spacing w:val="7"/>
          <w:lang w:eastAsia="zh-CN"/>
        </w:rPr>
        <w:t>日以</w:t>
      </w:r>
      <w:r>
        <w:rPr>
          <w:rFonts w:hint="eastAsia"/>
          <w:spacing w:val="7"/>
          <w:lang w:eastAsia="zh-CN"/>
        </w:rPr>
        <w:t>通讯</w:t>
      </w:r>
      <w:r>
        <w:rPr>
          <w:spacing w:val="7"/>
          <w:lang w:eastAsia="zh-CN"/>
        </w:rPr>
        <w:t>的方式发出，</w:t>
      </w:r>
      <w:r>
        <w:rPr>
          <w:spacing w:val="6"/>
          <w:lang w:eastAsia="zh-CN"/>
        </w:rPr>
        <w:t>会议于</w:t>
      </w:r>
      <w:r>
        <w:rPr>
          <w:spacing w:val="4"/>
          <w:lang w:eastAsia="zh-CN"/>
        </w:rPr>
        <w:t>202</w:t>
      </w:r>
      <w:r>
        <w:rPr>
          <w:rFonts w:hint="eastAsia"/>
          <w:spacing w:val="4"/>
          <w:lang w:eastAsia="zh-CN"/>
        </w:rPr>
        <w:t>6</w:t>
      </w:r>
      <w:r>
        <w:rPr>
          <w:spacing w:val="4"/>
          <w:lang w:eastAsia="zh-CN"/>
        </w:rPr>
        <w:t>年4月</w:t>
      </w:r>
      <w:r>
        <w:rPr>
          <w:rFonts w:hint="eastAsia"/>
          <w:spacing w:val="4"/>
          <w:lang w:eastAsia="zh-CN"/>
        </w:rPr>
        <w:t>3</w:t>
      </w:r>
      <w:r>
        <w:rPr>
          <w:spacing w:val="4"/>
          <w:lang w:eastAsia="zh-CN"/>
        </w:rPr>
        <w:t>日在公司会议室以现场结</w:t>
      </w:r>
      <w:r>
        <w:rPr>
          <w:spacing w:val="3"/>
          <w:lang w:eastAsia="zh-CN"/>
        </w:rPr>
        <w:t>合通讯方式召开。本次会议应出席董事9</w:t>
      </w:r>
      <w:r>
        <w:rPr>
          <w:spacing w:val="-2"/>
          <w:lang w:eastAsia="zh-CN"/>
        </w:rPr>
        <w:t>人，实际出席董事9人</w:t>
      </w:r>
      <w:r>
        <w:rPr>
          <w:spacing w:val="-2"/>
          <w:highlight w:val="none"/>
          <w:lang w:eastAsia="zh-CN"/>
        </w:rPr>
        <w:t>（以通讯方式出席的有</w:t>
      </w:r>
      <w:r>
        <w:rPr>
          <w:rFonts w:hint="eastAsia"/>
          <w:spacing w:val="-2"/>
          <w:highlight w:val="none"/>
          <w:lang w:val="en-US" w:eastAsia="zh-CN"/>
        </w:rPr>
        <w:t>9</w:t>
      </w:r>
      <w:r>
        <w:rPr>
          <w:spacing w:val="-2"/>
          <w:highlight w:val="none"/>
          <w:lang w:eastAsia="zh-CN"/>
        </w:rPr>
        <w:t>人</w:t>
      </w:r>
      <w:r>
        <w:rPr>
          <w:spacing w:val="-18"/>
          <w:highlight w:val="none"/>
          <w:lang w:eastAsia="zh-CN"/>
        </w:rPr>
        <w:t>）</w:t>
      </w:r>
      <w:r>
        <w:rPr>
          <w:spacing w:val="-18"/>
          <w:lang w:eastAsia="zh-CN"/>
        </w:rPr>
        <w:t>，</w:t>
      </w:r>
      <w:r>
        <w:rPr>
          <w:spacing w:val="-2"/>
          <w:lang w:eastAsia="zh-CN"/>
        </w:rPr>
        <w:t>本次会议由公司董事长杨泽</w:t>
      </w:r>
      <w:r>
        <w:rPr>
          <w:spacing w:val="-3"/>
          <w:lang w:eastAsia="zh-CN"/>
        </w:rPr>
        <w:t>民先生主持，公司高级管理人员列席了会议，会议召集、召开、表决程序及审议事项符合《中华人民共和国公司法》《中华人民共和国证券法》等相</w:t>
      </w:r>
      <w:r>
        <w:rPr>
          <w:spacing w:val="-8"/>
          <w:lang w:eastAsia="zh-CN"/>
        </w:rPr>
        <w:t>关法律法规、规范性文件及《重庆望变电气（集团）股份有限公司章程》的规定，</w:t>
      </w:r>
      <w:r>
        <w:rPr>
          <w:spacing w:val="-1"/>
          <w:lang w:eastAsia="zh-CN"/>
        </w:rPr>
        <w:t>会议形成的决议合法、有效。</w:t>
      </w:r>
    </w:p>
    <w:p>
      <w:pPr>
        <w:pStyle w:val="3"/>
        <w:numPr>
          <w:ilvl w:val="0"/>
          <w:numId w:val="1"/>
        </w:numPr>
        <w:spacing w:before="1" w:line="560" w:lineRule="exact"/>
        <w:ind w:left="585"/>
        <w:jc w:val="both"/>
        <w:outlineLvl w:val="1"/>
        <w:rPr>
          <w:b/>
          <w:bCs/>
          <w:spacing w:val="-3"/>
        </w:rPr>
      </w:pPr>
      <w:r>
        <w:rPr>
          <w:b/>
          <w:bCs/>
          <w:spacing w:val="-3"/>
        </w:rPr>
        <w:t>董事会会议审议情况</w:t>
      </w:r>
    </w:p>
    <w:p>
      <w:pPr>
        <w:pStyle w:val="3"/>
        <w:spacing w:before="1" w:line="560" w:lineRule="exact"/>
        <w:jc w:val="both"/>
        <w:outlineLvl w:val="1"/>
        <w:rPr>
          <w:b/>
          <w:bCs/>
          <w:spacing w:val="-3"/>
        </w:rPr>
      </w:pPr>
    </w:p>
    <w:p>
      <w:pPr>
        <w:pStyle w:val="3"/>
        <w:numPr>
          <w:ilvl w:val="0"/>
          <w:numId w:val="2"/>
        </w:numPr>
        <w:spacing w:before="1" w:line="360" w:lineRule="auto"/>
        <w:ind w:firstLine="470" w:firstLineChars="200"/>
        <w:jc w:val="both"/>
        <w:outlineLvl w:val="1"/>
        <w:rPr>
          <w:b/>
          <w:bCs/>
          <w:spacing w:val="-3"/>
          <w:lang w:eastAsia="zh-CN"/>
        </w:rPr>
      </w:pPr>
      <w:r>
        <w:rPr>
          <w:rFonts w:hint="eastAsia"/>
          <w:b/>
          <w:bCs/>
          <w:spacing w:val="-3"/>
          <w:lang w:eastAsia="zh-CN"/>
        </w:rPr>
        <w:t>审议通过《关于公司向特定对象发行股票方案（修订稿）的议案》</w:t>
      </w:r>
    </w:p>
    <w:p>
      <w:pPr>
        <w:pStyle w:val="3"/>
        <w:spacing w:before="1" w:line="360" w:lineRule="auto"/>
        <w:ind w:firstLine="508" w:firstLineChars="200"/>
        <w:jc w:val="both"/>
        <w:outlineLvl w:val="1"/>
        <w:rPr>
          <w:spacing w:val="7"/>
          <w:lang w:eastAsia="zh-CN"/>
        </w:rPr>
      </w:pPr>
      <w:r>
        <w:rPr>
          <w:rFonts w:hint="eastAsia"/>
          <w:spacing w:val="7"/>
          <w:lang w:eastAsia="zh-CN"/>
        </w:rPr>
        <w:t>因公司本次向特定对象发行股票（以下简称“本次发行”）的发行对象进一步确定为杨泽民先生控制的“重庆耀泽商业管理有限公司”，根据相关法律、法规和规范性文件的有关规定，对本次发行的具体方案修订如下：“</w:t>
      </w:r>
    </w:p>
    <w:p>
      <w:pPr>
        <w:pStyle w:val="3"/>
        <w:spacing w:before="277" w:line="360" w:lineRule="auto"/>
        <w:ind w:left="420" w:leftChars="200" w:right="16"/>
        <w:jc w:val="both"/>
        <w:rPr>
          <w:spacing w:val="7"/>
          <w:lang w:eastAsia="zh-CN"/>
        </w:rPr>
      </w:pPr>
      <w:r>
        <w:rPr>
          <w:rFonts w:hint="eastAsia"/>
          <w:spacing w:val="7"/>
          <w:lang w:eastAsia="zh-CN"/>
        </w:rPr>
        <w:t>3、发行对象及认购方式</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本次向特定对象发行股票的发行对象为重庆耀泽商业管理有限公司，重庆耀泽商业管理有限公司以现金方式认购本次向特定对象发行的股票。</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若国家法律、法规对向特定对象发行股票的发行对象有新的规定，公司将按新的规定进行调整。”</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鉴于《关于公司向特定对象发行股票方案的议案》的其他内容未作出实质性修订，因此不再重复审议。</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该议案已经公司第四届董事会审计委员会十三次会议、第四届董事会战略发展委员会第七次会议、第四届董事会独立董事专门会议第六次会议审议通过。</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关联董事杨泽民先生、皮统政先生回避表决。</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表决结果：7票同意、0票弃权、0票反对。</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本议案尚需提交公司股东会逐项审议。</w:t>
      </w:r>
    </w:p>
    <w:p>
      <w:pPr>
        <w:pStyle w:val="6"/>
        <w:widowControl/>
        <w:spacing w:before="120" w:beforeLines="50" w:after="120" w:afterLines="50" w:line="360" w:lineRule="auto"/>
        <w:ind w:firstLine="482" w:firstLineChars="200"/>
        <w:jc w:val="both"/>
      </w:pPr>
      <w:r>
        <w:rPr>
          <w:rFonts w:hint="eastAsia" w:ascii="Times New Roman" w:hAnsi="Times New Roman" w:cs="宋体"/>
          <w:sz w:val="24"/>
        </w:rPr>
        <w:t>（二）审议通过《关于公司向特定对象发行股票预案（修订稿）的议案》</w:t>
      </w:r>
    </w:p>
    <w:p>
      <w:pPr>
        <w:pStyle w:val="3"/>
        <w:spacing w:before="276" w:line="360" w:lineRule="auto"/>
        <w:ind w:left="43" w:right="81" w:firstLine="461"/>
        <w:jc w:val="both"/>
        <w:rPr>
          <w:spacing w:val="-2"/>
          <w:lang w:eastAsia="zh-CN"/>
        </w:rPr>
      </w:pPr>
      <w:r>
        <w:rPr>
          <w:spacing w:val="-6"/>
        </w:rPr>
        <w:t>相关内容详见202</w:t>
      </w:r>
      <w:r>
        <w:rPr>
          <w:rFonts w:hint="eastAsia"/>
          <w:spacing w:val="-6"/>
          <w:lang w:eastAsia="zh-CN"/>
        </w:rPr>
        <w:t>6</w:t>
      </w:r>
      <w:r>
        <w:rPr>
          <w:spacing w:val="-6"/>
        </w:rPr>
        <w:t>年4月</w:t>
      </w:r>
      <w:r>
        <w:rPr>
          <w:rFonts w:hint="eastAsia"/>
          <w:spacing w:val="-6"/>
          <w:lang w:eastAsia="zh-CN"/>
        </w:rPr>
        <w:t>4</w:t>
      </w:r>
      <w:r>
        <w:rPr>
          <w:spacing w:val="-6"/>
        </w:rPr>
        <w:t>日刊登于上海证券交易所网站</w:t>
      </w:r>
      <w:r>
        <w:fldChar w:fldCharType="begin"/>
      </w:r>
      <w:r>
        <w:instrText xml:space="preserve"> HYPERLINK "https://www.sse.com.cn" </w:instrText>
      </w:r>
      <w:r>
        <w:fldChar w:fldCharType="separate"/>
      </w:r>
      <w:r>
        <w:rPr>
          <w:spacing w:val="-2"/>
        </w:rPr>
        <w:t>www.sse.com.cn</w:t>
      </w:r>
      <w:r>
        <w:rPr>
          <w:spacing w:val="-2"/>
        </w:rPr>
        <w:fldChar w:fldCharType="end"/>
      </w:r>
      <w:r>
        <w:rPr>
          <w:spacing w:val="-2"/>
        </w:rPr>
        <w:t>的《</w:t>
      </w:r>
      <w:r>
        <w:rPr>
          <w:rFonts w:hint="eastAsia"/>
          <w:spacing w:val="-2"/>
        </w:rPr>
        <w:t>向特定对象发行股票预案（修订稿）</w:t>
      </w:r>
      <w:r>
        <w:rPr>
          <w:rFonts w:hint="eastAsia"/>
          <w:spacing w:val="-2"/>
          <w:lang w:eastAsia="zh-CN"/>
        </w:rPr>
        <w:t>》。</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该议案已经公司第四届董事会审计委员会十三次会议、第四届董事会战略发展委员会第七次会议、第四届董事会独立董事专门会议第六次会议审议通过。</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关联董事杨泽民先生、皮统政先生回避表决。</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表决结果：7票同意、0票弃权、0票反对。</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本议案尚需提交公司股东会审议。</w:t>
      </w:r>
    </w:p>
    <w:p>
      <w:pPr>
        <w:pStyle w:val="3"/>
        <w:spacing w:before="277" w:line="360" w:lineRule="auto"/>
        <w:ind w:left="15" w:right="16" w:firstLine="493"/>
        <w:jc w:val="both"/>
        <w:rPr>
          <w:lang w:eastAsia="zh-CN"/>
        </w:rPr>
      </w:pPr>
      <w:r>
        <w:rPr>
          <w:b/>
          <w:bCs/>
          <w:spacing w:val="-3"/>
          <w:lang w:eastAsia="zh-CN"/>
        </w:rPr>
        <w:t>（</w:t>
      </w:r>
      <w:r>
        <w:rPr>
          <w:rFonts w:hint="eastAsia"/>
          <w:b/>
          <w:bCs/>
          <w:spacing w:val="-3"/>
          <w:lang w:eastAsia="zh-CN"/>
        </w:rPr>
        <w:t>三</w:t>
      </w:r>
      <w:r>
        <w:rPr>
          <w:b/>
          <w:bCs/>
          <w:spacing w:val="-3"/>
          <w:lang w:eastAsia="zh-CN"/>
        </w:rPr>
        <w:t>）审议通过</w:t>
      </w:r>
      <w:r>
        <w:rPr>
          <w:rFonts w:hint="eastAsia"/>
          <w:b/>
          <w:bCs/>
          <w:spacing w:val="-3"/>
          <w:lang w:eastAsia="zh-CN"/>
        </w:rPr>
        <w:t>《关于公司向特定对象发行股票方案的论证分析报告（修订稿）的议案》</w:t>
      </w:r>
    </w:p>
    <w:p>
      <w:pPr>
        <w:pStyle w:val="3"/>
        <w:spacing w:before="276" w:line="431" w:lineRule="auto"/>
        <w:ind w:left="43" w:right="81" w:firstLine="461"/>
      </w:pPr>
      <w:r>
        <w:rPr>
          <w:spacing w:val="-6"/>
        </w:rPr>
        <w:t>相关内容详见202</w:t>
      </w:r>
      <w:r>
        <w:rPr>
          <w:rFonts w:hint="eastAsia"/>
          <w:spacing w:val="-6"/>
          <w:lang w:eastAsia="zh-CN"/>
        </w:rPr>
        <w:t>6</w:t>
      </w:r>
      <w:r>
        <w:rPr>
          <w:spacing w:val="-6"/>
        </w:rPr>
        <w:t>年4月</w:t>
      </w:r>
      <w:r>
        <w:rPr>
          <w:rFonts w:hint="eastAsia"/>
          <w:spacing w:val="-6"/>
          <w:lang w:eastAsia="zh-CN"/>
        </w:rPr>
        <w:t>4</w:t>
      </w:r>
      <w:r>
        <w:rPr>
          <w:spacing w:val="-6"/>
        </w:rPr>
        <w:t>日刊登于上海证券交易所网站</w:t>
      </w:r>
      <w:r>
        <w:fldChar w:fldCharType="begin"/>
      </w:r>
      <w:r>
        <w:instrText xml:space="preserve"> HYPERLINK "https://www.sse.com.cn" </w:instrText>
      </w:r>
      <w:r>
        <w:fldChar w:fldCharType="separate"/>
      </w:r>
      <w:r>
        <w:rPr>
          <w:spacing w:val="-2"/>
        </w:rPr>
        <w:t>www.sse.com.cn</w:t>
      </w:r>
      <w:r>
        <w:rPr>
          <w:spacing w:val="-2"/>
        </w:rPr>
        <w:fldChar w:fldCharType="end"/>
      </w:r>
      <w:r>
        <w:rPr>
          <w:spacing w:val="-2"/>
        </w:rPr>
        <w:t>的《</w:t>
      </w:r>
      <w:r>
        <w:rPr>
          <w:rFonts w:hint="eastAsia"/>
          <w:spacing w:val="-2"/>
        </w:rPr>
        <w:t>向特定对象发行股票方案的论证分析报告（修订稿）</w:t>
      </w:r>
      <w:r>
        <w:rPr>
          <w:spacing w:val="-2"/>
        </w:rPr>
        <w:t>》。</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该议案已经公司第四届董事会审计委员会十三次会议、第四届董事会战略发展委员会第七次会议、第四届董事会独立董事专门会议第六次会议审议通过。</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关联董事杨泽民先生、皮统政先生回避表决。</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表决结果：7票同意、0票弃权、0票反对。</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本议案尚需提交公司股东会审议。</w:t>
      </w:r>
    </w:p>
    <w:p>
      <w:pPr>
        <w:pStyle w:val="3"/>
        <w:spacing w:before="277" w:line="360" w:lineRule="auto"/>
        <w:ind w:left="15" w:right="16" w:firstLine="493"/>
        <w:jc w:val="both"/>
        <w:rPr>
          <w:b/>
          <w:bCs/>
          <w:spacing w:val="-3"/>
          <w:lang w:eastAsia="zh-CN"/>
        </w:rPr>
      </w:pPr>
      <w:r>
        <w:rPr>
          <w:b/>
          <w:bCs/>
          <w:spacing w:val="-3"/>
          <w:lang w:eastAsia="zh-CN"/>
        </w:rPr>
        <w:t>（</w:t>
      </w:r>
      <w:r>
        <w:rPr>
          <w:rFonts w:hint="eastAsia"/>
          <w:b/>
          <w:bCs/>
          <w:spacing w:val="-3"/>
          <w:lang w:eastAsia="zh-CN"/>
        </w:rPr>
        <w:t>四</w:t>
      </w:r>
      <w:r>
        <w:rPr>
          <w:b/>
          <w:bCs/>
          <w:spacing w:val="-3"/>
          <w:lang w:eastAsia="zh-CN"/>
        </w:rPr>
        <w:t>）审议通过</w:t>
      </w:r>
      <w:r>
        <w:rPr>
          <w:rFonts w:hint="eastAsia"/>
          <w:b/>
          <w:bCs/>
          <w:spacing w:val="-3"/>
          <w:lang w:eastAsia="zh-CN"/>
        </w:rPr>
        <w:t>《关于向特定对象发行股票摊薄即期回报及采取填补措施（修订稿）的议案》</w:t>
      </w:r>
    </w:p>
    <w:p>
      <w:pPr>
        <w:pStyle w:val="3"/>
        <w:spacing w:before="277" w:line="360" w:lineRule="auto"/>
        <w:ind w:left="15" w:right="16" w:firstLine="493"/>
        <w:jc w:val="both"/>
        <w:rPr>
          <w:lang w:eastAsia="zh-CN"/>
        </w:rPr>
      </w:pPr>
      <w:r>
        <w:rPr>
          <w:spacing w:val="-3"/>
        </w:rPr>
        <w:t>相关内容详见202</w:t>
      </w:r>
      <w:r>
        <w:rPr>
          <w:rFonts w:hint="eastAsia"/>
          <w:spacing w:val="-3"/>
          <w:lang w:eastAsia="zh-CN"/>
        </w:rPr>
        <w:t>6</w:t>
      </w:r>
      <w:r>
        <w:rPr>
          <w:spacing w:val="-3"/>
        </w:rPr>
        <w:t>年4月</w:t>
      </w:r>
      <w:r>
        <w:rPr>
          <w:rFonts w:hint="eastAsia"/>
          <w:spacing w:val="-3"/>
          <w:lang w:eastAsia="zh-CN"/>
        </w:rPr>
        <w:t>4</w:t>
      </w:r>
      <w:r>
        <w:rPr>
          <w:spacing w:val="-6"/>
        </w:rPr>
        <w:t>日刊登于上海证券交易所网站</w:t>
      </w:r>
      <w:r>
        <w:fldChar w:fldCharType="begin"/>
      </w:r>
      <w:r>
        <w:instrText xml:space="preserve"> HYPERLINK "https://www.sse.com.cn" </w:instrText>
      </w:r>
      <w:r>
        <w:fldChar w:fldCharType="separate"/>
      </w:r>
      <w:r>
        <w:rPr>
          <w:spacing w:val="-2"/>
        </w:rPr>
        <w:t>www.sse.com.cn</w:t>
      </w:r>
      <w:r>
        <w:rPr>
          <w:spacing w:val="-2"/>
        </w:rPr>
        <w:fldChar w:fldCharType="end"/>
      </w:r>
      <w:r>
        <w:rPr>
          <w:spacing w:val="-2"/>
        </w:rPr>
        <w:t>的《</w:t>
      </w:r>
      <w:r>
        <w:rPr>
          <w:rFonts w:hint="eastAsia"/>
          <w:spacing w:val="-2"/>
        </w:rPr>
        <w:t>关于向特定对象发行股票摊薄即期回报与采取填补措施及相关主体承诺（修订稿）的公告</w:t>
      </w:r>
      <w:r>
        <w:rPr>
          <w:spacing w:val="-2"/>
        </w:rPr>
        <w:t>》。</w:t>
      </w:r>
      <w:r>
        <w:rPr>
          <w:spacing w:val="-2"/>
          <w:lang w:eastAsia="zh-CN"/>
        </w:rPr>
        <w:t>（公告编号：202</w:t>
      </w:r>
      <w:r>
        <w:rPr>
          <w:rFonts w:hint="eastAsia"/>
          <w:spacing w:val="-2"/>
          <w:lang w:eastAsia="zh-CN"/>
        </w:rPr>
        <w:t>6-0</w:t>
      </w:r>
      <w:r>
        <w:rPr>
          <w:rFonts w:hint="eastAsia"/>
          <w:spacing w:val="-2"/>
          <w:lang w:val="en-US" w:eastAsia="zh-CN"/>
        </w:rPr>
        <w:t>29</w:t>
      </w:r>
      <w:r>
        <w:rPr>
          <w:spacing w:val="-2"/>
          <w:lang w:eastAsia="zh-CN"/>
        </w:rPr>
        <w:t>）。</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该议案已经公司第四届董事会审计委员会十三次会议、第四届董事会战略发展委员会第七次会议、第四届董事会独立董事专门会议第六次会议审议通过。</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关联董事杨泽民先生、皮统政先生回避表决。</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表决结果：7票同意、0票弃权、0票反对。</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本议案尚需提交公司股东会审议。</w:t>
      </w:r>
    </w:p>
    <w:p>
      <w:pPr>
        <w:pStyle w:val="3"/>
        <w:spacing w:before="277" w:line="360" w:lineRule="auto"/>
        <w:ind w:left="420" w:leftChars="200" w:right="16"/>
        <w:jc w:val="both"/>
        <w:rPr>
          <w:lang w:eastAsia="zh-CN"/>
        </w:rPr>
      </w:pPr>
      <w:r>
        <w:rPr>
          <w:rFonts w:hint="eastAsia"/>
          <w:b/>
          <w:bCs/>
          <w:spacing w:val="-3"/>
          <w:lang w:eastAsia="zh-CN"/>
        </w:rPr>
        <w:t>（五）</w:t>
      </w:r>
      <w:r>
        <w:rPr>
          <w:b/>
          <w:bCs/>
          <w:spacing w:val="-3"/>
          <w:lang w:eastAsia="zh-CN"/>
        </w:rPr>
        <w:t>审议通过</w:t>
      </w:r>
      <w:r>
        <w:rPr>
          <w:rFonts w:hint="eastAsia"/>
          <w:b/>
          <w:bCs/>
          <w:spacing w:val="-3"/>
          <w:lang w:eastAsia="zh-CN"/>
        </w:rPr>
        <w:t>《关于公司前次募集资金使用情况报告的议案》</w:t>
      </w:r>
    </w:p>
    <w:p>
      <w:pPr>
        <w:pStyle w:val="3"/>
        <w:spacing w:before="277" w:line="360" w:lineRule="auto"/>
        <w:ind w:right="16" w:firstLine="468" w:firstLineChars="200"/>
        <w:jc w:val="both"/>
      </w:pPr>
      <w:r>
        <w:rPr>
          <w:spacing w:val="-3"/>
        </w:rPr>
        <w:t>相关内容详见202</w:t>
      </w:r>
      <w:r>
        <w:rPr>
          <w:rFonts w:hint="eastAsia"/>
          <w:spacing w:val="-3"/>
          <w:lang w:eastAsia="zh-CN"/>
        </w:rPr>
        <w:t>6</w:t>
      </w:r>
      <w:r>
        <w:rPr>
          <w:spacing w:val="-3"/>
        </w:rPr>
        <w:t>年4月</w:t>
      </w:r>
      <w:r>
        <w:rPr>
          <w:rFonts w:hint="eastAsia"/>
          <w:spacing w:val="-3"/>
          <w:lang w:eastAsia="zh-CN"/>
        </w:rPr>
        <w:t>4</w:t>
      </w:r>
      <w:r>
        <w:rPr>
          <w:spacing w:val="-6"/>
        </w:rPr>
        <w:t>日刊登于上海证券交易所网站</w:t>
      </w:r>
      <w:r>
        <w:fldChar w:fldCharType="begin"/>
      </w:r>
      <w:r>
        <w:instrText xml:space="preserve"> HYPERLINK "https://www.sse.com.cn" </w:instrText>
      </w:r>
      <w:r>
        <w:fldChar w:fldCharType="separate"/>
      </w:r>
      <w:r>
        <w:rPr>
          <w:spacing w:val="-2"/>
        </w:rPr>
        <w:t>www.sse.com.cn</w:t>
      </w:r>
      <w:r>
        <w:rPr>
          <w:spacing w:val="-2"/>
        </w:rPr>
        <w:fldChar w:fldCharType="end"/>
      </w:r>
      <w:r>
        <w:rPr>
          <w:spacing w:val="-2"/>
        </w:rPr>
        <w:t>的《</w:t>
      </w:r>
      <w:r>
        <w:rPr>
          <w:rFonts w:hint="eastAsia"/>
          <w:spacing w:val="-2"/>
        </w:rPr>
        <w:t>前次募集资金使用情况</w:t>
      </w:r>
      <w:r>
        <w:rPr>
          <w:rFonts w:hint="eastAsia"/>
          <w:spacing w:val="-2"/>
          <w:lang w:val="en-US" w:eastAsia="zh-CN"/>
        </w:rPr>
        <w:t>专项</w:t>
      </w:r>
      <w:r>
        <w:rPr>
          <w:rFonts w:hint="eastAsia"/>
          <w:spacing w:val="-2"/>
        </w:rPr>
        <w:t>报告</w:t>
      </w:r>
      <w:r>
        <w:rPr>
          <w:spacing w:val="-2"/>
        </w:rPr>
        <w:t>》</w:t>
      </w:r>
      <w:r>
        <w:rPr>
          <w:rFonts w:hint="eastAsia"/>
          <w:spacing w:val="-2"/>
          <w:lang w:eastAsia="zh-CN"/>
        </w:rPr>
        <w:t>（</w:t>
      </w:r>
      <w:r>
        <w:rPr>
          <w:rFonts w:hint="eastAsia"/>
          <w:spacing w:val="-2"/>
          <w:lang w:val="en-US" w:eastAsia="zh-CN"/>
        </w:rPr>
        <w:t>公告编号：2026-030</w:t>
      </w:r>
      <w:r>
        <w:rPr>
          <w:rFonts w:hint="eastAsia"/>
          <w:spacing w:val="-2"/>
          <w:lang w:eastAsia="zh-CN"/>
        </w:rPr>
        <w:t>）</w:t>
      </w:r>
      <w:r>
        <w:rPr>
          <w:spacing w:val="-2"/>
        </w:rPr>
        <w:t>。</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该议案已经公司第四届董事会审计委员会十三次会议、第四届董事会战略发展委员会第七次会议、第四届董事会独立董事专门会议第六次会议审议通过。</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表决结果：9票同意、0票弃权、0票反对。</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本议案尚需提交公司股东会审议。</w:t>
      </w:r>
    </w:p>
    <w:p>
      <w:pPr>
        <w:pStyle w:val="3"/>
        <w:numPr>
          <w:ilvl w:val="0"/>
          <w:numId w:val="3"/>
        </w:numPr>
        <w:spacing w:before="277" w:line="360" w:lineRule="auto"/>
        <w:ind w:left="15" w:right="16" w:firstLine="493"/>
        <w:jc w:val="both"/>
        <w:rPr>
          <w:b/>
          <w:bCs/>
          <w:spacing w:val="-3"/>
          <w:lang w:eastAsia="zh-CN"/>
        </w:rPr>
      </w:pPr>
      <w:r>
        <w:rPr>
          <w:b/>
          <w:bCs/>
          <w:spacing w:val="-3"/>
          <w:lang w:eastAsia="zh-CN"/>
        </w:rPr>
        <w:t>审议通过</w:t>
      </w:r>
      <w:r>
        <w:rPr>
          <w:rFonts w:hint="eastAsia"/>
          <w:b/>
          <w:bCs/>
          <w:spacing w:val="-3"/>
          <w:lang w:eastAsia="zh-CN"/>
        </w:rPr>
        <w:t>《关于与特定对象签订附条件生效的股份认购协议之补充协议暨关联交易的议案》</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相关内容详见2026年4月4日刊登于上海证券交易所网站www.sse.com.cn的《关于与特定对象签订附条件生效的股份认购协议之补充协议暨关联交易的公告》（公告编号：2026-03</w:t>
      </w:r>
      <w:r>
        <w:rPr>
          <w:rFonts w:hint="eastAsia" w:cs="宋体" w:asciiTheme="majorEastAsia" w:hAnsiTheme="majorEastAsia" w:eastAsiaTheme="majorEastAsia"/>
          <w:snapToGrid/>
          <w:kern w:val="2"/>
          <w:sz w:val="24"/>
          <w:szCs w:val="24"/>
          <w:lang w:val="en-US" w:eastAsia="zh-CN"/>
        </w:rPr>
        <w:t>1</w:t>
      </w:r>
      <w:r>
        <w:rPr>
          <w:rFonts w:hint="eastAsia" w:cs="宋体" w:asciiTheme="majorEastAsia" w:hAnsiTheme="majorEastAsia" w:eastAsiaTheme="majorEastAsia"/>
          <w:snapToGrid/>
          <w:kern w:val="2"/>
          <w:sz w:val="24"/>
          <w:szCs w:val="24"/>
          <w:lang w:eastAsia="zh-CN"/>
        </w:rPr>
        <w:t>）。</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该议案已经公司第四届董事会审计委员会十三次会议、第四届董事会战略发展委员会第七次会议、第四届董事会独立董事专门会议第六次会议审议通过。</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关联董事杨泽民先生、皮统政先生回避表决。</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表决结果：7票同意、0票弃权、0票反对。</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本议案尚需提交公司股东会审议。</w:t>
      </w:r>
    </w:p>
    <w:p>
      <w:pPr>
        <w:pStyle w:val="3"/>
        <w:numPr>
          <w:ilvl w:val="0"/>
          <w:numId w:val="3"/>
        </w:numPr>
        <w:spacing w:before="277" w:line="360" w:lineRule="auto"/>
        <w:ind w:left="15" w:right="16" w:firstLine="493"/>
        <w:jc w:val="both"/>
        <w:rPr>
          <w:b/>
          <w:bCs/>
          <w:spacing w:val="-3"/>
          <w:lang w:eastAsia="zh-CN"/>
        </w:rPr>
      </w:pPr>
      <w:r>
        <w:rPr>
          <w:b/>
          <w:bCs/>
          <w:spacing w:val="-3"/>
          <w:lang w:eastAsia="zh-CN"/>
        </w:rPr>
        <w:t>审议通过</w:t>
      </w:r>
      <w:r>
        <w:rPr>
          <w:rFonts w:hint="eastAsia"/>
          <w:b/>
          <w:bCs/>
          <w:spacing w:val="-3"/>
          <w:lang w:eastAsia="zh-CN"/>
        </w:rPr>
        <w:t>《关于修订公司向特定对象发行股票相关议案及附件的议案》</w:t>
      </w:r>
    </w:p>
    <w:p>
      <w:pPr>
        <w:pStyle w:val="3"/>
        <w:spacing w:before="277" w:line="360" w:lineRule="auto"/>
        <w:ind w:right="16" w:firstLine="468" w:firstLineChars="200"/>
        <w:jc w:val="both"/>
        <w:rPr>
          <w:lang w:eastAsia="zh-CN"/>
        </w:rPr>
      </w:pPr>
      <w:r>
        <w:rPr>
          <w:spacing w:val="-3"/>
        </w:rPr>
        <w:t>相关内容详见202</w:t>
      </w:r>
      <w:r>
        <w:rPr>
          <w:rFonts w:hint="eastAsia"/>
          <w:spacing w:val="-3"/>
          <w:lang w:eastAsia="zh-CN"/>
        </w:rPr>
        <w:t>6</w:t>
      </w:r>
      <w:r>
        <w:rPr>
          <w:spacing w:val="-3"/>
        </w:rPr>
        <w:t>年4月</w:t>
      </w:r>
      <w:r>
        <w:rPr>
          <w:rFonts w:hint="eastAsia"/>
          <w:spacing w:val="-3"/>
          <w:lang w:eastAsia="zh-CN"/>
        </w:rPr>
        <w:t>4</w:t>
      </w:r>
      <w:r>
        <w:rPr>
          <w:spacing w:val="-6"/>
        </w:rPr>
        <w:t>日刊登于上海证券交易所网站</w:t>
      </w:r>
      <w:r>
        <w:fldChar w:fldCharType="begin"/>
      </w:r>
      <w:r>
        <w:instrText xml:space="preserve"> HYPERLINK "https://www.sse.com.cn" </w:instrText>
      </w:r>
      <w:r>
        <w:fldChar w:fldCharType="separate"/>
      </w:r>
      <w:r>
        <w:rPr>
          <w:spacing w:val="-2"/>
        </w:rPr>
        <w:t>www.sse.com.cn</w:t>
      </w:r>
      <w:r>
        <w:rPr>
          <w:spacing w:val="-2"/>
        </w:rPr>
        <w:fldChar w:fldCharType="end"/>
      </w:r>
      <w:r>
        <w:rPr>
          <w:spacing w:val="-2"/>
        </w:rPr>
        <w:t>的《</w:t>
      </w:r>
      <w:r>
        <w:rPr>
          <w:rFonts w:hint="eastAsia"/>
          <w:spacing w:val="-2"/>
        </w:rPr>
        <w:t>关于向特定对象发行股票预案等相关文件修订情况说明的公告</w:t>
      </w:r>
      <w:r>
        <w:rPr>
          <w:spacing w:val="-2"/>
        </w:rPr>
        <w:t>》。</w:t>
      </w:r>
      <w:r>
        <w:rPr>
          <w:spacing w:val="-2"/>
          <w:lang w:eastAsia="zh-CN"/>
        </w:rPr>
        <w:t>（公告编号：202</w:t>
      </w:r>
      <w:r>
        <w:rPr>
          <w:rFonts w:hint="eastAsia"/>
          <w:spacing w:val="-2"/>
          <w:lang w:eastAsia="zh-CN"/>
        </w:rPr>
        <w:t>6-032</w:t>
      </w:r>
      <w:r>
        <w:rPr>
          <w:spacing w:val="-2"/>
          <w:lang w:eastAsia="zh-CN"/>
        </w:rPr>
        <w:t>）。</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该议案已经公司第四届董事会审计委员会十三次会议、第四届董事会战略发展委员会第七次会议、第四届董事会独立董事专门会议第六次会议审议通过。</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关联董事杨泽民先生、皮统政先生回避表决。</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表决结果：7票同意、0票弃权、0票反对。</w:t>
      </w:r>
    </w:p>
    <w:p>
      <w:pPr>
        <w:widowControl w:val="0"/>
        <w:kinsoku/>
        <w:autoSpaceDE/>
        <w:autoSpaceDN/>
        <w:adjustRightInd/>
        <w:snapToGrid/>
        <w:spacing w:before="120" w:beforeLines="50" w:after="120" w:afterLines="50" w:line="360" w:lineRule="auto"/>
        <w:ind w:firstLine="480" w:firstLineChars="200"/>
        <w:jc w:val="both"/>
        <w:textAlignment w:val="auto"/>
        <w:rPr>
          <w:rFonts w:cs="宋体" w:asciiTheme="majorEastAsia" w:hAnsiTheme="majorEastAsia" w:eastAsiaTheme="majorEastAsia"/>
          <w:snapToGrid/>
          <w:kern w:val="2"/>
          <w:sz w:val="24"/>
          <w:szCs w:val="24"/>
          <w:lang w:eastAsia="zh-CN"/>
        </w:rPr>
      </w:pPr>
      <w:r>
        <w:rPr>
          <w:rFonts w:hint="eastAsia" w:cs="宋体" w:asciiTheme="majorEastAsia" w:hAnsiTheme="majorEastAsia" w:eastAsiaTheme="majorEastAsia"/>
          <w:snapToGrid/>
          <w:kern w:val="2"/>
          <w:sz w:val="24"/>
          <w:szCs w:val="24"/>
          <w:lang w:eastAsia="zh-CN"/>
        </w:rPr>
        <w:t>本议案尚需提交公司股东会审议。</w:t>
      </w:r>
    </w:p>
    <w:p>
      <w:pPr>
        <w:pStyle w:val="3"/>
        <w:spacing w:before="278" w:line="218" w:lineRule="auto"/>
        <w:ind w:left="517"/>
        <w:outlineLvl w:val="2"/>
        <w:rPr>
          <w:lang w:eastAsia="zh-CN"/>
        </w:rPr>
      </w:pPr>
      <w:r>
        <w:rPr>
          <w:b/>
          <w:bCs/>
          <w:spacing w:val="-3"/>
          <w:lang w:eastAsia="zh-CN"/>
        </w:rPr>
        <w:t>（</w:t>
      </w:r>
      <w:r>
        <w:rPr>
          <w:rFonts w:hint="eastAsia"/>
          <w:b/>
          <w:bCs/>
          <w:spacing w:val="-3"/>
          <w:lang w:eastAsia="zh-CN"/>
        </w:rPr>
        <w:t>八</w:t>
      </w:r>
      <w:r>
        <w:rPr>
          <w:b/>
          <w:bCs/>
          <w:spacing w:val="-3"/>
          <w:lang w:eastAsia="zh-CN"/>
        </w:rPr>
        <w:t>）审议通过《关于提请召开202</w:t>
      </w:r>
      <w:r>
        <w:rPr>
          <w:rFonts w:hint="eastAsia"/>
          <w:b/>
          <w:bCs/>
          <w:spacing w:val="-3"/>
          <w:lang w:eastAsia="zh-CN"/>
        </w:rPr>
        <w:t>6</w:t>
      </w:r>
      <w:r>
        <w:rPr>
          <w:b/>
          <w:bCs/>
          <w:spacing w:val="-3"/>
          <w:lang w:eastAsia="zh-CN"/>
        </w:rPr>
        <w:t>年</w:t>
      </w:r>
      <w:r>
        <w:rPr>
          <w:rFonts w:hint="eastAsia"/>
          <w:b/>
          <w:bCs/>
          <w:spacing w:val="-3"/>
          <w:lang w:eastAsia="zh-CN"/>
        </w:rPr>
        <w:t>第一次临时</w:t>
      </w:r>
      <w:r>
        <w:rPr>
          <w:b/>
          <w:bCs/>
          <w:spacing w:val="-3"/>
          <w:lang w:eastAsia="zh-CN"/>
        </w:rPr>
        <w:t>股东会的议案》</w:t>
      </w:r>
    </w:p>
    <w:p>
      <w:pPr>
        <w:pStyle w:val="3"/>
        <w:spacing w:before="276" w:line="431" w:lineRule="auto"/>
        <w:ind w:left="43" w:right="81" w:firstLine="461"/>
        <w:rPr>
          <w:lang w:eastAsia="zh-CN"/>
        </w:rPr>
      </w:pPr>
      <w:r>
        <w:rPr>
          <w:spacing w:val="-6"/>
        </w:rPr>
        <w:t>相关内容详见202</w:t>
      </w:r>
      <w:r>
        <w:rPr>
          <w:rFonts w:hint="eastAsia"/>
          <w:spacing w:val="-6"/>
          <w:lang w:eastAsia="zh-CN"/>
        </w:rPr>
        <w:t>6</w:t>
      </w:r>
      <w:r>
        <w:rPr>
          <w:spacing w:val="-6"/>
        </w:rPr>
        <w:t>年4月</w:t>
      </w:r>
      <w:r>
        <w:rPr>
          <w:rFonts w:hint="eastAsia"/>
          <w:spacing w:val="-6"/>
          <w:lang w:eastAsia="zh-CN"/>
        </w:rPr>
        <w:t>4</w:t>
      </w:r>
      <w:r>
        <w:rPr>
          <w:spacing w:val="-6"/>
        </w:rPr>
        <w:t>日刊登于上海证券交易所网站</w:t>
      </w:r>
      <w:r>
        <w:fldChar w:fldCharType="begin"/>
      </w:r>
      <w:r>
        <w:instrText xml:space="preserve"> HYPERLINK "https://www.sse.com.cn" </w:instrText>
      </w:r>
      <w:r>
        <w:fldChar w:fldCharType="separate"/>
      </w:r>
      <w:r>
        <w:rPr>
          <w:spacing w:val="-2"/>
        </w:rPr>
        <w:t>www.sse.com.cn</w:t>
      </w:r>
      <w:r>
        <w:rPr>
          <w:spacing w:val="-2"/>
        </w:rPr>
        <w:fldChar w:fldCharType="end"/>
      </w:r>
      <w:r>
        <w:rPr>
          <w:spacing w:val="-2"/>
        </w:rPr>
        <w:t>的《关于召开</w:t>
      </w:r>
      <w:r>
        <w:rPr>
          <w:spacing w:val="-3"/>
        </w:rPr>
        <w:t>202</w:t>
      </w:r>
      <w:r>
        <w:rPr>
          <w:rFonts w:hint="eastAsia"/>
          <w:spacing w:val="-3"/>
          <w:lang w:eastAsia="zh-CN"/>
        </w:rPr>
        <w:t>6</w:t>
      </w:r>
      <w:r>
        <w:rPr>
          <w:spacing w:val="-3"/>
        </w:rPr>
        <w:t>年</w:t>
      </w:r>
      <w:r>
        <w:rPr>
          <w:rFonts w:hint="eastAsia"/>
          <w:spacing w:val="-3"/>
          <w:lang w:eastAsia="zh-CN"/>
        </w:rPr>
        <w:t>第一次临时</w:t>
      </w:r>
      <w:r>
        <w:rPr>
          <w:spacing w:val="-3"/>
        </w:rPr>
        <w:t>股东会</w:t>
      </w:r>
      <w:r>
        <w:rPr>
          <w:spacing w:val="-2"/>
        </w:rPr>
        <w:t>的通知》。</w:t>
      </w:r>
      <w:r>
        <w:rPr>
          <w:spacing w:val="-2"/>
          <w:lang w:eastAsia="zh-CN"/>
        </w:rPr>
        <w:t>（公告编号：202</w:t>
      </w:r>
      <w:r>
        <w:rPr>
          <w:rFonts w:hint="eastAsia"/>
          <w:spacing w:val="-2"/>
          <w:lang w:eastAsia="zh-CN"/>
        </w:rPr>
        <w:t>6-0</w:t>
      </w:r>
      <w:r>
        <w:rPr>
          <w:rFonts w:hint="eastAsia"/>
          <w:spacing w:val="-2"/>
          <w:lang w:val="en-US" w:eastAsia="zh-CN"/>
        </w:rPr>
        <w:t>34</w:t>
      </w:r>
      <w:r>
        <w:rPr>
          <w:spacing w:val="-2"/>
          <w:lang w:eastAsia="zh-CN"/>
        </w:rPr>
        <w:t>）。</w:t>
      </w:r>
    </w:p>
    <w:p>
      <w:pPr>
        <w:pStyle w:val="3"/>
        <w:spacing w:before="1" w:line="218" w:lineRule="auto"/>
        <w:ind w:left="502"/>
        <w:rPr>
          <w:spacing w:val="-4"/>
          <w:lang w:eastAsia="zh-CN"/>
        </w:rPr>
      </w:pPr>
      <w:r>
        <w:rPr>
          <w:spacing w:val="-4"/>
          <w:lang w:eastAsia="zh-CN"/>
        </w:rPr>
        <w:t>表决结果：同意9票；反对0票；弃权0票。</w:t>
      </w:r>
    </w:p>
    <w:p>
      <w:pPr>
        <w:pStyle w:val="3"/>
        <w:spacing w:before="1" w:line="218" w:lineRule="auto"/>
        <w:ind w:left="502"/>
        <w:rPr>
          <w:spacing w:val="-4"/>
          <w:lang w:eastAsia="zh-CN"/>
        </w:rPr>
      </w:pPr>
    </w:p>
    <w:p>
      <w:pPr>
        <w:spacing w:line="282" w:lineRule="auto"/>
        <w:rPr>
          <w:lang w:eastAsia="zh-CN"/>
        </w:rPr>
      </w:pPr>
    </w:p>
    <w:p>
      <w:pPr>
        <w:spacing w:line="282" w:lineRule="auto"/>
        <w:rPr>
          <w:lang w:eastAsia="zh-CN"/>
        </w:rPr>
      </w:pPr>
    </w:p>
    <w:p>
      <w:pPr>
        <w:pStyle w:val="3"/>
        <w:spacing w:before="78" w:line="217" w:lineRule="auto"/>
        <w:ind w:left="500"/>
        <w:rPr>
          <w:lang w:eastAsia="zh-CN"/>
        </w:rPr>
      </w:pPr>
      <w:r>
        <w:rPr>
          <w:spacing w:val="-2"/>
          <w:lang w:eastAsia="zh-CN"/>
        </w:rPr>
        <w:t>特此公告。</w:t>
      </w:r>
    </w:p>
    <w:p>
      <w:pPr>
        <w:spacing w:line="243" w:lineRule="auto"/>
        <w:rPr>
          <w:lang w:eastAsia="zh-CN"/>
        </w:rPr>
      </w:pPr>
    </w:p>
    <w:p>
      <w:pPr>
        <w:spacing w:line="243" w:lineRule="auto"/>
        <w:rPr>
          <w:lang w:eastAsia="zh-CN"/>
        </w:rPr>
      </w:pPr>
    </w:p>
    <w:p>
      <w:pPr>
        <w:spacing w:line="243" w:lineRule="auto"/>
        <w:rPr>
          <w:lang w:eastAsia="zh-CN"/>
        </w:rPr>
      </w:pPr>
    </w:p>
    <w:p>
      <w:pPr>
        <w:pStyle w:val="3"/>
        <w:spacing w:before="78" w:line="218" w:lineRule="auto"/>
        <w:ind w:right="13"/>
        <w:jc w:val="right"/>
        <w:rPr>
          <w:lang w:eastAsia="zh-CN"/>
        </w:rPr>
      </w:pPr>
      <w:r>
        <w:rPr>
          <w:spacing w:val="-1"/>
          <w:lang w:eastAsia="zh-CN"/>
        </w:rPr>
        <w:t>重庆望变电气（集团）股份有限公司董事会</w:t>
      </w:r>
    </w:p>
    <w:p>
      <w:pPr>
        <w:pStyle w:val="3"/>
        <w:spacing w:before="275" w:line="219" w:lineRule="auto"/>
        <w:jc w:val="right"/>
      </w:pPr>
      <w:r>
        <w:rPr>
          <w:spacing w:val="-12"/>
        </w:rPr>
        <w:t>202</w:t>
      </w:r>
      <w:r>
        <w:rPr>
          <w:rFonts w:hint="eastAsia"/>
          <w:spacing w:val="-12"/>
          <w:lang w:eastAsia="zh-CN"/>
        </w:rPr>
        <w:t>6</w:t>
      </w:r>
      <w:r>
        <w:rPr>
          <w:spacing w:val="-12"/>
        </w:rPr>
        <w:t>年4月</w:t>
      </w:r>
      <w:r>
        <w:rPr>
          <w:rFonts w:hint="eastAsia"/>
          <w:spacing w:val="-48"/>
          <w:lang w:eastAsia="zh-CN"/>
        </w:rPr>
        <w:t>4</w:t>
      </w:r>
      <w:r>
        <w:rPr>
          <w:spacing w:val="-12"/>
        </w:rPr>
        <w:t>日</w:t>
      </w:r>
    </w:p>
    <w:sectPr>
      <w:footerReference r:id="rId3" w:type="default"/>
      <w:pgSz w:w="11906" w:h="16839"/>
      <w:pgMar w:top="1431" w:right="1785" w:bottom="1211" w:left="1785" w:header="0" w:footer="97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9" w:lineRule="exact"/>
      <w:ind w:left="4124"/>
      <w:rPr>
        <w:sz w:val="18"/>
        <w:szCs w:val="18"/>
      </w:rPr>
    </w:pPr>
    <w:r>
      <w:rPr>
        <w:position w:val="1"/>
        <w:sz w:val="18"/>
        <w:szCs w:val="18"/>
      </w:rPr>
      <w:t>6</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EDAB59"/>
    <w:multiLevelType w:val="singleLevel"/>
    <w:tmpl w:val="9EEDAB59"/>
    <w:lvl w:ilvl="0" w:tentative="0">
      <w:start w:val="2"/>
      <w:numFmt w:val="chineseCounting"/>
      <w:suff w:val="space"/>
      <w:lvlText w:val="%1、"/>
      <w:lvlJc w:val="left"/>
      <w:rPr>
        <w:rFonts w:hint="eastAsia"/>
      </w:rPr>
    </w:lvl>
  </w:abstractNum>
  <w:abstractNum w:abstractNumId="1">
    <w:nsid w:val="AACF8C2C"/>
    <w:multiLevelType w:val="singleLevel"/>
    <w:tmpl w:val="AACF8C2C"/>
    <w:lvl w:ilvl="0" w:tentative="0">
      <w:start w:val="6"/>
      <w:numFmt w:val="chineseCounting"/>
      <w:suff w:val="nothing"/>
      <w:lvlText w:val="（%1）"/>
      <w:lvlJc w:val="left"/>
      <w:rPr>
        <w:rFonts w:hint="eastAsia"/>
      </w:rPr>
    </w:lvl>
  </w:abstractNum>
  <w:abstractNum w:abstractNumId="2">
    <w:nsid w:val="6781EB1B"/>
    <w:multiLevelType w:val="singleLevel"/>
    <w:tmpl w:val="6781EB1B"/>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1"/>
  <w:bordersDoNotSurroundFooter w:val="1"/>
  <w:trackRevisions w:val="1"/>
  <w:documentProtection w:enforcement="0"/>
  <w:defaultTabStop w:val="420"/>
  <w:displayHorizontalDrawingGridEvery w:val="0"/>
  <w:displayVerticalDrawingGridEvery w:val="2"/>
  <w:characterSpacingControl w:val="doNotCompress"/>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zIxN2U5ZTdjMDMzOTBiYTU0YjliN2JjZTU3NWI5MGMifQ=="/>
  </w:docVars>
  <w:rsids>
    <w:rsidRoot w:val="00E71022"/>
    <w:rsid w:val="00480A2B"/>
    <w:rsid w:val="00563636"/>
    <w:rsid w:val="007B41ED"/>
    <w:rsid w:val="00A254E1"/>
    <w:rsid w:val="00C21549"/>
    <w:rsid w:val="00C51372"/>
    <w:rsid w:val="00E71022"/>
    <w:rsid w:val="00FF22DA"/>
    <w:rsid w:val="086D6CFC"/>
    <w:rsid w:val="0D4E4C07"/>
    <w:rsid w:val="1380268A"/>
    <w:rsid w:val="15445219"/>
    <w:rsid w:val="15A91739"/>
    <w:rsid w:val="182B1B8A"/>
    <w:rsid w:val="1D4F5C8C"/>
    <w:rsid w:val="268818C7"/>
    <w:rsid w:val="344A2875"/>
    <w:rsid w:val="40D432EC"/>
    <w:rsid w:val="47BD0B55"/>
    <w:rsid w:val="48164C1B"/>
    <w:rsid w:val="4EA823FA"/>
    <w:rsid w:val="4EC62B02"/>
    <w:rsid w:val="59D045C8"/>
    <w:rsid w:val="5CA1662A"/>
    <w:rsid w:val="65416585"/>
    <w:rsid w:val="6785439B"/>
    <w:rsid w:val="7E4D5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style>
  <w:style w:type="paragraph" w:styleId="3">
    <w:name w:val="Body Text"/>
    <w:basedOn w:val="1"/>
    <w:semiHidden/>
    <w:qFormat/>
    <w:uiPriority w:val="0"/>
    <w:rPr>
      <w:rFonts w:ascii="宋体" w:hAnsi="宋体" w:eastAsia="宋体" w:cs="宋体"/>
      <w:sz w:val="24"/>
      <w:szCs w:val="24"/>
    </w:rPr>
  </w:style>
  <w:style w:type="paragraph" w:styleId="4">
    <w:name w:val="footer"/>
    <w:basedOn w:val="1"/>
    <w:link w:val="14"/>
    <w:qFormat/>
    <w:uiPriority w:val="0"/>
    <w:pPr>
      <w:tabs>
        <w:tab w:val="center" w:pos="4153"/>
        <w:tab w:val="right" w:pos="8306"/>
      </w:tabs>
    </w:pPr>
    <w:rPr>
      <w:sz w:val="18"/>
      <w:szCs w:val="18"/>
    </w:rPr>
  </w:style>
  <w:style w:type="paragraph" w:styleId="5">
    <w:name w:val="header"/>
    <w:basedOn w:val="1"/>
    <w:link w:val="13"/>
    <w:qFormat/>
    <w:uiPriority w:val="0"/>
    <w:pPr>
      <w:tabs>
        <w:tab w:val="center" w:pos="4153"/>
        <w:tab w:val="right" w:pos="8306"/>
      </w:tabs>
      <w:jc w:val="center"/>
    </w:pPr>
    <w:rPr>
      <w:sz w:val="18"/>
      <w:szCs w:val="18"/>
    </w:rPr>
  </w:style>
  <w:style w:type="paragraph" w:styleId="6">
    <w:name w:val="Title"/>
    <w:basedOn w:val="1"/>
    <w:next w:val="1"/>
    <w:link w:val="12"/>
    <w:qFormat/>
    <w:uiPriority w:val="0"/>
    <w:pPr>
      <w:widowControl w:val="0"/>
      <w:spacing w:before="240" w:after="60"/>
      <w:jc w:val="center"/>
      <w:outlineLvl w:val="0"/>
    </w:pPr>
    <w:rPr>
      <w:rFonts w:ascii="Cambria" w:hAnsi="Cambria" w:eastAsia="宋体" w:cs="Times New Roman"/>
      <w:b/>
      <w:bCs/>
      <w:kern w:val="2"/>
      <w:sz w:val="32"/>
      <w:szCs w:val="32"/>
      <w:lang w:eastAsia="zh-CN"/>
    </w:rPr>
  </w:style>
  <w:style w:type="paragraph" w:styleId="7">
    <w:name w:val="annotation subject"/>
    <w:basedOn w:val="2"/>
    <w:next w:val="2"/>
    <w:link w:val="17"/>
    <w:qFormat/>
    <w:uiPriority w:val="0"/>
    <w:rPr>
      <w:b/>
      <w:bCs/>
    </w:rPr>
  </w:style>
  <w:style w:type="character" w:styleId="10">
    <w:name w:val="annotation reference"/>
    <w:basedOn w:val="9"/>
    <w:qFormat/>
    <w:uiPriority w:val="0"/>
    <w:rPr>
      <w:sz w:val="21"/>
      <w:szCs w:val="21"/>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标题 字符"/>
    <w:basedOn w:val="9"/>
    <w:link w:val="6"/>
    <w:qFormat/>
    <w:uiPriority w:val="0"/>
    <w:rPr>
      <w:rFonts w:ascii="Cambria" w:hAnsi="Cambria" w:eastAsia="宋体" w:cs="Times New Roman"/>
      <w:b/>
      <w:bCs/>
      <w:kern w:val="2"/>
      <w:sz w:val="32"/>
      <w:szCs w:val="32"/>
    </w:rPr>
  </w:style>
  <w:style w:type="character" w:customStyle="1" w:styleId="13">
    <w:name w:val="页眉 字符"/>
    <w:basedOn w:val="9"/>
    <w:link w:val="5"/>
    <w:qFormat/>
    <w:uiPriority w:val="0"/>
    <w:rPr>
      <w:rFonts w:ascii="Arial" w:hAnsi="Arial" w:eastAsia="Arial" w:cs="Arial"/>
      <w:snapToGrid w:val="0"/>
      <w:color w:val="000000"/>
      <w:sz w:val="18"/>
      <w:szCs w:val="18"/>
      <w:lang w:eastAsia="en-US"/>
    </w:rPr>
  </w:style>
  <w:style w:type="character" w:customStyle="1" w:styleId="14">
    <w:name w:val="页脚 字符"/>
    <w:basedOn w:val="9"/>
    <w:link w:val="4"/>
    <w:qFormat/>
    <w:uiPriority w:val="0"/>
    <w:rPr>
      <w:rFonts w:ascii="Arial" w:hAnsi="Arial" w:eastAsia="Arial" w:cs="Arial"/>
      <w:snapToGrid w:val="0"/>
      <w:color w:val="000000"/>
      <w:sz w:val="18"/>
      <w:szCs w:val="18"/>
      <w:lang w:eastAsia="en-US"/>
    </w:rPr>
  </w:style>
  <w:style w:type="paragraph" w:customStyle="1" w:styleId="15">
    <w:name w:val="Revision"/>
    <w:hidden/>
    <w:unhideWhenUsed/>
    <w:qFormat/>
    <w:uiPriority w:val="99"/>
    <w:rPr>
      <w:rFonts w:ascii="Arial" w:hAnsi="Arial" w:eastAsia="Arial" w:cs="Arial"/>
      <w:snapToGrid w:val="0"/>
      <w:color w:val="000000"/>
      <w:sz w:val="21"/>
      <w:szCs w:val="21"/>
      <w:lang w:val="en-US" w:eastAsia="en-US" w:bidi="ar-SA"/>
    </w:rPr>
  </w:style>
  <w:style w:type="character" w:customStyle="1" w:styleId="16">
    <w:name w:val="批注文字 字符"/>
    <w:basedOn w:val="9"/>
    <w:link w:val="2"/>
    <w:qFormat/>
    <w:uiPriority w:val="0"/>
    <w:rPr>
      <w:rFonts w:ascii="Arial" w:hAnsi="Arial" w:eastAsia="Arial" w:cs="Arial"/>
      <w:snapToGrid w:val="0"/>
      <w:color w:val="000000"/>
      <w:sz w:val="21"/>
      <w:szCs w:val="21"/>
      <w:lang w:eastAsia="en-US"/>
    </w:rPr>
  </w:style>
  <w:style w:type="character" w:customStyle="1" w:styleId="17">
    <w:name w:val="批注主题 字符"/>
    <w:basedOn w:val="16"/>
    <w:link w:val="7"/>
    <w:qFormat/>
    <w:uiPriority w:val="0"/>
    <w:rPr>
      <w:rFonts w:ascii="Arial" w:hAnsi="Arial" w:eastAsia="Arial" w:cs="Arial"/>
      <w:b/>
      <w:bCs/>
      <w:snapToGrid w:val="0"/>
      <w:color w:val="000000"/>
      <w:sz w:val="21"/>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2218</Words>
  <Characters>2395</Characters>
  <Lines>19</Lines>
  <Paragraphs>5</Paragraphs>
  <TotalTime>55</TotalTime>
  <ScaleCrop>false</ScaleCrop>
  <LinksUpToDate>false</LinksUpToDate>
  <CharactersWithSpaces>2411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2025-04-25T18:06:00Z</dcterms:created>
  <dc:creator>BJB-ZB-03</dc:creator>
  <cp:lastModifiedBy>雯亦</cp:lastModifiedBy>
  <dcterms:modified xsi:type="dcterms:W3CDTF">2026-04-02T14:07:43Z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2026-03-24T14:28:42Z</vt:filetime>
  </property>
  <property fmtid="{D5CDD505-2E9C-101B-9397-08002B2CF9AE}" pid="4" name="KSOTemplateDocerSaveRecord">
    <vt:lpwstr>eyJoZGlkIjoiZTQzZmRmZDMxMjkwMDE2NTk0ZWQ1ZWYwMzRmYjVhNmUiLCJ1c2VySWQiOiI2NDQwNzQxNTQifQ==</vt:lpwstr>
  </property>
  <property fmtid="{D5CDD505-2E9C-101B-9397-08002B2CF9AE}" pid="5" name="KSOProductBuildVer">
    <vt:lpwstr>2052-11.1.0.12165</vt:lpwstr>
  </property>
  <property fmtid="{D5CDD505-2E9C-101B-9397-08002B2CF9AE}" pid="6" name="ICV">
    <vt:lpwstr>E5B7063D0FB04182A2297F04D46E31F4_13</vt:lpwstr>
  </property>
</Properties>
</file>