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宋体" w:hAnsi="宋体"/>
          <w:b/>
          <w:sz w:val="24"/>
          <w:szCs w:val="24"/>
        </w:rPr>
      </w:pPr>
      <w:r>
        <w:rPr>
          <w:rFonts w:hint="eastAsia" w:ascii="宋体" w:hAnsi="宋体"/>
          <w:b/>
          <w:sz w:val="24"/>
          <w:szCs w:val="24"/>
        </w:rPr>
        <w:t>证券代码：</w:t>
      </w:r>
      <w:r>
        <w:rPr>
          <w:rFonts w:ascii="宋体" w:hAnsi="宋体"/>
          <w:b/>
          <w:sz w:val="24"/>
          <w:szCs w:val="24"/>
        </w:rPr>
        <w:t xml:space="preserve">603191        </w:t>
      </w:r>
      <w:r>
        <w:rPr>
          <w:rFonts w:hint="eastAsia" w:ascii="宋体" w:hAnsi="宋体"/>
          <w:b/>
          <w:sz w:val="24"/>
          <w:szCs w:val="24"/>
        </w:rPr>
        <w:t xml:space="preserve">证券简称：望变电气 </w:t>
      </w:r>
      <w:r>
        <w:rPr>
          <w:rFonts w:ascii="宋体" w:hAnsi="宋体"/>
          <w:b/>
          <w:sz w:val="24"/>
          <w:szCs w:val="24"/>
        </w:rPr>
        <w:t xml:space="preserve">       </w:t>
      </w:r>
      <w:r>
        <w:rPr>
          <w:rFonts w:hint="eastAsia" w:ascii="宋体" w:hAnsi="宋体"/>
          <w:b/>
          <w:sz w:val="24"/>
          <w:szCs w:val="24"/>
        </w:rPr>
        <w:t>公告编号：2</w:t>
      </w:r>
      <w:r>
        <w:rPr>
          <w:rFonts w:ascii="宋体" w:hAnsi="宋体"/>
          <w:b/>
          <w:sz w:val="24"/>
          <w:szCs w:val="24"/>
        </w:rPr>
        <w:t>02</w:t>
      </w:r>
      <w:r>
        <w:rPr>
          <w:rFonts w:hint="eastAsia" w:ascii="宋体" w:hAnsi="宋体"/>
          <w:b/>
          <w:sz w:val="24"/>
          <w:szCs w:val="24"/>
        </w:rPr>
        <w:t>6-024</w:t>
      </w:r>
    </w:p>
    <w:p>
      <w:pPr>
        <w:adjustRightInd w:val="0"/>
        <w:snapToGrid w:val="0"/>
        <w:spacing w:line="560" w:lineRule="exact"/>
        <w:jc w:val="left"/>
        <w:rPr>
          <w:rFonts w:hint="eastAsia" w:ascii="仿宋" w:hAnsi="仿宋" w:eastAsia="仿宋_GB2312"/>
          <w:sz w:val="30"/>
          <w:szCs w:val="30"/>
        </w:rPr>
      </w:pPr>
    </w:p>
    <w:p>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重庆望变电气（集团）股份有限公司</w:t>
      </w:r>
    </w:p>
    <w:p>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关于增加2026年度对子公司</w:t>
      </w:r>
      <w:bookmarkStart w:id="0" w:name="OLE_LINK1"/>
      <w:r>
        <w:rPr>
          <w:rFonts w:hint="eastAsia" w:ascii="宋体" w:hAnsi="宋体" w:cs="仿宋_GB2312"/>
          <w:b/>
          <w:bCs/>
          <w:color w:val="FF0000"/>
          <w:sz w:val="36"/>
          <w:szCs w:val="36"/>
        </w:rPr>
        <w:t>担保</w:t>
      </w:r>
      <w:bookmarkEnd w:id="0"/>
      <w:r>
        <w:rPr>
          <w:rFonts w:hint="eastAsia" w:ascii="宋体" w:hAnsi="宋体" w:cs="仿宋_GB2312"/>
          <w:b/>
          <w:bCs/>
          <w:color w:val="FF0000"/>
          <w:sz w:val="36"/>
          <w:szCs w:val="36"/>
        </w:rPr>
        <w:t>额度</w:t>
      </w:r>
    </w:p>
    <w:p>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暨2026年3月对子公司提供担保的进展公告</w:t>
      </w:r>
    </w:p>
    <w:p>
      <w:pPr>
        <w:adjustRightInd w:val="0"/>
        <w:snapToGrid w:val="0"/>
        <w:spacing w:before="156" w:beforeLines="50" w:line="560" w:lineRule="exact"/>
        <w:jc w:val="center"/>
        <w:rPr>
          <w:rFonts w:hint="eastAsia" w:ascii="仿宋_GB2312" w:hAnsi="仿宋_GB2312" w:eastAsia="仿宋_GB2312" w:cs="仿宋_GB2312"/>
          <w:b/>
          <w:bCs/>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sz w:val="24"/>
          <w:szCs w:val="24"/>
        </w:rPr>
        <w:t>。</w:t>
      </w:r>
    </w:p>
    <w:p>
      <w:pPr>
        <w:adjustRightInd w:val="0"/>
        <w:snapToGrid w:val="0"/>
        <w:spacing w:line="560" w:lineRule="exact"/>
        <w:rPr>
          <w:rFonts w:hint="eastAsia" w:ascii="宋体" w:hAnsi="宋体" w:cs="宋体"/>
          <w:sz w:val="24"/>
          <w:szCs w:val="24"/>
        </w:rPr>
      </w:pPr>
    </w:p>
    <w:p>
      <w:pPr>
        <w:adjustRightInd w:val="0"/>
        <w:snapToGrid w:val="0"/>
        <w:spacing w:line="560" w:lineRule="exact"/>
        <w:rPr>
          <w:rFonts w:hint="eastAsia" w:ascii="宋体" w:hAnsi="宋体" w:cs="宋体"/>
          <w:b/>
          <w:sz w:val="24"/>
          <w:szCs w:val="24"/>
        </w:rPr>
      </w:pPr>
      <w:r>
        <w:rPr>
          <w:rFonts w:hint="eastAsia" w:ascii="宋体" w:hAnsi="宋体" w:cs="宋体"/>
          <w:b/>
          <w:sz w:val="24"/>
          <w:szCs w:val="24"/>
        </w:rPr>
        <w:t>重要内容提示：</w:t>
      </w:r>
    </w:p>
    <w:p>
      <w:pPr>
        <w:pStyle w:val="25"/>
        <w:rPr>
          <w:rFonts w:hint="eastAsia" w:ascii="宋体" w:hAnsi="宋体" w:cs="宋体"/>
          <w:sz w:val="24"/>
          <w:szCs w:val="24"/>
        </w:rPr>
      </w:pPr>
      <w:r>
        <w:rPr>
          <w:rFonts w:hint="eastAsia" w:ascii="宋体" w:hAnsi="宋体" w:cs="宋体"/>
          <w:sz w:val="24"/>
          <w:szCs w:val="24"/>
        </w:rPr>
        <w:t>增加的被担保人及担保金额：全资子公司重庆望来电智能装备科技有限公司（以下简称“望来电”）；公司同意2026年度为望来电向银行等金融机构申请综合授信或借款提供新增额度不超过10亿元人民币（或等值外币）的担保；</w:t>
      </w:r>
    </w:p>
    <w:p>
      <w:pPr>
        <w:pStyle w:val="25"/>
        <w:rPr>
          <w:rFonts w:hint="eastAsia" w:ascii="宋体" w:hAnsi="宋体" w:cs="宋体"/>
          <w:sz w:val="24"/>
          <w:szCs w:val="24"/>
        </w:rPr>
      </w:pPr>
      <w:r>
        <w:rPr>
          <w:rFonts w:hint="eastAsia" w:ascii="宋体" w:hAnsi="宋体" w:cs="宋体"/>
          <w:sz w:val="24"/>
          <w:szCs w:val="24"/>
        </w:rPr>
        <w:t>3月担保合同情况：2026年3月1日至3月31日期间，公司为子公司望来充提供35,200万元担保，担保余额为0。截止2026年3月31日公司已实际为子公司云变电气提供的担保余额为人民币 61,866.18 万元；为子公司惠泽电器提供的担保余额为人民币1,996.18 万元；为子公司黔南望江提供的担保余额为人民币 4,250.48 万元。担保余额总计68,112.84万元 ，担保</w:t>
      </w:r>
      <w:r>
        <w:rPr>
          <w:rFonts w:hint="eastAsia" w:ascii="宋体" w:hAnsi="宋体" w:cs="宋体"/>
          <w:sz w:val="24"/>
          <w:szCs w:val="24"/>
          <w:lang w:val="en-US" w:eastAsia="zh-CN"/>
        </w:rPr>
        <w:t>余额</w:t>
      </w:r>
      <w:r>
        <w:rPr>
          <w:rFonts w:hint="eastAsia" w:ascii="宋体" w:hAnsi="宋体" w:cs="宋体"/>
          <w:sz w:val="24"/>
          <w:szCs w:val="24"/>
        </w:rPr>
        <w:t>占公司最近一期经审计资金资产的比例为27.30%。</w:t>
      </w:r>
    </w:p>
    <w:p>
      <w:pPr>
        <w:pStyle w:val="25"/>
        <w:rPr>
          <w:rFonts w:hint="eastAsia" w:ascii="宋体" w:hAnsi="宋体" w:cs="宋体"/>
          <w:sz w:val="24"/>
          <w:szCs w:val="24"/>
        </w:rPr>
      </w:pPr>
      <w:r>
        <w:rPr>
          <w:rFonts w:hint="eastAsia" w:ascii="宋体" w:hAnsi="宋体" w:cs="宋体"/>
          <w:sz w:val="24"/>
          <w:szCs w:val="24"/>
        </w:rPr>
        <w:t>担保有无反担保：无</w:t>
      </w:r>
    </w:p>
    <w:p>
      <w:pPr>
        <w:pStyle w:val="25"/>
        <w:rPr>
          <w:rFonts w:hint="eastAsia" w:ascii="宋体" w:hAnsi="宋体" w:cs="宋体"/>
          <w:sz w:val="24"/>
          <w:szCs w:val="24"/>
        </w:rPr>
      </w:pPr>
      <w:r>
        <w:rPr>
          <w:rFonts w:hint="eastAsia" w:ascii="宋体" w:hAnsi="宋体" w:cs="宋体"/>
          <w:sz w:val="24"/>
          <w:szCs w:val="24"/>
        </w:rPr>
        <w:t>公司无逾期对外担保的情况：无</w:t>
      </w:r>
    </w:p>
    <w:p>
      <w:pPr>
        <w:pStyle w:val="25"/>
        <w:rPr>
          <w:rFonts w:hint="eastAsia" w:ascii="宋体" w:hAnsi="宋体" w:cs="宋体"/>
          <w:sz w:val="24"/>
          <w:szCs w:val="24"/>
        </w:rPr>
      </w:pPr>
      <w:r>
        <w:rPr>
          <w:rFonts w:hint="eastAsia" w:ascii="宋体" w:hAnsi="宋体" w:cs="宋体"/>
          <w:sz w:val="24"/>
          <w:szCs w:val="24"/>
        </w:rPr>
        <w:t>特别风险提示：被担保对象黔南望江负债率超过70%（经审计），请广大投资者关注担保风险。</w:t>
      </w:r>
    </w:p>
    <w:p>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一、担保情况概述</w:t>
      </w:r>
    </w:p>
    <w:p>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（一）本次担保额度调整情况</w:t>
      </w:r>
    </w:p>
    <w:p>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 xml:space="preserve"> 1、前次预计2026年度对外担保履行的审议程序</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公司于2025年12月9日召开第四届董事会第十五次会议，并于2025年12月26日召开2025年第一次临时股东会，分别审议通过了《关于预计2026年度向银行等金融机构申请综合授信额度及为子公司提供融资担保额度的议案》，同意公司在2026年度向银行等金融机构申请综合授信或借款提供新增额度不超过30亿元人民币（或等值外币）的担保。</w:t>
      </w:r>
    </w:p>
    <w:p>
      <w:pPr>
        <w:adjustRightInd w:val="0"/>
        <w:snapToGrid w:val="0"/>
        <w:spacing w:line="560" w:lineRule="exact"/>
        <w:ind w:firstLine="480" w:firstLineChars="200"/>
        <w:outlineLvl w:val="1"/>
        <w:rPr>
          <w:rFonts w:hint="eastAsia" w:ascii="宋体" w:hAnsi="宋体" w:cs="宋体"/>
          <w:sz w:val="24"/>
          <w:szCs w:val="24"/>
        </w:rPr>
      </w:pPr>
      <w:r>
        <w:rPr>
          <w:rFonts w:hint="eastAsia" w:ascii="宋体" w:hAnsi="宋体" w:cs="宋体"/>
          <w:sz w:val="24"/>
          <w:szCs w:val="24"/>
        </w:rPr>
        <w:t>相关内容详见公司同日刊登在指定媒体及上海证券交易所网站上的《关于预计2026年度为子公司新增担保额度的公告》（公告编号：2025-062）。</w:t>
      </w:r>
    </w:p>
    <w:p>
      <w:pPr>
        <w:adjustRightInd w:val="0"/>
        <w:snapToGrid w:val="0"/>
        <w:spacing w:line="560" w:lineRule="exact"/>
        <w:outlineLvl w:val="1"/>
        <w:rPr>
          <w:rFonts w:hint="eastAsia" w:ascii="宋体" w:hAnsi="宋体" w:cs="宋体"/>
          <w:sz w:val="24"/>
          <w:szCs w:val="24"/>
        </w:rPr>
      </w:pPr>
      <w:r>
        <w:rPr>
          <w:rFonts w:hint="eastAsia" w:ascii="宋体" w:hAnsi="宋体" w:cs="宋体"/>
          <w:sz w:val="24"/>
          <w:szCs w:val="24"/>
        </w:rPr>
        <w:t>2、本次增加2026年度对外担保预计情况</w:t>
      </w:r>
    </w:p>
    <w:p>
      <w:pPr>
        <w:jc w:val="right"/>
        <w:rPr>
          <w:rFonts w:hint="eastAsia" w:ascii="仿宋" w:hAnsi="仿宋" w:eastAsia="仿宋"/>
          <w:color w:val="000000"/>
        </w:rPr>
      </w:pPr>
      <w:bookmarkStart w:id="1" w:name="OLE_LINK9"/>
      <w:r>
        <w:rPr>
          <w:rFonts w:hint="eastAsia" w:ascii="仿宋" w:hAnsi="仿宋" w:eastAsia="仿宋"/>
          <w:color w:val="000000"/>
        </w:rPr>
        <w:t>单位：万元  币种：人民币</w:t>
      </w:r>
    </w:p>
    <w:tbl>
      <w:tblPr>
        <w:tblStyle w:val="18"/>
        <w:tblpPr w:leftFromText="180" w:rightFromText="180" w:vertAnchor="text" w:horzAnchor="page" w:tblpX="1758" w:tblpY="303"/>
        <w:tblOverlap w:val="never"/>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47"/>
        <w:gridCol w:w="896"/>
        <w:gridCol w:w="1196"/>
        <w:gridCol w:w="1046"/>
        <w:gridCol w:w="896"/>
        <w:gridCol w:w="1496"/>
        <w:gridCol w:w="746"/>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747"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color w:val="000000"/>
                <w:kern w:val="0"/>
                <w:sz w:val="18"/>
                <w:szCs w:val="18"/>
              </w:rPr>
              <w:t>担</w:t>
            </w:r>
            <w:r>
              <w:rPr>
                <w:rFonts w:hint="eastAsia" w:ascii="宋体" w:hAnsi="宋体" w:cs="宋体"/>
                <w:b/>
                <w:kern w:val="0"/>
                <w:sz w:val="18"/>
                <w:szCs w:val="18"/>
              </w:rPr>
              <w:t>保方</w:t>
            </w:r>
          </w:p>
        </w:tc>
        <w:tc>
          <w:tcPr>
            <w:tcW w:w="747"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被担保方</w:t>
            </w:r>
          </w:p>
        </w:tc>
        <w:tc>
          <w:tcPr>
            <w:tcW w:w="896"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担保方持股比例</w:t>
            </w:r>
          </w:p>
        </w:tc>
        <w:tc>
          <w:tcPr>
            <w:tcW w:w="1196"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被担保方</w:t>
            </w:r>
            <w:r>
              <w:rPr>
                <w:rFonts w:hint="eastAsia" w:ascii="宋体" w:hAnsi="宋体" w:cs="宋体"/>
                <w:b/>
                <w:sz w:val="18"/>
                <w:szCs w:val="18"/>
              </w:rPr>
              <w:t>2025.12.31</w:t>
            </w:r>
            <w:r>
              <w:rPr>
                <w:rFonts w:hint="eastAsia" w:ascii="宋体" w:hAnsi="宋体" w:cs="宋体"/>
                <w:b/>
                <w:kern w:val="0"/>
                <w:sz w:val="18"/>
                <w:szCs w:val="18"/>
              </w:rPr>
              <w:t>资产负债率（</w:t>
            </w:r>
            <w:r>
              <w:rPr>
                <w:rFonts w:hint="eastAsia" w:ascii="宋体" w:hAnsi="宋体" w:cs="宋体"/>
                <w:b/>
                <w:sz w:val="18"/>
                <w:szCs w:val="18"/>
              </w:rPr>
              <w:t>经审计）</w:t>
            </w:r>
          </w:p>
        </w:tc>
        <w:tc>
          <w:tcPr>
            <w:tcW w:w="1046" w:type="dxa"/>
            <w:vAlign w:val="center"/>
          </w:tcPr>
          <w:p>
            <w:pPr>
              <w:widowControl/>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增加前</w:t>
            </w:r>
          </w:p>
          <w:p>
            <w:pPr>
              <w:widowControl/>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2026年预计担保额度</w:t>
            </w:r>
          </w:p>
        </w:tc>
        <w:tc>
          <w:tcPr>
            <w:tcW w:w="896"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增加后2026年预计担保额度</w:t>
            </w:r>
          </w:p>
        </w:tc>
        <w:tc>
          <w:tcPr>
            <w:tcW w:w="1496"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增加的担保额度占上市公司最近一期经审计净资产比例</w:t>
            </w:r>
          </w:p>
        </w:tc>
        <w:tc>
          <w:tcPr>
            <w:tcW w:w="746" w:type="dxa"/>
            <w:vAlign w:val="center"/>
          </w:tcPr>
          <w:p>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是否关联担保</w:t>
            </w:r>
          </w:p>
        </w:tc>
        <w:tc>
          <w:tcPr>
            <w:tcW w:w="747" w:type="dxa"/>
            <w:vAlign w:val="center"/>
          </w:tcPr>
          <w:p>
            <w:pPr>
              <w:autoSpaceDE w:val="0"/>
              <w:autoSpaceDN w:val="0"/>
              <w:adjustRightInd w:val="0"/>
              <w:jc w:val="left"/>
              <w:rPr>
                <w:rFonts w:hint="eastAsia" w:ascii="宋体" w:hAnsi="宋体" w:cs="宋体"/>
                <w:b/>
                <w:kern w:val="0"/>
                <w:sz w:val="18"/>
                <w:szCs w:val="18"/>
              </w:rPr>
            </w:pPr>
            <w:r>
              <w:rPr>
                <w:rFonts w:hint="eastAsia" w:ascii="宋体" w:hAnsi="宋体" w:cs="宋体"/>
                <w:b/>
                <w:kern w:val="0"/>
                <w:sz w:val="18"/>
                <w:szCs w:val="18"/>
              </w:rPr>
              <w:t>是否有反担保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747" w:type="dxa"/>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望变电气</w:t>
            </w:r>
          </w:p>
        </w:tc>
        <w:tc>
          <w:tcPr>
            <w:tcW w:w="747" w:type="dxa"/>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望来电</w:t>
            </w:r>
          </w:p>
        </w:tc>
        <w:tc>
          <w:tcPr>
            <w:tcW w:w="896" w:type="dxa"/>
            <w:vAlign w:val="center"/>
          </w:tcPr>
          <w:p>
            <w:pPr>
              <w:widowControl/>
              <w:jc w:val="right"/>
              <w:textAlignment w:val="center"/>
              <w:rPr>
                <w:rFonts w:hint="eastAsia" w:ascii="宋体" w:hAnsi="宋体" w:cs="宋体"/>
                <w:kern w:val="0"/>
                <w:sz w:val="18"/>
                <w:szCs w:val="18"/>
              </w:rPr>
            </w:pPr>
            <w:r>
              <w:rPr>
                <w:rFonts w:ascii="宋体" w:hAnsi="宋体" w:cs="宋体"/>
                <w:kern w:val="0"/>
                <w:sz w:val="18"/>
                <w:szCs w:val="18"/>
              </w:rPr>
              <w:t>80%</w:t>
            </w:r>
          </w:p>
        </w:tc>
        <w:tc>
          <w:tcPr>
            <w:tcW w:w="1196" w:type="dxa"/>
            <w:vAlign w:val="center"/>
          </w:tcPr>
          <w:p>
            <w:pPr>
              <w:widowControl/>
              <w:jc w:val="right"/>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不适用</w:t>
            </w:r>
          </w:p>
        </w:tc>
        <w:tc>
          <w:tcPr>
            <w:tcW w:w="1046" w:type="dxa"/>
            <w:vAlign w:val="center"/>
          </w:tcPr>
          <w:p>
            <w:pPr>
              <w:widowControl/>
              <w:jc w:val="right"/>
              <w:textAlignment w:val="center"/>
              <w:rPr>
                <w:rFonts w:hint="eastAsia"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 xml:space="preserve">   </w:t>
            </w:r>
          </w:p>
        </w:tc>
        <w:tc>
          <w:tcPr>
            <w:tcW w:w="896" w:type="dxa"/>
            <w:vAlign w:val="center"/>
          </w:tcPr>
          <w:p>
            <w:pPr>
              <w:widowControl/>
              <w:jc w:val="right"/>
              <w:textAlignment w:val="center"/>
              <w:rPr>
                <w:rFonts w:hint="eastAsia" w:ascii="宋体" w:hAnsi="宋体" w:cs="宋体"/>
                <w:kern w:val="0"/>
                <w:sz w:val="18"/>
                <w:szCs w:val="18"/>
              </w:rPr>
            </w:pPr>
            <w:r>
              <w:rPr>
                <w:rFonts w:ascii="宋体" w:hAnsi="宋体" w:cs="宋体"/>
                <w:kern w:val="0"/>
                <w:sz w:val="18"/>
                <w:szCs w:val="18"/>
              </w:rPr>
              <w:t xml:space="preserve">100,000 </w:t>
            </w:r>
          </w:p>
        </w:tc>
        <w:tc>
          <w:tcPr>
            <w:tcW w:w="1496" w:type="dxa"/>
            <w:vAlign w:val="center"/>
          </w:tcPr>
          <w:p>
            <w:pPr>
              <w:widowControl/>
              <w:jc w:val="right"/>
              <w:textAlignment w:val="center"/>
              <w:rPr>
                <w:rFonts w:hint="eastAsia" w:ascii="宋体" w:hAnsi="宋体" w:cs="宋体"/>
                <w:kern w:val="0"/>
                <w:sz w:val="18"/>
                <w:szCs w:val="18"/>
              </w:rPr>
            </w:pPr>
            <w:r>
              <w:rPr>
                <w:rFonts w:ascii="宋体" w:hAnsi="宋体" w:cs="宋体"/>
                <w:kern w:val="0"/>
                <w:sz w:val="18"/>
                <w:szCs w:val="18"/>
              </w:rPr>
              <w:t>40.09%</w:t>
            </w:r>
          </w:p>
        </w:tc>
        <w:tc>
          <w:tcPr>
            <w:tcW w:w="746" w:type="dxa"/>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c>
          <w:tcPr>
            <w:tcW w:w="747" w:type="dxa"/>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r>
    </w:tbl>
    <w:p>
      <w:pPr>
        <w:jc w:val="right"/>
        <w:rPr>
          <w:rFonts w:hint="eastAsia" w:ascii="仿宋" w:hAnsi="仿宋" w:eastAsia="仿宋"/>
          <w:color w:val="000000"/>
        </w:rPr>
      </w:pPr>
    </w:p>
    <w:p>
      <w:pPr>
        <w:jc w:val="left"/>
        <w:rPr>
          <w:rFonts w:hint="eastAsia" w:ascii="仿宋" w:hAnsi="仿宋" w:eastAsia="仿宋"/>
          <w:color w:val="000000"/>
        </w:rPr>
      </w:pPr>
    </w:p>
    <w:bookmarkEnd w:id="1"/>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根据《上海证券交易所股票上市规则》等相关法律法规要求，为满足公司日常生产经营及业务发展需要，公司拟为控股子公司望来电向银行等金融机构申请综合授信或借款提供总额度不超过10亿元人民币（或等值外币）的担保，主要用于兆瓦级智能变充一体机及预制舱变电站、储能设备等业务的研发、生产及市场拓展。该额度有效期自股东会审议通过之日起至2026年12月31日止。以上担保授权公司总经理在上述额度范围内实施与申请综合授信额度及借款事项有关的担保一切事宜，包括但不限于办理并签署有关合同、协议等文件；授权公司总经理在公司控股子公司内部进行担保额度调剂，但调剂发生时资产负债率为70%以上的子公司仅能从股东会审议时资产负债率为70%以上的子公司处获得担保额度。</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3、2026年3月担保进展情况</w:t>
      </w:r>
    </w:p>
    <w:tbl>
      <w:tblPr>
        <w:tblStyle w:val="1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799"/>
        <w:gridCol w:w="721"/>
        <w:gridCol w:w="1127"/>
        <w:gridCol w:w="1019"/>
        <w:gridCol w:w="1191"/>
        <w:gridCol w:w="876"/>
        <w:gridCol w:w="1031"/>
        <w:gridCol w:w="481"/>
        <w:gridCol w:w="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9"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担保方</w:t>
            </w:r>
          </w:p>
        </w:tc>
        <w:tc>
          <w:tcPr>
            <w:tcW w:w="469"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被担保方</w:t>
            </w:r>
          </w:p>
        </w:tc>
        <w:tc>
          <w:tcPr>
            <w:tcW w:w="423"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担保方持股比例</w:t>
            </w:r>
          </w:p>
        </w:tc>
        <w:tc>
          <w:tcPr>
            <w:tcW w:w="660"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被担保方2025.12.31资产负债率（经审计）</w:t>
            </w:r>
          </w:p>
        </w:tc>
        <w:tc>
          <w:tcPr>
            <w:tcW w:w="598"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2026年预计担保额度（万元）</w:t>
            </w:r>
          </w:p>
        </w:tc>
        <w:tc>
          <w:tcPr>
            <w:tcW w:w="699"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截至2026年3月末担保余额</w:t>
            </w:r>
          </w:p>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（万元）</w:t>
            </w:r>
          </w:p>
        </w:tc>
        <w:tc>
          <w:tcPr>
            <w:tcW w:w="514"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2026年3月新增担保合同金额（万元）</w:t>
            </w:r>
          </w:p>
        </w:tc>
        <w:tc>
          <w:tcPr>
            <w:tcW w:w="605"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截至2026年3月末担保余额占上市公司最近一期经审计净资产比例</w:t>
            </w:r>
          </w:p>
          <w:p>
            <w:pPr>
              <w:autoSpaceDE w:val="0"/>
              <w:autoSpaceDN w:val="0"/>
              <w:adjustRightInd w:val="0"/>
              <w:jc w:val="center"/>
              <w:rPr>
                <w:rFonts w:hint="eastAsia" w:ascii="宋体" w:hAnsi="宋体" w:cs="宋体"/>
                <w:b/>
                <w:color w:val="000000"/>
                <w:kern w:val="0"/>
                <w:sz w:val="18"/>
                <w:szCs w:val="18"/>
              </w:rPr>
            </w:pPr>
          </w:p>
        </w:tc>
        <w:tc>
          <w:tcPr>
            <w:tcW w:w="282"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是否关联担保</w:t>
            </w:r>
          </w:p>
        </w:tc>
        <w:tc>
          <w:tcPr>
            <w:tcW w:w="275" w:type="pct"/>
            <w:vAlign w:val="center"/>
          </w:tcPr>
          <w:p>
            <w:pPr>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是否有反担保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望变电气</w:t>
            </w:r>
          </w:p>
        </w:tc>
        <w:tc>
          <w:tcPr>
            <w:tcW w:w="469" w:type="pct"/>
            <w:vAlign w:val="center"/>
          </w:tcPr>
          <w:p>
            <w:pPr>
              <w:widowControl/>
              <w:autoSpaceDE w:val="0"/>
              <w:autoSpaceDN w:val="0"/>
              <w:adjustRightInd w:val="0"/>
              <w:jc w:val="center"/>
              <w:rPr>
                <w:rFonts w:hint="eastAsia" w:ascii="宋体" w:hAnsi="宋体" w:cs="宋体"/>
                <w:bCs/>
                <w:color w:val="000000"/>
                <w:kern w:val="0"/>
                <w:sz w:val="18"/>
                <w:szCs w:val="18"/>
                <w:lang w:bidi="ar"/>
              </w:rPr>
            </w:pPr>
            <w:r>
              <w:rPr>
                <w:rFonts w:hint="eastAsia" w:ascii="宋体" w:hAnsi="宋体" w:cs="宋体"/>
                <w:bCs/>
                <w:color w:val="000000"/>
                <w:kern w:val="0"/>
                <w:sz w:val="18"/>
                <w:szCs w:val="18"/>
              </w:rPr>
              <w:t>云变电气</w:t>
            </w:r>
          </w:p>
        </w:tc>
        <w:tc>
          <w:tcPr>
            <w:tcW w:w="423"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100%</w:t>
            </w:r>
          </w:p>
        </w:tc>
        <w:tc>
          <w:tcPr>
            <w:tcW w:w="660"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lang w:val="en-US" w:eastAsia="zh-CN"/>
              </w:rPr>
              <w:t>67.71</w:t>
            </w:r>
            <w:r>
              <w:rPr>
                <w:rFonts w:hint="eastAsia" w:ascii="宋体" w:hAnsi="宋体" w:cs="宋体"/>
                <w:bCs/>
                <w:color w:val="000000"/>
                <w:kern w:val="0"/>
                <w:sz w:val="18"/>
                <w:szCs w:val="18"/>
              </w:rPr>
              <w:t>%</w:t>
            </w:r>
          </w:p>
        </w:tc>
        <w:tc>
          <w:tcPr>
            <w:tcW w:w="598"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180,000</w:t>
            </w:r>
          </w:p>
        </w:tc>
        <w:tc>
          <w:tcPr>
            <w:tcW w:w="69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61,866.18 </w:t>
            </w:r>
          </w:p>
        </w:tc>
        <w:tc>
          <w:tcPr>
            <w:tcW w:w="514"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0</w:t>
            </w:r>
          </w:p>
        </w:tc>
        <w:tc>
          <w:tcPr>
            <w:tcW w:w="605" w:type="pct"/>
            <w:vAlign w:val="center"/>
          </w:tcPr>
          <w:p>
            <w:pPr>
              <w:widowControl/>
              <w:jc w:val="center"/>
              <w:textAlignment w:val="center"/>
              <w:rPr>
                <w:rFonts w:hint="eastAsia" w:ascii="宋体" w:hAnsi="宋体" w:cs="宋体"/>
                <w:bCs/>
                <w:color w:val="000000"/>
                <w:kern w:val="0"/>
                <w:sz w:val="18"/>
                <w:szCs w:val="18"/>
              </w:rPr>
            </w:pPr>
            <w:r>
              <w:rPr>
                <w:rFonts w:hint="eastAsia" w:ascii="宋体" w:hAnsi="宋体" w:cs="宋体"/>
                <w:color w:val="000000"/>
                <w:kern w:val="0"/>
                <w:sz w:val="18"/>
                <w:szCs w:val="18"/>
                <w:lang w:bidi="ar"/>
              </w:rPr>
              <w:t>24.80%</w:t>
            </w:r>
          </w:p>
        </w:tc>
        <w:tc>
          <w:tcPr>
            <w:tcW w:w="282" w:type="pct"/>
            <w:vAlign w:val="center"/>
          </w:tcPr>
          <w:p>
            <w:pPr>
              <w:widowControl/>
              <w:autoSpaceDE w:val="0"/>
              <w:autoSpaceDN w:val="0"/>
              <w:adjustRightInd w:val="0"/>
              <w:jc w:val="center"/>
              <w:rPr>
                <w:rFonts w:hint="eastAsia" w:ascii="宋体" w:hAnsi="宋体" w:cs="宋体"/>
                <w:bCs/>
                <w:color w:val="000000"/>
                <w:kern w:val="0"/>
                <w:sz w:val="18"/>
                <w:szCs w:val="18"/>
                <w:lang w:bidi="ar"/>
              </w:rPr>
            </w:pPr>
            <w:r>
              <w:rPr>
                <w:rFonts w:hint="eastAsia" w:ascii="宋体" w:hAnsi="宋体" w:cs="宋体"/>
                <w:bCs/>
                <w:color w:val="000000"/>
                <w:kern w:val="0"/>
                <w:sz w:val="18"/>
                <w:szCs w:val="18"/>
              </w:rPr>
              <w:t>否</w:t>
            </w:r>
          </w:p>
        </w:tc>
        <w:tc>
          <w:tcPr>
            <w:tcW w:w="275" w:type="pct"/>
            <w:vAlign w:val="center"/>
          </w:tcPr>
          <w:p>
            <w:pPr>
              <w:widowControl/>
              <w:autoSpaceDE w:val="0"/>
              <w:autoSpaceDN w:val="0"/>
              <w:adjustRightInd w:val="0"/>
              <w:jc w:val="center"/>
              <w:rPr>
                <w:rFonts w:hint="eastAsia" w:ascii="宋体" w:hAnsi="宋体" w:cs="宋体"/>
                <w:bCs/>
                <w:color w:val="000000"/>
                <w:kern w:val="0"/>
                <w:sz w:val="18"/>
                <w:szCs w:val="18"/>
                <w:lang w:bidi="ar"/>
              </w:rPr>
            </w:pPr>
            <w:r>
              <w:rPr>
                <w:rFonts w:hint="eastAsia" w:ascii="宋体" w:hAnsi="宋体" w:cs="宋体"/>
                <w:bCs/>
                <w:color w:val="000000"/>
                <w:kern w:val="0"/>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望变电气</w:t>
            </w:r>
          </w:p>
        </w:tc>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lang w:bidi="ar"/>
              </w:rPr>
              <w:t>黔南望江</w:t>
            </w:r>
          </w:p>
        </w:tc>
        <w:tc>
          <w:tcPr>
            <w:tcW w:w="423"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100%</w:t>
            </w:r>
          </w:p>
        </w:tc>
        <w:tc>
          <w:tcPr>
            <w:tcW w:w="660"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74.83%</w:t>
            </w:r>
          </w:p>
        </w:tc>
        <w:tc>
          <w:tcPr>
            <w:tcW w:w="598"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20,000</w:t>
            </w:r>
          </w:p>
        </w:tc>
        <w:tc>
          <w:tcPr>
            <w:tcW w:w="69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 4,250.48 </w:t>
            </w:r>
          </w:p>
        </w:tc>
        <w:tc>
          <w:tcPr>
            <w:tcW w:w="514"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0</w:t>
            </w:r>
          </w:p>
        </w:tc>
        <w:tc>
          <w:tcPr>
            <w:tcW w:w="605" w:type="pct"/>
            <w:vAlign w:val="center"/>
          </w:tcPr>
          <w:p>
            <w:pPr>
              <w:widowControl/>
              <w:jc w:val="center"/>
              <w:textAlignment w:val="center"/>
              <w:rPr>
                <w:rFonts w:hint="eastAsia" w:ascii="宋体" w:hAnsi="宋体" w:cs="宋体"/>
                <w:bCs/>
                <w:color w:val="000000"/>
                <w:kern w:val="0"/>
                <w:sz w:val="18"/>
                <w:szCs w:val="18"/>
              </w:rPr>
            </w:pPr>
            <w:r>
              <w:rPr>
                <w:rFonts w:hint="eastAsia" w:ascii="宋体" w:hAnsi="宋体" w:cs="宋体"/>
                <w:color w:val="000000"/>
                <w:kern w:val="0"/>
                <w:sz w:val="18"/>
                <w:szCs w:val="18"/>
                <w:lang w:bidi="ar"/>
              </w:rPr>
              <w:t>1.70%</w:t>
            </w:r>
          </w:p>
        </w:tc>
        <w:tc>
          <w:tcPr>
            <w:tcW w:w="282"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lang w:bidi="ar"/>
              </w:rPr>
              <w:t>否</w:t>
            </w:r>
          </w:p>
        </w:tc>
        <w:tc>
          <w:tcPr>
            <w:tcW w:w="275"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lang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望变电气</w:t>
            </w:r>
          </w:p>
        </w:tc>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望来充</w:t>
            </w:r>
          </w:p>
        </w:tc>
        <w:tc>
          <w:tcPr>
            <w:tcW w:w="423"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100%</w:t>
            </w:r>
          </w:p>
        </w:tc>
        <w:tc>
          <w:tcPr>
            <w:tcW w:w="660"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69.65%</w:t>
            </w:r>
          </w:p>
        </w:tc>
        <w:tc>
          <w:tcPr>
            <w:tcW w:w="598"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60,000</w:t>
            </w:r>
          </w:p>
        </w:tc>
        <w:tc>
          <w:tcPr>
            <w:tcW w:w="69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0</w:t>
            </w:r>
          </w:p>
        </w:tc>
        <w:tc>
          <w:tcPr>
            <w:tcW w:w="514"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35,200</w:t>
            </w:r>
          </w:p>
        </w:tc>
        <w:tc>
          <w:tcPr>
            <w:tcW w:w="605" w:type="pct"/>
            <w:vAlign w:val="center"/>
          </w:tcPr>
          <w:p>
            <w:pPr>
              <w:widowControl/>
              <w:jc w:val="center"/>
              <w:textAlignment w:val="center"/>
              <w:rPr>
                <w:rFonts w:hint="eastAsia" w:ascii="宋体" w:hAnsi="宋体" w:cs="宋体"/>
                <w:bCs/>
                <w:color w:val="000000"/>
                <w:kern w:val="0"/>
                <w:sz w:val="18"/>
                <w:szCs w:val="18"/>
              </w:rPr>
            </w:pPr>
            <w:r>
              <w:rPr>
                <w:rFonts w:hint="eastAsia" w:ascii="宋体" w:hAnsi="宋体" w:cs="宋体"/>
                <w:color w:val="000000"/>
                <w:kern w:val="0"/>
                <w:sz w:val="18"/>
                <w:szCs w:val="18"/>
                <w:lang w:bidi="ar"/>
              </w:rPr>
              <w:t>0.00%</w:t>
            </w:r>
          </w:p>
        </w:tc>
        <w:tc>
          <w:tcPr>
            <w:tcW w:w="282"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否</w:t>
            </w:r>
          </w:p>
        </w:tc>
        <w:tc>
          <w:tcPr>
            <w:tcW w:w="275"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望变电气</w:t>
            </w:r>
          </w:p>
        </w:tc>
        <w:tc>
          <w:tcPr>
            <w:tcW w:w="46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惠泽电器</w:t>
            </w:r>
          </w:p>
        </w:tc>
        <w:tc>
          <w:tcPr>
            <w:tcW w:w="423"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100%</w:t>
            </w:r>
          </w:p>
        </w:tc>
        <w:tc>
          <w:tcPr>
            <w:tcW w:w="660"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65.26%</w:t>
            </w:r>
          </w:p>
        </w:tc>
        <w:tc>
          <w:tcPr>
            <w:tcW w:w="598"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40,000</w:t>
            </w:r>
          </w:p>
        </w:tc>
        <w:tc>
          <w:tcPr>
            <w:tcW w:w="699"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 xml:space="preserve">1,996.18 </w:t>
            </w:r>
          </w:p>
        </w:tc>
        <w:tc>
          <w:tcPr>
            <w:tcW w:w="514"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1,000</w:t>
            </w:r>
          </w:p>
        </w:tc>
        <w:tc>
          <w:tcPr>
            <w:tcW w:w="605" w:type="pct"/>
            <w:vAlign w:val="center"/>
          </w:tcPr>
          <w:p>
            <w:pPr>
              <w:widowControl/>
              <w:jc w:val="center"/>
              <w:textAlignment w:val="center"/>
              <w:rPr>
                <w:rFonts w:hint="eastAsia" w:ascii="宋体" w:hAnsi="宋体" w:cs="宋体"/>
                <w:bCs/>
                <w:color w:val="000000"/>
                <w:kern w:val="0"/>
                <w:sz w:val="18"/>
                <w:szCs w:val="18"/>
              </w:rPr>
            </w:pPr>
            <w:r>
              <w:rPr>
                <w:rFonts w:hint="eastAsia" w:ascii="宋体" w:hAnsi="宋体" w:cs="宋体"/>
                <w:color w:val="000000"/>
                <w:kern w:val="0"/>
                <w:sz w:val="18"/>
                <w:szCs w:val="18"/>
                <w:lang w:bidi="ar"/>
              </w:rPr>
              <w:t>0.80%</w:t>
            </w:r>
          </w:p>
        </w:tc>
        <w:tc>
          <w:tcPr>
            <w:tcW w:w="282"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否</w:t>
            </w:r>
          </w:p>
        </w:tc>
        <w:tc>
          <w:tcPr>
            <w:tcW w:w="275" w:type="pct"/>
            <w:vAlign w:val="center"/>
          </w:tcPr>
          <w:p>
            <w:pPr>
              <w:widowControl/>
              <w:autoSpaceDE w:val="0"/>
              <w:autoSpaceDN w:val="0"/>
              <w:adjustRightInd w:val="0"/>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2" w:type="pct"/>
            <w:gridSpan w:val="4"/>
            <w:vAlign w:val="center"/>
          </w:tcPr>
          <w:p>
            <w:pPr>
              <w:widowControl/>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总计</w:t>
            </w:r>
          </w:p>
        </w:tc>
        <w:tc>
          <w:tcPr>
            <w:tcW w:w="598" w:type="pct"/>
            <w:vAlign w:val="center"/>
          </w:tcPr>
          <w:p>
            <w:pPr>
              <w:widowControl/>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300,000</w:t>
            </w:r>
          </w:p>
        </w:tc>
        <w:tc>
          <w:tcPr>
            <w:tcW w:w="699" w:type="pct"/>
            <w:vAlign w:val="center"/>
          </w:tcPr>
          <w:p>
            <w:pPr>
              <w:widowControl/>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 xml:space="preserve">68,112.84 </w:t>
            </w:r>
          </w:p>
        </w:tc>
        <w:tc>
          <w:tcPr>
            <w:tcW w:w="514" w:type="pct"/>
            <w:vAlign w:val="center"/>
          </w:tcPr>
          <w:p>
            <w:pPr>
              <w:widowControl/>
              <w:autoSpaceDE w:val="0"/>
              <w:autoSpaceDN w:val="0"/>
              <w:adjustRightIn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36,200</w:t>
            </w:r>
          </w:p>
        </w:tc>
        <w:tc>
          <w:tcPr>
            <w:tcW w:w="605" w:type="pct"/>
            <w:vAlign w:val="center"/>
          </w:tcPr>
          <w:p>
            <w:pPr>
              <w:widowControl/>
              <w:jc w:val="center"/>
              <w:textAlignment w:val="center"/>
              <w:rPr>
                <w:rFonts w:hint="eastAsia" w:ascii="宋体" w:hAnsi="宋体" w:cs="宋体"/>
                <w:b/>
                <w:color w:val="000000"/>
                <w:kern w:val="0"/>
                <w:sz w:val="18"/>
                <w:szCs w:val="18"/>
              </w:rPr>
            </w:pPr>
            <w:r>
              <w:rPr>
                <w:rFonts w:hint="eastAsia" w:ascii="宋体" w:hAnsi="宋体" w:cs="宋体"/>
                <w:color w:val="000000"/>
                <w:kern w:val="0"/>
                <w:sz w:val="18"/>
                <w:szCs w:val="18"/>
                <w:lang w:bidi="ar"/>
              </w:rPr>
              <w:t>27.30%</w:t>
            </w:r>
          </w:p>
        </w:tc>
        <w:tc>
          <w:tcPr>
            <w:tcW w:w="282" w:type="pct"/>
            <w:vAlign w:val="center"/>
          </w:tcPr>
          <w:p>
            <w:pPr>
              <w:widowControl/>
              <w:autoSpaceDE w:val="0"/>
              <w:autoSpaceDN w:val="0"/>
              <w:adjustRightInd w:val="0"/>
              <w:jc w:val="center"/>
              <w:rPr>
                <w:rFonts w:hint="eastAsia" w:ascii="宋体" w:hAnsi="宋体" w:cs="宋体"/>
                <w:b/>
                <w:color w:val="000000"/>
                <w:kern w:val="0"/>
                <w:sz w:val="18"/>
                <w:szCs w:val="18"/>
              </w:rPr>
            </w:pPr>
          </w:p>
        </w:tc>
        <w:tc>
          <w:tcPr>
            <w:tcW w:w="275" w:type="pct"/>
            <w:vAlign w:val="center"/>
          </w:tcPr>
          <w:p>
            <w:pPr>
              <w:widowControl/>
              <w:autoSpaceDE w:val="0"/>
              <w:autoSpaceDN w:val="0"/>
              <w:adjustRightInd w:val="0"/>
              <w:jc w:val="center"/>
              <w:rPr>
                <w:rFonts w:hint="eastAsia" w:ascii="宋体" w:hAnsi="宋体" w:cs="宋体"/>
                <w:b/>
                <w:color w:val="000000"/>
                <w:kern w:val="0"/>
                <w:sz w:val="18"/>
                <w:szCs w:val="18"/>
              </w:rPr>
            </w:pPr>
          </w:p>
        </w:tc>
      </w:tr>
    </w:tbl>
    <w:p>
      <w:pPr>
        <w:adjustRightInd w:val="0"/>
        <w:snapToGrid w:val="0"/>
        <w:spacing w:line="560" w:lineRule="exact"/>
        <w:ind w:firstLine="480" w:firstLineChars="200"/>
        <w:rPr>
          <w:rFonts w:hint="eastAsia" w:ascii="宋体" w:hAnsi="宋体" w:cs="宋体"/>
          <w:sz w:val="24"/>
          <w:szCs w:val="24"/>
          <w:highlight w:val="yellow"/>
        </w:rPr>
      </w:pPr>
    </w:p>
    <w:p>
      <w:pPr>
        <w:autoSpaceDE w:val="0"/>
        <w:autoSpaceDN w:val="0"/>
        <w:adjustRightInd w:val="0"/>
        <w:spacing w:line="560" w:lineRule="exact"/>
      </w:pPr>
      <w:r>
        <w:rPr>
          <w:rFonts w:hint="eastAsia" w:ascii="宋体" w:hAnsi="宋体" w:cs="宋体"/>
          <w:b/>
          <w:sz w:val="24"/>
          <w:szCs w:val="24"/>
        </w:rPr>
        <w:t>二、新增被担保人基本情况</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公司名称：重庆望来电智能装备科技有限公司</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统一社会信用代码：91500115MAK61HWT1R</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成立时间：2026年1月27日</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注册地：重庆市长寿区晏家街道化北路18号</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主要办公地点：重庆市长寿区晏家街道化北路18号</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法定代表人：刘柏林</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注册资本：5000万人民币</w:t>
      </w:r>
    </w:p>
    <w:p>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经营范围：一般项目：技术服务、技术开发、技术咨询、技术交流、技术转让、技术推广；输变配电监测控制设备制造；输变配电监测控制设备销售；机械电气设备制造；智能输配电及控制设备销售；电力设施器材销售；配电开关控制设备研发；配电开关控制设备制造；机械电气设备销售；充电桩销售；充电控制设备租赁；集中式快速充电站；变压器、整流器和电感器制造；光伏设备及元器件销售；储能技术服务；光伏设备及元器件制造；软件开发；信息技术咨询服务；新能源汽车电附件销售；新能源汽车换电设施销售；光伏发电设备租赁；电动汽车充电基础设施运营；机动车充电销售；电力行业高效节能技术研发；电子专用材料制造；电子专用材料销售；电子专用材料研发；电子专用设备制造；电子专用设备销售；节能管理服务；工程管理服务；电池销售；特种设备销售；电池制造；电气设备修理；电气设备销售；专用设备修理；信息系统集成服务；集成电路制造；集成电路销售；集成电路设计；其他电子器件制造；电池零配件生产；电池零配件销售；电工机械专用设备制造；发电机及发电机组制造；发电机及发电机组销售；电子元器件制造。（除依法须经批准的项目外，凭营业执照依法自主开展经营活动）。</w:t>
      </w:r>
    </w:p>
    <w:p>
      <w:pPr>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股东情况：重庆望变电气（集团）股份有限公司（80%）</w:t>
      </w:r>
    </w:p>
    <w:p>
      <w:pPr>
        <w:snapToGrid w:val="0"/>
        <w:spacing w:line="560" w:lineRule="exact"/>
        <w:ind w:firstLine="480" w:firstLineChars="200"/>
      </w:pPr>
      <w:r>
        <w:rPr>
          <w:rFonts w:hint="eastAsia" w:ascii="宋体" w:hAnsi="宋体" w:cs="宋体"/>
          <w:sz w:val="24"/>
          <w:szCs w:val="24"/>
        </w:rPr>
        <w:t>关联关系：望来电系公司控股子公司。</w:t>
      </w:r>
    </w:p>
    <w:p>
      <w:pPr>
        <w:numPr>
          <w:ilvl w:val="0"/>
          <w:numId w:val="2"/>
        </w:numPr>
        <w:autoSpaceDE w:val="0"/>
        <w:autoSpaceDN w:val="0"/>
        <w:adjustRightInd w:val="0"/>
        <w:spacing w:line="560" w:lineRule="exact"/>
        <w:rPr>
          <w:rFonts w:hint="eastAsia" w:ascii="宋体" w:hAnsi="宋体" w:cs="宋体"/>
          <w:b/>
          <w:kern w:val="0"/>
          <w:sz w:val="24"/>
          <w:szCs w:val="24"/>
        </w:rPr>
      </w:pPr>
      <w:r>
        <w:rPr>
          <w:rFonts w:hint="eastAsia" w:ascii="宋体" w:hAnsi="宋体" w:cs="宋体"/>
          <w:b/>
          <w:kern w:val="0"/>
          <w:sz w:val="24"/>
          <w:szCs w:val="24"/>
        </w:rPr>
        <w:t>担保协议的主要内容</w:t>
      </w:r>
    </w:p>
    <w:p>
      <w:pPr>
        <w:numPr>
          <w:ilvl w:val="255"/>
          <w:numId w:val="0"/>
        </w:numPr>
        <w:autoSpaceDE w:val="0"/>
        <w:autoSpaceDN w:val="0"/>
        <w:adjustRightInd w:val="0"/>
        <w:spacing w:line="560" w:lineRule="exact"/>
        <w:rPr>
          <w:rFonts w:hint="eastAsia" w:ascii="宋体" w:hAnsi="宋体" w:cs="宋体"/>
          <w:b/>
          <w:kern w:val="0"/>
          <w:sz w:val="24"/>
          <w:szCs w:val="24"/>
        </w:rPr>
      </w:pPr>
      <w:r>
        <w:rPr>
          <w:rFonts w:hint="eastAsia" w:ascii="宋体" w:hAnsi="宋体" w:cs="宋体"/>
          <w:b/>
          <w:kern w:val="0"/>
          <w:sz w:val="24"/>
          <w:szCs w:val="24"/>
        </w:rPr>
        <w:t>（一）</w:t>
      </w:r>
      <w:r>
        <w:rPr>
          <w:rFonts w:hint="eastAsia" w:ascii="宋体" w:hAnsi="宋体" w:cs="宋体"/>
          <w:bCs/>
          <w:kern w:val="0"/>
          <w:sz w:val="24"/>
          <w:szCs w:val="24"/>
        </w:rPr>
        <w:t>本次新增担保预计系为子公司提供的最高担保额度，在该担保额度内，公司将根据实际发生的担保在定期报告或进展公告中披露相应内容。</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（二）2026年3月签署的担保合同主要内容</w:t>
      </w:r>
    </w:p>
    <w:p>
      <w:pPr>
        <w:numPr>
          <w:ilvl w:val="255"/>
          <w:numId w:val="0"/>
        </w:numPr>
        <w:autoSpaceDE w:val="0"/>
        <w:autoSpaceDN w:val="0"/>
        <w:adjustRightInd w:val="0"/>
        <w:spacing w:line="560" w:lineRule="exact"/>
        <w:ind w:firstLine="240" w:firstLineChars="100"/>
        <w:rPr>
          <w:rFonts w:hint="eastAsia" w:ascii="宋体" w:hAnsi="宋体" w:cs="宋体"/>
          <w:bCs/>
          <w:kern w:val="0"/>
          <w:sz w:val="24"/>
          <w:szCs w:val="24"/>
        </w:rPr>
      </w:pPr>
      <w:r>
        <w:rPr>
          <w:rFonts w:hint="eastAsia" w:ascii="宋体" w:hAnsi="宋体" w:cs="宋体"/>
          <w:bCs/>
          <w:kern w:val="0"/>
          <w:sz w:val="24"/>
          <w:szCs w:val="24"/>
        </w:rPr>
        <w:t>1、公司与交通银行股份有限公司重庆分行（简称“交通银行重庆分行”）签署的《保证合同》</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保证人：重庆望变电气（集团）股份有限公司</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（2）</w:t>
      </w:r>
      <w:r>
        <w:rPr>
          <w:rFonts w:ascii="宋体" w:hAnsi="宋体" w:cs="宋体"/>
          <w:bCs/>
          <w:kern w:val="0"/>
          <w:sz w:val="24"/>
          <w:szCs w:val="24"/>
        </w:rPr>
        <w:t>保证方式：连带责任保证</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（3）</w:t>
      </w:r>
      <w:r>
        <w:rPr>
          <w:rFonts w:ascii="宋体" w:hAnsi="宋体" w:cs="宋体"/>
          <w:bCs/>
          <w:kern w:val="0"/>
          <w:sz w:val="24"/>
          <w:szCs w:val="24"/>
        </w:rPr>
        <w:t>保证范围：</w:t>
      </w:r>
    </w:p>
    <w:p>
      <w:pPr>
        <w:numPr>
          <w:ilvl w:val="255"/>
          <w:numId w:val="0"/>
        </w:numPr>
        <w:autoSpaceDE w:val="0"/>
        <w:autoSpaceDN w:val="0"/>
        <w:adjustRightInd w:val="0"/>
        <w:spacing w:line="560" w:lineRule="exact"/>
        <w:ind w:firstLine="480" w:firstLineChars="200"/>
        <w:rPr>
          <w:rFonts w:hint="eastAsia" w:ascii="宋体" w:hAnsi="宋体" w:cs="宋体"/>
          <w:bCs/>
          <w:kern w:val="0"/>
          <w:sz w:val="24"/>
          <w:szCs w:val="24"/>
        </w:rPr>
      </w:pPr>
      <w:r>
        <w:rPr>
          <w:rFonts w:hint="eastAsia" w:ascii="宋体" w:hAnsi="宋体" w:cs="宋体"/>
          <w:bCs/>
          <w:kern w:val="0"/>
          <w:sz w:val="24"/>
          <w:szCs w:val="24"/>
        </w:rPr>
        <w:t>保证的范围为</w:t>
      </w:r>
      <w:r>
        <w:rPr>
          <w:rFonts w:ascii="宋体" w:hAnsi="宋体" w:cs="宋体"/>
          <w:bCs/>
          <w:kern w:val="0"/>
          <w:sz w:val="24"/>
          <w:szCs w:val="24"/>
        </w:rPr>
        <w:t>2026年3月13日</w:t>
      </w:r>
      <w:r>
        <w:rPr>
          <w:rFonts w:hint="eastAsia" w:ascii="宋体" w:hAnsi="宋体" w:cs="宋体"/>
          <w:bCs/>
          <w:kern w:val="0"/>
          <w:sz w:val="24"/>
          <w:szCs w:val="24"/>
        </w:rPr>
        <w:t>至</w:t>
      </w:r>
      <w:r>
        <w:rPr>
          <w:rFonts w:ascii="宋体" w:hAnsi="宋体" w:cs="宋体"/>
          <w:bCs/>
          <w:kern w:val="0"/>
          <w:sz w:val="24"/>
          <w:szCs w:val="24"/>
        </w:rPr>
        <w:t>2034</w:t>
      </w:r>
      <w:r>
        <w:rPr>
          <w:rFonts w:hint="eastAsia" w:ascii="宋体" w:hAnsi="宋体" w:cs="宋体"/>
          <w:bCs/>
          <w:kern w:val="0"/>
          <w:sz w:val="24"/>
          <w:szCs w:val="24"/>
        </w:rPr>
        <w:t>年</w:t>
      </w:r>
      <w:r>
        <w:rPr>
          <w:rFonts w:ascii="宋体" w:hAnsi="宋体" w:cs="宋体"/>
          <w:bCs/>
          <w:kern w:val="0"/>
          <w:sz w:val="24"/>
          <w:szCs w:val="24"/>
        </w:rPr>
        <w:t>3月13</w:t>
      </w:r>
      <w:r>
        <w:rPr>
          <w:rFonts w:hint="eastAsia" w:ascii="宋体" w:hAnsi="宋体" w:cs="宋体"/>
          <w:bCs/>
          <w:kern w:val="0"/>
          <w:sz w:val="24"/>
          <w:szCs w:val="24"/>
        </w:rPr>
        <w:t>日期间望来充与交通银行重庆分行签署的全部授信业务合同（以下简称“主合同”）涉及的全部债权本金及利息、复利、罚息、违约金、损害赔偿</w:t>
      </w:r>
      <w:bookmarkStart w:id="2" w:name="_GoBack"/>
      <w:bookmarkEnd w:id="2"/>
      <w:r>
        <w:rPr>
          <w:rFonts w:hint="eastAsia" w:ascii="宋体" w:hAnsi="宋体" w:cs="宋体"/>
          <w:bCs/>
          <w:kern w:val="0"/>
          <w:sz w:val="24"/>
          <w:szCs w:val="24"/>
        </w:rPr>
        <w:t>金和实现债权的费用。实现债权的费用包括但不限于催收费用、诉讼费</w:t>
      </w:r>
      <w:r>
        <w:rPr>
          <w:rFonts w:ascii="宋体" w:hAnsi="宋体" w:cs="宋体"/>
          <w:bCs/>
          <w:kern w:val="0"/>
          <w:sz w:val="24"/>
          <w:szCs w:val="24"/>
        </w:rPr>
        <w:t>(或仲裁费)、保全</w:t>
      </w:r>
      <w:r>
        <w:rPr>
          <w:rFonts w:hint="eastAsia" w:ascii="宋体" w:hAnsi="宋体" w:cs="宋体"/>
          <w:bCs/>
          <w:kern w:val="0"/>
          <w:sz w:val="24"/>
          <w:szCs w:val="24"/>
        </w:rPr>
        <w:t>费、公告费、执行费、律师费、差旅费及其它费用。</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保证期限：</w:t>
      </w:r>
    </w:p>
    <w:p>
      <w:pPr>
        <w:numPr>
          <w:ilvl w:val="255"/>
          <w:numId w:val="0"/>
        </w:numPr>
        <w:autoSpaceDE w:val="0"/>
        <w:autoSpaceDN w:val="0"/>
        <w:adjustRightInd w:val="0"/>
        <w:spacing w:line="560" w:lineRule="exact"/>
        <w:ind w:firstLine="480" w:firstLineChars="200"/>
        <w:rPr>
          <w:rFonts w:hint="eastAsia" w:ascii="宋体" w:hAnsi="宋体" w:cs="宋体"/>
          <w:bCs/>
          <w:kern w:val="0"/>
          <w:sz w:val="24"/>
          <w:szCs w:val="24"/>
        </w:rPr>
      </w:pPr>
      <w:r>
        <w:rPr>
          <w:rFonts w:cs="Calibri"/>
          <w:bCs/>
          <w:kern w:val="0"/>
          <w:sz w:val="24"/>
          <w:szCs w:val="24"/>
        </w:rPr>
        <w:t>①</w:t>
      </w:r>
      <w:r>
        <w:rPr>
          <w:rFonts w:hint="eastAsia" w:ascii="宋体" w:hAnsi="宋体" w:cs="宋体"/>
          <w:bCs/>
          <w:kern w:val="0"/>
          <w:sz w:val="24"/>
          <w:szCs w:val="24"/>
        </w:rPr>
        <w:t>根据主合同约定的各笔主债务的债务履行期限</w:t>
      </w:r>
      <w:r>
        <w:rPr>
          <w:rFonts w:ascii="宋体" w:hAnsi="宋体" w:cs="宋体"/>
          <w:bCs/>
          <w:kern w:val="0"/>
          <w:sz w:val="24"/>
          <w:szCs w:val="24"/>
        </w:rPr>
        <w:t>(开立银行承兑汇票/信用证/担保函项下，根据</w:t>
      </w:r>
      <w:r>
        <w:rPr>
          <w:rFonts w:hint="eastAsia" w:ascii="宋体" w:hAnsi="宋体" w:cs="宋体"/>
          <w:bCs/>
          <w:kern w:val="0"/>
          <w:sz w:val="24"/>
          <w:szCs w:val="24"/>
        </w:rPr>
        <w:t>交通银行重庆分行</w:t>
      </w:r>
      <w:r>
        <w:rPr>
          <w:rFonts w:ascii="宋体" w:hAnsi="宋体" w:cs="宋体"/>
          <w:bCs/>
          <w:kern w:val="0"/>
          <w:sz w:val="24"/>
          <w:szCs w:val="24"/>
        </w:rPr>
        <w:t>垫付款项日期)分别计算。每一笔主债务项下的保证期间为，自该笔债务履行期限届满之日(或</w:t>
      </w:r>
      <w:r>
        <w:rPr>
          <w:rFonts w:hint="eastAsia" w:ascii="宋体" w:hAnsi="宋体" w:cs="宋体"/>
          <w:bCs/>
          <w:kern w:val="0"/>
          <w:sz w:val="24"/>
          <w:szCs w:val="24"/>
        </w:rPr>
        <w:t>交通银行重庆分行垫付款项之日</w:t>
      </w:r>
      <w:r>
        <w:rPr>
          <w:rFonts w:ascii="宋体" w:hAnsi="宋体" w:cs="宋体"/>
          <w:bCs/>
          <w:kern w:val="0"/>
          <w:sz w:val="24"/>
          <w:szCs w:val="24"/>
        </w:rPr>
        <w:t>)起，计至全部主合同项下最后到期的主债务的债务履行期限届满之日(或</w:t>
      </w:r>
      <w:r>
        <w:rPr>
          <w:rFonts w:hint="eastAsia" w:ascii="宋体" w:hAnsi="宋体" w:cs="宋体"/>
          <w:bCs/>
          <w:kern w:val="0"/>
          <w:sz w:val="24"/>
          <w:szCs w:val="24"/>
        </w:rPr>
        <w:t>交通银行重庆分行垫付款项之日</w:t>
      </w:r>
      <w:r>
        <w:rPr>
          <w:rFonts w:ascii="宋体" w:hAnsi="宋体" w:cs="宋体"/>
          <w:bCs/>
          <w:kern w:val="0"/>
          <w:sz w:val="24"/>
          <w:szCs w:val="24"/>
        </w:rPr>
        <w:t>)后三年止。</w:t>
      </w:r>
    </w:p>
    <w:p>
      <w:pPr>
        <w:numPr>
          <w:ilvl w:val="255"/>
          <w:numId w:val="0"/>
        </w:numPr>
        <w:autoSpaceDE w:val="0"/>
        <w:autoSpaceDN w:val="0"/>
        <w:adjustRightInd w:val="0"/>
        <w:spacing w:line="560" w:lineRule="exact"/>
        <w:ind w:firstLine="480" w:firstLineChars="200"/>
        <w:rPr>
          <w:rFonts w:hint="eastAsia" w:ascii="宋体" w:hAnsi="宋体" w:cs="宋体"/>
          <w:bCs/>
          <w:kern w:val="0"/>
          <w:sz w:val="24"/>
          <w:szCs w:val="24"/>
        </w:rPr>
      </w:pPr>
      <w:r>
        <w:rPr>
          <w:rFonts w:cs="Calibri"/>
          <w:bCs/>
          <w:kern w:val="0"/>
          <w:sz w:val="24"/>
          <w:szCs w:val="24"/>
        </w:rPr>
        <w:t>②</w:t>
      </w:r>
      <w:r>
        <w:rPr>
          <w:rFonts w:hint="eastAsia" w:ascii="宋体" w:hAnsi="宋体" w:cs="宋体"/>
          <w:bCs/>
          <w:kern w:val="0"/>
          <w:sz w:val="24"/>
          <w:szCs w:val="24"/>
        </w:rPr>
        <w:t>交通银行重庆分行与望来充约定望来充可分期履行还款义务的，该笔主债务的保证期间按各期还款义务分别计算，自每期债务履行期限届满之日</w:t>
      </w:r>
      <w:r>
        <w:rPr>
          <w:rFonts w:ascii="宋体" w:hAnsi="宋体" w:cs="宋体"/>
          <w:bCs/>
          <w:kern w:val="0"/>
          <w:sz w:val="24"/>
          <w:szCs w:val="24"/>
        </w:rPr>
        <w:t>(或</w:t>
      </w:r>
      <w:r>
        <w:rPr>
          <w:rFonts w:hint="eastAsia" w:ascii="宋体" w:hAnsi="宋体" w:cs="宋体"/>
          <w:bCs/>
          <w:kern w:val="0"/>
          <w:sz w:val="24"/>
          <w:szCs w:val="24"/>
        </w:rPr>
        <w:t>交通银行重庆分行垫付款项之日</w:t>
      </w:r>
      <w:r>
        <w:rPr>
          <w:rFonts w:ascii="宋体" w:hAnsi="宋体" w:cs="宋体"/>
          <w:bCs/>
          <w:kern w:val="0"/>
          <w:sz w:val="24"/>
          <w:szCs w:val="24"/>
        </w:rPr>
        <w:t>)起，计至全部主合同项下最后到期的主债务履行期限届满之日(或</w:t>
      </w:r>
      <w:r>
        <w:rPr>
          <w:rFonts w:hint="eastAsia" w:ascii="宋体" w:hAnsi="宋体" w:cs="宋体"/>
          <w:bCs/>
          <w:kern w:val="0"/>
          <w:sz w:val="24"/>
          <w:szCs w:val="24"/>
        </w:rPr>
        <w:t>交通银行重庆分行垫付款项之日</w:t>
      </w:r>
      <w:r>
        <w:rPr>
          <w:rFonts w:ascii="宋体" w:hAnsi="宋体" w:cs="宋体"/>
          <w:bCs/>
          <w:kern w:val="0"/>
          <w:sz w:val="24"/>
          <w:szCs w:val="24"/>
        </w:rPr>
        <w:t>)后三年止。</w:t>
      </w:r>
    </w:p>
    <w:p>
      <w:pPr>
        <w:numPr>
          <w:ilvl w:val="255"/>
          <w:numId w:val="0"/>
        </w:numPr>
        <w:autoSpaceDE w:val="0"/>
        <w:autoSpaceDN w:val="0"/>
        <w:adjustRightInd w:val="0"/>
        <w:spacing w:line="560" w:lineRule="exact"/>
        <w:ind w:firstLine="480" w:firstLineChars="200"/>
        <w:rPr>
          <w:rFonts w:hint="eastAsia" w:ascii="宋体" w:hAnsi="宋体" w:cs="宋体"/>
          <w:bCs/>
          <w:kern w:val="0"/>
          <w:sz w:val="24"/>
          <w:szCs w:val="24"/>
        </w:rPr>
      </w:pPr>
      <w:r>
        <w:rPr>
          <w:rFonts w:cs="Calibri"/>
          <w:bCs/>
          <w:kern w:val="0"/>
          <w:sz w:val="24"/>
          <w:szCs w:val="24"/>
        </w:rPr>
        <w:t>③</w:t>
      </w:r>
      <w:r>
        <w:rPr>
          <w:rFonts w:hint="eastAsia" w:ascii="宋体" w:hAnsi="宋体" w:cs="宋体"/>
          <w:bCs/>
          <w:kern w:val="0"/>
          <w:sz w:val="24"/>
          <w:szCs w:val="24"/>
        </w:rPr>
        <w:t>交通银行重庆分行宣布任一笔主债务提前到期的，该笔主债务的履行期限届满日以其宣布的提前到期日为准。</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2、公司与中国银行股份有限公司重庆长寿支行（简称“中国银行长寿支行”）签署的《保证合同》（简称“本合同”）</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保证人：重庆望变电气（集团）股份有限公司</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（2）</w:t>
      </w:r>
      <w:r>
        <w:rPr>
          <w:rFonts w:ascii="宋体" w:hAnsi="宋体" w:cs="宋体"/>
          <w:bCs/>
          <w:kern w:val="0"/>
          <w:sz w:val="24"/>
          <w:szCs w:val="24"/>
        </w:rPr>
        <w:t>保证方式：连带责任保证</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（3）</w:t>
      </w:r>
      <w:r>
        <w:rPr>
          <w:rFonts w:ascii="宋体" w:hAnsi="宋体" w:cs="宋体"/>
          <w:bCs/>
          <w:kern w:val="0"/>
          <w:sz w:val="24"/>
          <w:szCs w:val="24"/>
        </w:rPr>
        <w:t>保证范围：</w:t>
      </w:r>
      <w:r>
        <w:rPr>
          <w:rFonts w:hint="eastAsia" w:ascii="宋体" w:hAnsi="宋体" w:cs="宋体"/>
          <w:bCs/>
          <w:kern w:val="0"/>
          <w:sz w:val="24"/>
          <w:szCs w:val="24"/>
        </w:rPr>
        <w:t>中国银行长寿支行与惠泽电器之间签署的《流动资金借款合同》（借款1,000万元）及其修订或补充协议（简称“主合同”）项下发生的债权构成本合同之主债权，包括本金、利息(包括利息、复利、罚息)、违约金、赔偿金、实现债权的费用(包括但不限于诉讼费用、律师费用、公证费用、执行费用等)、 因惠泽电器违约而给中国银行长寿支行造成的损失和其他所有应付费用。</w:t>
      </w:r>
    </w:p>
    <w:p>
      <w:pPr>
        <w:numPr>
          <w:ilvl w:val="255"/>
          <w:numId w:val="0"/>
        </w:numPr>
        <w:autoSpaceDE w:val="0"/>
        <w:autoSpaceDN w:val="0"/>
        <w:adjustRightInd w:val="0"/>
        <w:spacing w:line="560" w:lineRule="exact"/>
        <w:rPr>
          <w:rFonts w:hint="eastAsia"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保证期限：</w:t>
      </w:r>
    </w:p>
    <w:p>
      <w:pPr>
        <w:numPr>
          <w:ilvl w:val="255"/>
          <w:numId w:val="0"/>
        </w:numPr>
        <w:autoSpaceDE w:val="0"/>
        <w:autoSpaceDN w:val="0"/>
        <w:adjustRightInd w:val="0"/>
        <w:spacing w:line="560" w:lineRule="exact"/>
        <w:ind w:firstLine="480" w:firstLineChars="200"/>
        <w:rPr>
          <w:rFonts w:cs="Calibri"/>
          <w:bCs/>
          <w:kern w:val="0"/>
          <w:sz w:val="24"/>
          <w:szCs w:val="24"/>
        </w:rPr>
      </w:pPr>
      <w:r>
        <w:rPr>
          <w:rFonts w:cs="Calibri"/>
          <w:bCs/>
          <w:kern w:val="0"/>
          <w:sz w:val="24"/>
          <w:szCs w:val="24"/>
        </w:rPr>
        <w:t>本合同保证期间为主债权的清偿期届满之日起三年。</w:t>
      </w:r>
    </w:p>
    <w:p>
      <w:pPr>
        <w:numPr>
          <w:ilvl w:val="255"/>
          <w:numId w:val="0"/>
        </w:numPr>
        <w:autoSpaceDE w:val="0"/>
        <w:autoSpaceDN w:val="0"/>
        <w:adjustRightInd w:val="0"/>
        <w:spacing w:line="560" w:lineRule="exact"/>
        <w:ind w:firstLine="480" w:firstLineChars="200"/>
        <w:rPr>
          <w:rFonts w:hint="eastAsia" w:ascii="宋体" w:hAnsi="宋体" w:cs="宋体"/>
          <w:bCs/>
          <w:kern w:val="0"/>
          <w:sz w:val="24"/>
          <w:szCs w:val="24"/>
        </w:rPr>
      </w:pPr>
      <w:r>
        <w:rPr>
          <w:rFonts w:cs="Calibri"/>
          <w:bCs/>
          <w:kern w:val="0"/>
          <w:sz w:val="24"/>
          <w:szCs w:val="24"/>
        </w:rPr>
        <w:t>如主债权为分期清偿，则保证期间为自本合同生效之日起至最后一期债务履行期届满之日后三年 。</w:t>
      </w:r>
    </w:p>
    <w:p>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四、担保的必要性和合理性</w:t>
      </w:r>
    </w:p>
    <w:p>
      <w:p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本次担保主要为满足子公司日常生产经营需要，保证其生产经营活动的顺利开展，符合公司实际经营情况和整体发展战略，具有必要性和合理性。被担保对象为公司全资子公司或控股子公司，公司对其日常经营活动和资信状况能够及时掌握，担保风险总体可控，不存在损害公司及股东特别是中小股东利益的情形。</w:t>
      </w:r>
    </w:p>
    <w:p>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五、审议程序</w:t>
      </w:r>
    </w:p>
    <w:p>
      <w:pPr>
        <w:tabs>
          <w:tab w:val="left" w:pos="3468"/>
        </w:tabs>
        <w:autoSpaceDE w:val="0"/>
        <w:autoSpaceDN w:val="0"/>
        <w:adjustRightInd w:val="0"/>
        <w:spacing w:line="560" w:lineRule="exact"/>
        <w:ind w:firstLine="460" w:firstLineChars="192"/>
        <w:rPr>
          <w:rFonts w:hint="eastAsia" w:ascii="宋体" w:hAnsi="宋体" w:cs="宋体"/>
          <w:sz w:val="24"/>
          <w:szCs w:val="24"/>
        </w:rPr>
      </w:pPr>
      <w:r>
        <w:rPr>
          <w:rFonts w:hint="eastAsia" w:ascii="宋体" w:hAnsi="宋体" w:cs="宋体"/>
          <w:sz w:val="24"/>
          <w:szCs w:val="24"/>
        </w:rPr>
        <w:t>公司审计委员会和</w:t>
      </w:r>
      <w:r>
        <w:rPr>
          <w:rFonts w:ascii="宋体" w:hAnsi="宋体" w:cs="宋体"/>
          <w:sz w:val="24"/>
          <w:szCs w:val="24"/>
        </w:rPr>
        <w:t>董事会认为</w:t>
      </w:r>
      <w:r>
        <w:rPr>
          <w:rFonts w:hint="eastAsia" w:ascii="宋体" w:hAnsi="宋体" w:cs="宋体"/>
          <w:sz w:val="24"/>
          <w:szCs w:val="24"/>
        </w:rPr>
        <w:t>，</w:t>
      </w:r>
      <w:r>
        <w:rPr>
          <w:rFonts w:ascii="宋体" w:hAnsi="宋体" w:cs="宋体"/>
          <w:sz w:val="24"/>
          <w:szCs w:val="24"/>
        </w:rPr>
        <w:t>本次</w:t>
      </w:r>
      <w:r>
        <w:rPr>
          <w:rFonts w:hint="eastAsia" w:ascii="宋体" w:hAnsi="宋体" w:cs="宋体"/>
          <w:sz w:val="24"/>
          <w:szCs w:val="24"/>
        </w:rPr>
        <w:t>增加2026年度</w:t>
      </w:r>
      <w:r>
        <w:rPr>
          <w:rFonts w:ascii="宋体" w:hAnsi="宋体" w:cs="宋体"/>
          <w:sz w:val="24"/>
          <w:szCs w:val="24"/>
        </w:rPr>
        <w:t>担保预计是</w:t>
      </w:r>
      <w:r>
        <w:rPr>
          <w:rFonts w:hint="eastAsia" w:ascii="宋体" w:hAnsi="宋体" w:cs="宋体"/>
          <w:sz w:val="24"/>
          <w:szCs w:val="24"/>
        </w:rPr>
        <w:t>充分</w:t>
      </w:r>
      <w:r>
        <w:rPr>
          <w:rFonts w:ascii="宋体" w:hAnsi="宋体" w:cs="宋体"/>
          <w:sz w:val="24"/>
          <w:szCs w:val="24"/>
        </w:rPr>
        <w:t>考虑子公司日常经营需求，符合相关法律法规及公司章程的规定，担保风险总体可控，有利于公司的生产经营和长远发展，董事会同意上述担保</w:t>
      </w:r>
      <w:r>
        <w:rPr>
          <w:rFonts w:hint="eastAsia" w:ascii="宋体" w:hAnsi="宋体" w:cs="宋体"/>
          <w:sz w:val="24"/>
          <w:szCs w:val="24"/>
        </w:rPr>
        <w:t>事宜并同意提交公司股东会进行审议</w:t>
      </w:r>
      <w:r>
        <w:rPr>
          <w:rFonts w:ascii="宋体" w:hAnsi="宋体" w:cs="宋体"/>
          <w:sz w:val="24"/>
          <w:szCs w:val="24"/>
        </w:rPr>
        <w:t>。</w:t>
      </w:r>
    </w:p>
    <w:p>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六、累计对外担保数量及逾期担保的数量</w:t>
      </w:r>
    </w:p>
    <w:p>
      <w:pPr>
        <w:pStyle w:val="16"/>
        <w:widowControl/>
        <w:numPr>
          <w:ilvl w:val="255"/>
          <w:numId w:val="0"/>
        </w:numPr>
        <w:autoSpaceDE w:val="0"/>
        <w:autoSpaceDN w:val="0"/>
        <w:spacing w:beforeAutospacing="0" w:afterAutospacing="0" w:line="560" w:lineRule="exact"/>
        <w:ind w:firstLine="480" w:firstLineChars="200"/>
        <w:jc w:val="both"/>
        <w:rPr>
          <w:rFonts w:hint="eastAsia" w:ascii="宋体" w:hAnsi="宋体" w:cs="宋体"/>
          <w:b/>
          <w:kern w:val="2"/>
          <w:szCs w:val="24"/>
          <w:lang w:val="zh-TW" w:eastAsia="zh-TW"/>
        </w:rPr>
      </w:pPr>
      <w:r>
        <w:rPr>
          <w:rFonts w:hint="eastAsia" w:ascii="宋体" w:hAnsi="宋体" w:cs="宋体"/>
          <w:szCs w:val="24"/>
        </w:rPr>
        <w:t>截至2026年3月31日，公司</w:t>
      </w:r>
      <w:r>
        <w:rPr>
          <w:rFonts w:hint="eastAsia" w:ascii="宋体" w:hAnsi="宋体" w:cs="宋体"/>
          <w:szCs w:val="24"/>
          <w:lang w:val="en-US" w:eastAsia="zh-CN"/>
        </w:rPr>
        <w:t>为子公司</w:t>
      </w:r>
      <w:r>
        <w:rPr>
          <w:rFonts w:hint="eastAsia" w:ascii="宋体" w:hAnsi="宋体" w:cs="宋体"/>
          <w:szCs w:val="24"/>
        </w:rPr>
        <w:t>担保总额为300,000万元（其中已签署担保合同的担保总额为166,574.10 万元），担保余额为68,112.84 万元，系公司为子公司望来充、云变电气、惠泽电器及黔南望江提供的担保，</w:t>
      </w:r>
      <w:r>
        <w:rPr>
          <w:rFonts w:hint="eastAsia" w:ascii="宋体" w:hAnsi="宋体" w:cs="宋体"/>
          <w:szCs w:val="24"/>
          <w:lang w:val="en-US" w:eastAsia="zh-CN"/>
        </w:rPr>
        <w:t>已签署担保合同的</w:t>
      </w:r>
      <w:r>
        <w:rPr>
          <w:rFonts w:hint="eastAsia" w:ascii="宋体" w:hAnsi="宋体" w:cs="宋体"/>
          <w:szCs w:val="24"/>
        </w:rPr>
        <w:t>担保总额占公司最近一期经审计归属于上市公司股东的净资产的66.77</w:t>
      </w:r>
      <w:r>
        <w:rPr>
          <w:rFonts w:ascii="宋体" w:hAnsi="宋体" w:cs="宋体"/>
          <w:szCs w:val="24"/>
        </w:rPr>
        <w:t>%</w:t>
      </w:r>
      <w:r>
        <w:rPr>
          <w:rFonts w:hint="eastAsia" w:ascii="宋体" w:hAnsi="宋体" w:cs="宋体"/>
          <w:szCs w:val="24"/>
        </w:rPr>
        <w:t>，担保余额占公司最近一期经审计归属于上市公司股东的净资产的27.30%，不存在逾期担保。</w:t>
      </w:r>
    </w:p>
    <w:p>
      <w:pPr>
        <w:autoSpaceDE w:val="0"/>
        <w:autoSpaceDN w:val="0"/>
        <w:adjustRightInd w:val="0"/>
        <w:spacing w:line="560" w:lineRule="exact"/>
        <w:ind w:firstLine="460" w:firstLineChars="192"/>
        <w:rPr>
          <w:rFonts w:hint="eastAsia" w:ascii="宋体" w:hAnsi="宋体" w:cs="宋体"/>
          <w:b/>
          <w:sz w:val="24"/>
          <w:szCs w:val="24"/>
        </w:rPr>
      </w:pPr>
      <w:r>
        <w:rPr>
          <w:rFonts w:hint="eastAsia" w:ascii="宋体" w:hAnsi="宋体" w:cs="宋体"/>
          <w:kern w:val="0"/>
          <w:sz w:val="24"/>
          <w:szCs w:val="24"/>
        </w:rPr>
        <w:t>特此公告。</w:t>
      </w:r>
    </w:p>
    <w:p>
      <w:pPr>
        <w:adjustRightInd w:val="0"/>
        <w:snapToGrid w:val="0"/>
        <w:spacing w:line="560" w:lineRule="exact"/>
        <w:jc w:val="right"/>
        <w:rPr>
          <w:rFonts w:hint="eastAsia" w:ascii="宋体" w:hAnsi="宋体"/>
          <w:sz w:val="24"/>
          <w:szCs w:val="24"/>
        </w:rPr>
      </w:pPr>
      <w:r>
        <w:rPr>
          <w:rFonts w:hint="eastAsia" w:ascii="宋体" w:hAnsi="宋体" w:cs="宋体"/>
          <w:kern w:val="0"/>
          <w:sz w:val="24"/>
          <w:szCs w:val="24"/>
        </w:rPr>
        <w:t>重庆望变电气（集团）</w:t>
      </w:r>
      <w:r>
        <w:rPr>
          <w:rFonts w:hint="eastAsia" w:ascii="宋体" w:hAnsi="宋体" w:cs="仿宋_GB2312"/>
          <w:sz w:val="24"/>
          <w:szCs w:val="24"/>
        </w:rPr>
        <w:t>股</w:t>
      </w:r>
      <w:r>
        <w:rPr>
          <w:rFonts w:hint="eastAsia" w:ascii="宋体" w:hAnsi="宋体"/>
          <w:sz w:val="24"/>
          <w:szCs w:val="24"/>
        </w:rPr>
        <w:t>份有限公司董事会</w:t>
      </w:r>
    </w:p>
    <w:p>
      <w:pPr>
        <w:adjustRightInd w:val="0"/>
        <w:snapToGrid w:val="0"/>
        <w:spacing w:line="560" w:lineRule="exact"/>
        <w:jc w:val="right"/>
      </w:pPr>
      <w:r>
        <w:rPr>
          <w:rFonts w:ascii="宋体" w:hAnsi="宋体"/>
          <w:sz w:val="24"/>
          <w:szCs w:val="24"/>
        </w:rPr>
        <w:t>202</w:t>
      </w:r>
      <w:r>
        <w:rPr>
          <w:rFonts w:hint="eastAsia" w:ascii="宋体" w:hAnsi="宋体"/>
          <w:sz w:val="24"/>
          <w:szCs w:val="24"/>
        </w:rPr>
        <w:t>6年4月4日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pPr>
          <w:pStyle w:val="9"/>
          <w:jc w:val="center"/>
        </w:pPr>
        <w:r>
          <w:fldChar w:fldCharType="begin"/>
        </w:r>
        <w:r>
          <w:instrText xml:space="preserve"> PAGE   \* MERGEFORMAT </w:instrText>
        </w:r>
        <w:r>
          <w:fldChar w:fldCharType="separate"/>
        </w:r>
        <w:r>
          <w:rPr>
            <w:lang w:val="zh-CN"/>
          </w:rPr>
          <w:t>3</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712713"/>
    <w:multiLevelType w:val="singleLevel"/>
    <w:tmpl w:val="22712713"/>
    <w:lvl w:ilvl="0" w:tentative="0">
      <w:start w:val="1"/>
      <w:numFmt w:val="bullet"/>
      <w:pStyle w:val="25"/>
      <w:lvlText w:val=""/>
      <w:lvlJc w:val="left"/>
      <w:pPr>
        <w:ind w:left="420" w:hanging="420"/>
      </w:pPr>
      <w:rPr>
        <w:rFonts w:hint="default" w:ascii="Wingdings" w:hAnsi="Wingdings"/>
      </w:rPr>
    </w:lvl>
  </w:abstractNum>
  <w:abstractNum w:abstractNumId="1">
    <w:nsid w:val="419B9416"/>
    <w:multiLevelType w:val="singleLevel"/>
    <w:tmpl w:val="419B941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BF2ECD"/>
    <w:rsid w:val="00000558"/>
    <w:rsid w:val="00000BC9"/>
    <w:rsid w:val="00037429"/>
    <w:rsid w:val="00044B7A"/>
    <w:rsid w:val="000507FA"/>
    <w:rsid w:val="00050D8C"/>
    <w:rsid w:val="00051D15"/>
    <w:rsid w:val="00054EEE"/>
    <w:rsid w:val="00060DFA"/>
    <w:rsid w:val="00064333"/>
    <w:rsid w:val="000671F4"/>
    <w:rsid w:val="0007156E"/>
    <w:rsid w:val="000764C3"/>
    <w:rsid w:val="00082408"/>
    <w:rsid w:val="000855FD"/>
    <w:rsid w:val="00087F94"/>
    <w:rsid w:val="00095674"/>
    <w:rsid w:val="000A490B"/>
    <w:rsid w:val="000A5568"/>
    <w:rsid w:val="000B677B"/>
    <w:rsid w:val="000E2A8D"/>
    <w:rsid w:val="000F2338"/>
    <w:rsid w:val="00124FA5"/>
    <w:rsid w:val="00125C8C"/>
    <w:rsid w:val="00126188"/>
    <w:rsid w:val="00131752"/>
    <w:rsid w:val="001335CF"/>
    <w:rsid w:val="001368F4"/>
    <w:rsid w:val="001619B6"/>
    <w:rsid w:val="00161C50"/>
    <w:rsid w:val="001631B1"/>
    <w:rsid w:val="00172339"/>
    <w:rsid w:val="00177222"/>
    <w:rsid w:val="001903B0"/>
    <w:rsid w:val="001B2B9A"/>
    <w:rsid w:val="001B5730"/>
    <w:rsid w:val="001C165F"/>
    <w:rsid w:val="001C235A"/>
    <w:rsid w:val="001D0405"/>
    <w:rsid w:val="001E4E44"/>
    <w:rsid w:val="001E7562"/>
    <w:rsid w:val="001F0293"/>
    <w:rsid w:val="001F3BAD"/>
    <w:rsid w:val="002032FC"/>
    <w:rsid w:val="002051AC"/>
    <w:rsid w:val="00207506"/>
    <w:rsid w:val="002114BE"/>
    <w:rsid w:val="00222403"/>
    <w:rsid w:val="00224E96"/>
    <w:rsid w:val="00234702"/>
    <w:rsid w:val="00246976"/>
    <w:rsid w:val="00266A7C"/>
    <w:rsid w:val="00272D61"/>
    <w:rsid w:val="002878A7"/>
    <w:rsid w:val="00294DFB"/>
    <w:rsid w:val="002A3C59"/>
    <w:rsid w:val="002B1A65"/>
    <w:rsid w:val="002B291C"/>
    <w:rsid w:val="002C32E2"/>
    <w:rsid w:val="002C3AF3"/>
    <w:rsid w:val="002C5387"/>
    <w:rsid w:val="002D1984"/>
    <w:rsid w:val="002D51F5"/>
    <w:rsid w:val="002D6A43"/>
    <w:rsid w:val="002E2215"/>
    <w:rsid w:val="002F1340"/>
    <w:rsid w:val="002F33C4"/>
    <w:rsid w:val="002F6DC2"/>
    <w:rsid w:val="002F6FD5"/>
    <w:rsid w:val="0030115C"/>
    <w:rsid w:val="003051B5"/>
    <w:rsid w:val="00313A26"/>
    <w:rsid w:val="00335DCA"/>
    <w:rsid w:val="00342251"/>
    <w:rsid w:val="00343F60"/>
    <w:rsid w:val="00352F3F"/>
    <w:rsid w:val="00385A69"/>
    <w:rsid w:val="003A3C4B"/>
    <w:rsid w:val="003A4934"/>
    <w:rsid w:val="003A6877"/>
    <w:rsid w:val="003B5E5C"/>
    <w:rsid w:val="003C13ED"/>
    <w:rsid w:val="003D1D39"/>
    <w:rsid w:val="003D4987"/>
    <w:rsid w:val="003D500E"/>
    <w:rsid w:val="003E399E"/>
    <w:rsid w:val="003F26EB"/>
    <w:rsid w:val="00412966"/>
    <w:rsid w:val="004166FA"/>
    <w:rsid w:val="004216D6"/>
    <w:rsid w:val="00421FBB"/>
    <w:rsid w:val="00432414"/>
    <w:rsid w:val="004417CE"/>
    <w:rsid w:val="00452302"/>
    <w:rsid w:val="004617FD"/>
    <w:rsid w:val="00481530"/>
    <w:rsid w:val="004A27BC"/>
    <w:rsid w:val="004B6940"/>
    <w:rsid w:val="004B6A0F"/>
    <w:rsid w:val="004C3D35"/>
    <w:rsid w:val="004E11B1"/>
    <w:rsid w:val="004F4D81"/>
    <w:rsid w:val="004F792E"/>
    <w:rsid w:val="00501890"/>
    <w:rsid w:val="0050197F"/>
    <w:rsid w:val="00503B40"/>
    <w:rsid w:val="00507042"/>
    <w:rsid w:val="0052284A"/>
    <w:rsid w:val="00522DE7"/>
    <w:rsid w:val="0052751C"/>
    <w:rsid w:val="00530DCA"/>
    <w:rsid w:val="0055741E"/>
    <w:rsid w:val="00563DEF"/>
    <w:rsid w:val="005644DC"/>
    <w:rsid w:val="00583455"/>
    <w:rsid w:val="00593D94"/>
    <w:rsid w:val="005950D7"/>
    <w:rsid w:val="005A5697"/>
    <w:rsid w:val="005B06D0"/>
    <w:rsid w:val="005B1790"/>
    <w:rsid w:val="005B1CE9"/>
    <w:rsid w:val="005E015E"/>
    <w:rsid w:val="005E0D94"/>
    <w:rsid w:val="006004F3"/>
    <w:rsid w:val="0061300F"/>
    <w:rsid w:val="0061302E"/>
    <w:rsid w:val="00616B8A"/>
    <w:rsid w:val="00621D2E"/>
    <w:rsid w:val="00623320"/>
    <w:rsid w:val="006233E1"/>
    <w:rsid w:val="00631267"/>
    <w:rsid w:val="006414A6"/>
    <w:rsid w:val="0065561C"/>
    <w:rsid w:val="006556BD"/>
    <w:rsid w:val="00656B76"/>
    <w:rsid w:val="0065737B"/>
    <w:rsid w:val="0066481A"/>
    <w:rsid w:val="006754DD"/>
    <w:rsid w:val="00692CB8"/>
    <w:rsid w:val="00693570"/>
    <w:rsid w:val="006B13DA"/>
    <w:rsid w:val="006B2315"/>
    <w:rsid w:val="006B45CE"/>
    <w:rsid w:val="006B6910"/>
    <w:rsid w:val="006C4014"/>
    <w:rsid w:val="006C6811"/>
    <w:rsid w:val="006D1676"/>
    <w:rsid w:val="006D6459"/>
    <w:rsid w:val="007041A1"/>
    <w:rsid w:val="00713C80"/>
    <w:rsid w:val="00732D11"/>
    <w:rsid w:val="0073774F"/>
    <w:rsid w:val="00745B5F"/>
    <w:rsid w:val="00752AA0"/>
    <w:rsid w:val="0076073C"/>
    <w:rsid w:val="00776B0C"/>
    <w:rsid w:val="007946B0"/>
    <w:rsid w:val="007A42EC"/>
    <w:rsid w:val="007A54FF"/>
    <w:rsid w:val="007B4990"/>
    <w:rsid w:val="007C343C"/>
    <w:rsid w:val="007C655F"/>
    <w:rsid w:val="007D3D15"/>
    <w:rsid w:val="007D539C"/>
    <w:rsid w:val="007F4CED"/>
    <w:rsid w:val="00816C8F"/>
    <w:rsid w:val="00826B51"/>
    <w:rsid w:val="0083455D"/>
    <w:rsid w:val="008625FB"/>
    <w:rsid w:val="00866013"/>
    <w:rsid w:val="00885E01"/>
    <w:rsid w:val="00891EE8"/>
    <w:rsid w:val="008A76CD"/>
    <w:rsid w:val="008B360D"/>
    <w:rsid w:val="008B4652"/>
    <w:rsid w:val="008C75E8"/>
    <w:rsid w:val="008D10ED"/>
    <w:rsid w:val="008D7908"/>
    <w:rsid w:val="008D7D16"/>
    <w:rsid w:val="008E2FF0"/>
    <w:rsid w:val="00910565"/>
    <w:rsid w:val="00912197"/>
    <w:rsid w:val="00913A1A"/>
    <w:rsid w:val="009238FB"/>
    <w:rsid w:val="009477DC"/>
    <w:rsid w:val="009536D8"/>
    <w:rsid w:val="00955454"/>
    <w:rsid w:val="00955DC4"/>
    <w:rsid w:val="00960BDB"/>
    <w:rsid w:val="00962784"/>
    <w:rsid w:val="0096329B"/>
    <w:rsid w:val="0097194D"/>
    <w:rsid w:val="009752E9"/>
    <w:rsid w:val="00977420"/>
    <w:rsid w:val="0099027E"/>
    <w:rsid w:val="00992A41"/>
    <w:rsid w:val="009A242D"/>
    <w:rsid w:val="009A3EBC"/>
    <w:rsid w:val="009C3379"/>
    <w:rsid w:val="00A06636"/>
    <w:rsid w:val="00A20224"/>
    <w:rsid w:val="00A317FA"/>
    <w:rsid w:val="00A369A9"/>
    <w:rsid w:val="00A4773A"/>
    <w:rsid w:val="00A50776"/>
    <w:rsid w:val="00A56BD4"/>
    <w:rsid w:val="00A60EBF"/>
    <w:rsid w:val="00A80442"/>
    <w:rsid w:val="00A87F63"/>
    <w:rsid w:val="00A9108C"/>
    <w:rsid w:val="00AA1DF6"/>
    <w:rsid w:val="00AA36C5"/>
    <w:rsid w:val="00AC6182"/>
    <w:rsid w:val="00AD2992"/>
    <w:rsid w:val="00AD7080"/>
    <w:rsid w:val="00AF0E25"/>
    <w:rsid w:val="00AF4CB2"/>
    <w:rsid w:val="00B10348"/>
    <w:rsid w:val="00B10A2A"/>
    <w:rsid w:val="00B12308"/>
    <w:rsid w:val="00B13505"/>
    <w:rsid w:val="00B152B7"/>
    <w:rsid w:val="00B253D1"/>
    <w:rsid w:val="00B25554"/>
    <w:rsid w:val="00B3338B"/>
    <w:rsid w:val="00B35C9C"/>
    <w:rsid w:val="00B51B1B"/>
    <w:rsid w:val="00B575AF"/>
    <w:rsid w:val="00B65460"/>
    <w:rsid w:val="00B656C4"/>
    <w:rsid w:val="00B66D7C"/>
    <w:rsid w:val="00B90010"/>
    <w:rsid w:val="00B96BB6"/>
    <w:rsid w:val="00BC4BBB"/>
    <w:rsid w:val="00BD7901"/>
    <w:rsid w:val="00BE0431"/>
    <w:rsid w:val="00BE7AC6"/>
    <w:rsid w:val="00BF2ECD"/>
    <w:rsid w:val="00BF54FF"/>
    <w:rsid w:val="00C061F6"/>
    <w:rsid w:val="00C11DBC"/>
    <w:rsid w:val="00C21159"/>
    <w:rsid w:val="00C2610B"/>
    <w:rsid w:val="00C321FA"/>
    <w:rsid w:val="00C335E9"/>
    <w:rsid w:val="00C37A23"/>
    <w:rsid w:val="00C5077D"/>
    <w:rsid w:val="00C515E8"/>
    <w:rsid w:val="00C55AA9"/>
    <w:rsid w:val="00C578DC"/>
    <w:rsid w:val="00C57B6A"/>
    <w:rsid w:val="00C64E83"/>
    <w:rsid w:val="00C800AF"/>
    <w:rsid w:val="00C85BA6"/>
    <w:rsid w:val="00CA5962"/>
    <w:rsid w:val="00CA5E22"/>
    <w:rsid w:val="00CC2A94"/>
    <w:rsid w:val="00CC6A06"/>
    <w:rsid w:val="00CD0630"/>
    <w:rsid w:val="00CE38B0"/>
    <w:rsid w:val="00D0021B"/>
    <w:rsid w:val="00D0047A"/>
    <w:rsid w:val="00D060E9"/>
    <w:rsid w:val="00D061EC"/>
    <w:rsid w:val="00D12713"/>
    <w:rsid w:val="00D14999"/>
    <w:rsid w:val="00D20476"/>
    <w:rsid w:val="00D348AE"/>
    <w:rsid w:val="00D36CEC"/>
    <w:rsid w:val="00D37022"/>
    <w:rsid w:val="00D40D5F"/>
    <w:rsid w:val="00D42243"/>
    <w:rsid w:val="00D51495"/>
    <w:rsid w:val="00D6642E"/>
    <w:rsid w:val="00DA6BAB"/>
    <w:rsid w:val="00DB4349"/>
    <w:rsid w:val="00DC7D90"/>
    <w:rsid w:val="00DD1465"/>
    <w:rsid w:val="00DD3A5B"/>
    <w:rsid w:val="00DD5D73"/>
    <w:rsid w:val="00DE0D68"/>
    <w:rsid w:val="00DE24A1"/>
    <w:rsid w:val="00DE2FB4"/>
    <w:rsid w:val="00E1723F"/>
    <w:rsid w:val="00E2700A"/>
    <w:rsid w:val="00E313D8"/>
    <w:rsid w:val="00E3553B"/>
    <w:rsid w:val="00E35CC1"/>
    <w:rsid w:val="00E360F6"/>
    <w:rsid w:val="00E50EF5"/>
    <w:rsid w:val="00E54250"/>
    <w:rsid w:val="00E62DAF"/>
    <w:rsid w:val="00E92E43"/>
    <w:rsid w:val="00E97E71"/>
    <w:rsid w:val="00EA34E8"/>
    <w:rsid w:val="00EC5C5A"/>
    <w:rsid w:val="00ED0055"/>
    <w:rsid w:val="00ED63A9"/>
    <w:rsid w:val="00EF138E"/>
    <w:rsid w:val="00EF74FD"/>
    <w:rsid w:val="00F16E07"/>
    <w:rsid w:val="00F2365C"/>
    <w:rsid w:val="00F34FFB"/>
    <w:rsid w:val="00F3617A"/>
    <w:rsid w:val="00F60665"/>
    <w:rsid w:val="00F64DA3"/>
    <w:rsid w:val="00F65A6F"/>
    <w:rsid w:val="00F77490"/>
    <w:rsid w:val="00F84CFA"/>
    <w:rsid w:val="00F967B2"/>
    <w:rsid w:val="00FA1CAB"/>
    <w:rsid w:val="00FD1980"/>
    <w:rsid w:val="00FE0712"/>
    <w:rsid w:val="02066364"/>
    <w:rsid w:val="02815CE9"/>
    <w:rsid w:val="03134C0F"/>
    <w:rsid w:val="032D4E3E"/>
    <w:rsid w:val="06574CAB"/>
    <w:rsid w:val="06643DC2"/>
    <w:rsid w:val="073B5BC9"/>
    <w:rsid w:val="07BE292C"/>
    <w:rsid w:val="07C65CA5"/>
    <w:rsid w:val="08514037"/>
    <w:rsid w:val="096251C7"/>
    <w:rsid w:val="0AD308D0"/>
    <w:rsid w:val="0D955F12"/>
    <w:rsid w:val="0ECD00C3"/>
    <w:rsid w:val="0F0C6523"/>
    <w:rsid w:val="10BB6389"/>
    <w:rsid w:val="11127EB2"/>
    <w:rsid w:val="11E97456"/>
    <w:rsid w:val="11F04FB0"/>
    <w:rsid w:val="11FD41AB"/>
    <w:rsid w:val="174148EA"/>
    <w:rsid w:val="18547E5C"/>
    <w:rsid w:val="1E79312C"/>
    <w:rsid w:val="20AB2712"/>
    <w:rsid w:val="20D5741D"/>
    <w:rsid w:val="213B1B76"/>
    <w:rsid w:val="230A0721"/>
    <w:rsid w:val="24100647"/>
    <w:rsid w:val="24BC60E2"/>
    <w:rsid w:val="25107F16"/>
    <w:rsid w:val="251B37E1"/>
    <w:rsid w:val="26401ABD"/>
    <w:rsid w:val="2AAC23F9"/>
    <w:rsid w:val="2C422599"/>
    <w:rsid w:val="2ED869B2"/>
    <w:rsid w:val="2F3E547B"/>
    <w:rsid w:val="2FB04883"/>
    <w:rsid w:val="304A526C"/>
    <w:rsid w:val="30FC41DF"/>
    <w:rsid w:val="3245239C"/>
    <w:rsid w:val="34735DCF"/>
    <w:rsid w:val="36372CA9"/>
    <w:rsid w:val="381C2D1C"/>
    <w:rsid w:val="39E2569B"/>
    <w:rsid w:val="3A8D0F72"/>
    <w:rsid w:val="3A960DE3"/>
    <w:rsid w:val="3ADF8039"/>
    <w:rsid w:val="3B447211"/>
    <w:rsid w:val="3C6F4907"/>
    <w:rsid w:val="3CF573AA"/>
    <w:rsid w:val="3D624079"/>
    <w:rsid w:val="3DFF1026"/>
    <w:rsid w:val="3FF50217"/>
    <w:rsid w:val="3FFBD36B"/>
    <w:rsid w:val="42275509"/>
    <w:rsid w:val="46110EB4"/>
    <w:rsid w:val="4611554A"/>
    <w:rsid w:val="464E01FD"/>
    <w:rsid w:val="497D0EC5"/>
    <w:rsid w:val="499F1D78"/>
    <w:rsid w:val="4A983129"/>
    <w:rsid w:val="4C0A191A"/>
    <w:rsid w:val="4D556624"/>
    <w:rsid w:val="4FB802EF"/>
    <w:rsid w:val="51834132"/>
    <w:rsid w:val="51D41B82"/>
    <w:rsid w:val="524C7FC2"/>
    <w:rsid w:val="52E00474"/>
    <w:rsid w:val="52EA1CBB"/>
    <w:rsid w:val="53202F13"/>
    <w:rsid w:val="54B07C7A"/>
    <w:rsid w:val="565D3A9C"/>
    <w:rsid w:val="577DB925"/>
    <w:rsid w:val="57C86637"/>
    <w:rsid w:val="59531228"/>
    <w:rsid w:val="5AD85ED5"/>
    <w:rsid w:val="5B932E9C"/>
    <w:rsid w:val="5BA66D99"/>
    <w:rsid w:val="5C6B3487"/>
    <w:rsid w:val="5C7436E9"/>
    <w:rsid w:val="5C8255FD"/>
    <w:rsid w:val="5CCC5B45"/>
    <w:rsid w:val="5CEE2784"/>
    <w:rsid w:val="5D0E2A44"/>
    <w:rsid w:val="5DB669CE"/>
    <w:rsid w:val="5E7F4FE5"/>
    <w:rsid w:val="5FE3F82D"/>
    <w:rsid w:val="610E4A4B"/>
    <w:rsid w:val="611F29C3"/>
    <w:rsid w:val="61316624"/>
    <w:rsid w:val="61AD670E"/>
    <w:rsid w:val="620A112B"/>
    <w:rsid w:val="63F41D70"/>
    <w:rsid w:val="64FB76CB"/>
    <w:rsid w:val="65A4764D"/>
    <w:rsid w:val="660D5477"/>
    <w:rsid w:val="66F9576C"/>
    <w:rsid w:val="67DC6589"/>
    <w:rsid w:val="69D24BFB"/>
    <w:rsid w:val="6A982891"/>
    <w:rsid w:val="6B352872"/>
    <w:rsid w:val="6BE74894"/>
    <w:rsid w:val="6EEE5B5B"/>
    <w:rsid w:val="6F6946EC"/>
    <w:rsid w:val="6F8D7841"/>
    <w:rsid w:val="73EB0755"/>
    <w:rsid w:val="757F06CF"/>
    <w:rsid w:val="75B740CF"/>
    <w:rsid w:val="768A36EF"/>
    <w:rsid w:val="78852C26"/>
    <w:rsid w:val="794B6266"/>
    <w:rsid w:val="7A287E87"/>
    <w:rsid w:val="7B214006"/>
    <w:rsid w:val="7CD367EE"/>
    <w:rsid w:val="7E0457F8"/>
    <w:rsid w:val="7EFD57C1"/>
    <w:rsid w:val="7FB341D1"/>
    <w:rsid w:val="7FE01AFA"/>
    <w:rsid w:val="9FBE9639"/>
    <w:rsid w:val="A66F6701"/>
    <w:rsid w:val="ABAB6B84"/>
    <w:rsid w:val="D3DF2B1A"/>
    <w:rsid w:val="EF3BAB14"/>
    <w:rsid w:val="FDA7D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semiHidden/>
    <w:unhideWhenUsed/>
    <w:qFormat/>
    <w:uiPriority w:val="39"/>
    <w:pPr>
      <w:ind w:left="2520" w:leftChars="1200"/>
    </w:pPr>
  </w:style>
  <w:style w:type="paragraph" w:styleId="3">
    <w:name w:val="annotation text"/>
    <w:basedOn w:val="1"/>
    <w:link w:val="30"/>
    <w:unhideWhenUsed/>
    <w:qFormat/>
    <w:uiPriority w:val="0"/>
    <w:pPr>
      <w:jc w:val="left"/>
    </w:pPr>
  </w:style>
  <w:style w:type="paragraph" w:styleId="4">
    <w:name w:val="Body Text"/>
    <w:basedOn w:val="1"/>
    <w:semiHidden/>
    <w:qFormat/>
    <w:uiPriority w:val="0"/>
    <w:rPr>
      <w:rFonts w:ascii="宋体" w:hAnsi="宋体" w:cs="宋体"/>
      <w:sz w:val="35"/>
      <w:szCs w:val="35"/>
      <w:lang w:eastAsia="en-US"/>
    </w:rPr>
  </w:style>
  <w:style w:type="paragraph" w:styleId="5">
    <w:name w:val="toc 5"/>
    <w:basedOn w:val="1"/>
    <w:next w:val="1"/>
    <w:semiHidden/>
    <w:unhideWhenUsed/>
    <w:qFormat/>
    <w:uiPriority w:val="39"/>
    <w:pPr>
      <w:ind w:left="1680" w:leftChars="800"/>
    </w:pPr>
  </w:style>
  <w:style w:type="paragraph" w:styleId="6">
    <w:name w:val="toc 3"/>
    <w:basedOn w:val="1"/>
    <w:next w:val="1"/>
    <w:semiHidden/>
    <w:unhideWhenUsed/>
    <w:qFormat/>
    <w:uiPriority w:val="39"/>
    <w:pPr>
      <w:ind w:left="840" w:leftChars="400"/>
    </w:pPr>
  </w:style>
  <w:style w:type="paragraph" w:styleId="7">
    <w:name w:val="toc 8"/>
    <w:basedOn w:val="1"/>
    <w:next w:val="1"/>
    <w:semiHidden/>
    <w:unhideWhenUsed/>
    <w:qFormat/>
    <w:uiPriority w:val="39"/>
    <w:pPr>
      <w:ind w:left="2940" w:leftChars="1400"/>
    </w:pPr>
  </w:style>
  <w:style w:type="paragraph" w:styleId="8">
    <w:name w:val="Balloon Text"/>
    <w:basedOn w:val="1"/>
    <w:link w:val="27"/>
    <w:unhideWhenUsed/>
    <w:qFormat/>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4"/>
    <w:basedOn w:val="1"/>
    <w:next w:val="1"/>
    <w:semiHidden/>
    <w:unhideWhenUsed/>
    <w:qFormat/>
    <w:uiPriority w:val="39"/>
    <w:pPr>
      <w:ind w:left="1260" w:leftChars="600"/>
    </w:pPr>
  </w:style>
  <w:style w:type="paragraph" w:styleId="13">
    <w:name w:val="toc 6"/>
    <w:basedOn w:val="1"/>
    <w:next w:val="1"/>
    <w:semiHidden/>
    <w:unhideWhenUsed/>
    <w:qFormat/>
    <w:uiPriority w:val="39"/>
    <w:pPr>
      <w:ind w:left="2100" w:leftChars="1000"/>
    </w:pPr>
  </w:style>
  <w:style w:type="paragraph" w:styleId="14">
    <w:name w:val="toc 2"/>
    <w:basedOn w:val="1"/>
    <w:next w:val="1"/>
    <w:semiHidden/>
    <w:unhideWhenUsed/>
    <w:qFormat/>
    <w:uiPriority w:val="39"/>
    <w:pPr>
      <w:ind w:left="420" w:leftChars="200"/>
    </w:pPr>
  </w:style>
  <w:style w:type="paragraph" w:styleId="15">
    <w:name w:val="toc 9"/>
    <w:basedOn w:val="1"/>
    <w:next w:val="1"/>
    <w:semiHidden/>
    <w:unhideWhenUsed/>
    <w:qFormat/>
    <w:uiPriority w:val="39"/>
    <w:pPr>
      <w:ind w:left="3360" w:leftChars="1600"/>
    </w:pPr>
  </w:style>
  <w:style w:type="paragraph" w:styleId="16">
    <w:name w:val="Normal (Web)"/>
    <w:basedOn w:val="1"/>
    <w:semiHidden/>
    <w:unhideWhenUsed/>
    <w:qFormat/>
    <w:uiPriority w:val="99"/>
    <w:pPr>
      <w:spacing w:beforeAutospacing="1" w:afterAutospacing="1"/>
      <w:jc w:val="left"/>
    </w:pPr>
    <w:rPr>
      <w:kern w:val="0"/>
      <w:sz w:val="24"/>
    </w:rPr>
  </w:style>
  <w:style w:type="paragraph" w:styleId="17">
    <w:name w:val="annotation subject"/>
    <w:basedOn w:val="3"/>
    <w:next w:val="3"/>
    <w:link w:val="31"/>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Emphasis"/>
    <w:basedOn w:val="20"/>
    <w:qFormat/>
    <w:uiPriority w:val="0"/>
    <w:rPr>
      <w:i/>
    </w:rPr>
  </w:style>
  <w:style w:type="character" w:styleId="22">
    <w:name w:val="annotation reference"/>
    <w:basedOn w:val="20"/>
    <w:semiHidden/>
    <w:unhideWhenUsed/>
    <w:qFormat/>
    <w:uiPriority w:val="0"/>
    <w:rPr>
      <w:sz w:val="21"/>
      <w:szCs w:val="21"/>
    </w:rPr>
  </w:style>
  <w:style w:type="paragraph" w:customStyle="1" w:styleId="2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
    <w:name w:val="页脚 字符"/>
    <w:basedOn w:val="20"/>
    <w:link w:val="9"/>
    <w:qFormat/>
    <w:uiPriority w:val="99"/>
    <w:rPr>
      <w:rFonts w:ascii="Calibri" w:hAnsi="Calibri" w:eastAsia="宋体" w:cs="Times New Roman"/>
      <w:sz w:val="18"/>
      <w:szCs w:val="18"/>
    </w:rPr>
  </w:style>
  <w:style w:type="paragraph" w:customStyle="1" w:styleId="25">
    <w:name w:val="列出段落1"/>
    <w:basedOn w:val="1"/>
    <w:qFormat/>
    <w:uiPriority w:val="34"/>
    <w:pPr>
      <w:numPr>
        <w:ilvl w:val="0"/>
        <w:numId w:val="1"/>
      </w:numPr>
      <w:adjustRightInd w:val="0"/>
      <w:snapToGrid w:val="0"/>
      <w:spacing w:line="560" w:lineRule="exact"/>
    </w:pPr>
  </w:style>
  <w:style w:type="character" w:customStyle="1" w:styleId="26">
    <w:name w:val="页眉 字符"/>
    <w:basedOn w:val="20"/>
    <w:link w:val="10"/>
    <w:semiHidden/>
    <w:qFormat/>
    <w:uiPriority w:val="99"/>
    <w:rPr>
      <w:rFonts w:ascii="Calibri" w:hAnsi="Calibri" w:eastAsia="宋体" w:cs="Times New Roman"/>
      <w:sz w:val="18"/>
      <w:szCs w:val="18"/>
    </w:rPr>
  </w:style>
  <w:style w:type="character" w:customStyle="1" w:styleId="27">
    <w:name w:val="批注框文本 字符"/>
    <w:basedOn w:val="20"/>
    <w:link w:val="8"/>
    <w:semiHidden/>
    <w:qFormat/>
    <w:uiPriority w:val="99"/>
    <w:rPr>
      <w:rFonts w:ascii="Calibri" w:hAnsi="Calibri" w:eastAsia="宋体" w:cs="Times New Roman"/>
      <w:sz w:val="18"/>
      <w:szCs w:val="18"/>
    </w:rPr>
  </w:style>
  <w:style w:type="paragraph" w:customStyle="1" w:styleId="28">
    <w:name w:val="修订1"/>
    <w:hidden/>
    <w:semiHidden/>
    <w:qFormat/>
    <w:uiPriority w:val="99"/>
    <w:rPr>
      <w:rFonts w:ascii="Calibri" w:hAnsi="Calibri" w:eastAsia="宋体" w:cs="Times New Roman"/>
      <w:kern w:val="2"/>
      <w:sz w:val="21"/>
      <w:szCs w:val="22"/>
      <w:lang w:val="en-US" w:eastAsia="zh-CN" w:bidi="ar-SA"/>
    </w:rPr>
  </w:style>
  <w:style w:type="paragraph" w:styleId="29">
    <w:name w:val="List Paragraph"/>
    <w:basedOn w:val="1"/>
    <w:qFormat/>
    <w:uiPriority w:val="99"/>
    <w:pPr>
      <w:ind w:firstLine="420" w:firstLineChars="200"/>
    </w:pPr>
  </w:style>
  <w:style w:type="character" w:customStyle="1" w:styleId="30">
    <w:name w:val="批注文字 字符"/>
    <w:basedOn w:val="20"/>
    <w:link w:val="3"/>
    <w:qFormat/>
    <w:uiPriority w:val="0"/>
    <w:rPr>
      <w:rFonts w:ascii="Calibri" w:hAnsi="Calibri"/>
      <w:kern w:val="2"/>
      <w:sz w:val="21"/>
      <w:szCs w:val="22"/>
    </w:rPr>
  </w:style>
  <w:style w:type="character" w:customStyle="1" w:styleId="31">
    <w:name w:val="批注主题 字符"/>
    <w:basedOn w:val="30"/>
    <w:link w:val="17"/>
    <w:qFormat/>
    <w:uiPriority w:val="0"/>
    <w:rPr>
      <w:rFonts w:ascii="Calibri" w:hAnsi="Calibri" w:eastAsia="宋体" w:cs="Times New Roman"/>
      <w:kern w:val="2"/>
      <w:sz w:val="21"/>
      <w:szCs w:val="22"/>
    </w:rPr>
  </w:style>
  <w:style w:type="paragraph" w:customStyle="1" w:styleId="32">
    <w:name w:val="修订2"/>
    <w:hidden/>
    <w:semiHidden/>
    <w:qFormat/>
    <w:uiPriority w:val="99"/>
    <w:rPr>
      <w:rFonts w:ascii="Calibri" w:hAnsi="Calibri" w:eastAsia="宋体" w:cs="Times New Roman"/>
      <w:kern w:val="2"/>
      <w:sz w:val="21"/>
      <w:szCs w:val="22"/>
      <w:lang w:val="en-US" w:eastAsia="zh-CN" w:bidi="ar-SA"/>
    </w:rPr>
  </w:style>
  <w:style w:type="paragraph" w:customStyle="1" w:styleId="33">
    <w:name w:val="修订3"/>
    <w:hidden/>
    <w:unhideWhenUsed/>
    <w:qFormat/>
    <w:uiPriority w:val="99"/>
    <w:rPr>
      <w:rFonts w:ascii="Calibri" w:hAnsi="Calibri" w:eastAsia="宋体" w:cs="Times New Roman"/>
      <w:kern w:val="2"/>
      <w:sz w:val="21"/>
      <w:szCs w:val="22"/>
      <w:lang w:val="en-US" w:eastAsia="zh-CN" w:bidi="ar-SA"/>
    </w:rPr>
  </w:style>
  <w:style w:type="paragraph" w:customStyle="1" w:styleId="34">
    <w:name w:val="修订4"/>
    <w:hidden/>
    <w:unhideWhenUsed/>
    <w:qFormat/>
    <w:uiPriority w:val="99"/>
    <w:rPr>
      <w:rFonts w:ascii="Calibri" w:hAnsi="Calibri" w:eastAsia="宋体" w:cs="Times New Roman"/>
      <w:kern w:val="2"/>
      <w:sz w:val="21"/>
      <w:szCs w:val="22"/>
      <w:lang w:val="en-US" w:eastAsia="zh-CN" w:bidi="ar-SA"/>
    </w:rPr>
  </w:style>
  <w:style w:type="character" w:customStyle="1" w:styleId="35">
    <w:name w:val="font11"/>
    <w:basedOn w:val="20"/>
    <w:qFormat/>
    <w:uiPriority w:val="0"/>
    <w:rPr>
      <w:rFonts w:hint="eastAsia" w:ascii="宋体" w:hAnsi="宋体" w:eastAsia="宋体" w:cs="宋体"/>
      <w:b/>
      <w:bCs/>
      <w:color w:val="000000"/>
      <w:sz w:val="21"/>
      <w:szCs w:val="21"/>
      <w:u w:val="none"/>
    </w:rPr>
  </w:style>
  <w:style w:type="paragraph" w:customStyle="1" w:styleId="36">
    <w:name w:val="修订5"/>
    <w:hidden/>
    <w:unhideWhenUsed/>
    <w:qFormat/>
    <w:uiPriority w:val="99"/>
    <w:rPr>
      <w:rFonts w:ascii="Calibri" w:hAnsi="Calibri" w:eastAsia="宋体" w:cs="Times New Roman"/>
      <w:kern w:val="2"/>
      <w:sz w:val="21"/>
      <w:szCs w:val="22"/>
      <w:lang w:val="en-US" w:eastAsia="zh-CN" w:bidi="ar-SA"/>
    </w:rPr>
  </w:style>
  <w:style w:type="paragraph" w:customStyle="1" w:styleId="37">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3473</Words>
  <Characters>3853</Characters>
  <Lines>158</Lines>
  <Paragraphs>139</Paragraphs>
  <TotalTime>16</TotalTime>
  <ScaleCrop>false</ScaleCrop>
  <LinksUpToDate>false</LinksUpToDate>
  <CharactersWithSpaces>3894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2026-03-23T06:11:00Z</dcterms:created>
  <dc:creator>tek</dc:creator>
  <cp:lastModifiedBy>雯亦</cp:lastModifiedBy>
  <dcterms:modified xsi:type="dcterms:W3CDTF">2026-04-03T02:08:08Z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74DAA0FA86BF44359F62413BAFA5EDEF_13</vt:lpwstr>
  </property>
  <property fmtid="{D5CDD505-2E9C-101B-9397-08002B2CF9AE}" pid="4" name="KSOTemplateDocerSaveRecord">
    <vt:lpwstr>eyJoZGlkIjoiZTQzZmRmZDMxMjkwMDE2NTk0ZWQ1ZWYwMzRmYjVhNmUiLCJ1c2VySWQiOiI2NDQwNzQxNTQifQ==</vt:lpwstr>
  </property>
</Properties>
</file>