
<file path=[Content_Types].xml><?xml version="1.0" encoding="utf-8"?>
<Types xmlns="http://schemas.openxmlformats.org/package/2006/content-types">
  <Default Extension="jpeg" ContentType="image/jpeg"/>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D2B84" w14:textId="77777777" w:rsidR="0059473E" w:rsidRDefault="00000000">
      <w:pPr>
        <w:spacing w:beforeLines="50" w:before="156" w:afterLines="50" w:after="156"/>
        <w:rPr>
          <w:rFonts w:ascii="宋体"/>
          <w:bCs/>
          <w:szCs w:val="21"/>
        </w:rPr>
      </w:pPr>
      <w:r>
        <w:rPr>
          <w:rFonts w:ascii="宋体" w:hint="eastAsia"/>
          <w:bCs/>
          <w:szCs w:val="21"/>
        </w:rPr>
        <w:t>公司代码：</w:t>
      </w:r>
      <w:r>
        <w:rPr>
          <w:rFonts w:hint="eastAsia"/>
          <w:bCs/>
        </w:rPr>
        <w:t>603191</w:t>
      </w:r>
      <w:r>
        <w:rPr>
          <w:rFonts w:ascii="宋体"/>
          <w:bCs/>
          <w:szCs w:val="21"/>
        </w:rPr>
        <w:t xml:space="preserve"> </w:t>
      </w:r>
      <w:r>
        <w:rPr>
          <w:rFonts w:ascii="宋体" w:hint="eastAsia"/>
          <w:bCs/>
          <w:szCs w:val="21"/>
        </w:rPr>
        <w:t xml:space="preserve">                                                 公司简称：</w:t>
      </w:r>
      <w:proofErr w:type="gramStart"/>
      <w:r>
        <w:rPr>
          <w:rFonts w:hint="eastAsia"/>
          <w:bCs/>
        </w:rPr>
        <w:t>望变电气</w:t>
      </w:r>
      <w:proofErr w:type="gramEnd"/>
    </w:p>
    <w:p w14:paraId="6A1B2B83" w14:textId="77777777" w:rsidR="0059473E" w:rsidRDefault="0059473E">
      <w:pPr>
        <w:jc w:val="left"/>
        <w:rPr>
          <w:rFonts w:ascii="宋体" w:hAnsi="宋体" w:hint="eastAsia"/>
          <w:b/>
          <w:bCs/>
          <w:szCs w:val="21"/>
        </w:rPr>
      </w:pPr>
    </w:p>
    <w:p w14:paraId="2F612226" w14:textId="77777777" w:rsidR="0059473E" w:rsidRDefault="0059473E">
      <w:pPr>
        <w:rPr>
          <w:rFonts w:ascii="宋体"/>
        </w:rPr>
      </w:pPr>
    </w:p>
    <w:p w14:paraId="3C67D250" w14:textId="77777777" w:rsidR="0059473E" w:rsidRDefault="0059473E">
      <w:pPr>
        <w:rPr>
          <w:rFonts w:ascii="宋体"/>
        </w:rPr>
      </w:pPr>
    </w:p>
    <w:p w14:paraId="75FC1DFA" w14:textId="77777777" w:rsidR="0059473E" w:rsidRDefault="0059473E">
      <w:pPr>
        <w:rPr>
          <w:rFonts w:ascii="宋体"/>
        </w:rPr>
      </w:pPr>
    </w:p>
    <w:p w14:paraId="6416F4A2" w14:textId="77777777" w:rsidR="0059473E" w:rsidRDefault="0059473E">
      <w:pPr>
        <w:rPr>
          <w:rFonts w:ascii="宋体"/>
        </w:rPr>
      </w:pPr>
    </w:p>
    <w:p w14:paraId="5FB3CB95" w14:textId="77777777" w:rsidR="0059473E" w:rsidRDefault="0059473E">
      <w:pPr>
        <w:rPr>
          <w:rFonts w:ascii="宋体"/>
        </w:rPr>
      </w:pPr>
    </w:p>
    <w:p w14:paraId="0F960014" w14:textId="77777777" w:rsidR="0059473E" w:rsidRDefault="0059473E">
      <w:pPr>
        <w:rPr>
          <w:rFonts w:ascii="宋体"/>
        </w:rPr>
      </w:pPr>
    </w:p>
    <w:p w14:paraId="088DB6CB" w14:textId="77777777" w:rsidR="0059473E" w:rsidRDefault="0059473E">
      <w:pPr>
        <w:rPr>
          <w:rFonts w:ascii="宋体"/>
        </w:rPr>
      </w:pPr>
    </w:p>
    <w:p w14:paraId="3FAA2DB6" w14:textId="77777777" w:rsidR="0059473E" w:rsidRDefault="00000000">
      <w:pPr>
        <w:jc w:val="center"/>
        <w:rPr>
          <w:rFonts w:ascii="黑体" w:eastAsia="黑体" w:hAnsi="黑体" w:hint="eastAsia"/>
          <w:b/>
          <w:bCs/>
          <w:sz w:val="32"/>
          <w:szCs w:val="32"/>
        </w:rPr>
      </w:pPr>
      <w:proofErr w:type="gramStart"/>
      <w:r>
        <w:rPr>
          <w:rFonts w:ascii="黑体" w:eastAsia="黑体" w:hAnsi="黑体" w:hint="eastAsia"/>
          <w:b/>
          <w:bCs/>
          <w:sz w:val="32"/>
          <w:szCs w:val="32"/>
        </w:rPr>
        <w:t>重庆望变电气</w:t>
      </w:r>
      <w:proofErr w:type="gramEnd"/>
      <w:r>
        <w:rPr>
          <w:rFonts w:ascii="黑体" w:eastAsia="黑体" w:hAnsi="黑体" w:hint="eastAsia"/>
          <w:b/>
          <w:bCs/>
          <w:sz w:val="32"/>
          <w:szCs w:val="32"/>
        </w:rPr>
        <w:t>（集团）股份有限公司</w:t>
      </w:r>
    </w:p>
    <w:p w14:paraId="7EA88025" w14:textId="77777777" w:rsidR="0059473E" w:rsidRDefault="00000000">
      <w:pPr>
        <w:jc w:val="center"/>
        <w:rPr>
          <w:rFonts w:ascii="黑体" w:eastAsia="黑体" w:hAnsi="黑体" w:hint="eastAsia"/>
          <w:b/>
          <w:bCs/>
          <w:sz w:val="32"/>
          <w:szCs w:val="32"/>
        </w:rPr>
      </w:pPr>
      <w:r>
        <w:rPr>
          <w:rFonts w:ascii="黑体" w:eastAsia="黑体" w:hAnsi="黑体"/>
          <w:b/>
          <w:bCs/>
          <w:sz w:val="32"/>
          <w:szCs w:val="32"/>
        </w:rPr>
        <w:t>2025</w:t>
      </w:r>
      <w:r>
        <w:rPr>
          <w:rFonts w:ascii="黑体" w:eastAsia="黑体" w:hAnsi="黑体" w:hint="eastAsia"/>
          <w:b/>
          <w:bCs/>
          <w:sz w:val="32"/>
          <w:szCs w:val="32"/>
        </w:rPr>
        <w:t>年年度报告摘要</w:t>
      </w:r>
    </w:p>
    <w:p w14:paraId="21491443" w14:textId="77777777" w:rsidR="0059473E" w:rsidRDefault="0059473E">
      <w:pPr>
        <w:rPr>
          <w:rFonts w:ascii="宋体"/>
        </w:rPr>
      </w:pPr>
    </w:p>
    <w:p w14:paraId="0B9B1BE5" w14:textId="77777777" w:rsidR="0059473E" w:rsidRDefault="0059473E">
      <w:pPr>
        <w:rPr>
          <w:rFonts w:ascii="宋体"/>
        </w:rPr>
        <w:sectPr w:rsidR="0059473E" w:rsidSect="006228A1">
          <w:headerReference w:type="default" r:id="rId8"/>
          <w:pgSz w:w="11906" w:h="16838"/>
          <w:pgMar w:top="1528" w:right="1274" w:bottom="1440" w:left="1800" w:header="855" w:footer="992" w:gutter="0"/>
          <w:cols w:space="425"/>
          <w:docGrid w:type="lines" w:linePitch="312"/>
        </w:sectPr>
      </w:pPr>
    </w:p>
    <w:p w14:paraId="5889D397" w14:textId="77777777" w:rsidR="0059473E" w:rsidRDefault="0059473E">
      <w:pPr>
        <w:rPr>
          <w:rFonts w:ascii="宋体"/>
        </w:rPr>
      </w:pPr>
    </w:p>
    <w:p w14:paraId="3A8738EC" w14:textId="77777777" w:rsidR="0059473E" w:rsidRDefault="00000000">
      <w:pPr>
        <w:pStyle w:val="10"/>
        <w:spacing w:before="100" w:beforeAutospacing="1" w:after="100" w:afterAutospacing="1" w:line="480" w:lineRule="auto"/>
        <w:rPr>
          <w:rFonts w:ascii="黑体" w:hAnsi="黑体" w:hint="eastAsia"/>
          <w:sz w:val="24"/>
          <w:szCs w:val="24"/>
        </w:rPr>
      </w:pPr>
      <w:r>
        <w:rPr>
          <w:rFonts w:ascii="黑体" w:hAnsi="黑体" w:hint="eastAsia"/>
          <w:sz w:val="24"/>
          <w:szCs w:val="24"/>
        </w:rPr>
        <w:t>第一节 重要提示</w:t>
      </w:r>
    </w:p>
    <w:p w14:paraId="709F933E" w14:textId="77777777" w:rsidR="0059473E" w:rsidRDefault="00000000">
      <w:pPr>
        <w:pStyle w:val="20"/>
        <w:numPr>
          <w:ilvl w:val="0"/>
          <w:numId w:val="7"/>
        </w:numPr>
        <w:spacing w:before="0" w:after="0" w:line="360" w:lineRule="auto"/>
        <w:rPr>
          <w:rFonts w:ascii="宋体"/>
        </w:rPr>
      </w:pPr>
      <w:r>
        <w:rPr>
          <w:rFonts w:ascii="宋体" w:hint="eastAsia"/>
        </w:rPr>
        <w:t>本年度报告摘要来自年度报告全文，为全面了解本公司的经营成果、财务状况及未来发展规划，投资者应当到www.sse.com.cn网站仔细阅读年度报告全文。</w:t>
      </w:r>
    </w:p>
    <w:p w14:paraId="34E0A5BD" w14:textId="77777777" w:rsidR="0059473E" w:rsidRDefault="0059473E">
      <w:pPr>
        <w:rPr>
          <w:rFonts w:ascii="宋体"/>
        </w:rPr>
      </w:pPr>
    </w:p>
    <w:p w14:paraId="29431303" w14:textId="77777777" w:rsidR="00000000" w:rsidRDefault="00000000">
      <w:pPr>
        <w:pStyle w:val="20"/>
        <w:numPr>
          <w:ilvl w:val="0"/>
          <w:numId w:val="7"/>
        </w:numPr>
        <w:spacing w:before="0" w:after="0" w:line="360" w:lineRule="auto"/>
        <w:rPr>
          <w:rFonts w:ascii="Times New Roman" w:hAnsi="宋体" w:cs="宋体" w:hint="eastAsia"/>
          <w:bCs w:val="0"/>
        </w:rPr>
      </w:pPr>
      <w:r>
        <w:rPr>
          <w:rFonts w:ascii="Times New Roman" w:hAnsi="宋体" w:cs="宋体"/>
          <w:bCs w:val="0"/>
        </w:rPr>
        <w:t>本公司董事会及董事、高级管理人员保证年度报告内容的真实</w:t>
      </w:r>
      <w:r>
        <w:rPr>
          <w:rFonts w:ascii="Times New Roman" w:hAnsi="宋体" w:cs="宋体" w:hint="eastAsia"/>
          <w:bCs w:val="0"/>
        </w:rPr>
        <w:t>性</w:t>
      </w:r>
      <w:r>
        <w:rPr>
          <w:rFonts w:ascii="Times New Roman" w:hAnsi="宋体" w:cs="宋体"/>
          <w:bCs w:val="0"/>
        </w:rPr>
        <w:t>、准确</w:t>
      </w:r>
      <w:r>
        <w:rPr>
          <w:rFonts w:ascii="Times New Roman" w:hAnsi="宋体" w:cs="宋体" w:hint="eastAsia"/>
          <w:bCs w:val="0"/>
        </w:rPr>
        <w:t>性</w:t>
      </w:r>
      <w:r>
        <w:rPr>
          <w:rFonts w:ascii="Times New Roman" w:hAnsi="宋体" w:cs="宋体"/>
          <w:bCs w:val="0"/>
        </w:rPr>
        <w:t>、完整</w:t>
      </w:r>
      <w:r>
        <w:rPr>
          <w:rFonts w:ascii="Times New Roman" w:hAnsi="宋体" w:cs="宋体" w:hint="eastAsia"/>
          <w:bCs w:val="0"/>
        </w:rPr>
        <w:t>性</w:t>
      </w:r>
      <w:r>
        <w:rPr>
          <w:rFonts w:ascii="Times New Roman" w:hAnsi="宋体" w:cs="宋体"/>
          <w:bCs w:val="0"/>
        </w:rPr>
        <w:t>，不存在虚假记载、误导性陈述或重大遗漏，并承担个别和连带的法律责任。</w:t>
      </w:r>
    </w:p>
    <w:p w14:paraId="0D3D1B48" w14:textId="77777777" w:rsidR="00000000" w:rsidRDefault="00000000"/>
    <w:p w14:paraId="7C4C4DAD" w14:textId="77777777" w:rsidR="00000000" w:rsidRDefault="00000000">
      <w:pPr>
        <w:pStyle w:val="20"/>
        <w:numPr>
          <w:ilvl w:val="0"/>
          <w:numId w:val="7"/>
        </w:numPr>
        <w:spacing w:before="0" w:after="0" w:line="360" w:lineRule="auto"/>
      </w:pPr>
      <w:r>
        <w:rPr>
          <w:rFonts w:hint="eastAsia"/>
        </w:rPr>
        <w:t>公司全体董事出席董事会会议。</w:t>
      </w:r>
    </w:p>
    <w:p w14:paraId="164CF2B7" w14:textId="77777777" w:rsidR="0059473E" w:rsidRDefault="0059473E">
      <w:pPr>
        <w:rPr>
          <w:rFonts w:ascii="宋体"/>
        </w:rPr>
      </w:pPr>
    </w:p>
    <w:p w14:paraId="21081C8A" w14:textId="77777777" w:rsidR="00000000" w:rsidRDefault="00000000">
      <w:pPr>
        <w:pStyle w:val="20"/>
        <w:numPr>
          <w:ilvl w:val="0"/>
          <w:numId w:val="7"/>
        </w:numPr>
        <w:spacing w:before="0" w:after="0" w:line="360" w:lineRule="auto"/>
        <w:jc w:val="left"/>
      </w:pPr>
      <w:r>
        <w:rPr>
          <w:rFonts w:ascii="宋体" w:hAnsi="宋体" w:cs="宋体"/>
        </w:rPr>
        <w:t>天健会计师事务所（特殊普通合伙）</w:t>
      </w:r>
      <w:r>
        <w:rPr>
          <w:rFonts w:ascii="宋体" w:hAnsi="宋体" w:hint="eastAsia"/>
        </w:rPr>
        <w:t>为本公司出具了标准无保留意见的审计报告。</w:t>
      </w:r>
    </w:p>
    <w:p w14:paraId="4F3BAD9A" w14:textId="77777777" w:rsidR="0059473E" w:rsidRDefault="0059473E">
      <w:pPr>
        <w:rPr>
          <w:rFonts w:ascii="宋体" w:hAnsi="宋体" w:hint="eastAsia"/>
        </w:rPr>
      </w:pPr>
    </w:p>
    <w:p w14:paraId="3F7FD41F" w14:textId="77777777" w:rsidR="0059473E" w:rsidRDefault="00000000">
      <w:pPr>
        <w:pStyle w:val="20"/>
        <w:numPr>
          <w:ilvl w:val="0"/>
          <w:numId w:val="7"/>
        </w:numPr>
        <w:spacing w:before="0" w:after="0" w:line="360" w:lineRule="auto"/>
        <w:rPr>
          <w:rFonts w:ascii="宋体" w:hAnsi="Calibri"/>
          <w:szCs w:val="22"/>
        </w:rPr>
      </w:pPr>
      <w:r>
        <w:rPr>
          <w:rFonts w:ascii="宋体" w:hAnsi="Calibri" w:hint="eastAsia"/>
          <w:szCs w:val="22"/>
        </w:rPr>
        <w:t>董事会决议通过的本报告期利润分配预案或公积金转增股本预案</w:t>
      </w:r>
    </w:p>
    <w:p w14:paraId="25F987AC" w14:textId="77777777" w:rsidR="00000000" w:rsidRDefault="00000000">
      <w:pPr>
        <w:kinsoku w:val="0"/>
        <w:overflowPunct w:val="0"/>
        <w:autoSpaceDE w:val="0"/>
        <w:autoSpaceDN w:val="0"/>
        <w:adjustRightInd w:val="0"/>
        <w:snapToGrid w:val="0"/>
        <w:spacing w:line="360" w:lineRule="exact"/>
        <w:ind w:firstLineChars="200" w:firstLine="420"/>
      </w:pPr>
      <w:r>
        <w:rPr>
          <w:rFonts w:hint="eastAsia"/>
        </w:rPr>
        <w:t>经天健会计师事务所（特殊普通合伙）审计，公司</w:t>
      </w:r>
      <w:r>
        <w:rPr>
          <w:rFonts w:hint="eastAsia"/>
        </w:rPr>
        <w:t>2025</w:t>
      </w:r>
      <w:r>
        <w:rPr>
          <w:rFonts w:hint="eastAsia"/>
        </w:rPr>
        <w:t>年度归属于母公司所有者的净利润为</w:t>
      </w:r>
      <w:r>
        <w:rPr>
          <w:rFonts w:hint="eastAsia"/>
        </w:rPr>
        <w:t>6,924.32</w:t>
      </w:r>
      <w:r>
        <w:rPr>
          <w:rFonts w:hint="eastAsia"/>
        </w:rPr>
        <w:t>万元，截止</w:t>
      </w:r>
      <w:r>
        <w:rPr>
          <w:rFonts w:hint="eastAsia"/>
        </w:rPr>
        <w:t>2025</w:t>
      </w:r>
      <w:r>
        <w:rPr>
          <w:rFonts w:hint="eastAsia"/>
        </w:rPr>
        <w:t>年</w:t>
      </w:r>
      <w:r>
        <w:rPr>
          <w:rFonts w:hint="eastAsia"/>
        </w:rPr>
        <w:t>12</w:t>
      </w:r>
      <w:r>
        <w:rPr>
          <w:rFonts w:hint="eastAsia"/>
        </w:rPr>
        <w:t>月</w:t>
      </w:r>
      <w:r>
        <w:rPr>
          <w:rFonts w:hint="eastAsia"/>
        </w:rPr>
        <w:t>31</w:t>
      </w:r>
      <w:r>
        <w:rPr>
          <w:rFonts w:hint="eastAsia"/>
        </w:rPr>
        <w:t>日，母公司经审计可供分配利润为</w:t>
      </w:r>
      <w:r>
        <w:rPr>
          <w:rFonts w:hint="eastAsia"/>
        </w:rPr>
        <w:t>101,047.62</w:t>
      </w:r>
      <w:r>
        <w:rPr>
          <w:rFonts w:hint="eastAsia"/>
        </w:rPr>
        <w:t>万元。</w:t>
      </w:r>
    </w:p>
    <w:p w14:paraId="70D6A63A" w14:textId="77777777" w:rsidR="00000000" w:rsidRDefault="00000000">
      <w:pPr>
        <w:kinsoku w:val="0"/>
        <w:overflowPunct w:val="0"/>
        <w:autoSpaceDE w:val="0"/>
        <w:autoSpaceDN w:val="0"/>
        <w:adjustRightInd w:val="0"/>
        <w:snapToGrid w:val="0"/>
        <w:spacing w:line="360" w:lineRule="exact"/>
        <w:ind w:firstLineChars="200" w:firstLine="420"/>
      </w:pPr>
      <w:r>
        <w:rPr>
          <w:rFonts w:hint="eastAsia"/>
        </w:rPr>
        <w:t>公司拟以实施权益分派股权登记日登记的总股本为基数，向全体股东每</w:t>
      </w:r>
      <w:r>
        <w:rPr>
          <w:rFonts w:hint="eastAsia"/>
        </w:rPr>
        <w:t>10</w:t>
      </w:r>
      <w:r>
        <w:rPr>
          <w:rFonts w:hint="eastAsia"/>
        </w:rPr>
        <w:t>股派发现金红利</w:t>
      </w:r>
      <w:r>
        <w:rPr>
          <w:rFonts w:hint="eastAsia"/>
        </w:rPr>
        <w:t>0.5</w:t>
      </w:r>
      <w:r>
        <w:rPr>
          <w:rFonts w:hint="eastAsia"/>
        </w:rPr>
        <w:t>元（含税），不进行资本公积金转增股本和送红股。截至目前，公司总股本</w:t>
      </w:r>
      <w:r>
        <w:rPr>
          <w:rFonts w:hint="eastAsia"/>
        </w:rPr>
        <w:t>329,964,639</w:t>
      </w:r>
      <w:r>
        <w:rPr>
          <w:rFonts w:hint="eastAsia"/>
        </w:rPr>
        <w:t>股，以此计算拟派发现金红利</w:t>
      </w:r>
      <w:r>
        <w:rPr>
          <w:rFonts w:hint="eastAsia"/>
        </w:rPr>
        <w:t>1,649.82</w:t>
      </w:r>
      <w:r>
        <w:rPr>
          <w:rFonts w:hint="eastAsia"/>
        </w:rPr>
        <w:t>万元（含税），占公司</w:t>
      </w:r>
      <w:r>
        <w:rPr>
          <w:rFonts w:hint="eastAsia"/>
        </w:rPr>
        <w:t>2025</w:t>
      </w:r>
      <w:r>
        <w:rPr>
          <w:rFonts w:hint="eastAsia"/>
        </w:rPr>
        <w:t>年度归属于母公司所有者的净利润比例为</w:t>
      </w:r>
      <w:r>
        <w:rPr>
          <w:rFonts w:hint="eastAsia"/>
        </w:rPr>
        <w:t>23.83%</w:t>
      </w:r>
      <w:r>
        <w:rPr>
          <w:rFonts w:hint="eastAsia"/>
        </w:rPr>
        <w:t>。</w:t>
      </w:r>
    </w:p>
    <w:p w14:paraId="75B3E99E" w14:textId="77777777" w:rsidR="00000000" w:rsidRDefault="00000000">
      <w:pPr>
        <w:kinsoku w:val="0"/>
        <w:overflowPunct w:val="0"/>
        <w:autoSpaceDE w:val="0"/>
        <w:autoSpaceDN w:val="0"/>
        <w:adjustRightInd w:val="0"/>
        <w:snapToGrid w:val="0"/>
        <w:spacing w:line="360" w:lineRule="exact"/>
        <w:ind w:firstLineChars="200" w:firstLine="420"/>
      </w:pPr>
      <w:r>
        <w:rPr>
          <w:rFonts w:hint="eastAsia"/>
        </w:rPr>
        <w:t>如在</w:t>
      </w:r>
      <w:proofErr w:type="gramStart"/>
      <w:r>
        <w:rPr>
          <w:rFonts w:hint="eastAsia"/>
        </w:rPr>
        <w:t>本利润</w:t>
      </w:r>
      <w:proofErr w:type="gramEnd"/>
      <w:r>
        <w:rPr>
          <w:rFonts w:hint="eastAsia"/>
        </w:rPr>
        <w:t>分配预案披露之日起</w:t>
      </w:r>
      <w:proofErr w:type="gramStart"/>
      <w:r>
        <w:rPr>
          <w:rFonts w:hint="eastAsia"/>
        </w:rPr>
        <w:t>至实施</w:t>
      </w:r>
      <w:proofErr w:type="gramEnd"/>
      <w:r>
        <w:rPr>
          <w:rFonts w:hint="eastAsia"/>
        </w:rPr>
        <w:t>权益分派股权登记日期间，公司总股本发生变动的，公司</w:t>
      </w:r>
      <w:proofErr w:type="gramStart"/>
      <w:r>
        <w:rPr>
          <w:rFonts w:hint="eastAsia"/>
        </w:rPr>
        <w:t>拟维持每股分</w:t>
      </w:r>
      <w:proofErr w:type="gramEnd"/>
      <w:r>
        <w:rPr>
          <w:rFonts w:hint="eastAsia"/>
        </w:rPr>
        <w:t>配比例不变，以实施分配方案时股权登记日的总股本为基数，相应调整分配总额。如后续公司总股本发生变化，将在相关公告中披露。</w:t>
      </w:r>
    </w:p>
    <w:p w14:paraId="121637A1" w14:textId="77777777" w:rsidR="00000000" w:rsidRDefault="00000000">
      <w:pPr>
        <w:kinsoku w:val="0"/>
        <w:overflowPunct w:val="0"/>
        <w:autoSpaceDE w:val="0"/>
        <w:autoSpaceDN w:val="0"/>
        <w:adjustRightInd w:val="0"/>
        <w:snapToGrid w:val="0"/>
        <w:spacing w:line="360" w:lineRule="exact"/>
        <w:ind w:firstLineChars="200" w:firstLine="420"/>
      </w:pPr>
      <w:r>
        <w:rPr>
          <w:rFonts w:hint="eastAsia"/>
        </w:rPr>
        <w:t>本预案经公司第四届董事会第十八次会议审议通过，尚需提交公司股东会审议。</w:t>
      </w:r>
    </w:p>
    <w:p w14:paraId="7960DE3F" w14:textId="77777777" w:rsidR="00000000" w:rsidRDefault="00000000">
      <w:pPr>
        <w:kinsoku w:val="0"/>
        <w:overflowPunct w:val="0"/>
        <w:autoSpaceDE w:val="0"/>
        <w:autoSpaceDN w:val="0"/>
        <w:adjustRightInd w:val="0"/>
        <w:snapToGrid w:val="0"/>
        <w:spacing w:line="360" w:lineRule="exact"/>
        <w:rPr>
          <w:b/>
          <w:bCs/>
        </w:rPr>
      </w:pPr>
      <w:r>
        <w:rPr>
          <w:rFonts w:hint="eastAsia"/>
          <w:b/>
          <w:bCs/>
        </w:rPr>
        <w:t>截至报告期末，母公司存在未弥补亏损的相关情况及其对公司分红等事项的影响</w:t>
      </w:r>
    </w:p>
    <w:p w14:paraId="143B1106" w14:textId="77777777" w:rsidR="00000000" w:rsidRDefault="00000000">
      <w:pPr>
        <w:rPr>
          <w:rFonts w:ascii="宋体" w:hAnsi="宋体"/>
        </w:rPr>
      </w:pPr>
      <w:r>
        <w:rPr>
          <w:rFonts w:ascii="宋体" w:hAnsi="宋体" w:hint="eastAsia"/>
        </w:rPr>
        <w:fldChar w:fldCharType="begin"/>
      </w:r>
      <w:r>
        <w:rPr>
          <w:rFonts w:ascii="宋体" w:hAnsi="宋体" w:hint="eastAsia"/>
        </w:rPr>
        <w:instrText xml:space="preserve"> MACROBUTTON  SnrToggleCheckbox </w:instrText>
      </w:r>
      <w:r>
        <w:rPr>
          <w:rFonts w:ascii="宋体" w:hAnsi="宋体" w:hint="eastAsia"/>
        </w:rPr>
        <w:instrText>□适用</w:instrText>
      </w:r>
      <w:r>
        <w:rPr>
          <w:rFonts w:ascii="宋体" w:hAnsi="宋体" w:hint="eastAsia"/>
        </w:rPr>
        <w:instrText xml:space="preserve">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w:instrText>
      </w:r>
      <w:r>
        <w:rPr>
          <w:rFonts w:ascii="宋体" w:hAnsi="宋体" w:hint="eastAsia"/>
        </w:rPr>
        <w:instrText>√不适用</w:instrText>
      </w:r>
      <w:r>
        <w:rPr>
          <w:rFonts w:ascii="宋体" w:hAnsi="宋体" w:hint="eastAsia"/>
        </w:rPr>
        <w:instrText xml:space="preserve"> </w:instrText>
      </w:r>
      <w:r>
        <w:rPr>
          <w:rFonts w:ascii="宋体" w:hAnsi="宋体" w:hint="eastAsia"/>
        </w:rPr>
        <w:fldChar w:fldCharType="end"/>
      </w:r>
    </w:p>
    <w:p w14:paraId="5E629EC3" w14:textId="77777777" w:rsidR="00073DE4" w:rsidRDefault="00073DE4">
      <w:pPr>
        <w:rPr>
          <w:rFonts w:ascii="宋体" w:hAnsi="宋体"/>
        </w:rPr>
      </w:pPr>
    </w:p>
    <w:p w14:paraId="04159E0D" w14:textId="77777777" w:rsidR="00073DE4" w:rsidRDefault="00073DE4">
      <w:pPr>
        <w:rPr>
          <w:rFonts w:ascii="宋体" w:hAnsi="宋体"/>
        </w:rPr>
      </w:pPr>
    </w:p>
    <w:p w14:paraId="2867B52D" w14:textId="77777777" w:rsidR="00073DE4" w:rsidRDefault="00073DE4">
      <w:pPr>
        <w:rPr>
          <w:rFonts w:ascii="宋体" w:hAnsi="宋体"/>
        </w:rPr>
      </w:pPr>
    </w:p>
    <w:p w14:paraId="2BB41BEF" w14:textId="77777777" w:rsidR="00073DE4" w:rsidRDefault="00073DE4">
      <w:pPr>
        <w:rPr>
          <w:rFonts w:ascii="宋体" w:hAnsi="宋体"/>
        </w:rPr>
      </w:pPr>
    </w:p>
    <w:p w14:paraId="20EFB160" w14:textId="77777777" w:rsidR="00073DE4" w:rsidRDefault="00073DE4">
      <w:pPr>
        <w:rPr>
          <w:rFonts w:ascii="宋体" w:hAnsi="宋体"/>
        </w:rPr>
      </w:pPr>
    </w:p>
    <w:p w14:paraId="5A6D615B" w14:textId="77777777" w:rsidR="00073DE4" w:rsidRDefault="00073DE4">
      <w:pPr>
        <w:rPr>
          <w:rFonts w:ascii="宋体" w:hAnsi="宋体"/>
        </w:rPr>
      </w:pPr>
    </w:p>
    <w:p w14:paraId="057D32A6" w14:textId="77777777" w:rsidR="00073DE4" w:rsidRDefault="00073DE4">
      <w:pPr>
        <w:rPr>
          <w:rFonts w:asciiTheme="minorEastAsia" w:eastAsiaTheme="minorEastAsia" w:hAnsiTheme="minorEastAsia" w:hint="eastAsia"/>
        </w:rPr>
      </w:pPr>
    </w:p>
    <w:p w14:paraId="3908C9A7" w14:textId="77777777" w:rsidR="0059473E" w:rsidRDefault="00000000">
      <w:pPr>
        <w:pStyle w:val="10"/>
        <w:spacing w:before="100" w:beforeAutospacing="1" w:after="100" w:afterAutospacing="1" w:line="480" w:lineRule="auto"/>
        <w:rPr>
          <w:rFonts w:ascii="黑体" w:hAnsi="黑体" w:hint="eastAsia"/>
          <w:sz w:val="24"/>
          <w:szCs w:val="24"/>
        </w:rPr>
      </w:pPr>
      <w:r>
        <w:rPr>
          <w:rFonts w:ascii="黑体" w:hAnsi="黑体" w:hint="eastAsia"/>
          <w:sz w:val="24"/>
          <w:szCs w:val="24"/>
        </w:rPr>
        <w:lastRenderedPageBreak/>
        <w:t>第二节 公司基本情况</w:t>
      </w:r>
    </w:p>
    <w:p w14:paraId="212CE788" w14:textId="77777777" w:rsidR="0059473E" w:rsidRDefault="00000000">
      <w:pPr>
        <w:pStyle w:val="20"/>
        <w:numPr>
          <w:ilvl w:val="0"/>
          <w:numId w:val="22"/>
        </w:numPr>
        <w:spacing w:before="0" w:after="0" w:line="360" w:lineRule="auto"/>
        <w:ind w:left="0" w:firstLine="0"/>
        <w:rPr>
          <w:rFonts w:ascii="宋体"/>
        </w:rPr>
      </w:pPr>
      <w:r>
        <w:rPr>
          <w:rFonts w:ascii="宋体" w:hint="eastAsia"/>
        </w:rPr>
        <w:t>公司简介</w:t>
      </w:r>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65"/>
        <w:gridCol w:w="1765"/>
        <w:gridCol w:w="1764"/>
        <w:gridCol w:w="1764"/>
        <w:gridCol w:w="1764"/>
      </w:tblGrid>
      <w:tr w:rsidR="0059473E" w14:paraId="6EF0E4FD" w14:textId="77777777" w:rsidTr="003E0836">
        <w:trPr>
          <w:trHeight w:val="293"/>
        </w:trPr>
        <w:tc>
          <w:tcPr>
            <w:tcW w:w="5000" w:type="pct"/>
            <w:gridSpan w:val="5"/>
            <w:tcBorders>
              <w:top w:val="single" w:sz="4" w:space="0" w:color="auto"/>
              <w:bottom w:val="single" w:sz="4" w:space="0" w:color="auto"/>
            </w:tcBorders>
          </w:tcPr>
          <w:p w14:paraId="52BB1A68" w14:textId="77777777" w:rsidR="0059473E" w:rsidRDefault="00000000">
            <w:pPr>
              <w:kinsoku w:val="0"/>
              <w:overflowPunct w:val="0"/>
              <w:autoSpaceDE w:val="0"/>
              <w:autoSpaceDN w:val="0"/>
              <w:adjustRightInd w:val="0"/>
              <w:snapToGrid w:val="0"/>
              <w:jc w:val="center"/>
              <w:rPr>
                <w:rFonts w:ascii="宋体"/>
                <w:szCs w:val="21"/>
              </w:rPr>
            </w:pPr>
            <w:r>
              <w:rPr>
                <w:rFonts w:ascii="宋体" w:hint="eastAsia"/>
                <w:szCs w:val="21"/>
              </w:rPr>
              <w:t>公司股票简况</w:t>
            </w:r>
          </w:p>
        </w:tc>
      </w:tr>
      <w:tr w:rsidR="0059473E" w14:paraId="4D8BDF18" w14:textId="77777777" w:rsidTr="003E0836">
        <w:trPr>
          <w:trHeight w:val="293"/>
        </w:trPr>
        <w:tc>
          <w:tcPr>
            <w:tcW w:w="1000" w:type="pct"/>
            <w:tcBorders>
              <w:top w:val="single" w:sz="4" w:space="0" w:color="auto"/>
              <w:bottom w:val="single" w:sz="4" w:space="0" w:color="auto"/>
              <w:right w:val="single" w:sz="4" w:space="0" w:color="auto"/>
            </w:tcBorders>
          </w:tcPr>
          <w:p w14:paraId="2A8DBC9E" w14:textId="77777777" w:rsidR="0059473E" w:rsidRDefault="00000000">
            <w:pPr>
              <w:kinsoku w:val="0"/>
              <w:overflowPunct w:val="0"/>
              <w:autoSpaceDE w:val="0"/>
              <w:autoSpaceDN w:val="0"/>
              <w:adjustRightInd w:val="0"/>
              <w:snapToGrid w:val="0"/>
              <w:jc w:val="center"/>
              <w:rPr>
                <w:rFonts w:ascii="宋体"/>
                <w:szCs w:val="21"/>
              </w:rPr>
            </w:pPr>
            <w:r>
              <w:rPr>
                <w:rFonts w:ascii="宋体"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tcPr>
          <w:p w14:paraId="1A89B2DF" w14:textId="77777777" w:rsidR="0059473E" w:rsidRDefault="00000000">
            <w:pPr>
              <w:kinsoku w:val="0"/>
              <w:overflowPunct w:val="0"/>
              <w:autoSpaceDE w:val="0"/>
              <w:autoSpaceDN w:val="0"/>
              <w:adjustRightInd w:val="0"/>
              <w:snapToGrid w:val="0"/>
              <w:jc w:val="center"/>
              <w:rPr>
                <w:rFonts w:ascii="宋体"/>
                <w:szCs w:val="21"/>
              </w:rPr>
            </w:pPr>
            <w:r>
              <w:rPr>
                <w:rFonts w:ascii="宋体"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tcPr>
          <w:p w14:paraId="2F9FD4B4" w14:textId="77777777" w:rsidR="0059473E" w:rsidRDefault="00000000">
            <w:pPr>
              <w:kinsoku w:val="0"/>
              <w:overflowPunct w:val="0"/>
              <w:autoSpaceDE w:val="0"/>
              <w:autoSpaceDN w:val="0"/>
              <w:adjustRightInd w:val="0"/>
              <w:snapToGrid w:val="0"/>
              <w:jc w:val="center"/>
              <w:rPr>
                <w:rFonts w:ascii="宋体"/>
                <w:szCs w:val="21"/>
              </w:rPr>
            </w:pPr>
            <w:r>
              <w:rPr>
                <w:rFonts w:ascii="宋体"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tcPr>
          <w:p w14:paraId="21AFC001" w14:textId="77777777" w:rsidR="0059473E" w:rsidRDefault="00000000">
            <w:pPr>
              <w:kinsoku w:val="0"/>
              <w:overflowPunct w:val="0"/>
              <w:autoSpaceDE w:val="0"/>
              <w:autoSpaceDN w:val="0"/>
              <w:adjustRightInd w:val="0"/>
              <w:snapToGrid w:val="0"/>
              <w:jc w:val="center"/>
              <w:rPr>
                <w:rFonts w:ascii="宋体"/>
                <w:szCs w:val="21"/>
              </w:rPr>
            </w:pPr>
            <w:r>
              <w:rPr>
                <w:rFonts w:ascii="宋体" w:hint="eastAsia"/>
                <w:szCs w:val="21"/>
              </w:rPr>
              <w:t>股票代码</w:t>
            </w:r>
          </w:p>
        </w:tc>
        <w:tc>
          <w:tcPr>
            <w:tcW w:w="1000" w:type="pct"/>
            <w:tcBorders>
              <w:top w:val="single" w:sz="4" w:space="0" w:color="auto"/>
              <w:left w:val="single" w:sz="4" w:space="0" w:color="auto"/>
              <w:bottom w:val="single" w:sz="4" w:space="0" w:color="auto"/>
            </w:tcBorders>
          </w:tcPr>
          <w:p w14:paraId="6E65AC32" w14:textId="77777777" w:rsidR="0059473E" w:rsidRDefault="00000000">
            <w:pPr>
              <w:kinsoku w:val="0"/>
              <w:overflowPunct w:val="0"/>
              <w:autoSpaceDE w:val="0"/>
              <w:autoSpaceDN w:val="0"/>
              <w:adjustRightInd w:val="0"/>
              <w:snapToGrid w:val="0"/>
              <w:jc w:val="center"/>
              <w:rPr>
                <w:rFonts w:ascii="宋体"/>
                <w:szCs w:val="21"/>
              </w:rPr>
            </w:pPr>
            <w:r>
              <w:rPr>
                <w:rFonts w:ascii="宋体" w:hint="eastAsia"/>
                <w:szCs w:val="21"/>
              </w:rPr>
              <w:t>变更</w:t>
            </w:r>
            <w:proofErr w:type="gramStart"/>
            <w:r>
              <w:rPr>
                <w:rFonts w:ascii="宋体" w:hint="eastAsia"/>
                <w:szCs w:val="21"/>
              </w:rPr>
              <w:t>前股票</w:t>
            </w:r>
            <w:proofErr w:type="gramEnd"/>
            <w:r>
              <w:rPr>
                <w:rFonts w:ascii="宋体" w:hint="eastAsia"/>
                <w:szCs w:val="21"/>
              </w:rPr>
              <w:t>简称</w:t>
            </w:r>
          </w:p>
        </w:tc>
      </w:tr>
      <w:tr w:rsidR="0059473E" w14:paraId="3BA5E61C" w14:textId="77777777" w:rsidTr="003E0836">
        <w:trPr>
          <w:trHeight w:val="293"/>
        </w:trPr>
        <w:tc>
          <w:tcPr>
            <w:tcW w:w="1000" w:type="pct"/>
            <w:tcBorders>
              <w:top w:val="single" w:sz="4" w:space="0" w:color="auto"/>
              <w:bottom w:val="single" w:sz="4" w:space="0" w:color="auto"/>
              <w:right w:val="single" w:sz="4" w:space="0" w:color="auto"/>
            </w:tcBorders>
          </w:tcPr>
          <w:p w14:paraId="09FA68F9" w14:textId="77777777" w:rsidR="0059473E" w:rsidRDefault="00000000" w:rsidP="00073DE4">
            <w:pPr>
              <w:kinsoku w:val="0"/>
              <w:overflowPunct w:val="0"/>
              <w:autoSpaceDE w:val="0"/>
              <w:autoSpaceDN w:val="0"/>
              <w:adjustRightInd w:val="0"/>
              <w:snapToGrid w:val="0"/>
              <w:jc w:val="center"/>
              <w:rPr>
                <w:rFonts w:ascii="宋体"/>
                <w:color w:val="FFC000"/>
                <w:szCs w:val="21"/>
              </w:rPr>
            </w:pPr>
            <w:r>
              <w:rPr>
                <w:rFonts w:ascii="宋体" w:hint="eastAsia"/>
                <w:szCs w:val="21"/>
              </w:rPr>
              <w:t>人民币普通股</w:t>
            </w:r>
          </w:p>
        </w:tc>
        <w:tc>
          <w:tcPr>
            <w:tcW w:w="1000" w:type="pct"/>
            <w:tcBorders>
              <w:top w:val="single" w:sz="4" w:space="0" w:color="auto"/>
              <w:left w:val="single" w:sz="4" w:space="0" w:color="auto"/>
              <w:bottom w:val="single" w:sz="4" w:space="0" w:color="auto"/>
              <w:right w:val="single" w:sz="4" w:space="0" w:color="auto"/>
            </w:tcBorders>
          </w:tcPr>
          <w:p w14:paraId="6699D659" w14:textId="77777777" w:rsidR="0059473E" w:rsidRDefault="00000000" w:rsidP="00073DE4">
            <w:pPr>
              <w:kinsoku w:val="0"/>
              <w:overflowPunct w:val="0"/>
              <w:autoSpaceDE w:val="0"/>
              <w:autoSpaceDN w:val="0"/>
              <w:adjustRightInd w:val="0"/>
              <w:snapToGrid w:val="0"/>
              <w:jc w:val="center"/>
              <w:rPr>
                <w:rFonts w:ascii="宋体"/>
                <w:color w:val="FFC000"/>
                <w:szCs w:val="21"/>
              </w:rPr>
            </w:pPr>
            <w:r>
              <w:rPr>
                <w:rFonts w:ascii="宋体" w:hint="eastAsia"/>
                <w:szCs w:val="21"/>
              </w:rPr>
              <w:t>上海证券交易所</w:t>
            </w:r>
          </w:p>
        </w:tc>
        <w:tc>
          <w:tcPr>
            <w:tcW w:w="1000" w:type="pct"/>
            <w:tcBorders>
              <w:top w:val="single" w:sz="4" w:space="0" w:color="auto"/>
              <w:left w:val="single" w:sz="4" w:space="0" w:color="auto"/>
              <w:bottom w:val="single" w:sz="4" w:space="0" w:color="auto"/>
              <w:right w:val="single" w:sz="4" w:space="0" w:color="auto"/>
            </w:tcBorders>
          </w:tcPr>
          <w:p w14:paraId="36C0EF85" w14:textId="77777777" w:rsidR="0059473E" w:rsidRDefault="00000000" w:rsidP="00073DE4">
            <w:pPr>
              <w:kinsoku w:val="0"/>
              <w:overflowPunct w:val="0"/>
              <w:autoSpaceDE w:val="0"/>
              <w:autoSpaceDN w:val="0"/>
              <w:adjustRightInd w:val="0"/>
              <w:snapToGrid w:val="0"/>
              <w:jc w:val="center"/>
              <w:rPr>
                <w:rFonts w:ascii="宋体"/>
                <w:color w:val="FFC000"/>
                <w:szCs w:val="21"/>
              </w:rPr>
            </w:pPr>
            <w:proofErr w:type="gramStart"/>
            <w:r>
              <w:rPr>
                <w:rFonts w:ascii="宋体" w:hint="eastAsia"/>
                <w:szCs w:val="21"/>
              </w:rPr>
              <w:t>望变电气</w:t>
            </w:r>
            <w:proofErr w:type="gramEnd"/>
          </w:p>
        </w:tc>
        <w:tc>
          <w:tcPr>
            <w:tcW w:w="1000" w:type="pct"/>
            <w:tcBorders>
              <w:top w:val="single" w:sz="4" w:space="0" w:color="auto"/>
              <w:left w:val="single" w:sz="4" w:space="0" w:color="auto"/>
              <w:bottom w:val="single" w:sz="4" w:space="0" w:color="auto"/>
              <w:right w:val="single" w:sz="4" w:space="0" w:color="auto"/>
            </w:tcBorders>
          </w:tcPr>
          <w:p w14:paraId="22B19D55" w14:textId="77777777" w:rsidR="0059473E" w:rsidRDefault="00000000" w:rsidP="00073DE4">
            <w:pPr>
              <w:kinsoku w:val="0"/>
              <w:overflowPunct w:val="0"/>
              <w:autoSpaceDE w:val="0"/>
              <w:autoSpaceDN w:val="0"/>
              <w:adjustRightInd w:val="0"/>
              <w:snapToGrid w:val="0"/>
              <w:jc w:val="center"/>
              <w:rPr>
                <w:rFonts w:ascii="宋体"/>
                <w:color w:val="FFC000"/>
                <w:szCs w:val="21"/>
              </w:rPr>
            </w:pPr>
            <w:r>
              <w:rPr>
                <w:rFonts w:ascii="宋体" w:hint="eastAsia"/>
                <w:szCs w:val="21"/>
              </w:rPr>
              <w:t>603191</w:t>
            </w:r>
          </w:p>
        </w:tc>
        <w:tc>
          <w:tcPr>
            <w:tcW w:w="1000" w:type="pct"/>
            <w:tcBorders>
              <w:top w:val="single" w:sz="4" w:space="0" w:color="auto"/>
              <w:left w:val="single" w:sz="4" w:space="0" w:color="auto"/>
              <w:bottom w:val="single" w:sz="4" w:space="0" w:color="auto"/>
            </w:tcBorders>
          </w:tcPr>
          <w:p w14:paraId="12ED7B75" w14:textId="77777777" w:rsidR="0059473E" w:rsidRDefault="00000000" w:rsidP="00073DE4">
            <w:pPr>
              <w:kinsoku w:val="0"/>
              <w:overflowPunct w:val="0"/>
              <w:autoSpaceDE w:val="0"/>
              <w:autoSpaceDN w:val="0"/>
              <w:adjustRightInd w:val="0"/>
              <w:snapToGrid w:val="0"/>
              <w:jc w:val="center"/>
              <w:rPr>
                <w:rFonts w:ascii="宋体"/>
                <w:color w:val="FFC000"/>
                <w:szCs w:val="21"/>
              </w:rPr>
            </w:pPr>
            <w:r>
              <w:rPr>
                <w:rFonts w:ascii="宋体" w:hint="eastAsia"/>
                <w:szCs w:val="21"/>
              </w:rPr>
              <w:t>无</w:t>
            </w:r>
          </w:p>
        </w:tc>
      </w:tr>
    </w:tbl>
    <w:p w14:paraId="66799942" w14:textId="77777777" w:rsidR="0059473E" w:rsidRDefault="0059473E">
      <w:pPr>
        <w:rPr>
          <w:rFonts w:ascii="宋体"/>
        </w:rPr>
      </w:pPr>
    </w:p>
    <w:p w14:paraId="61F9780E" w14:textId="77777777" w:rsidR="0059473E" w:rsidRDefault="0059473E"/>
    <w:tbl>
      <w:tblPr>
        <w:tblStyle w:val="a7"/>
        <w:tblW w:w="0" w:type="auto"/>
        <w:tblLayout w:type="fixed"/>
        <w:tblCellMar>
          <w:left w:w="30" w:type="dxa"/>
          <w:right w:w="30" w:type="dxa"/>
        </w:tblCellMar>
        <w:tblLook w:val="04A0" w:firstRow="1" w:lastRow="0" w:firstColumn="1" w:lastColumn="0" w:noHBand="0" w:noVBand="1"/>
      </w:tblPr>
      <w:tblGrid>
        <w:gridCol w:w="2424"/>
        <w:gridCol w:w="3503"/>
        <w:gridCol w:w="2964"/>
      </w:tblGrid>
      <w:tr w:rsidR="00577D08" w14:paraId="261520B8" w14:textId="77777777">
        <w:tc>
          <w:tcPr>
            <w:tcW w:w="2424" w:type="dxa"/>
            <w:tcBorders>
              <w:top w:val="single" w:sz="4" w:space="0" w:color="auto"/>
              <w:bottom w:val="single" w:sz="4" w:space="0" w:color="auto"/>
              <w:right w:val="single" w:sz="4" w:space="0" w:color="auto"/>
            </w:tcBorders>
            <w:vAlign w:val="center"/>
          </w:tcPr>
          <w:p w14:paraId="3A7F8D53" w14:textId="77777777" w:rsidR="00000000" w:rsidRDefault="00000000">
            <w:pPr>
              <w:kinsoku w:val="0"/>
              <w:overflowPunct w:val="0"/>
              <w:autoSpaceDE w:val="0"/>
              <w:autoSpaceDN w:val="0"/>
              <w:adjustRightInd w:val="0"/>
              <w:snapToGrid w:val="0"/>
            </w:pPr>
            <w:r>
              <w:t>联系人和联系方式</w:t>
            </w:r>
          </w:p>
        </w:tc>
        <w:tc>
          <w:tcPr>
            <w:tcW w:w="3503" w:type="dxa"/>
            <w:tcBorders>
              <w:top w:val="single" w:sz="4" w:space="0" w:color="auto"/>
              <w:left w:val="single" w:sz="4" w:space="0" w:color="auto"/>
              <w:bottom w:val="single" w:sz="4" w:space="0" w:color="auto"/>
              <w:right w:val="single" w:sz="4" w:space="0" w:color="auto"/>
            </w:tcBorders>
            <w:vAlign w:val="center"/>
          </w:tcPr>
          <w:p w14:paraId="4A5D73A1" w14:textId="77777777" w:rsidR="00000000" w:rsidRDefault="00000000">
            <w:pPr>
              <w:kinsoku w:val="0"/>
              <w:overflowPunct w:val="0"/>
              <w:autoSpaceDE w:val="0"/>
              <w:autoSpaceDN w:val="0"/>
              <w:adjustRightInd w:val="0"/>
              <w:snapToGrid w:val="0"/>
              <w:jc w:val="center"/>
              <w:rPr>
                <w:rFonts w:ascii="宋体" w:hAnsi="宋体" w:hint="eastAsia"/>
                <w:color w:val="008000"/>
              </w:rPr>
            </w:pPr>
            <w:r>
              <w:rPr>
                <w:rFonts w:ascii="宋体" w:hAnsi="宋体" w:cs="宋体" w:hint="eastAsia"/>
              </w:rPr>
              <w:t>董事会秘书</w:t>
            </w:r>
          </w:p>
        </w:tc>
        <w:tc>
          <w:tcPr>
            <w:tcW w:w="2964" w:type="dxa"/>
            <w:tcBorders>
              <w:top w:val="single" w:sz="4" w:space="0" w:color="auto"/>
              <w:left w:val="single" w:sz="4" w:space="0" w:color="auto"/>
              <w:bottom w:val="single" w:sz="4" w:space="0" w:color="auto"/>
            </w:tcBorders>
            <w:vAlign w:val="center"/>
          </w:tcPr>
          <w:p w14:paraId="7E29D674" w14:textId="77777777" w:rsidR="00000000" w:rsidRDefault="00000000">
            <w:pPr>
              <w:kinsoku w:val="0"/>
              <w:overflowPunct w:val="0"/>
              <w:autoSpaceDE w:val="0"/>
              <w:autoSpaceDN w:val="0"/>
              <w:adjustRightInd w:val="0"/>
              <w:snapToGrid w:val="0"/>
              <w:jc w:val="center"/>
              <w:rPr>
                <w:rFonts w:ascii="宋体" w:hAnsi="宋体" w:cs="宋体" w:hint="eastAsia"/>
              </w:rPr>
            </w:pPr>
            <w:r>
              <w:rPr>
                <w:rFonts w:ascii="宋体" w:hAnsi="宋体" w:cs="宋体" w:hint="eastAsia"/>
              </w:rPr>
              <w:t>证券事务代表</w:t>
            </w:r>
          </w:p>
        </w:tc>
      </w:tr>
      <w:tr w:rsidR="00577D08" w14:paraId="4FBB5363" w14:textId="77777777">
        <w:tc>
          <w:tcPr>
            <w:tcW w:w="2424" w:type="dxa"/>
            <w:tcBorders>
              <w:top w:val="single" w:sz="4" w:space="0" w:color="auto"/>
              <w:bottom w:val="single" w:sz="4" w:space="0" w:color="auto"/>
              <w:right w:val="single" w:sz="4" w:space="0" w:color="auto"/>
            </w:tcBorders>
            <w:vAlign w:val="center"/>
          </w:tcPr>
          <w:p w14:paraId="139500FF" w14:textId="77777777" w:rsidR="00000000" w:rsidRDefault="00000000">
            <w:pPr>
              <w:kinsoku w:val="0"/>
              <w:overflowPunct w:val="0"/>
              <w:autoSpaceDE w:val="0"/>
              <w:autoSpaceDN w:val="0"/>
              <w:adjustRightInd w:val="0"/>
              <w:snapToGrid w:val="0"/>
            </w:pPr>
            <w:r>
              <w:rPr>
                <w:rFonts w:hint="eastAsia"/>
              </w:rPr>
              <w:t>姓名</w:t>
            </w:r>
          </w:p>
        </w:tc>
        <w:tc>
          <w:tcPr>
            <w:tcW w:w="3503" w:type="dxa"/>
            <w:tcBorders>
              <w:top w:val="single" w:sz="4" w:space="0" w:color="auto"/>
              <w:left w:val="single" w:sz="4" w:space="0" w:color="auto"/>
              <w:bottom w:val="single" w:sz="4" w:space="0" w:color="auto"/>
              <w:right w:val="single" w:sz="4" w:space="0" w:color="auto"/>
            </w:tcBorders>
            <w:vAlign w:val="center"/>
          </w:tcPr>
          <w:p w14:paraId="5653FB6B" w14:textId="77777777" w:rsidR="00000000" w:rsidRDefault="00000000">
            <w:pPr>
              <w:kinsoku w:val="0"/>
              <w:overflowPunct w:val="0"/>
              <w:autoSpaceDE w:val="0"/>
              <w:autoSpaceDN w:val="0"/>
              <w:adjustRightInd w:val="0"/>
              <w:snapToGrid w:val="0"/>
            </w:pPr>
            <w:proofErr w:type="gramStart"/>
            <w:r>
              <w:rPr>
                <w:rFonts w:ascii="宋体" w:hAnsi="宋体" w:hint="eastAsia"/>
              </w:rPr>
              <w:t>李代萍</w:t>
            </w:r>
            <w:proofErr w:type="gramEnd"/>
          </w:p>
        </w:tc>
        <w:tc>
          <w:tcPr>
            <w:tcW w:w="2964" w:type="dxa"/>
            <w:tcBorders>
              <w:top w:val="single" w:sz="4" w:space="0" w:color="auto"/>
              <w:left w:val="single" w:sz="4" w:space="0" w:color="auto"/>
              <w:bottom w:val="single" w:sz="4" w:space="0" w:color="auto"/>
            </w:tcBorders>
            <w:vAlign w:val="center"/>
          </w:tcPr>
          <w:p w14:paraId="6EE12E55" w14:textId="77777777" w:rsidR="00000000" w:rsidRDefault="00000000">
            <w:pPr>
              <w:kinsoku w:val="0"/>
              <w:overflowPunct w:val="0"/>
              <w:autoSpaceDE w:val="0"/>
              <w:autoSpaceDN w:val="0"/>
              <w:adjustRightInd w:val="0"/>
              <w:snapToGrid w:val="0"/>
            </w:pPr>
            <w:r>
              <w:rPr>
                <w:rFonts w:ascii="宋体" w:hAnsi="宋体" w:hint="eastAsia"/>
              </w:rPr>
              <w:t>雷雯亦</w:t>
            </w:r>
          </w:p>
        </w:tc>
      </w:tr>
      <w:tr w:rsidR="00577D08" w14:paraId="1506D8C3" w14:textId="77777777">
        <w:tc>
          <w:tcPr>
            <w:tcW w:w="2424" w:type="dxa"/>
            <w:tcBorders>
              <w:top w:val="single" w:sz="4" w:space="0" w:color="auto"/>
              <w:bottom w:val="single" w:sz="4" w:space="0" w:color="auto"/>
              <w:right w:val="single" w:sz="4" w:space="0" w:color="auto"/>
            </w:tcBorders>
            <w:vAlign w:val="center"/>
          </w:tcPr>
          <w:p w14:paraId="607AD501" w14:textId="77777777" w:rsidR="00000000" w:rsidRDefault="00000000">
            <w:pPr>
              <w:kinsoku w:val="0"/>
              <w:overflowPunct w:val="0"/>
              <w:autoSpaceDE w:val="0"/>
              <w:autoSpaceDN w:val="0"/>
              <w:adjustRightInd w:val="0"/>
              <w:snapToGrid w:val="0"/>
            </w:pPr>
            <w:r>
              <w:rPr>
                <w:rFonts w:hint="eastAsia"/>
              </w:rPr>
              <w:t>联系地址</w:t>
            </w:r>
          </w:p>
        </w:tc>
        <w:tc>
          <w:tcPr>
            <w:tcW w:w="3503" w:type="dxa"/>
            <w:tcBorders>
              <w:top w:val="single" w:sz="4" w:space="0" w:color="auto"/>
              <w:left w:val="single" w:sz="4" w:space="0" w:color="auto"/>
              <w:bottom w:val="single" w:sz="4" w:space="0" w:color="auto"/>
              <w:right w:val="single" w:sz="4" w:space="0" w:color="auto"/>
            </w:tcBorders>
            <w:vAlign w:val="center"/>
          </w:tcPr>
          <w:p w14:paraId="634A719C" w14:textId="77777777" w:rsidR="00000000" w:rsidRDefault="00000000">
            <w:pPr>
              <w:kinsoku w:val="0"/>
              <w:overflowPunct w:val="0"/>
              <w:autoSpaceDE w:val="0"/>
              <w:autoSpaceDN w:val="0"/>
              <w:adjustRightInd w:val="0"/>
              <w:snapToGrid w:val="0"/>
            </w:pPr>
            <w:r>
              <w:rPr>
                <w:rFonts w:ascii="宋体" w:hAnsi="宋体" w:hint="eastAsia"/>
              </w:rPr>
              <w:t>重庆市长寿区晏家街道齐心东路</w:t>
            </w:r>
            <w:r>
              <w:rPr>
                <w:rFonts w:hint="eastAsia"/>
              </w:rPr>
              <w:t>10</w:t>
            </w:r>
            <w:r>
              <w:rPr>
                <w:rFonts w:ascii="宋体" w:hAnsi="宋体" w:hint="eastAsia"/>
              </w:rPr>
              <w:t>号</w:t>
            </w:r>
          </w:p>
        </w:tc>
        <w:tc>
          <w:tcPr>
            <w:tcW w:w="2964" w:type="dxa"/>
            <w:tcBorders>
              <w:top w:val="single" w:sz="4" w:space="0" w:color="auto"/>
              <w:left w:val="single" w:sz="4" w:space="0" w:color="auto"/>
              <w:bottom w:val="single" w:sz="4" w:space="0" w:color="auto"/>
            </w:tcBorders>
            <w:vAlign w:val="center"/>
          </w:tcPr>
          <w:p w14:paraId="39F55D3E" w14:textId="77777777" w:rsidR="00000000" w:rsidRDefault="00000000">
            <w:pPr>
              <w:kinsoku w:val="0"/>
              <w:overflowPunct w:val="0"/>
              <w:autoSpaceDE w:val="0"/>
              <w:autoSpaceDN w:val="0"/>
              <w:adjustRightInd w:val="0"/>
              <w:snapToGrid w:val="0"/>
            </w:pPr>
            <w:r>
              <w:rPr>
                <w:rFonts w:ascii="宋体" w:hAnsi="宋体" w:hint="eastAsia"/>
              </w:rPr>
              <w:t>重庆市</w:t>
            </w:r>
            <w:proofErr w:type="gramStart"/>
            <w:r>
              <w:rPr>
                <w:rFonts w:ascii="宋体" w:hAnsi="宋体" w:hint="eastAsia"/>
              </w:rPr>
              <w:t>两江新区</w:t>
            </w:r>
            <w:proofErr w:type="gramEnd"/>
            <w:r>
              <w:rPr>
                <w:rFonts w:ascii="宋体" w:hAnsi="宋体" w:hint="eastAsia"/>
              </w:rPr>
              <w:t>江北城街道江北城西大街</w:t>
            </w:r>
            <w:r>
              <w:rPr>
                <w:rFonts w:hint="eastAsia"/>
              </w:rPr>
              <w:t>3</w:t>
            </w:r>
            <w:r>
              <w:rPr>
                <w:rFonts w:ascii="宋体" w:hAnsi="宋体" w:hint="eastAsia"/>
              </w:rPr>
              <w:t>号交通银行大厦</w:t>
            </w:r>
            <w:r>
              <w:rPr>
                <w:rFonts w:hint="eastAsia"/>
              </w:rPr>
              <w:t>12</w:t>
            </w:r>
            <w:r>
              <w:rPr>
                <w:rFonts w:ascii="宋体" w:hAnsi="宋体" w:hint="eastAsia"/>
              </w:rPr>
              <w:t>楼</w:t>
            </w:r>
          </w:p>
        </w:tc>
      </w:tr>
      <w:tr w:rsidR="00577D08" w14:paraId="07D52827" w14:textId="77777777">
        <w:tc>
          <w:tcPr>
            <w:tcW w:w="2424" w:type="dxa"/>
            <w:tcBorders>
              <w:top w:val="single" w:sz="4" w:space="0" w:color="auto"/>
              <w:bottom w:val="single" w:sz="4" w:space="0" w:color="auto"/>
              <w:right w:val="single" w:sz="4" w:space="0" w:color="auto"/>
            </w:tcBorders>
            <w:vAlign w:val="center"/>
          </w:tcPr>
          <w:p w14:paraId="42B65E06" w14:textId="77777777" w:rsidR="00000000" w:rsidRDefault="00000000">
            <w:pPr>
              <w:kinsoku w:val="0"/>
              <w:overflowPunct w:val="0"/>
              <w:autoSpaceDE w:val="0"/>
              <w:autoSpaceDN w:val="0"/>
              <w:adjustRightInd w:val="0"/>
              <w:snapToGrid w:val="0"/>
            </w:pPr>
            <w:r>
              <w:t>电话</w:t>
            </w:r>
          </w:p>
        </w:tc>
        <w:tc>
          <w:tcPr>
            <w:tcW w:w="3503" w:type="dxa"/>
            <w:tcBorders>
              <w:top w:val="single" w:sz="4" w:space="0" w:color="auto"/>
              <w:left w:val="single" w:sz="4" w:space="0" w:color="auto"/>
              <w:bottom w:val="single" w:sz="4" w:space="0" w:color="auto"/>
              <w:right w:val="single" w:sz="4" w:space="0" w:color="auto"/>
            </w:tcBorders>
            <w:vAlign w:val="center"/>
          </w:tcPr>
          <w:p w14:paraId="6941D3F5" w14:textId="77777777" w:rsidR="00000000" w:rsidRDefault="00000000">
            <w:pPr>
              <w:kinsoku w:val="0"/>
              <w:overflowPunct w:val="0"/>
              <w:autoSpaceDE w:val="0"/>
              <w:autoSpaceDN w:val="0"/>
              <w:adjustRightInd w:val="0"/>
              <w:snapToGrid w:val="0"/>
            </w:pPr>
            <w:r>
              <w:t>023-40615383</w:t>
            </w:r>
          </w:p>
        </w:tc>
        <w:tc>
          <w:tcPr>
            <w:tcW w:w="2964" w:type="dxa"/>
            <w:tcBorders>
              <w:top w:val="single" w:sz="4" w:space="0" w:color="auto"/>
              <w:left w:val="single" w:sz="4" w:space="0" w:color="auto"/>
              <w:bottom w:val="single" w:sz="4" w:space="0" w:color="auto"/>
            </w:tcBorders>
            <w:vAlign w:val="center"/>
          </w:tcPr>
          <w:p w14:paraId="1D6D5EA9" w14:textId="77777777" w:rsidR="00000000" w:rsidRDefault="00000000">
            <w:pPr>
              <w:kinsoku w:val="0"/>
              <w:overflowPunct w:val="0"/>
              <w:autoSpaceDE w:val="0"/>
              <w:autoSpaceDN w:val="0"/>
              <w:adjustRightInd w:val="0"/>
              <w:snapToGrid w:val="0"/>
            </w:pPr>
            <w:r>
              <w:t>023-67538525</w:t>
            </w:r>
          </w:p>
        </w:tc>
      </w:tr>
      <w:tr w:rsidR="00577D08" w14:paraId="1C36A983" w14:textId="77777777">
        <w:tc>
          <w:tcPr>
            <w:tcW w:w="2424" w:type="dxa"/>
            <w:tcBorders>
              <w:top w:val="single" w:sz="4" w:space="0" w:color="auto"/>
              <w:bottom w:val="single" w:sz="4" w:space="0" w:color="auto"/>
              <w:right w:val="single" w:sz="4" w:space="0" w:color="auto"/>
            </w:tcBorders>
            <w:vAlign w:val="center"/>
          </w:tcPr>
          <w:p w14:paraId="177220D5" w14:textId="77777777" w:rsidR="00000000" w:rsidRDefault="00000000">
            <w:pPr>
              <w:kinsoku w:val="0"/>
              <w:overflowPunct w:val="0"/>
              <w:autoSpaceDE w:val="0"/>
              <w:autoSpaceDN w:val="0"/>
              <w:adjustRightInd w:val="0"/>
              <w:snapToGrid w:val="0"/>
            </w:pPr>
            <w:r>
              <w:t>传真</w:t>
            </w:r>
          </w:p>
        </w:tc>
        <w:tc>
          <w:tcPr>
            <w:tcW w:w="3503" w:type="dxa"/>
            <w:tcBorders>
              <w:top w:val="single" w:sz="4" w:space="0" w:color="auto"/>
              <w:left w:val="single" w:sz="4" w:space="0" w:color="auto"/>
              <w:bottom w:val="single" w:sz="4" w:space="0" w:color="auto"/>
              <w:right w:val="single" w:sz="4" w:space="0" w:color="auto"/>
            </w:tcBorders>
            <w:vAlign w:val="center"/>
          </w:tcPr>
          <w:p w14:paraId="10625BDB" w14:textId="77777777" w:rsidR="00000000" w:rsidRDefault="00000000">
            <w:pPr>
              <w:kinsoku w:val="0"/>
              <w:overflowPunct w:val="0"/>
              <w:autoSpaceDE w:val="0"/>
              <w:autoSpaceDN w:val="0"/>
              <w:adjustRightInd w:val="0"/>
              <w:snapToGrid w:val="0"/>
            </w:pPr>
            <w:r>
              <w:t>023-40615383</w:t>
            </w:r>
          </w:p>
        </w:tc>
        <w:tc>
          <w:tcPr>
            <w:tcW w:w="2964" w:type="dxa"/>
            <w:tcBorders>
              <w:top w:val="single" w:sz="4" w:space="0" w:color="auto"/>
              <w:left w:val="single" w:sz="4" w:space="0" w:color="auto"/>
              <w:bottom w:val="single" w:sz="4" w:space="0" w:color="auto"/>
            </w:tcBorders>
            <w:vAlign w:val="center"/>
          </w:tcPr>
          <w:p w14:paraId="286A972F" w14:textId="77777777" w:rsidR="00000000" w:rsidRDefault="00000000">
            <w:pPr>
              <w:kinsoku w:val="0"/>
              <w:overflowPunct w:val="0"/>
              <w:autoSpaceDE w:val="0"/>
              <w:autoSpaceDN w:val="0"/>
              <w:adjustRightInd w:val="0"/>
              <w:snapToGrid w:val="0"/>
            </w:pPr>
            <w:r>
              <w:t>023-67538525</w:t>
            </w:r>
          </w:p>
        </w:tc>
      </w:tr>
      <w:tr w:rsidR="00577D08" w14:paraId="54A85726" w14:textId="77777777">
        <w:tc>
          <w:tcPr>
            <w:tcW w:w="2424" w:type="dxa"/>
            <w:tcBorders>
              <w:top w:val="single" w:sz="4" w:space="0" w:color="auto"/>
              <w:bottom w:val="single" w:sz="4" w:space="0" w:color="auto"/>
              <w:right w:val="single" w:sz="4" w:space="0" w:color="auto"/>
            </w:tcBorders>
            <w:vAlign w:val="center"/>
          </w:tcPr>
          <w:p w14:paraId="7811CC58" w14:textId="77777777" w:rsidR="00000000" w:rsidRDefault="00000000">
            <w:pPr>
              <w:kinsoku w:val="0"/>
              <w:overflowPunct w:val="0"/>
              <w:autoSpaceDE w:val="0"/>
              <w:autoSpaceDN w:val="0"/>
              <w:adjustRightInd w:val="0"/>
              <w:snapToGrid w:val="0"/>
            </w:pPr>
            <w:r>
              <w:t>电子信箱</w:t>
            </w:r>
          </w:p>
        </w:tc>
        <w:tc>
          <w:tcPr>
            <w:tcW w:w="3503" w:type="dxa"/>
            <w:tcBorders>
              <w:top w:val="single" w:sz="4" w:space="0" w:color="auto"/>
              <w:left w:val="single" w:sz="4" w:space="0" w:color="auto"/>
              <w:bottom w:val="single" w:sz="4" w:space="0" w:color="auto"/>
              <w:right w:val="single" w:sz="4" w:space="0" w:color="auto"/>
            </w:tcBorders>
            <w:vAlign w:val="center"/>
          </w:tcPr>
          <w:p w14:paraId="5DD9504A" w14:textId="77777777" w:rsidR="00000000" w:rsidRDefault="00000000">
            <w:pPr>
              <w:kinsoku w:val="0"/>
              <w:overflowPunct w:val="0"/>
              <w:autoSpaceDE w:val="0"/>
              <w:autoSpaceDN w:val="0"/>
              <w:adjustRightInd w:val="0"/>
              <w:snapToGrid w:val="0"/>
            </w:pPr>
            <w:r>
              <w:t>lidaiping@cqwbdq.com</w:t>
            </w:r>
          </w:p>
        </w:tc>
        <w:tc>
          <w:tcPr>
            <w:tcW w:w="2964" w:type="dxa"/>
            <w:tcBorders>
              <w:top w:val="single" w:sz="4" w:space="0" w:color="auto"/>
              <w:left w:val="single" w:sz="4" w:space="0" w:color="auto"/>
              <w:bottom w:val="single" w:sz="4" w:space="0" w:color="auto"/>
            </w:tcBorders>
            <w:vAlign w:val="center"/>
          </w:tcPr>
          <w:p w14:paraId="74EA1EB1" w14:textId="77777777" w:rsidR="00000000" w:rsidRDefault="00000000">
            <w:pPr>
              <w:kinsoku w:val="0"/>
              <w:overflowPunct w:val="0"/>
              <w:autoSpaceDE w:val="0"/>
              <w:autoSpaceDN w:val="0"/>
              <w:adjustRightInd w:val="0"/>
              <w:snapToGrid w:val="0"/>
            </w:pPr>
            <w:r>
              <w:t>leiwenyi@cqwbdq.com</w:t>
            </w:r>
          </w:p>
        </w:tc>
      </w:tr>
    </w:tbl>
    <w:p w14:paraId="5924278B" w14:textId="77777777" w:rsidR="0059473E" w:rsidRDefault="0059473E">
      <w:pPr>
        <w:rPr>
          <w:rFonts w:ascii="宋体"/>
        </w:rPr>
      </w:pPr>
    </w:p>
    <w:p w14:paraId="5B0DD80F" w14:textId="77777777" w:rsidR="0059473E" w:rsidRDefault="00000000">
      <w:pPr>
        <w:pStyle w:val="20"/>
        <w:numPr>
          <w:ilvl w:val="0"/>
          <w:numId w:val="22"/>
        </w:numPr>
        <w:spacing w:before="0" w:after="0" w:line="360" w:lineRule="auto"/>
        <w:ind w:left="0" w:firstLine="0"/>
        <w:rPr>
          <w:rFonts w:ascii="宋体"/>
        </w:rPr>
      </w:pPr>
      <w:r>
        <w:rPr>
          <w:rFonts w:ascii="宋体" w:hint="eastAsia"/>
        </w:rPr>
        <w:t>报告期公司主要业务简介</w:t>
      </w:r>
    </w:p>
    <w:p w14:paraId="3D26AC1D" w14:textId="77777777" w:rsidR="00000000" w:rsidRDefault="00000000">
      <w:pPr>
        <w:spacing w:line="360" w:lineRule="exact"/>
        <w:ind w:firstLineChars="200" w:firstLine="422"/>
        <w:outlineLvl w:val="2"/>
        <w:rPr>
          <w:b/>
        </w:rPr>
      </w:pPr>
      <w:r>
        <w:rPr>
          <w:rFonts w:hint="eastAsia"/>
          <w:b/>
        </w:rPr>
        <w:t>（一）输配电及控制设备行业</w:t>
      </w:r>
    </w:p>
    <w:p w14:paraId="0FA5A742" w14:textId="77777777" w:rsidR="00000000" w:rsidRDefault="00000000">
      <w:pPr>
        <w:spacing w:line="360" w:lineRule="exact"/>
        <w:ind w:firstLineChars="200" w:firstLine="422"/>
        <w:outlineLvl w:val="3"/>
        <w:rPr>
          <w:b/>
        </w:rPr>
      </w:pPr>
      <w:r>
        <w:rPr>
          <w:rFonts w:hint="eastAsia"/>
          <w:b/>
        </w:rPr>
        <w:t>1</w:t>
      </w:r>
      <w:r>
        <w:rPr>
          <w:rFonts w:hint="eastAsia"/>
          <w:b/>
        </w:rPr>
        <w:t>、行业基本情况和特点</w:t>
      </w:r>
    </w:p>
    <w:p w14:paraId="610E56D5" w14:textId="77777777" w:rsidR="00000000" w:rsidRDefault="00000000">
      <w:pPr>
        <w:spacing w:line="360" w:lineRule="exact"/>
        <w:ind w:firstLineChars="200" w:firstLine="420"/>
      </w:pPr>
      <w:r>
        <w:rPr>
          <w:rFonts w:hint="eastAsia"/>
        </w:rPr>
        <w:t>公司输配电及其控制设备是我国经济发展的战略性、基础性产业之一。主要产品广泛</w:t>
      </w:r>
      <w:proofErr w:type="gramStart"/>
      <w:r>
        <w:rPr>
          <w:rFonts w:hint="eastAsia"/>
        </w:rPr>
        <w:t>应用于输配电网</w:t>
      </w:r>
      <w:proofErr w:type="gramEnd"/>
      <w:r>
        <w:rPr>
          <w:rFonts w:hint="eastAsia"/>
        </w:rPr>
        <w:t>、新能源（含风能、光伏、储能等）、高端装备、新型基建、高效节能等领域。</w:t>
      </w:r>
    </w:p>
    <w:p w14:paraId="7E260AA2" w14:textId="77777777" w:rsidR="00000000" w:rsidRDefault="00000000">
      <w:pPr>
        <w:spacing w:line="360" w:lineRule="exact"/>
        <w:ind w:firstLineChars="200" w:firstLine="420"/>
      </w:pPr>
      <w:r>
        <w:rPr>
          <w:rFonts w:hint="eastAsia"/>
        </w:rPr>
        <w:t>能源结构转型与新能源技术突破正推动电力设备市场进入高速增长周期。在光伏、风电等可</w:t>
      </w:r>
      <w:r>
        <w:rPr>
          <w:rFonts w:hint="eastAsia"/>
        </w:rPr>
        <w:t xml:space="preserve"> </w:t>
      </w:r>
      <w:r>
        <w:rPr>
          <w:rFonts w:hint="eastAsia"/>
        </w:rPr>
        <w:t>再生能源装机量持续攀升的驱动下，全球能源体系加速向低碳化演进。制造业智能化转型推动产</w:t>
      </w:r>
      <w:r>
        <w:rPr>
          <w:rFonts w:hint="eastAsia"/>
        </w:rPr>
        <w:t xml:space="preserve"> </w:t>
      </w:r>
      <w:r>
        <w:rPr>
          <w:rFonts w:hint="eastAsia"/>
        </w:rPr>
        <w:t>线电气化率显著提升，工业互联网对供电质量提出更高要求。与此同时，人工智能、</w:t>
      </w:r>
      <w:proofErr w:type="gramStart"/>
      <w:r>
        <w:rPr>
          <w:rFonts w:hint="eastAsia"/>
        </w:rPr>
        <w:t>云计算</w:t>
      </w:r>
      <w:proofErr w:type="gramEnd"/>
      <w:r>
        <w:rPr>
          <w:rFonts w:hint="eastAsia"/>
        </w:rPr>
        <w:t>等数字技术基础设施的快速发展，催生高密度</w:t>
      </w:r>
      <w:proofErr w:type="gramStart"/>
      <w:r>
        <w:rPr>
          <w:rFonts w:hint="eastAsia"/>
        </w:rPr>
        <w:t>算力设备</w:t>
      </w:r>
      <w:proofErr w:type="gramEnd"/>
      <w:r>
        <w:rPr>
          <w:rFonts w:hint="eastAsia"/>
        </w:rPr>
        <w:t>的规模化部署，形成支撑用电需求增长</w:t>
      </w:r>
      <w:proofErr w:type="gramStart"/>
      <w:r>
        <w:rPr>
          <w:rFonts w:hint="eastAsia"/>
        </w:rPr>
        <w:t>的新动</w:t>
      </w:r>
      <w:proofErr w:type="gramEnd"/>
      <w:r>
        <w:rPr>
          <w:rFonts w:hint="eastAsia"/>
        </w:rPr>
        <w:t xml:space="preserve"> </w:t>
      </w:r>
      <w:r>
        <w:rPr>
          <w:rFonts w:hint="eastAsia"/>
        </w:rPr>
        <w:t>能。另外，全球电网正面临新能源渗透率持续攀升、并网特性与负荷结构深刻变化、</w:t>
      </w:r>
      <w:proofErr w:type="gramStart"/>
      <w:r>
        <w:rPr>
          <w:rFonts w:hint="eastAsia"/>
        </w:rPr>
        <w:t>源荷时空</w:t>
      </w:r>
      <w:proofErr w:type="gramEnd"/>
      <w:r>
        <w:rPr>
          <w:rFonts w:hint="eastAsia"/>
        </w:rPr>
        <w:t>分布失衡加剧，以及区域性基础设施老化加剧等多重挑战，这些压力驱动电网系统加速向智能柔性</w:t>
      </w:r>
      <w:r>
        <w:rPr>
          <w:rFonts w:hint="eastAsia"/>
        </w:rPr>
        <w:t xml:space="preserve"> </w:t>
      </w:r>
      <w:r>
        <w:rPr>
          <w:rFonts w:hint="eastAsia"/>
        </w:rPr>
        <w:t>化升级、多能协同优化、跨国电力互联等方向演进，也进而催生电力设备全产业链的增量市场空间。</w:t>
      </w:r>
    </w:p>
    <w:p w14:paraId="1472E037" w14:textId="77777777" w:rsidR="00000000" w:rsidRDefault="00000000">
      <w:pPr>
        <w:spacing w:line="360" w:lineRule="exact"/>
        <w:ind w:firstLineChars="200" w:firstLine="420"/>
      </w:pPr>
      <w:r>
        <w:rPr>
          <w:rFonts w:hint="eastAsia"/>
        </w:rPr>
        <w:t>发电端的装机增量进一步促进了电力设备的需求上升。根据国家能源局和中电联数据，截至</w:t>
      </w:r>
      <w:r>
        <w:rPr>
          <w:rFonts w:hint="eastAsia"/>
        </w:rPr>
        <w:t>2025</w:t>
      </w:r>
      <w:r>
        <w:rPr>
          <w:rFonts w:hint="eastAsia"/>
        </w:rPr>
        <w:t>年底，全国全口径发电装机容量</w:t>
      </w:r>
      <w:r>
        <w:rPr>
          <w:rFonts w:hint="eastAsia"/>
        </w:rPr>
        <w:t>38.9</w:t>
      </w:r>
      <w:r>
        <w:rPr>
          <w:rFonts w:hint="eastAsia"/>
        </w:rPr>
        <w:t>亿千瓦，同比增长</w:t>
      </w:r>
      <w:r>
        <w:rPr>
          <w:rFonts w:hint="eastAsia"/>
        </w:rPr>
        <w:t>16.1%</w:t>
      </w:r>
      <w:r>
        <w:rPr>
          <w:rFonts w:hint="eastAsia"/>
        </w:rPr>
        <w:t>，较“十三五”末增加</w:t>
      </w:r>
      <w:r>
        <w:rPr>
          <w:rFonts w:hint="eastAsia"/>
        </w:rPr>
        <w:t>16.9</w:t>
      </w:r>
      <w:r>
        <w:rPr>
          <w:rFonts w:hint="eastAsia"/>
        </w:rPr>
        <w:t>亿千瓦，年均增长</w:t>
      </w:r>
      <w:r>
        <w:rPr>
          <w:rFonts w:hint="eastAsia"/>
        </w:rPr>
        <w:t>12.0%</w:t>
      </w:r>
      <w:r>
        <w:rPr>
          <w:rFonts w:hint="eastAsia"/>
        </w:rPr>
        <w:t>。其中，非化石能源发电装机容量</w:t>
      </w:r>
      <w:r>
        <w:rPr>
          <w:rFonts w:hint="eastAsia"/>
        </w:rPr>
        <w:t>24.0</w:t>
      </w:r>
      <w:r>
        <w:rPr>
          <w:rFonts w:hint="eastAsia"/>
        </w:rPr>
        <w:t>亿千瓦，同比增长</w:t>
      </w:r>
      <w:r>
        <w:rPr>
          <w:rFonts w:hint="eastAsia"/>
        </w:rPr>
        <w:t>23.0%</w:t>
      </w:r>
      <w:r>
        <w:rPr>
          <w:rFonts w:hint="eastAsia"/>
        </w:rPr>
        <w:t>，占总装机容量</w:t>
      </w:r>
      <w:proofErr w:type="gramStart"/>
      <w:r>
        <w:rPr>
          <w:rFonts w:hint="eastAsia"/>
        </w:rPr>
        <w:t>比重超</w:t>
      </w:r>
      <w:proofErr w:type="gramEnd"/>
      <w:r>
        <w:rPr>
          <w:rFonts w:hint="eastAsia"/>
        </w:rPr>
        <w:t>六成。</w:t>
      </w:r>
      <w:r>
        <w:rPr>
          <w:rFonts w:hint="eastAsia"/>
        </w:rPr>
        <w:t>2025</w:t>
      </w:r>
      <w:r>
        <w:rPr>
          <w:rFonts w:hint="eastAsia"/>
        </w:rPr>
        <w:t>年，风电和太阳能发电全年合计新增装机</w:t>
      </w:r>
      <w:r>
        <w:rPr>
          <w:rFonts w:hint="eastAsia"/>
        </w:rPr>
        <w:t>4.4</w:t>
      </w:r>
      <w:r>
        <w:rPr>
          <w:rFonts w:hint="eastAsia"/>
        </w:rPr>
        <w:t>亿千瓦，占新增发电装机总容量的比重超过八成；全口径新能源（风、光、生物质）新增发电量占全社会新增用电量的</w:t>
      </w:r>
      <w:r>
        <w:rPr>
          <w:rFonts w:hint="eastAsia"/>
        </w:rPr>
        <w:t>97.1%</w:t>
      </w:r>
      <w:r>
        <w:rPr>
          <w:rFonts w:hint="eastAsia"/>
        </w:rPr>
        <w:t>，已成为新增用电量的主体。</w:t>
      </w:r>
      <w:r>
        <w:rPr>
          <w:rFonts w:hint="eastAsia"/>
        </w:rPr>
        <w:t>2025</w:t>
      </w:r>
      <w:r>
        <w:rPr>
          <w:rFonts w:hint="eastAsia"/>
        </w:rPr>
        <w:t>年，全国电网工程建设完成投资</w:t>
      </w:r>
      <w:r>
        <w:rPr>
          <w:rFonts w:hint="eastAsia"/>
        </w:rPr>
        <w:t>6,395</w:t>
      </w:r>
      <w:r>
        <w:rPr>
          <w:rFonts w:hint="eastAsia"/>
        </w:rPr>
        <w:t>亿元，同比增长</w:t>
      </w:r>
      <w:r>
        <w:rPr>
          <w:rFonts w:hint="eastAsia"/>
        </w:rPr>
        <w:t>5.1%</w:t>
      </w:r>
      <w:r>
        <w:rPr>
          <w:rFonts w:hint="eastAsia"/>
        </w:rPr>
        <w:t>。近年来，风光大基地建设推动特高压直流输电通道工程投资快速增长，</w:t>
      </w:r>
      <w:r>
        <w:rPr>
          <w:rFonts w:hint="eastAsia"/>
        </w:rPr>
        <w:t>2025</w:t>
      </w:r>
      <w:r>
        <w:rPr>
          <w:rFonts w:hint="eastAsia"/>
        </w:rPr>
        <w:t>年直流工程投资同比增长</w:t>
      </w:r>
      <w:r>
        <w:rPr>
          <w:rFonts w:hint="eastAsia"/>
        </w:rPr>
        <w:t>25.7%</w:t>
      </w:r>
      <w:r>
        <w:rPr>
          <w:rFonts w:hint="eastAsia"/>
        </w:rPr>
        <w:t>；交流工程投资同比增长</w:t>
      </w:r>
      <w:r>
        <w:rPr>
          <w:rFonts w:hint="eastAsia"/>
        </w:rPr>
        <w:t>4.7%</w:t>
      </w:r>
      <w:r>
        <w:rPr>
          <w:rFonts w:hint="eastAsia"/>
        </w:rPr>
        <w:t>。</w:t>
      </w:r>
      <w:r>
        <w:rPr>
          <w:rFonts w:hint="eastAsia"/>
        </w:rPr>
        <w:t>2025</w:t>
      </w:r>
      <w:r>
        <w:rPr>
          <w:rFonts w:hint="eastAsia"/>
        </w:rPr>
        <w:t>年，全国新增</w:t>
      </w:r>
      <w:r>
        <w:rPr>
          <w:rFonts w:hint="eastAsia"/>
        </w:rPr>
        <w:t>220</w:t>
      </w:r>
      <w:r>
        <w:rPr>
          <w:rFonts w:hint="eastAsia"/>
        </w:rPr>
        <w:t>千伏及以上变电设备容量（交流）</w:t>
      </w:r>
      <w:r>
        <w:rPr>
          <w:rFonts w:hint="eastAsia"/>
        </w:rPr>
        <w:t>32043</w:t>
      </w:r>
      <w:r>
        <w:rPr>
          <w:rFonts w:hint="eastAsia"/>
        </w:rPr>
        <w:t>万千伏安，</w:t>
      </w:r>
      <w:proofErr w:type="gramStart"/>
      <w:r>
        <w:rPr>
          <w:rFonts w:hint="eastAsia"/>
        </w:rPr>
        <w:t>同比少</w:t>
      </w:r>
      <w:proofErr w:type="gramEnd"/>
      <w:r>
        <w:rPr>
          <w:rFonts w:hint="eastAsia"/>
        </w:rPr>
        <w:t>投产</w:t>
      </w:r>
      <w:r>
        <w:rPr>
          <w:rFonts w:hint="eastAsia"/>
        </w:rPr>
        <w:t>1519</w:t>
      </w:r>
      <w:r>
        <w:rPr>
          <w:rFonts w:hint="eastAsia"/>
        </w:rPr>
        <w:t>万千伏安；新增</w:t>
      </w:r>
      <w:r>
        <w:rPr>
          <w:rFonts w:hint="eastAsia"/>
        </w:rPr>
        <w:t>220</w:t>
      </w:r>
      <w:r>
        <w:rPr>
          <w:rFonts w:hint="eastAsia"/>
        </w:rPr>
        <w:t>千伏及以上输电线路长度</w:t>
      </w:r>
      <w:r>
        <w:rPr>
          <w:rFonts w:hint="eastAsia"/>
        </w:rPr>
        <w:t>47,529</w:t>
      </w:r>
      <w:r>
        <w:rPr>
          <w:rFonts w:hint="eastAsia"/>
        </w:rPr>
        <w:t>千米，同比多投产</w:t>
      </w:r>
      <w:r>
        <w:rPr>
          <w:rFonts w:hint="eastAsia"/>
        </w:rPr>
        <w:t>13</w:t>
      </w:r>
      <w:r>
        <w:t>,</w:t>
      </w:r>
      <w:r>
        <w:rPr>
          <w:rFonts w:hint="eastAsia"/>
        </w:rPr>
        <w:t>814</w:t>
      </w:r>
      <w:r>
        <w:rPr>
          <w:rFonts w:hint="eastAsia"/>
        </w:rPr>
        <w:t>千米。交直流输电通道的建设打通区域电力输送动脉，资源配置能力进一步提</w:t>
      </w:r>
      <w:r>
        <w:rPr>
          <w:rFonts w:hint="eastAsia"/>
        </w:rPr>
        <w:lastRenderedPageBreak/>
        <w:t>高。</w:t>
      </w:r>
    </w:p>
    <w:p w14:paraId="16105F19" w14:textId="77777777" w:rsidR="00000000" w:rsidRDefault="00000000">
      <w:pPr>
        <w:spacing w:line="360" w:lineRule="exact"/>
        <w:ind w:firstLineChars="200" w:firstLine="420"/>
      </w:pPr>
      <w:r>
        <w:rPr>
          <w:rFonts w:hint="eastAsia"/>
        </w:rPr>
        <w:t>用电端的需求持续增长同时带动电力设备的市场需求增长。根据中电</w:t>
      </w:r>
      <w:proofErr w:type="gramStart"/>
      <w:r>
        <w:rPr>
          <w:rFonts w:hint="eastAsia"/>
        </w:rPr>
        <w:t>联发布</w:t>
      </w:r>
      <w:proofErr w:type="gramEnd"/>
      <w:r>
        <w:rPr>
          <w:rFonts w:hint="eastAsia"/>
        </w:rPr>
        <w:t>的《</w:t>
      </w:r>
      <w:r>
        <w:rPr>
          <w:rFonts w:hint="eastAsia"/>
        </w:rPr>
        <w:t>2025-2026</w:t>
      </w:r>
      <w:r>
        <w:rPr>
          <w:rFonts w:hint="eastAsia"/>
        </w:rPr>
        <w:t>年度全国电力供需形势分析预测报告》（以下简称“报告”）指出，</w:t>
      </w:r>
      <w:r>
        <w:rPr>
          <w:rFonts w:hint="eastAsia"/>
        </w:rPr>
        <w:t>2025</w:t>
      </w:r>
      <w:r>
        <w:rPr>
          <w:rFonts w:hint="eastAsia"/>
        </w:rPr>
        <w:t>年，我国全社会用电量规模首次突破</w:t>
      </w:r>
      <w:r>
        <w:rPr>
          <w:rFonts w:hint="eastAsia"/>
        </w:rPr>
        <w:t>10</w:t>
      </w:r>
      <w:proofErr w:type="gramStart"/>
      <w:r>
        <w:rPr>
          <w:rFonts w:hint="eastAsia"/>
        </w:rPr>
        <w:t>万亿</w:t>
      </w:r>
      <w:proofErr w:type="gramEnd"/>
      <w:r>
        <w:rPr>
          <w:rFonts w:hint="eastAsia"/>
        </w:rPr>
        <w:t>千瓦时，达</w:t>
      </w:r>
      <w:r>
        <w:rPr>
          <w:rFonts w:hint="eastAsia"/>
        </w:rPr>
        <w:t>10.37</w:t>
      </w:r>
      <w:proofErr w:type="gramStart"/>
      <w:r>
        <w:rPr>
          <w:rFonts w:hint="eastAsia"/>
        </w:rPr>
        <w:t>万亿</w:t>
      </w:r>
      <w:proofErr w:type="gramEnd"/>
      <w:r>
        <w:rPr>
          <w:rFonts w:hint="eastAsia"/>
        </w:rPr>
        <w:t>千瓦时，同比增长</w:t>
      </w:r>
      <w:r>
        <w:rPr>
          <w:rFonts w:hint="eastAsia"/>
        </w:rPr>
        <w:t>5.0%</w:t>
      </w:r>
      <w:r>
        <w:rPr>
          <w:rFonts w:hint="eastAsia"/>
        </w:rPr>
        <w:t>，稳居全球电力消费第一大国地位。“十四五”期间，全社会用电量年均增长</w:t>
      </w:r>
      <w:r>
        <w:rPr>
          <w:rFonts w:hint="eastAsia"/>
        </w:rPr>
        <w:t>6.6%</w:t>
      </w:r>
      <w:r>
        <w:rPr>
          <w:rFonts w:hint="eastAsia"/>
        </w:rPr>
        <w:t>，比“十三五”年均增速提高</w:t>
      </w:r>
      <w:r>
        <w:rPr>
          <w:rFonts w:hint="eastAsia"/>
        </w:rPr>
        <w:t>0.9</w:t>
      </w:r>
      <w:r>
        <w:rPr>
          <w:rFonts w:hint="eastAsia"/>
        </w:rPr>
        <w:t>个百分点。报告预测，</w:t>
      </w:r>
      <w:r>
        <w:rPr>
          <w:rFonts w:hint="eastAsia"/>
        </w:rPr>
        <w:t>2026</w:t>
      </w:r>
      <w:r>
        <w:rPr>
          <w:rFonts w:hint="eastAsia"/>
        </w:rPr>
        <w:t>年我国宏观经济将继续保持平稳增长，拉动电力消费需求平稳较快增长。综合判断，预计</w:t>
      </w:r>
      <w:r>
        <w:rPr>
          <w:rFonts w:hint="eastAsia"/>
        </w:rPr>
        <w:t>2026</w:t>
      </w:r>
      <w:r>
        <w:rPr>
          <w:rFonts w:hint="eastAsia"/>
        </w:rPr>
        <w:t>年全国全社会用电量</w:t>
      </w:r>
      <w:r>
        <w:rPr>
          <w:rFonts w:hint="eastAsia"/>
        </w:rPr>
        <w:t>10.9 -11</w:t>
      </w:r>
      <w:proofErr w:type="gramStart"/>
      <w:r>
        <w:rPr>
          <w:rFonts w:hint="eastAsia"/>
        </w:rPr>
        <w:t>万亿</w:t>
      </w:r>
      <w:proofErr w:type="gramEnd"/>
      <w:r>
        <w:rPr>
          <w:rFonts w:hint="eastAsia"/>
        </w:rPr>
        <w:t>千瓦时，同比增长</w:t>
      </w:r>
      <w:r>
        <w:rPr>
          <w:rFonts w:hint="eastAsia"/>
        </w:rPr>
        <w:t>5%</w:t>
      </w:r>
      <w:r>
        <w:rPr>
          <w:rFonts w:hint="eastAsia"/>
        </w:rPr>
        <w:t>—</w:t>
      </w:r>
      <w:r>
        <w:rPr>
          <w:rFonts w:hint="eastAsia"/>
        </w:rPr>
        <w:t>6%</w:t>
      </w:r>
      <w:r>
        <w:rPr>
          <w:rFonts w:hint="eastAsia"/>
        </w:rPr>
        <w:t>；预计全年统调最高用电负荷在</w:t>
      </w:r>
      <w:r>
        <w:rPr>
          <w:rFonts w:hint="eastAsia"/>
        </w:rPr>
        <w:t>15.7</w:t>
      </w:r>
      <w:proofErr w:type="gramStart"/>
      <w:r>
        <w:rPr>
          <w:rFonts w:hint="eastAsia"/>
        </w:rPr>
        <w:t>亿千</w:t>
      </w:r>
      <w:proofErr w:type="gramEnd"/>
      <w:r>
        <w:rPr>
          <w:rFonts w:hint="eastAsia"/>
        </w:rPr>
        <w:t>—</w:t>
      </w:r>
      <w:r>
        <w:rPr>
          <w:rFonts w:hint="eastAsia"/>
        </w:rPr>
        <w:t>16.3</w:t>
      </w:r>
      <w:r>
        <w:rPr>
          <w:rFonts w:hint="eastAsia"/>
        </w:rPr>
        <w:t>亿千瓦。预计</w:t>
      </w:r>
      <w:r>
        <w:rPr>
          <w:rFonts w:hint="eastAsia"/>
        </w:rPr>
        <w:t>2026</w:t>
      </w:r>
      <w:r>
        <w:rPr>
          <w:rFonts w:hint="eastAsia"/>
        </w:rPr>
        <w:t>年全年新增发电装机有望超过</w:t>
      </w:r>
      <w:r>
        <w:rPr>
          <w:rFonts w:hint="eastAsia"/>
        </w:rPr>
        <w:t>4</w:t>
      </w:r>
      <w:r>
        <w:rPr>
          <w:rFonts w:hint="eastAsia"/>
        </w:rPr>
        <w:t>亿千瓦，其中，新增新能源发电装机有望超过</w:t>
      </w:r>
      <w:r>
        <w:rPr>
          <w:rFonts w:hint="eastAsia"/>
        </w:rPr>
        <w:t>3</w:t>
      </w:r>
      <w:r>
        <w:rPr>
          <w:rFonts w:hint="eastAsia"/>
        </w:rPr>
        <w:t>亿千瓦。预计</w:t>
      </w:r>
      <w:r>
        <w:rPr>
          <w:rFonts w:hint="eastAsia"/>
        </w:rPr>
        <w:t>2026</w:t>
      </w:r>
      <w:r>
        <w:rPr>
          <w:rFonts w:hint="eastAsia"/>
        </w:rPr>
        <w:t>年太阳能发电装机规模将首次超过煤电装机规模，年底风电和太阳能发电合计装机规模达到总发电装机的一半。</w:t>
      </w:r>
    </w:p>
    <w:p w14:paraId="0D1CEFA4" w14:textId="77777777" w:rsidR="00000000" w:rsidRDefault="00000000">
      <w:pPr>
        <w:spacing w:line="360" w:lineRule="exact"/>
        <w:ind w:firstLineChars="200" w:firstLine="420"/>
      </w:pPr>
      <w:r>
        <w:rPr>
          <w:rFonts w:hint="eastAsia"/>
        </w:rPr>
        <w:t>2024</w:t>
      </w:r>
      <w:r>
        <w:rPr>
          <w:rFonts w:hint="eastAsia"/>
        </w:rPr>
        <w:t>年</w:t>
      </w:r>
      <w:r>
        <w:rPr>
          <w:rFonts w:hint="eastAsia"/>
        </w:rPr>
        <w:t>7</w:t>
      </w:r>
      <w:r>
        <w:rPr>
          <w:rFonts w:hint="eastAsia"/>
        </w:rPr>
        <w:t>月，国家发展改革委、国家能源局印发《加快构建新型电力系统行动方案（</w:t>
      </w:r>
      <w:r>
        <w:rPr>
          <w:rFonts w:hint="eastAsia"/>
        </w:rPr>
        <w:t>2024</w:t>
      </w:r>
      <w:r>
        <w:rPr>
          <w:rFonts w:hint="eastAsia"/>
        </w:rPr>
        <w:t>—</w:t>
      </w:r>
      <w:r>
        <w:rPr>
          <w:rFonts w:hint="eastAsia"/>
        </w:rPr>
        <w:t>2027</w:t>
      </w:r>
      <w:r>
        <w:rPr>
          <w:rFonts w:hint="eastAsia"/>
        </w:rPr>
        <w:t>年）》，明确提出在电网末端和大电网未覆盖地区建设一批智能微电网项目，并开展</w:t>
      </w:r>
      <w:r>
        <w:rPr>
          <w:rFonts w:hint="eastAsia"/>
        </w:rPr>
        <w:t>"</w:t>
      </w:r>
      <w:proofErr w:type="gramStart"/>
      <w:r>
        <w:rPr>
          <w:rFonts w:hint="eastAsia"/>
        </w:rPr>
        <w:t>算力与</w:t>
      </w:r>
      <w:proofErr w:type="gramEnd"/>
      <w:r>
        <w:rPr>
          <w:rFonts w:hint="eastAsia"/>
        </w:rPr>
        <w:t>电力协同</w:t>
      </w:r>
      <w:r>
        <w:rPr>
          <w:rFonts w:hint="eastAsia"/>
        </w:rPr>
        <w:t>"</w:t>
      </w:r>
      <w:r>
        <w:rPr>
          <w:rFonts w:hint="eastAsia"/>
        </w:rPr>
        <w:t>作为首批试点方向；</w:t>
      </w:r>
      <w:r>
        <w:rPr>
          <w:rFonts w:hint="eastAsia"/>
        </w:rPr>
        <w:t>2024</w:t>
      </w:r>
      <w:r>
        <w:rPr>
          <w:rFonts w:hint="eastAsia"/>
        </w:rPr>
        <w:t>年</w:t>
      </w:r>
      <w:r>
        <w:rPr>
          <w:rFonts w:hint="eastAsia"/>
        </w:rPr>
        <w:t>8</w:t>
      </w:r>
      <w:r>
        <w:rPr>
          <w:rFonts w:hint="eastAsia"/>
        </w:rPr>
        <w:t>月，国家发展改革委、国家能源局联合印发的《能源重点领域大规模设备更新实施方案》，方案特别强调</w:t>
      </w:r>
      <w:r>
        <w:rPr>
          <w:rFonts w:hint="eastAsia"/>
        </w:rPr>
        <w:t>"</w:t>
      </w:r>
      <w:r>
        <w:rPr>
          <w:rFonts w:hint="eastAsia"/>
        </w:rPr>
        <w:t>推进输配电设备更新和技术改造</w:t>
      </w:r>
      <w:r>
        <w:rPr>
          <w:rFonts w:hint="eastAsia"/>
        </w:rPr>
        <w:t>"</w:t>
      </w:r>
      <w:r>
        <w:rPr>
          <w:rFonts w:hint="eastAsia"/>
        </w:rPr>
        <w:t>，鼓励开展老旧变电站和输电线路整体改造，加快更新运行年限较长、不满足运行要求的变压器、高压开关等设备。同时，要求适度超前建设配电网，提升配电网承载力，以满足分布式新能源和电动汽车充电基础设施发展；</w:t>
      </w:r>
      <w:r>
        <w:rPr>
          <w:rFonts w:hint="eastAsia"/>
        </w:rPr>
        <w:t>2024</w:t>
      </w:r>
      <w:r>
        <w:rPr>
          <w:rFonts w:hint="eastAsia"/>
        </w:rPr>
        <w:t>年</w:t>
      </w:r>
      <w:r>
        <w:rPr>
          <w:rFonts w:hint="eastAsia"/>
        </w:rPr>
        <w:t>8</w:t>
      </w:r>
      <w:r>
        <w:rPr>
          <w:rFonts w:hint="eastAsia"/>
        </w:rPr>
        <w:t>月正式向社会公布《关于加快经济社会发展全面绿色转型的意见》，意见强调加快构建新型电力系统；</w:t>
      </w:r>
      <w:r>
        <w:rPr>
          <w:rFonts w:hint="eastAsia"/>
        </w:rPr>
        <w:t>2025</w:t>
      </w:r>
      <w:r>
        <w:rPr>
          <w:rFonts w:hint="eastAsia"/>
        </w:rPr>
        <w:t>年</w:t>
      </w:r>
      <w:r>
        <w:rPr>
          <w:rFonts w:hint="eastAsia"/>
        </w:rPr>
        <w:t>9</w:t>
      </w:r>
      <w:r>
        <w:rPr>
          <w:rFonts w:hint="eastAsia"/>
        </w:rPr>
        <w:t>月，工业和信息化部联合市场监管总局、国家能源局印发的《电力装备行业稳增长工作方案（</w:t>
      </w:r>
      <w:r>
        <w:rPr>
          <w:rFonts w:hint="eastAsia"/>
        </w:rPr>
        <w:t>2025</w:t>
      </w:r>
      <w:r>
        <w:rPr>
          <w:rFonts w:hint="eastAsia"/>
        </w:rPr>
        <w:t>—</w:t>
      </w:r>
      <w:r>
        <w:rPr>
          <w:rFonts w:hint="eastAsia"/>
        </w:rPr>
        <w:t>2026</w:t>
      </w:r>
      <w:r>
        <w:rPr>
          <w:rFonts w:hint="eastAsia"/>
        </w:rPr>
        <w:t>年）》为未来两年设定了明确的增长底线，方案提出到</w:t>
      </w:r>
      <w:r>
        <w:rPr>
          <w:rFonts w:hint="eastAsia"/>
        </w:rPr>
        <w:t>2026</w:t>
      </w:r>
      <w:r>
        <w:rPr>
          <w:rFonts w:hint="eastAsia"/>
        </w:rPr>
        <w:t>年，传统电力装备年均营收增速保持</w:t>
      </w:r>
      <w:r>
        <w:rPr>
          <w:rFonts w:hint="eastAsia"/>
        </w:rPr>
        <w:t>6%</w:t>
      </w:r>
      <w:r>
        <w:rPr>
          <w:rFonts w:hint="eastAsia"/>
        </w:rPr>
        <w:t>左右，龙头企业年均营收增速达到</w:t>
      </w:r>
      <w:r>
        <w:rPr>
          <w:rFonts w:hint="eastAsia"/>
        </w:rPr>
        <w:t>10%</w:t>
      </w:r>
      <w:r>
        <w:rPr>
          <w:rFonts w:hint="eastAsia"/>
        </w:rPr>
        <w:t>左右；</w:t>
      </w:r>
      <w:r>
        <w:rPr>
          <w:rFonts w:hint="eastAsia"/>
        </w:rPr>
        <w:t>2025</w:t>
      </w:r>
      <w:r>
        <w:rPr>
          <w:rFonts w:hint="eastAsia"/>
        </w:rPr>
        <w:t>年</w:t>
      </w:r>
      <w:r>
        <w:rPr>
          <w:rFonts w:hint="eastAsia"/>
        </w:rPr>
        <w:t>10</w:t>
      </w:r>
      <w:r>
        <w:rPr>
          <w:rFonts w:hint="eastAsia"/>
        </w:rPr>
        <w:t>月，《中共中央关于制定国民经济和社会发展第十五个五年规划的建议》将“全面提升电力系统互补互济和安全韧性水平，科学布局抽水蓄能，大力发</w:t>
      </w:r>
      <w:r>
        <w:rPr>
          <w:rFonts w:hint="eastAsia"/>
        </w:rPr>
        <w:t>展新型储能，加快智能电网和微电网建设”作为我国加快建设新型能源体系的一项重要发展目标。</w:t>
      </w:r>
    </w:p>
    <w:p w14:paraId="2A222AD7" w14:textId="77777777" w:rsidR="00000000" w:rsidRDefault="00000000">
      <w:pPr>
        <w:spacing w:line="360" w:lineRule="exact"/>
        <w:ind w:firstLineChars="200" w:firstLine="420"/>
      </w:pPr>
      <w:r>
        <w:rPr>
          <w:rFonts w:hint="eastAsia"/>
        </w:rPr>
        <w:t>近年来，国家能源局密集发布政策，推动配电环节新模式发展，输配电及控制设备领域需求持续向好。</w:t>
      </w:r>
    </w:p>
    <w:p w14:paraId="7BD23FC9" w14:textId="77777777" w:rsidR="00000000" w:rsidRDefault="00000000">
      <w:pPr>
        <w:spacing w:line="360" w:lineRule="exact"/>
        <w:ind w:firstLineChars="200" w:firstLine="422"/>
        <w:outlineLvl w:val="3"/>
        <w:rPr>
          <w:b/>
        </w:rPr>
      </w:pPr>
      <w:r>
        <w:rPr>
          <w:rFonts w:hint="eastAsia"/>
          <w:b/>
        </w:rPr>
        <w:t>2</w:t>
      </w:r>
      <w:r>
        <w:rPr>
          <w:rFonts w:hint="eastAsia"/>
          <w:b/>
        </w:rPr>
        <w:t>、主要技术门槛</w:t>
      </w:r>
    </w:p>
    <w:p w14:paraId="4BE5FF60" w14:textId="77777777" w:rsidR="00000000" w:rsidRDefault="00000000">
      <w:pPr>
        <w:spacing w:line="360" w:lineRule="exact"/>
        <w:ind w:firstLineChars="200" w:firstLine="420"/>
      </w:pPr>
      <w:r>
        <w:rPr>
          <w:rFonts w:hint="eastAsia"/>
        </w:rPr>
        <w:t>输配电及控制设备行业是电气自动化、微机继电保护技术、计算机网络与控制技术、通信技术、电磁兼容技术、软件开发技术、测量与控制、机械制造、高压绝缘、微电子技术、传感技术和数字处理技术等多种学科交叉的行业，企业需要有多年研发经验和运行经验的积累，以及深厚的技术储备。近年来，随着产品逐步向智能化、数字化、信息化、集成化、高效节能化的方向发展，智能电网技术标准体系的发布以及生产企业迈向数字化转型升级，都对行业内企业技术储备提出了更高的要求，需要企业大力投入研发，团队不断创新，致力于新技术与新产品的持续发展，</w:t>
      </w:r>
      <w:r>
        <w:rPr>
          <w:rFonts w:hint="eastAsia"/>
        </w:rPr>
        <w:t xml:space="preserve"> </w:t>
      </w:r>
      <w:r>
        <w:rPr>
          <w:rFonts w:hint="eastAsia"/>
        </w:rPr>
        <w:t>以满足下游应用的新需求。</w:t>
      </w:r>
    </w:p>
    <w:p w14:paraId="5182DB5E" w14:textId="77777777" w:rsidR="00000000" w:rsidRDefault="00000000">
      <w:pPr>
        <w:spacing w:line="360" w:lineRule="exact"/>
        <w:ind w:firstLineChars="200" w:firstLine="420"/>
      </w:pPr>
      <w:r>
        <w:rPr>
          <w:rFonts w:hint="eastAsia"/>
        </w:rPr>
        <w:t>公司产品广泛服务于多个关键行业领域，涵盖新能源（风能、光伏、储能）、新基建（</w:t>
      </w:r>
      <w:proofErr w:type="gramStart"/>
      <w:r>
        <w:rPr>
          <w:rFonts w:hint="eastAsia"/>
        </w:rPr>
        <w:t>含数据</w:t>
      </w:r>
      <w:proofErr w:type="gramEnd"/>
      <w:r>
        <w:rPr>
          <w:rFonts w:hint="eastAsia"/>
        </w:rPr>
        <w:t>中心）、工业企业电气配套、高端装备、传统发电及输配电等领域。通过深厚的技术积累与创新能力，公司致力于为上述领域提供高性能、高可靠性的电力变压器及其配套控制设备一体化解决方案，满足客户多样化的需求，助力行业高质量发展。</w:t>
      </w:r>
    </w:p>
    <w:p w14:paraId="242688A8" w14:textId="77777777" w:rsidR="00000000" w:rsidRDefault="00000000">
      <w:pPr>
        <w:spacing w:line="360" w:lineRule="exact"/>
        <w:ind w:firstLineChars="200" w:firstLine="422"/>
        <w:outlineLvl w:val="3"/>
        <w:rPr>
          <w:b/>
        </w:rPr>
      </w:pPr>
      <w:r>
        <w:rPr>
          <w:rFonts w:hint="eastAsia"/>
          <w:b/>
        </w:rPr>
        <w:t>3</w:t>
      </w:r>
      <w:r>
        <w:rPr>
          <w:rFonts w:hint="eastAsia"/>
          <w:b/>
        </w:rPr>
        <w:t>、行业地位</w:t>
      </w:r>
    </w:p>
    <w:p w14:paraId="755550E5" w14:textId="77777777" w:rsidR="00000000" w:rsidRDefault="00000000">
      <w:pPr>
        <w:spacing w:line="360" w:lineRule="exact"/>
        <w:ind w:firstLineChars="200" w:firstLine="420"/>
      </w:pPr>
      <w:r>
        <w:rPr>
          <w:rFonts w:hint="eastAsia"/>
        </w:rPr>
        <w:lastRenderedPageBreak/>
        <w:t>公司通过战略性</w:t>
      </w:r>
      <w:proofErr w:type="gramStart"/>
      <w:r>
        <w:rPr>
          <w:rFonts w:hint="eastAsia"/>
        </w:rPr>
        <w:t>并购云变</w:t>
      </w:r>
      <w:proofErr w:type="gramEnd"/>
      <w:r>
        <w:rPr>
          <w:rFonts w:hint="eastAsia"/>
        </w:rPr>
        <w:t>电气，实现输配电及控制设备业务的全面升级与跨越式发展。</w:t>
      </w:r>
    </w:p>
    <w:p w14:paraId="650D6669" w14:textId="77777777" w:rsidR="00000000" w:rsidRDefault="00000000">
      <w:pPr>
        <w:spacing w:line="360" w:lineRule="exact"/>
        <w:ind w:firstLineChars="200" w:firstLine="422"/>
        <w:outlineLvl w:val="4"/>
        <w:rPr>
          <w:b/>
        </w:rPr>
      </w:pPr>
      <w:r>
        <w:rPr>
          <w:rFonts w:hint="eastAsia"/>
          <w:b/>
        </w:rPr>
        <w:t>（</w:t>
      </w:r>
      <w:r>
        <w:rPr>
          <w:rFonts w:hint="eastAsia"/>
          <w:b/>
        </w:rPr>
        <w:t>1</w:t>
      </w:r>
      <w:r>
        <w:rPr>
          <w:rFonts w:hint="eastAsia"/>
          <w:b/>
        </w:rPr>
        <w:t>）产业链一体化优势突出，稳居行业前列</w:t>
      </w:r>
    </w:p>
    <w:p w14:paraId="4E1EC8D9" w14:textId="77777777" w:rsidR="00000000" w:rsidRDefault="00000000">
      <w:pPr>
        <w:spacing w:line="360" w:lineRule="exact"/>
        <w:ind w:firstLineChars="200" w:firstLine="420"/>
      </w:pPr>
      <w:r>
        <w:rPr>
          <w:rFonts w:hint="eastAsia"/>
        </w:rPr>
        <w:t>公司输配电及控制设备业务稳居行业前列。凭借“材料—装备—服务—运营”的产业链协同优势，公司是国内唯一实现“取向硅钢—变压器核心材料—电力变压器—成套电气设备”全产业链布局输配电企业之一。</w:t>
      </w:r>
    </w:p>
    <w:p w14:paraId="0E0C0C98" w14:textId="77777777" w:rsidR="00000000" w:rsidRDefault="00000000">
      <w:pPr>
        <w:spacing w:line="360" w:lineRule="exact"/>
        <w:ind w:firstLineChars="200" w:firstLine="422"/>
        <w:outlineLvl w:val="4"/>
        <w:rPr>
          <w:b/>
        </w:rPr>
      </w:pPr>
      <w:r>
        <w:rPr>
          <w:rFonts w:hint="eastAsia"/>
          <w:b/>
        </w:rPr>
        <w:t>（</w:t>
      </w:r>
      <w:r>
        <w:rPr>
          <w:rFonts w:hint="eastAsia"/>
          <w:b/>
        </w:rPr>
        <w:t>2</w:t>
      </w:r>
      <w:r>
        <w:rPr>
          <w:rFonts w:hint="eastAsia"/>
          <w:b/>
        </w:rPr>
        <w:t>）细分领域龙头地位</w:t>
      </w:r>
    </w:p>
    <w:p w14:paraId="7F4BDBF0" w14:textId="77777777" w:rsidR="00000000" w:rsidRDefault="00000000">
      <w:pPr>
        <w:spacing w:line="360" w:lineRule="exact"/>
        <w:ind w:firstLineChars="200" w:firstLine="420"/>
      </w:pPr>
      <w:r>
        <w:rPr>
          <w:rFonts w:hint="eastAsia"/>
        </w:rPr>
        <w:t>在铁路牵引变压器领域，公司控股</w:t>
      </w:r>
      <w:proofErr w:type="gramStart"/>
      <w:r>
        <w:rPr>
          <w:rFonts w:hint="eastAsia"/>
        </w:rPr>
        <w:t>子公司云变电气</w:t>
      </w:r>
      <w:proofErr w:type="gramEnd"/>
      <w:r>
        <w:rPr>
          <w:rFonts w:hint="eastAsia"/>
        </w:rPr>
        <w:t>作为我国电气化铁路牵引变压器领域的技术标杆，</w:t>
      </w:r>
      <w:proofErr w:type="gramStart"/>
      <w:r>
        <w:rPr>
          <w:rFonts w:hint="eastAsia"/>
        </w:rPr>
        <w:t>凭借近</w:t>
      </w:r>
      <w:proofErr w:type="gramEnd"/>
      <w:r>
        <w:rPr>
          <w:rFonts w:hint="eastAsia"/>
        </w:rPr>
        <w:t>90</w:t>
      </w:r>
      <w:r>
        <w:rPr>
          <w:rFonts w:hint="eastAsia"/>
        </w:rPr>
        <w:t>年专业积淀，持续引领行业创新发展，产品市场份额居全国首位。公司成功主导京张、</w:t>
      </w:r>
      <w:proofErr w:type="gramStart"/>
      <w:r>
        <w:rPr>
          <w:rFonts w:hint="eastAsia"/>
        </w:rPr>
        <w:t>京雄等</w:t>
      </w:r>
      <w:proofErr w:type="gramEnd"/>
      <w:r>
        <w:rPr>
          <w:rFonts w:hint="eastAsia"/>
        </w:rPr>
        <w:t>国家重点高铁项目，在铁路牵引变压器细分市场保持</w:t>
      </w:r>
      <w:r>
        <w:rPr>
          <w:rFonts w:hint="eastAsia"/>
        </w:rPr>
        <w:t>30%</w:t>
      </w:r>
      <w:r>
        <w:rPr>
          <w:rFonts w:hint="eastAsia"/>
        </w:rPr>
        <w:t>以上的领先市场份额。</w:t>
      </w:r>
    </w:p>
    <w:p w14:paraId="1C417349" w14:textId="77777777" w:rsidR="00000000" w:rsidRDefault="00000000">
      <w:pPr>
        <w:spacing w:line="360" w:lineRule="exact"/>
        <w:ind w:firstLineChars="200" w:firstLine="422"/>
        <w:outlineLvl w:val="4"/>
        <w:rPr>
          <w:b/>
        </w:rPr>
      </w:pPr>
      <w:r>
        <w:rPr>
          <w:rFonts w:hint="eastAsia"/>
          <w:b/>
        </w:rPr>
        <w:t>（</w:t>
      </w:r>
      <w:r>
        <w:rPr>
          <w:rFonts w:hint="eastAsia"/>
          <w:b/>
        </w:rPr>
        <w:t>3</w:t>
      </w:r>
      <w:r>
        <w:rPr>
          <w:rFonts w:hint="eastAsia"/>
          <w:b/>
        </w:rPr>
        <w:t>）技术与制造能力跃升</w:t>
      </w:r>
    </w:p>
    <w:p w14:paraId="15F07CFB" w14:textId="77777777" w:rsidR="00000000" w:rsidRDefault="00000000">
      <w:pPr>
        <w:spacing w:line="360" w:lineRule="exact"/>
        <w:ind w:firstLineChars="200" w:firstLine="420"/>
      </w:pPr>
      <w:r>
        <w:rPr>
          <w:rFonts w:hint="eastAsia"/>
        </w:rPr>
        <w:t>公司电力变压器电压等级从</w:t>
      </w:r>
      <w:r>
        <w:rPr>
          <w:rFonts w:hint="eastAsia"/>
        </w:rPr>
        <w:t>110kV</w:t>
      </w:r>
      <w:r>
        <w:rPr>
          <w:rFonts w:hint="eastAsia"/>
        </w:rPr>
        <w:t>跃升至</w:t>
      </w:r>
      <w:r>
        <w:rPr>
          <w:rFonts w:hint="eastAsia"/>
        </w:rPr>
        <w:t>500kV</w:t>
      </w:r>
      <w:r>
        <w:rPr>
          <w:rFonts w:hint="eastAsia"/>
        </w:rPr>
        <w:t>，实现供应能力向</w:t>
      </w:r>
      <w:r>
        <w:rPr>
          <w:rFonts w:hint="eastAsia"/>
        </w:rPr>
        <w:t>"</w:t>
      </w:r>
      <w:r>
        <w:rPr>
          <w:rFonts w:hint="eastAsia"/>
        </w:rPr>
        <w:t>上</w:t>
      </w:r>
      <w:r>
        <w:rPr>
          <w:rFonts w:hint="eastAsia"/>
        </w:rPr>
        <w:t>"</w:t>
      </w:r>
      <w:r>
        <w:rPr>
          <w:rFonts w:hint="eastAsia"/>
        </w:rPr>
        <w:t>跃升。</w:t>
      </w:r>
      <w:r>
        <w:rPr>
          <w:rFonts w:hint="eastAsia"/>
        </w:rPr>
        <w:t>2025</w:t>
      </w:r>
      <w:r>
        <w:rPr>
          <w:rFonts w:hint="eastAsia"/>
        </w:rPr>
        <w:t>年，公司自主研发的</w:t>
      </w:r>
      <w:r>
        <w:rPr>
          <w:rFonts w:hint="eastAsia"/>
        </w:rPr>
        <w:t>OSFPSZ18-250000/220</w:t>
      </w:r>
      <w:r>
        <w:rPr>
          <w:rFonts w:hint="eastAsia"/>
        </w:rPr>
        <w:t>自</w:t>
      </w:r>
      <w:proofErr w:type="gramStart"/>
      <w:r>
        <w:rPr>
          <w:rFonts w:hint="eastAsia"/>
        </w:rPr>
        <w:t>耦</w:t>
      </w:r>
      <w:proofErr w:type="gramEnd"/>
      <w:r>
        <w:rPr>
          <w:rFonts w:hint="eastAsia"/>
        </w:rPr>
        <w:t>电力变压器成功通过荷兰</w:t>
      </w:r>
      <w:r>
        <w:rPr>
          <w:rFonts w:hint="eastAsia"/>
        </w:rPr>
        <w:t>KEMA</w:t>
      </w:r>
      <w:r>
        <w:rPr>
          <w:rFonts w:hint="eastAsia"/>
        </w:rPr>
        <w:t>实验室全套认证测试，获得欧洲高端电力设备市场准入资格，正式跻身全球高端电力设备供应商行列。</w:t>
      </w:r>
    </w:p>
    <w:p w14:paraId="45F76B45" w14:textId="77777777" w:rsidR="00000000" w:rsidRDefault="00000000">
      <w:pPr>
        <w:spacing w:line="360" w:lineRule="exact"/>
        <w:ind w:firstLineChars="200" w:firstLine="422"/>
        <w:outlineLvl w:val="4"/>
        <w:rPr>
          <w:b/>
        </w:rPr>
      </w:pPr>
      <w:r>
        <w:rPr>
          <w:rFonts w:hint="eastAsia"/>
          <w:b/>
        </w:rPr>
        <w:t>（</w:t>
      </w:r>
      <w:r>
        <w:rPr>
          <w:rFonts w:hint="eastAsia"/>
          <w:b/>
        </w:rPr>
        <w:t>4</w:t>
      </w:r>
      <w:r>
        <w:rPr>
          <w:rFonts w:hint="eastAsia"/>
          <w:b/>
        </w:rPr>
        <w:t>）区域与战略布局</w:t>
      </w:r>
    </w:p>
    <w:p w14:paraId="3FDB17D9" w14:textId="77777777" w:rsidR="00000000" w:rsidRDefault="00000000">
      <w:pPr>
        <w:spacing w:line="360" w:lineRule="exact"/>
        <w:ind w:firstLineChars="200" w:firstLine="420"/>
      </w:pPr>
      <w:r>
        <w:rPr>
          <w:rFonts w:hint="eastAsia"/>
        </w:rPr>
        <w:t>公司已构建</w:t>
      </w:r>
      <w:r>
        <w:rPr>
          <w:rFonts w:hint="eastAsia"/>
        </w:rPr>
        <w:t>"</w:t>
      </w:r>
      <w:r>
        <w:rPr>
          <w:rFonts w:hint="eastAsia"/>
        </w:rPr>
        <w:t>立足西南、辐射全国、布局全球</w:t>
      </w:r>
      <w:r>
        <w:rPr>
          <w:rFonts w:hint="eastAsia"/>
        </w:rPr>
        <w:t>"</w:t>
      </w:r>
      <w:r>
        <w:rPr>
          <w:rFonts w:hint="eastAsia"/>
        </w:rPr>
        <w:t>的战略发展格局。作为中国西南地区领先的输配电设备制造商及全球铁路牵引变压器领域的核心供应商，公司与国家电网、中国电建等国内外核心客户建立了长期稳定的战略合作关系。同时，公司积极推动国际化进程，核心产品成功进入国际重大基建项目供应链，完成中</w:t>
      </w:r>
      <w:proofErr w:type="gramStart"/>
      <w:r>
        <w:rPr>
          <w:rFonts w:hint="eastAsia"/>
        </w:rPr>
        <w:t>国交建</w:t>
      </w:r>
      <w:proofErr w:type="gramEnd"/>
      <w:r>
        <w:rPr>
          <w:rFonts w:hint="eastAsia"/>
        </w:rPr>
        <w:t>马来西亚东海岸铁路项目牵引变压器交付，履约中海</w:t>
      </w:r>
      <w:proofErr w:type="gramStart"/>
      <w:r>
        <w:rPr>
          <w:rFonts w:hint="eastAsia"/>
        </w:rPr>
        <w:t>油相关</w:t>
      </w:r>
      <w:proofErr w:type="gramEnd"/>
      <w:r>
        <w:rPr>
          <w:rFonts w:hint="eastAsia"/>
        </w:rPr>
        <w:t>油气行业项目实现公司产品运用领域的新突破。</w:t>
      </w:r>
    </w:p>
    <w:p w14:paraId="532EBB3E" w14:textId="77777777" w:rsidR="00000000" w:rsidRDefault="00000000">
      <w:pPr>
        <w:spacing w:line="360" w:lineRule="exact"/>
        <w:ind w:firstLineChars="200" w:firstLine="422"/>
        <w:outlineLvl w:val="4"/>
        <w:rPr>
          <w:b/>
        </w:rPr>
      </w:pPr>
      <w:r>
        <w:rPr>
          <w:rFonts w:hint="eastAsia"/>
          <w:b/>
        </w:rPr>
        <w:t>（</w:t>
      </w:r>
      <w:r>
        <w:rPr>
          <w:rFonts w:hint="eastAsia"/>
          <w:b/>
        </w:rPr>
        <w:t>5</w:t>
      </w:r>
      <w:r>
        <w:rPr>
          <w:rFonts w:hint="eastAsia"/>
          <w:b/>
        </w:rPr>
        <w:t>）技术创新实力</w:t>
      </w:r>
    </w:p>
    <w:p w14:paraId="42D22A71" w14:textId="77777777" w:rsidR="00000000" w:rsidRDefault="00000000">
      <w:pPr>
        <w:spacing w:line="360" w:lineRule="exact"/>
        <w:ind w:firstLineChars="200" w:firstLine="420"/>
      </w:pPr>
      <w:r>
        <w:rPr>
          <w:rFonts w:hint="eastAsia"/>
        </w:rPr>
        <w:t>2025</w:t>
      </w:r>
      <w:r>
        <w:rPr>
          <w:rFonts w:hint="eastAsia"/>
        </w:rPr>
        <w:t>年，公司成功获批</w:t>
      </w:r>
      <w:r>
        <w:rPr>
          <w:rFonts w:hint="eastAsia"/>
        </w:rPr>
        <w:t>"</w:t>
      </w:r>
      <w:r>
        <w:rPr>
          <w:rFonts w:hint="eastAsia"/>
        </w:rPr>
        <w:t>国家企业技术中心</w:t>
      </w:r>
      <w:r>
        <w:rPr>
          <w:rFonts w:hint="eastAsia"/>
        </w:rPr>
        <w:t>"</w:t>
      </w:r>
      <w:r>
        <w:rPr>
          <w:rFonts w:hint="eastAsia"/>
        </w:rPr>
        <w:t>，跻身国家技术创新体系</w:t>
      </w:r>
      <w:r>
        <w:rPr>
          <w:rFonts w:hint="eastAsia"/>
        </w:rPr>
        <w:t>"</w:t>
      </w:r>
      <w:r>
        <w:rPr>
          <w:rFonts w:hint="eastAsia"/>
        </w:rPr>
        <w:t>第一梯队</w:t>
      </w:r>
      <w:r>
        <w:rPr>
          <w:rFonts w:hint="eastAsia"/>
        </w:rPr>
        <w:t>"</w:t>
      </w:r>
      <w:r>
        <w:rPr>
          <w:rFonts w:hint="eastAsia"/>
        </w:rPr>
        <w:t>。公司累计获专利授权</w:t>
      </w:r>
      <w:r>
        <w:rPr>
          <w:rFonts w:hint="eastAsia"/>
        </w:rPr>
        <w:t>300</w:t>
      </w:r>
      <w:r>
        <w:rPr>
          <w:rFonts w:hint="eastAsia"/>
        </w:rPr>
        <w:t>余项。高原特种变压器产品技术优势显著，成功应用于海拔</w:t>
      </w:r>
      <w:r>
        <w:rPr>
          <w:rFonts w:hint="eastAsia"/>
        </w:rPr>
        <w:t>5</w:t>
      </w:r>
      <w:r>
        <w:t>,</w:t>
      </w:r>
      <w:r>
        <w:rPr>
          <w:rFonts w:hint="eastAsia"/>
        </w:rPr>
        <w:t>100</w:t>
      </w:r>
      <w:r>
        <w:rPr>
          <w:rFonts w:hint="eastAsia"/>
        </w:rPr>
        <w:t>米的西藏措美</w:t>
      </w:r>
      <w:proofErr w:type="gramStart"/>
      <w:r>
        <w:rPr>
          <w:rFonts w:hint="eastAsia"/>
        </w:rPr>
        <w:t>哲</w:t>
      </w:r>
      <w:proofErr w:type="gramEnd"/>
      <w:r>
        <w:rPr>
          <w:rFonts w:hint="eastAsia"/>
        </w:rPr>
        <w:t>古风电场等重大项目，关键性能指标</w:t>
      </w:r>
      <w:proofErr w:type="gramStart"/>
      <w:r>
        <w:rPr>
          <w:rFonts w:hint="eastAsia"/>
        </w:rPr>
        <w:t>较行业</w:t>
      </w:r>
      <w:proofErr w:type="gramEnd"/>
      <w:r>
        <w:rPr>
          <w:rFonts w:hint="eastAsia"/>
        </w:rPr>
        <w:t>平均水平提升</w:t>
      </w:r>
      <w:r>
        <w:rPr>
          <w:rFonts w:hint="eastAsia"/>
        </w:rPr>
        <w:t>15%</w:t>
      </w:r>
      <w:r>
        <w:rPr>
          <w:rFonts w:hint="eastAsia"/>
        </w:rPr>
        <w:t>～</w:t>
      </w:r>
      <w:r>
        <w:rPr>
          <w:rFonts w:hint="eastAsia"/>
        </w:rPr>
        <w:t>20%</w:t>
      </w:r>
      <w:r>
        <w:rPr>
          <w:rFonts w:hint="eastAsia"/>
        </w:rPr>
        <w:t>。</w:t>
      </w:r>
    </w:p>
    <w:p w14:paraId="13B300A1" w14:textId="77777777" w:rsidR="00000000" w:rsidRDefault="00000000">
      <w:pPr>
        <w:spacing w:line="360" w:lineRule="exact"/>
        <w:ind w:firstLineChars="200" w:firstLine="420"/>
      </w:pPr>
      <w:r>
        <w:rPr>
          <w:rFonts w:hint="eastAsia"/>
        </w:rPr>
        <w:t>在国家持续加大铁路与电力基础设施投资、加速新型电力系统建设的背景下，公司将持续巩固区域及细分领域龙头地位，打造具有全球影响力的电力装备品牌。</w:t>
      </w:r>
    </w:p>
    <w:p w14:paraId="552BD037" w14:textId="77777777" w:rsidR="00000000" w:rsidRDefault="00000000">
      <w:pPr>
        <w:spacing w:line="360" w:lineRule="exact"/>
        <w:ind w:firstLineChars="200" w:firstLine="422"/>
        <w:outlineLvl w:val="2"/>
        <w:rPr>
          <w:b/>
        </w:rPr>
      </w:pPr>
      <w:r>
        <w:rPr>
          <w:rFonts w:hint="eastAsia"/>
          <w:b/>
        </w:rPr>
        <w:t>（二）取向硅钢业务行业情况</w:t>
      </w:r>
    </w:p>
    <w:p w14:paraId="0CDFC2DF" w14:textId="77777777" w:rsidR="00000000" w:rsidRDefault="00000000">
      <w:pPr>
        <w:spacing w:line="360" w:lineRule="exact"/>
        <w:ind w:firstLineChars="200" w:firstLine="422"/>
        <w:outlineLvl w:val="3"/>
        <w:rPr>
          <w:b/>
        </w:rPr>
      </w:pPr>
      <w:r>
        <w:rPr>
          <w:rFonts w:hint="eastAsia"/>
          <w:b/>
        </w:rPr>
        <w:t>1</w:t>
      </w:r>
      <w:r>
        <w:rPr>
          <w:rFonts w:hint="eastAsia"/>
          <w:b/>
        </w:rPr>
        <w:t>、行业基本情况和特点</w:t>
      </w:r>
    </w:p>
    <w:p w14:paraId="7F43A645" w14:textId="77777777" w:rsidR="00000000" w:rsidRDefault="00000000">
      <w:pPr>
        <w:spacing w:line="360" w:lineRule="exact"/>
        <w:ind w:firstLineChars="200" w:firstLine="420"/>
      </w:pPr>
      <w:r>
        <w:rPr>
          <w:rFonts w:hint="eastAsia"/>
        </w:rPr>
        <w:t>电工钢是中国式现代化建设、高质量发展及人民生活不可缺少的重要原材料，是电力行业的“芯片”，取向硅钢又是电工钢金字塔尖的产品，被誉为钢铁工业“皇冠上的明珠”，特别是高等级取向硅钢更是电力传输中必备的尖端功能材料，是各类电力变压器产品的关键原材料，主要用于电力变压器（铁心）的制造，还可应用于大型电机（水电、风电、火电）铁心等领域。</w:t>
      </w:r>
    </w:p>
    <w:p w14:paraId="614EAD49" w14:textId="77777777" w:rsidR="00000000" w:rsidRDefault="00000000">
      <w:pPr>
        <w:spacing w:line="360" w:lineRule="exact"/>
        <w:ind w:firstLineChars="200" w:firstLine="420"/>
      </w:pPr>
      <w:r>
        <w:rPr>
          <w:rFonts w:hint="eastAsia"/>
        </w:rPr>
        <w:t>高牌号取向硅钢市场需求将持续攀升。在国家政策和各类标准的带动下，近年来取向硅钢，特别是高牌号取向硅钢发展呈现新趋势，从历年取向硅钢价格走势看，价格涨跌基本形成了</w:t>
      </w:r>
      <w:r>
        <w:rPr>
          <w:rFonts w:hint="eastAsia"/>
        </w:rPr>
        <w:t>3</w:t>
      </w:r>
      <w:r>
        <w:rPr>
          <w:rFonts w:hint="eastAsia"/>
        </w:rPr>
        <w:t>至</w:t>
      </w:r>
      <w:r>
        <w:rPr>
          <w:rFonts w:hint="eastAsia"/>
        </w:rPr>
        <w:t>5</w:t>
      </w:r>
      <w:r>
        <w:rPr>
          <w:rFonts w:hint="eastAsia"/>
        </w:rPr>
        <w:t>年一次波动的规律，随着电力变压器能效升级的推进，预计未来一般取向硅钢的市场需求会继续减少，高磁感取向硅钢需求增加，取向硅钢价格在经历市场调整后将趋向稳定。</w:t>
      </w:r>
    </w:p>
    <w:p w14:paraId="225AAC0D" w14:textId="77777777" w:rsidR="00000000" w:rsidRDefault="00000000">
      <w:pPr>
        <w:spacing w:line="360" w:lineRule="exact"/>
        <w:ind w:firstLineChars="200" w:firstLine="420"/>
      </w:pPr>
      <w:r>
        <w:rPr>
          <w:rFonts w:hint="eastAsia"/>
        </w:rPr>
        <w:t>新兴市场需求日益增多刺激供大于求的情况。随着新能源汽车、高能效电力变压器及工业电机、抽水蓄能大型发电机等市场处于增量通道，硅钢整体表观需求呈现增长态势，其中也存在高等级的结构性机会。然而，随着资本市场及行业投资人的关注增加，高于需求增速的产能增速正</w:t>
      </w:r>
      <w:r>
        <w:rPr>
          <w:rFonts w:hint="eastAsia"/>
        </w:rPr>
        <w:lastRenderedPageBreak/>
        <w:t>在形成，这一方面导致整个行业供需态势正在向结构性过剩演变，一方面也是为进入新赛道的中国硅钢高质量发展注入新的潜能和动能。近年来，新能源汽车、特高压工程、高铁及轨道交通、智能家电、光伏发电、风电、数据中心等新兴领域对电工钢的需求也日益增多。</w:t>
      </w:r>
    </w:p>
    <w:p w14:paraId="0B874318" w14:textId="77777777" w:rsidR="00000000" w:rsidRDefault="00000000">
      <w:pPr>
        <w:spacing w:line="360" w:lineRule="exact"/>
        <w:ind w:firstLineChars="200" w:firstLine="420"/>
      </w:pPr>
      <w:r>
        <w:rPr>
          <w:rFonts w:hint="eastAsia"/>
        </w:rPr>
        <w:t>根据中国金属学会电工分会统计数据，</w:t>
      </w:r>
      <w:r>
        <w:rPr>
          <w:rFonts w:hint="eastAsia"/>
        </w:rPr>
        <w:t>2025</w:t>
      </w:r>
      <w:r>
        <w:rPr>
          <w:rFonts w:hint="eastAsia"/>
        </w:rPr>
        <w:t>年我国取向硅钢总产量为</w:t>
      </w:r>
      <w:r>
        <w:rPr>
          <w:rFonts w:hint="eastAsia"/>
        </w:rPr>
        <w:t>337</w:t>
      </w:r>
      <w:r>
        <w:rPr>
          <w:rFonts w:hint="eastAsia"/>
        </w:rPr>
        <w:t>万吨，较</w:t>
      </w:r>
      <w:r>
        <w:rPr>
          <w:rFonts w:hint="eastAsia"/>
        </w:rPr>
        <w:t>2024</w:t>
      </w:r>
      <w:r>
        <w:rPr>
          <w:rFonts w:hint="eastAsia"/>
        </w:rPr>
        <w:t>年增幅</w:t>
      </w:r>
      <w:r>
        <w:rPr>
          <w:rFonts w:hint="eastAsia"/>
        </w:rPr>
        <w:t>14.3%</w:t>
      </w:r>
      <w:r>
        <w:rPr>
          <w:rFonts w:hint="eastAsia"/>
        </w:rPr>
        <w:t>（</w:t>
      </w:r>
      <w:r>
        <w:rPr>
          <w:rFonts w:hint="eastAsia"/>
        </w:rPr>
        <w:t>2024</w:t>
      </w:r>
      <w:r>
        <w:rPr>
          <w:rFonts w:hint="eastAsia"/>
        </w:rPr>
        <w:t>年较</w:t>
      </w:r>
      <w:r>
        <w:rPr>
          <w:rFonts w:hint="eastAsia"/>
        </w:rPr>
        <w:t>2023</w:t>
      </w:r>
      <w:r>
        <w:rPr>
          <w:rFonts w:hint="eastAsia"/>
        </w:rPr>
        <w:t>年增长</w:t>
      </w:r>
      <w:r>
        <w:rPr>
          <w:rFonts w:hint="eastAsia"/>
        </w:rPr>
        <w:t>12%</w:t>
      </w:r>
      <w:r>
        <w:rPr>
          <w:rFonts w:hint="eastAsia"/>
        </w:rPr>
        <w:t>），其中民营企业产量为</w:t>
      </w:r>
      <w:r>
        <w:rPr>
          <w:rFonts w:hint="eastAsia"/>
        </w:rPr>
        <w:t>169</w:t>
      </w:r>
      <w:r>
        <w:rPr>
          <w:rFonts w:hint="eastAsia"/>
        </w:rPr>
        <w:t>万吨，占比过半。全国产能为</w:t>
      </w:r>
      <w:r>
        <w:rPr>
          <w:rFonts w:hint="eastAsia"/>
        </w:rPr>
        <w:t>402</w:t>
      </w:r>
      <w:r>
        <w:rPr>
          <w:rFonts w:hint="eastAsia"/>
        </w:rPr>
        <w:t>万吨，较</w:t>
      </w:r>
      <w:r>
        <w:rPr>
          <w:rFonts w:hint="eastAsia"/>
        </w:rPr>
        <w:t>2024</w:t>
      </w:r>
      <w:r>
        <w:rPr>
          <w:rFonts w:hint="eastAsia"/>
        </w:rPr>
        <w:t>年增加</w:t>
      </w:r>
      <w:r>
        <w:rPr>
          <w:rFonts w:hint="eastAsia"/>
        </w:rPr>
        <w:t>64</w:t>
      </w:r>
      <w:r>
        <w:rPr>
          <w:rFonts w:hint="eastAsia"/>
        </w:rPr>
        <w:t>万吨，增速平稳（</w:t>
      </w:r>
      <w:r>
        <w:rPr>
          <w:rFonts w:hint="eastAsia"/>
        </w:rPr>
        <w:t>2024</w:t>
      </w:r>
      <w:r>
        <w:rPr>
          <w:rFonts w:hint="eastAsia"/>
        </w:rPr>
        <w:t>年较</w:t>
      </w:r>
      <w:r>
        <w:rPr>
          <w:rFonts w:hint="eastAsia"/>
        </w:rPr>
        <w:t>2023</w:t>
      </w:r>
      <w:r>
        <w:rPr>
          <w:rFonts w:hint="eastAsia"/>
        </w:rPr>
        <w:t>年增长</w:t>
      </w:r>
      <w:r>
        <w:rPr>
          <w:rFonts w:hint="eastAsia"/>
        </w:rPr>
        <w:t>64</w:t>
      </w:r>
      <w:r>
        <w:rPr>
          <w:rFonts w:hint="eastAsia"/>
        </w:rPr>
        <w:t>万吨）。</w:t>
      </w:r>
      <w:r>
        <w:rPr>
          <w:rFonts w:hint="eastAsia"/>
        </w:rPr>
        <w:t xml:space="preserve"> </w:t>
      </w:r>
    </w:p>
    <w:p w14:paraId="5F25B76C" w14:textId="77777777" w:rsidR="00000000" w:rsidRDefault="00000000">
      <w:pPr>
        <w:spacing w:line="360" w:lineRule="exact"/>
        <w:ind w:firstLineChars="200" w:firstLine="422"/>
        <w:outlineLvl w:val="3"/>
        <w:rPr>
          <w:b/>
        </w:rPr>
      </w:pPr>
      <w:r>
        <w:rPr>
          <w:rFonts w:hint="eastAsia"/>
          <w:b/>
        </w:rPr>
        <w:t>2</w:t>
      </w:r>
      <w:r>
        <w:rPr>
          <w:rFonts w:hint="eastAsia"/>
          <w:b/>
        </w:rPr>
        <w:t>、主要技术门槛</w:t>
      </w:r>
    </w:p>
    <w:p w14:paraId="44FAA3EB" w14:textId="77777777" w:rsidR="00000000" w:rsidRDefault="00000000">
      <w:pPr>
        <w:spacing w:line="360" w:lineRule="exact"/>
        <w:ind w:firstLineChars="200" w:firstLine="420"/>
      </w:pPr>
      <w:r>
        <w:rPr>
          <w:rFonts w:hint="eastAsia"/>
        </w:rPr>
        <w:t>建国初期，我国取向硅钢主要依赖于向日本、美国、德国等国际厂商采购，</w:t>
      </w:r>
      <w:r>
        <w:rPr>
          <w:rFonts w:hint="eastAsia"/>
        </w:rPr>
        <w:t>1974</w:t>
      </w:r>
      <w:r>
        <w:rPr>
          <w:rFonts w:hint="eastAsia"/>
        </w:rPr>
        <w:t>年武汉钢铁（集团）有限公司自日本引进了全套一般取向硅钢装备和技术，并于</w:t>
      </w:r>
      <w:r>
        <w:rPr>
          <w:rFonts w:hint="eastAsia"/>
        </w:rPr>
        <w:t>1978</w:t>
      </w:r>
      <w:r>
        <w:rPr>
          <w:rFonts w:hint="eastAsia"/>
        </w:rPr>
        <w:t>年建成投产。</w:t>
      </w:r>
      <w:r>
        <w:rPr>
          <w:rFonts w:hint="eastAsia"/>
        </w:rPr>
        <w:t>1995</w:t>
      </w:r>
      <w:r>
        <w:rPr>
          <w:rFonts w:hint="eastAsia"/>
        </w:rPr>
        <w:t>年，武汉钢铁（集团）有限公司自日本引进了高磁感取向硅钢生产设备和技术。</w:t>
      </w:r>
      <w:r>
        <w:rPr>
          <w:rFonts w:hint="eastAsia"/>
        </w:rPr>
        <w:t>2007</w:t>
      </w:r>
      <w:r>
        <w:rPr>
          <w:rFonts w:hint="eastAsia"/>
        </w:rPr>
        <w:t>年底，我国仅有武汉钢铁（集团）有限公司可以生产取向硅钢，国内需求一半以上依赖进口。随着国内电网大规模建设，电力变压器需求相应以较大幅度增长，取向硅钢整体供不应求的局面较大程度抑制了电力变压器及铁心制造行业的市场化发展。</w:t>
      </w:r>
      <w:r>
        <w:rPr>
          <w:rFonts w:hint="eastAsia"/>
        </w:rPr>
        <w:t>2007</w:t>
      </w:r>
      <w:r>
        <w:rPr>
          <w:rFonts w:hint="eastAsia"/>
        </w:rPr>
        <w:t>年以后，武汉钢铁（集团）有限公司逐步进行产能扩张，宝钢集团有限公司、首钢集团有限公司等厂商纷纷投资建设取向硅钢生产线，我国取向硅钢产能大幅提高。</w:t>
      </w:r>
    </w:p>
    <w:p w14:paraId="5E6F479C" w14:textId="77777777" w:rsidR="00000000" w:rsidRDefault="00000000">
      <w:pPr>
        <w:spacing w:line="360" w:lineRule="exact"/>
        <w:ind w:firstLineChars="200" w:firstLine="420"/>
      </w:pPr>
      <w:r>
        <w:rPr>
          <w:rFonts w:hint="eastAsia"/>
        </w:rPr>
        <w:t>目前我国已生产出多规格、多牌号、更低铁损、更高磁感的取向硅钢，满足了国家电力工业高质量发展和电力变压器能效升级的需要，在我国特高压电网建设中，高磁感取向硅钢发挥了重要的作用。在这期间，我国经历了从依赖进口高磁感取向硅钢到基本使用国产高磁感取向硅钢的巨变。</w:t>
      </w:r>
    </w:p>
    <w:p w14:paraId="6E1B1252" w14:textId="77777777" w:rsidR="00000000" w:rsidRDefault="00000000">
      <w:pPr>
        <w:spacing w:line="360" w:lineRule="exact"/>
        <w:ind w:firstLineChars="200" w:firstLine="420"/>
      </w:pPr>
      <w:r>
        <w:rPr>
          <w:rFonts w:hint="eastAsia"/>
        </w:rPr>
        <w:t>取向硅钢，尤其是高磁感取向硅钢，因工艺窗口参数控制技术壁垒较高，国内能够生产高磁感取向硅钢的企业较少，行业内企业主要集中在大型的国有钢铁企业和较少数的民营企业。</w:t>
      </w:r>
    </w:p>
    <w:p w14:paraId="1F9ACE26" w14:textId="77777777" w:rsidR="00000000" w:rsidRDefault="00000000">
      <w:pPr>
        <w:spacing w:line="360" w:lineRule="exact"/>
        <w:ind w:firstLineChars="200" w:firstLine="422"/>
        <w:outlineLvl w:val="3"/>
        <w:rPr>
          <w:b/>
        </w:rPr>
      </w:pPr>
      <w:r>
        <w:rPr>
          <w:rFonts w:hint="eastAsia"/>
          <w:b/>
        </w:rPr>
        <w:t>3</w:t>
      </w:r>
      <w:r>
        <w:rPr>
          <w:rFonts w:hint="eastAsia"/>
          <w:b/>
        </w:rPr>
        <w:t>、行业地位</w:t>
      </w:r>
    </w:p>
    <w:p w14:paraId="10E3531C" w14:textId="77777777" w:rsidR="00000000" w:rsidRDefault="00000000">
      <w:pPr>
        <w:spacing w:line="360" w:lineRule="exact"/>
        <w:ind w:firstLineChars="200" w:firstLine="420"/>
      </w:pPr>
      <w:r>
        <w:rPr>
          <w:rFonts w:hint="eastAsia"/>
        </w:rPr>
        <w:t>公司取向硅钢业务保持强劲发展态势，通过持续技术创新与产能升级，巩固并提升了在行业中的领先地位。</w:t>
      </w:r>
    </w:p>
    <w:p w14:paraId="7BF821B3" w14:textId="77777777" w:rsidR="00000000" w:rsidRDefault="00000000">
      <w:pPr>
        <w:spacing w:line="360" w:lineRule="exact"/>
        <w:ind w:firstLineChars="200" w:firstLine="422"/>
        <w:outlineLvl w:val="4"/>
        <w:rPr>
          <w:b/>
        </w:rPr>
      </w:pPr>
      <w:r>
        <w:rPr>
          <w:rFonts w:hint="eastAsia"/>
          <w:b/>
        </w:rPr>
        <w:t>（</w:t>
      </w:r>
      <w:r>
        <w:rPr>
          <w:rFonts w:hint="eastAsia"/>
          <w:b/>
        </w:rPr>
        <w:t>1</w:t>
      </w:r>
      <w:r>
        <w:rPr>
          <w:rFonts w:hint="eastAsia"/>
          <w:b/>
        </w:rPr>
        <w:t>）产能规模位居全国前列</w:t>
      </w:r>
    </w:p>
    <w:p w14:paraId="7931C9A2" w14:textId="77777777" w:rsidR="00000000" w:rsidRDefault="00000000">
      <w:pPr>
        <w:spacing w:line="360" w:lineRule="exact"/>
        <w:ind w:firstLineChars="200" w:firstLine="420"/>
      </w:pPr>
      <w:r>
        <w:rPr>
          <w:rFonts w:hint="eastAsia"/>
        </w:rPr>
        <w:t>公司取向硅钢总产能</w:t>
      </w:r>
      <w:r>
        <w:rPr>
          <w:rFonts w:hint="eastAsia"/>
        </w:rPr>
        <w:t>18</w:t>
      </w:r>
      <w:r>
        <w:rPr>
          <w:rFonts w:hint="eastAsia"/>
        </w:rPr>
        <w:t>万吨，其中高牌号取向硅钢产能为</w:t>
      </w:r>
      <w:r>
        <w:rPr>
          <w:rFonts w:hint="eastAsia"/>
        </w:rPr>
        <w:t>13</w:t>
      </w:r>
      <w:r>
        <w:rPr>
          <w:rFonts w:hint="eastAsia"/>
        </w:rPr>
        <w:t>万吨。根据行业数据，公司取向硅钢产能规模居行业前列。</w:t>
      </w:r>
    </w:p>
    <w:p w14:paraId="06114491" w14:textId="77777777" w:rsidR="00000000" w:rsidRDefault="00000000">
      <w:pPr>
        <w:spacing w:line="360" w:lineRule="exact"/>
        <w:ind w:firstLineChars="200" w:firstLine="422"/>
        <w:outlineLvl w:val="4"/>
        <w:rPr>
          <w:b/>
        </w:rPr>
      </w:pPr>
      <w:r>
        <w:rPr>
          <w:rFonts w:hint="eastAsia"/>
          <w:b/>
        </w:rPr>
        <w:t>（</w:t>
      </w:r>
      <w:r>
        <w:rPr>
          <w:rFonts w:hint="eastAsia"/>
          <w:b/>
        </w:rPr>
        <w:t>2</w:t>
      </w:r>
      <w:r>
        <w:rPr>
          <w:rFonts w:hint="eastAsia"/>
          <w:b/>
        </w:rPr>
        <w:t>）产品结构持续高端化</w:t>
      </w:r>
    </w:p>
    <w:p w14:paraId="5F8013C4" w14:textId="77777777" w:rsidR="00000000" w:rsidRDefault="00000000">
      <w:pPr>
        <w:spacing w:line="360" w:lineRule="exact"/>
        <w:ind w:firstLineChars="200" w:firstLine="420"/>
      </w:pPr>
      <w:r>
        <w:rPr>
          <w:rFonts w:hint="eastAsia"/>
        </w:rPr>
        <w:t>公司持续推进高端化战略，产品结构不断优化，高牌号产品占</w:t>
      </w:r>
      <w:proofErr w:type="gramStart"/>
      <w:r>
        <w:rPr>
          <w:rFonts w:hint="eastAsia"/>
        </w:rPr>
        <w:t>比持续</w:t>
      </w:r>
      <w:proofErr w:type="gramEnd"/>
      <w:r>
        <w:rPr>
          <w:rFonts w:hint="eastAsia"/>
        </w:rPr>
        <w:t>提升。同时，公司成功攻克</w:t>
      </w:r>
      <w:r>
        <w:rPr>
          <w:rFonts w:hint="eastAsia"/>
        </w:rPr>
        <w:t>075</w:t>
      </w:r>
      <w:r>
        <w:rPr>
          <w:rFonts w:hint="eastAsia"/>
        </w:rPr>
        <w:t>牌号高磁感取向硅钢技术壁垒，成为行业内少数掌握</w:t>
      </w:r>
      <w:proofErr w:type="gramStart"/>
      <w:r>
        <w:rPr>
          <w:rFonts w:hint="eastAsia"/>
        </w:rPr>
        <w:t>该核心</w:t>
      </w:r>
      <w:proofErr w:type="gramEnd"/>
      <w:r>
        <w:rPr>
          <w:rFonts w:hint="eastAsia"/>
        </w:rPr>
        <w:t>技术的企业之一。</w:t>
      </w:r>
    </w:p>
    <w:p w14:paraId="4F831CAB" w14:textId="77777777" w:rsidR="00000000" w:rsidRDefault="00000000">
      <w:pPr>
        <w:spacing w:line="360" w:lineRule="exact"/>
        <w:ind w:firstLineChars="200" w:firstLine="422"/>
        <w:outlineLvl w:val="4"/>
        <w:rPr>
          <w:b/>
        </w:rPr>
      </w:pPr>
      <w:r>
        <w:rPr>
          <w:rFonts w:hint="eastAsia"/>
          <w:b/>
        </w:rPr>
        <w:t>（</w:t>
      </w:r>
      <w:r>
        <w:rPr>
          <w:rFonts w:hint="eastAsia"/>
          <w:b/>
        </w:rPr>
        <w:t>3</w:t>
      </w:r>
      <w:r>
        <w:rPr>
          <w:rFonts w:hint="eastAsia"/>
          <w:b/>
        </w:rPr>
        <w:t>）技术创新实力显著提升</w:t>
      </w:r>
    </w:p>
    <w:p w14:paraId="73EFBD7C" w14:textId="77777777" w:rsidR="00000000" w:rsidRDefault="00000000">
      <w:pPr>
        <w:spacing w:line="360" w:lineRule="exact"/>
        <w:ind w:firstLineChars="200" w:firstLine="420"/>
      </w:pPr>
      <w:r>
        <w:rPr>
          <w:rFonts w:hint="eastAsia"/>
        </w:rPr>
        <w:t>公司科技创新成果持续增加：</w:t>
      </w:r>
      <w:r>
        <w:rPr>
          <w:rFonts w:hint="eastAsia"/>
        </w:rPr>
        <w:t>2</w:t>
      </w:r>
      <w:r>
        <w:t>025</w:t>
      </w:r>
      <w:r>
        <w:rPr>
          <w:rFonts w:hint="eastAsia"/>
        </w:rPr>
        <w:t>年全年申请专利</w:t>
      </w:r>
      <w:r>
        <w:rPr>
          <w:rFonts w:hint="eastAsia"/>
        </w:rPr>
        <w:t>73</w:t>
      </w:r>
      <w:r>
        <w:rPr>
          <w:rFonts w:hint="eastAsia"/>
        </w:rPr>
        <w:t>项，获得授权</w:t>
      </w:r>
      <w:r>
        <w:rPr>
          <w:rFonts w:hint="eastAsia"/>
        </w:rPr>
        <w:t>42</w:t>
      </w:r>
      <w:r>
        <w:rPr>
          <w:rFonts w:hint="eastAsia"/>
        </w:rPr>
        <w:t>项；与中国钢</w:t>
      </w:r>
      <w:proofErr w:type="gramStart"/>
      <w:r>
        <w:rPr>
          <w:rFonts w:hint="eastAsia"/>
        </w:rPr>
        <w:t>研</w:t>
      </w:r>
      <w:proofErr w:type="gramEnd"/>
      <w:r>
        <w:rPr>
          <w:rFonts w:hint="eastAsia"/>
        </w:rPr>
        <w:t>科技集团连铸技术国家工程研究中心、重庆大学、重庆理工大学、重庆交通大学、重庆邮电大学、重庆科技大学、中南大学、武汉科技大学、中国科学院物理所、松山</w:t>
      </w:r>
      <w:proofErr w:type="gramStart"/>
      <w:r>
        <w:rPr>
          <w:rFonts w:hint="eastAsia"/>
        </w:rPr>
        <w:t>湖材料</w:t>
      </w:r>
      <w:proofErr w:type="gramEnd"/>
      <w:r>
        <w:rPr>
          <w:rFonts w:hint="eastAsia"/>
        </w:rPr>
        <w:t>实验室等高校及机构联合开展实验室，共建研发平台；参与两项国际标准制定，掌握行业话语权。公司成功获</w:t>
      </w:r>
      <w:proofErr w:type="gramStart"/>
      <w:r>
        <w:rPr>
          <w:rFonts w:hint="eastAsia"/>
        </w:rPr>
        <w:t>批国家</w:t>
      </w:r>
      <w:proofErr w:type="gramEnd"/>
      <w:r>
        <w:rPr>
          <w:rFonts w:hint="eastAsia"/>
        </w:rPr>
        <w:t>企业技术中心及国家级博士后科研工作站，科研实力再上新台阶。</w:t>
      </w:r>
    </w:p>
    <w:p w14:paraId="4F45376E" w14:textId="77777777" w:rsidR="00000000" w:rsidRDefault="00000000">
      <w:pPr>
        <w:spacing w:line="360" w:lineRule="exact"/>
        <w:ind w:firstLineChars="200" w:firstLine="422"/>
        <w:outlineLvl w:val="4"/>
        <w:rPr>
          <w:b/>
        </w:rPr>
      </w:pPr>
      <w:r>
        <w:rPr>
          <w:rFonts w:hint="eastAsia"/>
          <w:b/>
        </w:rPr>
        <w:t>（</w:t>
      </w:r>
      <w:r>
        <w:rPr>
          <w:rFonts w:hint="eastAsia"/>
          <w:b/>
        </w:rPr>
        <w:t>4</w:t>
      </w:r>
      <w:r>
        <w:rPr>
          <w:rFonts w:hint="eastAsia"/>
          <w:b/>
        </w:rPr>
        <w:t>）国际化布局持续深化</w:t>
      </w:r>
    </w:p>
    <w:p w14:paraId="2D6C5AB1" w14:textId="77777777" w:rsidR="00000000" w:rsidRDefault="00000000">
      <w:pPr>
        <w:spacing w:line="360" w:lineRule="exact"/>
        <w:ind w:firstLineChars="200" w:firstLine="420"/>
      </w:pPr>
      <w:r>
        <w:rPr>
          <w:rFonts w:hint="eastAsia"/>
        </w:rPr>
        <w:t>公司取向硅钢产品远销东南亚、中东、欧美等地区，客户主要涉及印度、沙特、土耳其、墨</w:t>
      </w:r>
      <w:r>
        <w:rPr>
          <w:rFonts w:hint="eastAsia"/>
        </w:rPr>
        <w:lastRenderedPageBreak/>
        <w:t>西哥、新加坡、南非、泰国、加拿大等国家。公司与伊藤忠丸红钢铁、浦项国际贸易、</w:t>
      </w:r>
      <w:proofErr w:type="gramStart"/>
      <w:r>
        <w:rPr>
          <w:rFonts w:hint="eastAsia"/>
        </w:rPr>
        <w:t>美达王等</w:t>
      </w:r>
      <w:proofErr w:type="gramEnd"/>
      <w:r>
        <w:rPr>
          <w:rFonts w:hint="eastAsia"/>
        </w:rPr>
        <w:t>国际知名企业建立稳定的战略合作关系，国际化业务持续深化。</w:t>
      </w:r>
    </w:p>
    <w:p w14:paraId="30E00913" w14:textId="77777777" w:rsidR="00000000" w:rsidRDefault="00000000">
      <w:pPr>
        <w:spacing w:line="360" w:lineRule="exact"/>
        <w:ind w:firstLineChars="200" w:firstLine="422"/>
        <w:outlineLvl w:val="4"/>
        <w:rPr>
          <w:b/>
        </w:rPr>
      </w:pPr>
      <w:r>
        <w:rPr>
          <w:rFonts w:hint="eastAsia"/>
          <w:b/>
        </w:rPr>
        <w:t>（</w:t>
      </w:r>
      <w:r>
        <w:rPr>
          <w:rFonts w:hint="eastAsia"/>
          <w:b/>
        </w:rPr>
        <w:t>5</w:t>
      </w:r>
      <w:r>
        <w:rPr>
          <w:rFonts w:hint="eastAsia"/>
          <w:b/>
        </w:rPr>
        <w:t>）产业链协同优势凸显</w:t>
      </w:r>
    </w:p>
    <w:p w14:paraId="1DC8F067" w14:textId="77777777" w:rsidR="00000000" w:rsidRDefault="00000000">
      <w:pPr>
        <w:spacing w:line="360" w:lineRule="exact"/>
        <w:ind w:firstLineChars="200" w:firstLine="420"/>
      </w:pPr>
      <w:r>
        <w:rPr>
          <w:rFonts w:hint="eastAsia"/>
        </w:rPr>
        <w:t>公司构建起从取向硅钢—硅钢铁心—电力变压器—箱式变电站</w:t>
      </w:r>
      <w:r>
        <w:rPr>
          <w:rFonts w:hint="eastAsia"/>
        </w:rPr>
        <w:t>/</w:t>
      </w:r>
      <w:r>
        <w:rPr>
          <w:rFonts w:hint="eastAsia"/>
        </w:rPr>
        <w:t>成套电气设备—检修运维安装服务</w:t>
      </w:r>
      <w:r>
        <w:rPr>
          <w:rFonts w:hint="eastAsia"/>
        </w:rPr>
        <w:t>-</w:t>
      </w:r>
      <w:r>
        <w:rPr>
          <w:rFonts w:hint="eastAsia"/>
        </w:rPr>
        <w:t>电动汽车充电业务的一体化产业链，成为国内少数实现取向硅钢原材料自给与输配电及控制设备产业协同的企业之一。</w:t>
      </w:r>
    </w:p>
    <w:p w14:paraId="40BB525F" w14:textId="77777777" w:rsidR="00000000" w:rsidRDefault="00000000">
      <w:pPr>
        <w:spacing w:line="360" w:lineRule="exact"/>
        <w:ind w:firstLineChars="200" w:firstLine="422"/>
        <w:outlineLvl w:val="2"/>
        <w:rPr>
          <w:b/>
        </w:rPr>
      </w:pPr>
      <w:r>
        <w:rPr>
          <w:rFonts w:hint="eastAsia"/>
          <w:b/>
        </w:rPr>
        <w:t>（三）电动汽车充电业务行业情况</w:t>
      </w:r>
    </w:p>
    <w:p w14:paraId="6D53CDC4" w14:textId="77777777" w:rsidR="00000000" w:rsidRDefault="00000000">
      <w:pPr>
        <w:spacing w:line="360" w:lineRule="exact"/>
        <w:ind w:firstLineChars="200" w:firstLine="422"/>
        <w:outlineLvl w:val="3"/>
        <w:rPr>
          <w:b/>
        </w:rPr>
      </w:pPr>
      <w:r>
        <w:rPr>
          <w:rFonts w:hint="eastAsia"/>
          <w:b/>
        </w:rPr>
        <w:t>1</w:t>
      </w:r>
      <w:r>
        <w:rPr>
          <w:rFonts w:hint="eastAsia"/>
          <w:b/>
        </w:rPr>
        <w:t>、行业基本情况和特点</w:t>
      </w:r>
    </w:p>
    <w:p w14:paraId="4309CE71" w14:textId="77777777" w:rsidR="00000000" w:rsidRDefault="00000000">
      <w:pPr>
        <w:spacing w:line="360" w:lineRule="exact"/>
        <w:ind w:firstLineChars="200" w:firstLine="420"/>
      </w:pPr>
      <w:r>
        <w:rPr>
          <w:rFonts w:hint="eastAsia"/>
        </w:rPr>
        <w:t>电动汽车及充电基础设施行业，是国家大力支持发展的行业。</w:t>
      </w:r>
      <w:r>
        <w:rPr>
          <w:rFonts w:hint="eastAsia"/>
        </w:rPr>
        <w:t xml:space="preserve">2023 </w:t>
      </w:r>
      <w:r>
        <w:rPr>
          <w:rFonts w:hint="eastAsia"/>
        </w:rPr>
        <w:t>年</w:t>
      </w:r>
      <w:r>
        <w:rPr>
          <w:rFonts w:hint="eastAsia"/>
        </w:rPr>
        <w:t>12</w:t>
      </w:r>
      <w:r>
        <w:rPr>
          <w:rFonts w:hint="eastAsia"/>
        </w:rPr>
        <w:t>月，国家发展改革委、国家能源局、工信部和市场监管总局联合印发《国家发展改革委等部门关于加强新能源汽车与电网融合互动的实施意见》，明确提出到</w:t>
      </w:r>
      <w:r>
        <w:rPr>
          <w:rFonts w:hint="eastAsia"/>
        </w:rPr>
        <w:t>2030</w:t>
      </w:r>
      <w:r>
        <w:rPr>
          <w:rFonts w:hint="eastAsia"/>
        </w:rPr>
        <w:t>年，</w:t>
      </w:r>
      <w:proofErr w:type="gramStart"/>
      <w:r>
        <w:rPr>
          <w:rFonts w:hint="eastAsia"/>
        </w:rPr>
        <w:t>我国车网互动</w:t>
      </w:r>
      <w:proofErr w:type="gramEnd"/>
      <w:r>
        <w:rPr>
          <w:rFonts w:hint="eastAsia"/>
        </w:rPr>
        <w:t>技术标准体系基本建成，</w:t>
      </w:r>
      <w:proofErr w:type="gramStart"/>
      <w:r>
        <w:rPr>
          <w:rFonts w:hint="eastAsia"/>
        </w:rPr>
        <w:t>车网互动</w:t>
      </w:r>
      <w:proofErr w:type="gramEnd"/>
      <w:r>
        <w:rPr>
          <w:rFonts w:hint="eastAsia"/>
        </w:rPr>
        <w:t>实现规模化应用，智能有序充电全面推广，新能源汽车成为电化学储能体系的重要组成部分，力争为电力系统提供千万千瓦级的双向灵活性调节能力；</w:t>
      </w:r>
      <w:r>
        <w:rPr>
          <w:rFonts w:hint="eastAsia"/>
        </w:rPr>
        <w:t>2024</w:t>
      </w:r>
      <w:r>
        <w:rPr>
          <w:rFonts w:hint="eastAsia"/>
        </w:rPr>
        <w:t>年</w:t>
      </w:r>
      <w:r>
        <w:rPr>
          <w:rFonts w:hint="eastAsia"/>
        </w:rPr>
        <w:t>7</w:t>
      </w:r>
      <w:r>
        <w:rPr>
          <w:rFonts w:hint="eastAsia"/>
        </w:rPr>
        <w:t>月，中共中央、国务院发布《关于加快经济社会发展全面绿色转型的意见》，提出要大力推广新能源汽车，推动城市公共服务车辆电动化替代。到</w:t>
      </w:r>
      <w:r>
        <w:rPr>
          <w:rFonts w:hint="eastAsia"/>
        </w:rPr>
        <w:t>2035</w:t>
      </w:r>
      <w:r>
        <w:rPr>
          <w:rFonts w:hint="eastAsia"/>
        </w:rPr>
        <w:t>年，新能源汽车成为新销售车辆的主流。</w:t>
      </w:r>
      <w:r>
        <w:rPr>
          <w:rFonts w:hint="eastAsia"/>
        </w:rPr>
        <w:t>2024</w:t>
      </w:r>
      <w:r>
        <w:rPr>
          <w:rFonts w:hint="eastAsia"/>
        </w:rPr>
        <w:t>年</w:t>
      </w:r>
      <w:r>
        <w:rPr>
          <w:rFonts w:hint="eastAsia"/>
        </w:rPr>
        <w:t>8</w:t>
      </w:r>
      <w:r>
        <w:rPr>
          <w:rFonts w:hint="eastAsia"/>
        </w:rPr>
        <w:t>月，国家发展改革委办公厅等部门发布《关于推动车网互动规模化应用试点工作的通知》，全面推广新能源汽车有序充电，扩大双向充放电（</w:t>
      </w:r>
      <w:r>
        <w:rPr>
          <w:rFonts w:hint="eastAsia"/>
        </w:rPr>
        <w:t>V2G</w:t>
      </w:r>
      <w:r>
        <w:rPr>
          <w:rFonts w:hint="eastAsia"/>
        </w:rPr>
        <w:t>）项目规模，</w:t>
      </w:r>
      <w:proofErr w:type="gramStart"/>
      <w:r>
        <w:rPr>
          <w:rFonts w:hint="eastAsia"/>
        </w:rPr>
        <w:t>丰富车网</w:t>
      </w:r>
      <w:proofErr w:type="gramEnd"/>
      <w:r>
        <w:rPr>
          <w:rFonts w:hint="eastAsia"/>
        </w:rPr>
        <w:t>互动应用场景，力争以市场化机制</w:t>
      </w:r>
      <w:proofErr w:type="gramStart"/>
      <w:r>
        <w:rPr>
          <w:rFonts w:hint="eastAsia"/>
        </w:rPr>
        <w:t>引导车网互动</w:t>
      </w:r>
      <w:proofErr w:type="gramEnd"/>
      <w:r>
        <w:rPr>
          <w:rFonts w:hint="eastAsia"/>
        </w:rPr>
        <w:t>规模化发展；</w:t>
      </w:r>
      <w:r>
        <w:rPr>
          <w:rFonts w:hint="eastAsia"/>
        </w:rPr>
        <w:t>2024</w:t>
      </w:r>
      <w:r>
        <w:rPr>
          <w:rFonts w:hint="eastAsia"/>
        </w:rPr>
        <w:t>年</w:t>
      </w:r>
      <w:r>
        <w:rPr>
          <w:rFonts w:hint="eastAsia"/>
        </w:rPr>
        <w:t>11</w:t>
      </w:r>
      <w:r>
        <w:rPr>
          <w:rFonts w:hint="eastAsia"/>
        </w:rPr>
        <w:t>月，国家能源局发布了《关于支持电力领域新型经营主体创新发展的指导意见》。</w:t>
      </w:r>
    </w:p>
    <w:p w14:paraId="6A4190CD" w14:textId="77777777" w:rsidR="00000000" w:rsidRDefault="00000000">
      <w:pPr>
        <w:spacing w:line="360" w:lineRule="exact"/>
        <w:ind w:firstLineChars="200" w:firstLine="420"/>
      </w:pPr>
      <w:r>
        <w:rPr>
          <w:rFonts w:hint="eastAsia"/>
        </w:rPr>
        <w:t>自</w:t>
      </w:r>
      <w:r>
        <w:rPr>
          <w:rFonts w:hint="eastAsia"/>
        </w:rPr>
        <w:t>2009</w:t>
      </w:r>
      <w:r>
        <w:rPr>
          <w:rFonts w:hint="eastAsia"/>
        </w:rPr>
        <w:t>年我国启动“十城千辆节能与新能源汽车示范推广应用工程”以来，我国政府不断加大力度促进</w:t>
      </w:r>
      <w:proofErr w:type="gramStart"/>
      <w:r>
        <w:rPr>
          <w:rFonts w:hint="eastAsia"/>
        </w:rPr>
        <w:t>新能源重卡的</w:t>
      </w:r>
      <w:proofErr w:type="gramEnd"/>
      <w:r>
        <w:rPr>
          <w:rFonts w:hint="eastAsia"/>
        </w:rPr>
        <w:t>普及。众多补贴和扶持方案陆续出台下，</w:t>
      </w:r>
      <w:proofErr w:type="gramStart"/>
      <w:r>
        <w:rPr>
          <w:rFonts w:hint="eastAsia"/>
        </w:rPr>
        <w:t>电动重卡行业</w:t>
      </w:r>
      <w:proofErr w:type="gramEnd"/>
      <w:r>
        <w:rPr>
          <w:rFonts w:hint="eastAsia"/>
        </w:rPr>
        <w:t>快速发展。政策不仅包括直接的补贴和税费减免，还有路权、产业规划等系统性的支持。</w:t>
      </w:r>
      <w:r>
        <w:rPr>
          <w:rFonts w:hint="eastAsia"/>
        </w:rPr>
        <w:t>2023</w:t>
      </w:r>
      <w:r>
        <w:rPr>
          <w:rFonts w:hint="eastAsia"/>
        </w:rPr>
        <w:t>年，工信部联合七部门发布了《关于组织开展公共领域车辆全面电动化先行区试点工作的通知》，标志着全国范围内公共领域车辆全面电动化试点工作的启动。该试点工作特别强调提高包括城市物流配送在内的新能源汽车使用比例，目标达到</w:t>
      </w:r>
      <w:r>
        <w:rPr>
          <w:rFonts w:hint="eastAsia"/>
        </w:rPr>
        <w:t>80%</w:t>
      </w:r>
      <w:r>
        <w:rPr>
          <w:rFonts w:hint="eastAsia"/>
        </w:rPr>
        <w:t>。这一政策转变清楚地表明，国家政策将继续为新能源</w:t>
      </w:r>
      <w:proofErr w:type="gramStart"/>
      <w:r>
        <w:rPr>
          <w:rFonts w:hint="eastAsia"/>
        </w:rPr>
        <w:t>物流车</w:t>
      </w:r>
      <w:proofErr w:type="gramEnd"/>
      <w:r>
        <w:rPr>
          <w:rFonts w:hint="eastAsia"/>
        </w:rPr>
        <w:t>的发展提供坚实的支持，推动商用车市场的电动化渗透率持续提升。</w:t>
      </w:r>
    </w:p>
    <w:p w14:paraId="705CFAD0" w14:textId="77777777" w:rsidR="00000000" w:rsidRDefault="00000000">
      <w:pPr>
        <w:spacing w:line="360" w:lineRule="exact"/>
        <w:ind w:firstLineChars="200" w:firstLine="420"/>
      </w:pPr>
      <w:r>
        <w:rPr>
          <w:rFonts w:hint="eastAsia"/>
        </w:rPr>
        <w:t>随着电动汽车的迅速普及以及</w:t>
      </w:r>
      <w:proofErr w:type="gramStart"/>
      <w:r>
        <w:rPr>
          <w:rFonts w:hint="eastAsia"/>
        </w:rPr>
        <w:t>电动重卡的</w:t>
      </w:r>
      <w:proofErr w:type="gramEnd"/>
      <w:r>
        <w:rPr>
          <w:rFonts w:hint="eastAsia"/>
        </w:rPr>
        <w:t>广泛应用，充电基础设施的建设投入也持续加大，近年来，云南、重庆等地均发布一系列规划政策鼓励新能源汽车</w:t>
      </w:r>
      <w:proofErr w:type="gramStart"/>
      <w:r>
        <w:rPr>
          <w:rFonts w:hint="eastAsia"/>
        </w:rPr>
        <w:t>超充站设施</w:t>
      </w:r>
      <w:proofErr w:type="gramEnd"/>
      <w:r>
        <w:rPr>
          <w:rFonts w:hint="eastAsia"/>
        </w:rPr>
        <w:t>建设。</w:t>
      </w:r>
      <w:r>
        <w:rPr>
          <w:rFonts w:hint="eastAsia"/>
        </w:rPr>
        <w:t>2025</w:t>
      </w:r>
      <w:r>
        <w:rPr>
          <w:rFonts w:hint="eastAsia"/>
        </w:rPr>
        <w:t>年</w:t>
      </w:r>
      <w:r>
        <w:rPr>
          <w:rFonts w:hint="eastAsia"/>
        </w:rPr>
        <w:t>7</w:t>
      </w:r>
      <w:r>
        <w:rPr>
          <w:rFonts w:hint="eastAsia"/>
        </w:rPr>
        <w:t>月，《云南省公路重卡充换电基础设施布局规划（</w:t>
      </w:r>
      <w:r>
        <w:rPr>
          <w:rFonts w:hint="eastAsia"/>
        </w:rPr>
        <w:t>2026</w:t>
      </w:r>
      <w:r>
        <w:rPr>
          <w:rFonts w:hint="eastAsia"/>
        </w:rPr>
        <w:t>—</w:t>
      </w:r>
      <w:r>
        <w:rPr>
          <w:rFonts w:hint="eastAsia"/>
        </w:rPr>
        <w:t>2030</w:t>
      </w:r>
      <w:r>
        <w:rPr>
          <w:rFonts w:hint="eastAsia"/>
        </w:rPr>
        <w:t>年）》（征求意见稿）提出到</w:t>
      </w:r>
      <w:r>
        <w:rPr>
          <w:rFonts w:hint="eastAsia"/>
        </w:rPr>
        <w:t>2030</w:t>
      </w:r>
      <w:r>
        <w:rPr>
          <w:rFonts w:hint="eastAsia"/>
        </w:rPr>
        <w:t>年，计划在主要货运干线、重点口岸、昆明、曲靖、玉溪等主要工业园区内部及周边交通要道、云南省主要矿产资源集中区域以及公路运输与铁路、水路、航空运输等多式联运的衔接区域，</w:t>
      </w:r>
      <w:proofErr w:type="gramStart"/>
      <w:r>
        <w:rPr>
          <w:rFonts w:hint="eastAsia"/>
        </w:rPr>
        <w:t>建成充换电站</w:t>
      </w:r>
      <w:proofErr w:type="gramEnd"/>
      <w:r>
        <w:rPr>
          <w:rFonts w:hint="eastAsia"/>
        </w:rPr>
        <w:t>570</w:t>
      </w:r>
      <w:r>
        <w:rPr>
          <w:rFonts w:hint="eastAsia"/>
        </w:rPr>
        <w:t>座。重庆市</w:t>
      </w:r>
      <w:proofErr w:type="gramStart"/>
      <w:r>
        <w:rPr>
          <w:rFonts w:hint="eastAsia"/>
        </w:rPr>
        <w:t>经信委亦于</w:t>
      </w:r>
      <w:proofErr w:type="gramEnd"/>
      <w:r>
        <w:rPr>
          <w:rFonts w:hint="eastAsia"/>
        </w:rPr>
        <w:t>2025</w:t>
      </w:r>
      <w:r>
        <w:rPr>
          <w:rFonts w:hint="eastAsia"/>
        </w:rPr>
        <w:t>年</w:t>
      </w:r>
      <w:r>
        <w:rPr>
          <w:rFonts w:hint="eastAsia"/>
        </w:rPr>
        <w:t>7</w:t>
      </w:r>
      <w:r>
        <w:rPr>
          <w:rFonts w:hint="eastAsia"/>
        </w:rPr>
        <w:t>月发布公开征求对《重庆市智能网联新能源汽车产业链“渝链智擎”行动计划（</w:t>
      </w:r>
      <w:r>
        <w:rPr>
          <w:rFonts w:hint="eastAsia"/>
        </w:rPr>
        <w:t>2025-2027</w:t>
      </w:r>
      <w:r>
        <w:rPr>
          <w:rFonts w:hint="eastAsia"/>
        </w:rPr>
        <w:t>）》的意见，文件指出进一步规范</w:t>
      </w:r>
      <w:proofErr w:type="gramStart"/>
      <w:r>
        <w:rPr>
          <w:rFonts w:hint="eastAsia"/>
        </w:rPr>
        <w:t>充换电基础</w:t>
      </w:r>
      <w:proofErr w:type="gramEnd"/>
      <w:r>
        <w:rPr>
          <w:rFonts w:hint="eastAsia"/>
        </w:rPr>
        <w:t>设施“投建运退”等重点环节。进一步加密中心城区和主城</w:t>
      </w:r>
      <w:proofErr w:type="gramStart"/>
      <w:r>
        <w:rPr>
          <w:rFonts w:hint="eastAsia"/>
        </w:rPr>
        <w:t>新区超充站</w:t>
      </w:r>
      <w:proofErr w:type="gramEnd"/>
      <w:r>
        <w:rPr>
          <w:rFonts w:hint="eastAsia"/>
        </w:rPr>
        <w:t>布局，鼓励两个地区对满足条件的公共</w:t>
      </w:r>
      <w:proofErr w:type="gramStart"/>
      <w:r>
        <w:rPr>
          <w:rFonts w:hint="eastAsia"/>
        </w:rPr>
        <w:t>快充站进行</w:t>
      </w:r>
      <w:proofErr w:type="gramEnd"/>
      <w:r>
        <w:rPr>
          <w:rFonts w:hint="eastAsia"/>
        </w:rPr>
        <w:t>改造升级。有序推进电动重型</w:t>
      </w:r>
      <w:proofErr w:type="gramStart"/>
      <w:r>
        <w:rPr>
          <w:rFonts w:hint="eastAsia"/>
        </w:rPr>
        <w:t>货车超充站</w:t>
      </w:r>
      <w:proofErr w:type="gramEnd"/>
      <w:r>
        <w:rPr>
          <w:rFonts w:hint="eastAsia"/>
        </w:rPr>
        <w:t>建设。加速双向充放电基础设施建设。建立</w:t>
      </w:r>
      <w:proofErr w:type="gramStart"/>
      <w:r>
        <w:rPr>
          <w:rFonts w:hint="eastAsia"/>
        </w:rPr>
        <w:t>健全车网</w:t>
      </w:r>
      <w:proofErr w:type="gramEnd"/>
      <w:r>
        <w:rPr>
          <w:rFonts w:hint="eastAsia"/>
        </w:rPr>
        <w:t>互动市场交易机制，打造一批双向充放电示范项目，加速公共充电站智能有序充电功能应用。到</w:t>
      </w:r>
      <w:r>
        <w:rPr>
          <w:rFonts w:hint="eastAsia"/>
        </w:rPr>
        <w:t>2027</w:t>
      </w:r>
      <w:r>
        <w:rPr>
          <w:rFonts w:hint="eastAsia"/>
        </w:rPr>
        <w:t>年，力争全市建成投用</w:t>
      </w:r>
      <w:proofErr w:type="gramStart"/>
      <w:r>
        <w:rPr>
          <w:rFonts w:hint="eastAsia"/>
        </w:rPr>
        <w:t>超充站</w:t>
      </w:r>
      <w:r>
        <w:rPr>
          <w:rFonts w:hint="eastAsia"/>
        </w:rPr>
        <w:t>2000</w:t>
      </w:r>
      <w:r>
        <w:rPr>
          <w:rFonts w:hint="eastAsia"/>
        </w:rPr>
        <w:t>座</w:t>
      </w:r>
      <w:proofErr w:type="gramEnd"/>
      <w:r>
        <w:rPr>
          <w:rFonts w:hint="eastAsia"/>
        </w:rPr>
        <w:t>以上。</w:t>
      </w:r>
    </w:p>
    <w:p w14:paraId="3A0EDE72" w14:textId="77777777" w:rsidR="00000000" w:rsidRDefault="00000000">
      <w:pPr>
        <w:spacing w:line="360" w:lineRule="exact"/>
        <w:ind w:firstLineChars="200" w:firstLine="420"/>
      </w:pPr>
      <w:r>
        <w:rPr>
          <w:rFonts w:hint="eastAsia"/>
        </w:rPr>
        <w:t>电动</w:t>
      </w:r>
      <w:proofErr w:type="gramStart"/>
      <w:r>
        <w:rPr>
          <w:rFonts w:hint="eastAsia"/>
        </w:rPr>
        <w:t>重卡普及</w:t>
      </w:r>
      <w:proofErr w:type="gramEnd"/>
      <w:r>
        <w:rPr>
          <w:rFonts w:hint="eastAsia"/>
        </w:rPr>
        <w:t>推动电动汽车超</w:t>
      </w:r>
      <w:proofErr w:type="gramStart"/>
      <w:r>
        <w:rPr>
          <w:rFonts w:hint="eastAsia"/>
        </w:rPr>
        <w:t>充站行业</w:t>
      </w:r>
      <w:proofErr w:type="gramEnd"/>
      <w:r>
        <w:rPr>
          <w:rFonts w:hint="eastAsia"/>
        </w:rPr>
        <w:t>将迎来巨大发展空间。</w:t>
      </w:r>
    </w:p>
    <w:p w14:paraId="67789002" w14:textId="77777777" w:rsidR="00000000" w:rsidRDefault="00000000">
      <w:pPr>
        <w:spacing w:line="360" w:lineRule="exact"/>
        <w:ind w:firstLineChars="200" w:firstLine="422"/>
        <w:outlineLvl w:val="3"/>
        <w:rPr>
          <w:b/>
        </w:rPr>
      </w:pPr>
      <w:r>
        <w:rPr>
          <w:rFonts w:hint="eastAsia"/>
          <w:b/>
        </w:rPr>
        <w:lastRenderedPageBreak/>
        <w:t>2</w:t>
      </w:r>
      <w:r>
        <w:rPr>
          <w:rFonts w:hint="eastAsia"/>
          <w:b/>
        </w:rPr>
        <w:t>、主要技术门槛</w:t>
      </w:r>
    </w:p>
    <w:p w14:paraId="17397957" w14:textId="77777777" w:rsidR="00000000" w:rsidRDefault="00000000">
      <w:pPr>
        <w:spacing w:line="360" w:lineRule="exact"/>
        <w:ind w:firstLineChars="200" w:firstLine="420"/>
      </w:pPr>
      <w:r>
        <w:rPr>
          <w:rFonts w:hint="eastAsia"/>
        </w:rPr>
        <w:t>新能源汽车充电业务正处于从“够用”向“快充”升级的关键期，</w:t>
      </w:r>
      <w:proofErr w:type="gramStart"/>
      <w:r>
        <w:rPr>
          <w:rFonts w:hint="eastAsia"/>
        </w:rPr>
        <w:t>而重卡充电</w:t>
      </w:r>
      <w:proofErr w:type="gramEnd"/>
      <w:r>
        <w:rPr>
          <w:rFonts w:hint="eastAsia"/>
        </w:rPr>
        <w:t>由于其兆瓦级功率需求，技术门槛呈现</w:t>
      </w:r>
      <w:proofErr w:type="gramStart"/>
      <w:r>
        <w:rPr>
          <w:rFonts w:hint="eastAsia"/>
        </w:rPr>
        <w:t>指数级</w:t>
      </w:r>
      <w:proofErr w:type="gramEnd"/>
      <w:r>
        <w:rPr>
          <w:rFonts w:hint="eastAsia"/>
        </w:rPr>
        <w:t>提升。当前行业的核心矛盾在于“充电效率”与“电网</w:t>
      </w:r>
      <w:r>
        <w:rPr>
          <w:rFonts w:hint="eastAsia"/>
        </w:rPr>
        <w:t>/</w:t>
      </w:r>
      <w:r>
        <w:rPr>
          <w:rFonts w:hint="eastAsia"/>
        </w:rPr>
        <w:t>设备承载力”之间的平衡。随着</w:t>
      </w:r>
      <w:r>
        <w:rPr>
          <w:rFonts w:hint="eastAsia"/>
        </w:rPr>
        <w:t>800V</w:t>
      </w:r>
      <w:r>
        <w:rPr>
          <w:rFonts w:hint="eastAsia"/>
        </w:rPr>
        <w:t>高压车型普及，通用门槛主要集中在大功率散热技术，即要实现</w:t>
      </w:r>
      <w:r>
        <w:rPr>
          <w:rFonts w:hint="eastAsia"/>
        </w:rPr>
        <w:t>250kW</w:t>
      </w:r>
      <w:r>
        <w:rPr>
          <w:rFonts w:hint="eastAsia"/>
        </w:rPr>
        <w:t>以上的超充，传统风冷枪线难以承受</w:t>
      </w:r>
      <w:r>
        <w:rPr>
          <w:rFonts w:hint="eastAsia"/>
        </w:rPr>
        <w:t>400-600A</w:t>
      </w:r>
      <w:r>
        <w:rPr>
          <w:rFonts w:hint="eastAsia"/>
        </w:rPr>
        <w:t>的大电流，必须采用液冷技术。液冷终端通过循环冷却液带走热量，使枪线更轻便且能</w:t>
      </w:r>
      <w:proofErr w:type="gramStart"/>
      <w:r>
        <w:rPr>
          <w:rFonts w:hint="eastAsia"/>
        </w:rPr>
        <w:t>满足长</w:t>
      </w:r>
      <w:proofErr w:type="gramEnd"/>
      <w:r>
        <w:rPr>
          <w:rFonts w:hint="eastAsia"/>
        </w:rPr>
        <w:t>时间高功率输出，但目前成本较高，尚未大规模普及。</w:t>
      </w:r>
    </w:p>
    <w:p w14:paraId="12F0C591" w14:textId="77777777" w:rsidR="00000000" w:rsidRDefault="00000000">
      <w:pPr>
        <w:spacing w:line="360" w:lineRule="exact"/>
        <w:ind w:firstLineChars="200" w:firstLine="420"/>
      </w:pPr>
      <w:r>
        <w:rPr>
          <w:rFonts w:hint="eastAsia"/>
        </w:rPr>
        <w:t>另外大规模</w:t>
      </w:r>
      <w:proofErr w:type="gramStart"/>
      <w:r>
        <w:rPr>
          <w:rFonts w:hint="eastAsia"/>
        </w:rPr>
        <w:t>快充对电网</w:t>
      </w:r>
      <w:proofErr w:type="gramEnd"/>
      <w:r>
        <w:rPr>
          <w:rFonts w:hint="eastAsia"/>
        </w:rPr>
        <w:t>造成冲击，需要充电模块具备</w:t>
      </w:r>
      <w:r>
        <w:rPr>
          <w:rFonts w:hint="eastAsia"/>
        </w:rPr>
        <w:t>V2G</w:t>
      </w:r>
      <w:r>
        <w:rPr>
          <w:rFonts w:hint="eastAsia"/>
        </w:rPr>
        <w:t>（</w:t>
      </w:r>
      <w:proofErr w:type="gramStart"/>
      <w:r>
        <w:rPr>
          <w:rFonts w:hint="eastAsia"/>
        </w:rPr>
        <w:t>车网互动</w:t>
      </w:r>
      <w:proofErr w:type="gramEnd"/>
      <w:r>
        <w:rPr>
          <w:rFonts w:hint="eastAsia"/>
        </w:rPr>
        <w:t>）</w:t>
      </w:r>
      <w:proofErr w:type="gramStart"/>
      <w:r>
        <w:rPr>
          <w:rFonts w:hint="eastAsia"/>
        </w:rPr>
        <w:t>或储充</w:t>
      </w:r>
      <w:proofErr w:type="gramEnd"/>
      <w:r>
        <w:rPr>
          <w:rFonts w:hint="eastAsia"/>
        </w:rPr>
        <w:t>一体化功能以实现削峰填谷。此外，中国汽车工业协会正在推进《车桩融合大功率充电安全预警技术指南》，要求设备具备高精度绝缘检测和热失控预警能力。</w:t>
      </w:r>
    </w:p>
    <w:p w14:paraId="39D7FFAD" w14:textId="77777777" w:rsidR="00000000" w:rsidRDefault="00000000">
      <w:pPr>
        <w:spacing w:line="360" w:lineRule="exact"/>
        <w:ind w:firstLineChars="200" w:firstLine="422"/>
        <w:outlineLvl w:val="3"/>
        <w:rPr>
          <w:b/>
        </w:rPr>
      </w:pPr>
      <w:r>
        <w:rPr>
          <w:rFonts w:hint="eastAsia"/>
          <w:b/>
        </w:rPr>
        <w:t>3</w:t>
      </w:r>
      <w:r>
        <w:rPr>
          <w:rFonts w:hint="eastAsia"/>
          <w:b/>
        </w:rPr>
        <w:t>、行业地位</w:t>
      </w:r>
    </w:p>
    <w:p w14:paraId="2E786BF0" w14:textId="77777777" w:rsidR="00000000" w:rsidRDefault="00000000">
      <w:pPr>
        <w:spacing w:line="360" w:lineRule="exact"/>
        <w:ind w:firstLineChars="200" w:firstLine="420"/>
      </w:pPr>
      <w:r>
        <w:rPr>
          <w:rFonts w:hint="eastAsia"/>
        </w:rPr>
        <w:t>公司电动汽车充电业务依托输配电设备深厚技术积淀与取向硅钢全产业链优势，通过兆瓦级智能变充一体设备及预制舱变电站等原创性技术创新，</w:t>
      </w:r>
      <w:proofErr w:type="gramStart"/>
      <w:r>
        <w:rPr>
          <w:rFonts w:hint="eastAsia"/>
        </w:rPr>
        <w:t>在重卡超</w:t>
      </w:r>
      <w:proofErr w:type="gramEnd"/>
      <w:r>
        <w:rPr>
          <w:rFonts w:hint="eastAsia"/>
        </w:rPr>
        <w:t>充细分赛道确立差异化竞争优势，成为行业领先的兆瓦级超</w:t>
      </w:r>
      <w:proofErr w:type="gramStart"/>
      <w:r>
        <w:rPr>
          <w:rFonts w:hint="eastAsia"/>
        </w:rPr>
        <w:t>充基础</w:t>
      </w:r>
      <w:proofErr w:type="gramEnd"/>
      <w:r>
        <w:rPr>
          <w:rFonts w:hint="eastAsia"/>
        </w:rPr>
        <w:t>设施整体解决方案提供商。</w:t>
      </w:r>
    </w:p>
    <w:p w14:paraId="5CD192BA" w14:textId="77777777" w:rsidR="00000000" w:rsidRDefault="00000000">
      <w:pPr>
        <w:spacing w:line="360" w:lineRule="exact"/>
        <w:ind w:firstLine="540"/>
      </w:pPr>
      <w:r>
        <w:rPr>
          <w:rFonts w:ascii="宋体" w:hAnsi="宋体" w:hint="eastAsia"/>
        </w:rPr>
        <w:t>公司加入华为牵头打造的超充联盟</w:t>
      </w:r>
      <w:r>
        <w:t>2.0</w:t>
      </w:r>
      <w:r>
        <w:rPr>
          <w:rFonts w:ascii="宋体" w:hAnsi="宋体" w:hint="eastAsia"/>
        </w:rPr>
        <w:t>，通过整合产业链资源，构建</w:t>
      </w:r>
      <w:r>
        <w:t>“</w:t>
      </w:r>
      <w:r>
        <w:rPr>
          <w:rFonts w:ascii="宋体" w:hAnsi="宋体" w:hint="eastAsia"/>
        </w:rPr>
        <w:t>技术</w:t>
      </w:r>
      <w:r>
        <w:t>-</w:t>
      </w:r>
      <w:r>
        <w:rPr>
          <w:rFonts w:ascii="宋体" w:hAnsi="宋体" w:hint="eastAsia"/>
        </w:rPr>
        <w:t>产品</w:t>
      </w:r>
      <w:r>
        <w:t>-</w:t>
      </w:r>
      <w:r>
        <w:rPr>
          <w:rFonts w:ascii="宋体" w:hAnsi="宋体" w:hint="eastAsia"/>
        </w:rPr>
        <w:t>网络</w:t>
      </w:r>
      <w:r>
        <w:t>”</w:t>
      </w:r>
      <w:r>
        <w:rPr>
          <w:rFonts w:ascii="宋体" w:hAnsi="宋体" w:hint="eastAsia"/>
        </w:rPr>
        <w:t>协同生态，推动兆瓦</w:t>
      </w:r>
      <w:proofErr w:type="gramStart"/>
      <w:r>
        <w:rPr>
          <w:rFonts w:ascii="宋体" w:hAnsi="宋体" w:hint="eastAsia"/>
        </w:rPr>
        <w:t>超充从技术</w:t>
      </w:r>
      <w:proofErr w:type="gramEnd"/>
      <w:r>
        <w:rPr>
          <w:rFonts w:ascii="宋体" w:hAnsi="宋体" w:hint="eastAsia"/>
        </w:rPr>
        <w:t>方案走向规模化应用</w:t>
      </w:r>
      <w:r>
        <w:rPr>
          <w:rFonts w:ascii="宋体" w:hAnsi="宋体"/>
        </w:rPr>
        <w:t>。</w:t>
      </w:r>
    </w:p>
    <w:p w14:paraId="6EF6E0C7" w14:textId="77777777" w:rsidR="00000000" w:rsidRDefault="00000000">
      <w:pPr>
        <w:spacing w:line="360" w:lineRule="exact"/>
        <w:ind w:firstLineChars="200" w:firstLine="420"/>
      </w:pPr>
      <w:r>
        <w:rPr>
          <w:rFonts w:ascii="宋体" w:hAnsi="宋体" w:hint="eastAsia"/>
        </w:rPr>
        <w:t>目前，超充联盟</w:t>
      </w:r>
      <w:r>
        <w:t>2.0</w:t>
      </w:r>
      <w:r>
        <w:rPr>
          <w:rFonts w:ascii="宋体" w:hAnsi="宋体" w:hint="eastAsia"/>
        </w:rPr>
        <w:t>已形成强大的产业聚合效应。联盟成员涵盖</w:t>
      </w:r>
      <w:proofErr w:type="gramStart"/>
      <w:r>
        <w:rPr>
          <w:rFonts w:ascii="宋体" w:hAnsi="宋体" w:hint="eastAsia"/>
        </w:rPr>
        <w:t>北奔重汽</w:t>
      </w:r>
      <w:proofErr w:type="gramEnd"/>
      <w:r>
        <w:rPr>
          <w:rFonts w:ascii="宋体" w:hAnsi="宋体" w:hint="eastAsia"/>
        </w:rPr>
        <w:t>、东风商用车、徐工汽车等超</w:t>
      </w:r>
      <w:r>
        <w:t>10</w:t>
      </w:r>
      <w:r>
        <w:rPr>
          <w:rFonts w:ascii="宋体" w:hAnsi="宋体" w:hint="eastAsia"/>
        </w:rPr>
        <w:t>家主流重卡车企，计划年底前推出</w:t>
      </w:r>
      <w:r>
        <w:t>59</w:t>
      </w:r>
      <w:r>
        <w:rPr>
          <w:rFonts w:ascii="宋体" w:hAnsi="宋体" w:hint="eastAsia"/>
        </w:rPr>
        <w:t>款兆瓦超</w:t>
      </w:r>
      <w:proofErr w:type="gramStart"/>
      <w:r>
        <w:rPr>
          <w:rFonts w:ascii="宋体" w:hAnsi="宋体" w:hint="eastAsia"/>
        </w:rPr>
        <w:t>充重卡</w:t>
      </w:r>
      <w:proofErr w:type="gramEnd"/>
      <w:r>
        <w:rPr>
          <w:rFonts w:ascii="宋体" w:hAnsi="宋体" w:hint="eastAsia"/>
        </w:rPr>
        <w:t>，其中</w:t>
      </w:r>
      <w:r>
        <w:t>22</w:t>
      </w:r>
      <w:r>
        <w:rPr>
          <w:rFonts w:ascii="宋体" w:hAnsi="宋体" w:hint="eastAsia"/>
        </w:rPr>
        <w:t>款已实现交付，覆盖港口集疏运、矿山运输、干线物流等高频作业场</w:t>
      </w:r>
      <w:r>
        <w:rPr>
          <w:rFonts w:ascii="宋体" w:hAnsi="宋体"/>
        </w:rPr>
        <w:t>景</w:t>
      </w:r>
      <w:r>
        <w:rPr>
          <w:rFonts w:ascii="宋体" w:hAnsi="宋体" w:hint="eastAsia"/>
        </w:rPr>
        <w:t>。</w:t>
      </w:r>
    </w:p>
    <w:p w14:paraId="101A3220" w14:textId="77777777" w:rsidR="00000000" w:rsidRDefault="00000000">
      <w:pPr>
        <w:spacing w:line="360" w:lineRule="exact"/>
        <w:ind w:firstLineChars="100" w:firstLine="211"/>
        <w:outlineLvl w:val="4"/>
        <w:rPr>
          <w:b/>
        </w:rPr>
      </w:pPr>
      <w:r>
        <w:rPr>
          <w:rFonts w:hint="eastAsia"/>
          <w:b/>
        </w:rPr>
        <w:t>（</w:t>
      </w:r>
      <w:r>
        <w:rPr>
          <w:rFonts w:hint="eastAsia"/>
          <w:b/>
        </w:rPr>
        <w:t>1</w:t>
      </w:r>
      <w:r>
        <w:rPr>
          <w:rFonts w:hint="eastAsia"/>
          <w:b/>
        </w:rPr>
        <w:t>）技术创新引领，变充一体，破解建站难题</w:t>
      </w:r>
    </w:p>
    <w:p w14:paraId="5801A49B" w14:textId="77777777" w:rsidR="00000000" w:rsidRDefault="00000000">
      <w:pPr>
        <w:spacing w:line="360" w:lineRule="exact"/>
        <w:ind w:firstLineChars="200" w:firstLine="420"/>
      </w:pPr>
      <w:r>
        <w:rPr>
          <w:rFonts w:hint="eastAsia"/>
        </w:rPr>
        <w:t>公司自主研发的兆瓦级智能变充一体机，实现“变电站</w:t>
      </w:r>
      <w:r>
        <w:rPr>
          <w:rFonts w:hint="eastAsia"/>
        </w:rPr>
        <w:t>+</w:t>
      </w:r>
      <w:r>
        <w:rPr>
          <w:rFonts w:hint="eastAsia"/>
        </w:rPr>
        <w:t>充电堆”深度融合与预制化集成，让建站“不再难”。产品预制化交付</w:t>
      </w:r>
      <w:proofErr w:type="gramStart"/>
      <w:r>
        <w:rPr>
          <w:rFonts w:hint="eastAsia"/>
        </w:rPr>
        <w:t>较传统建站模式</w:t>
      </w:r>
      <w:proofErr w:type="gramEnd"/>
      <w:r>
        <w:rPr>
          <w:rFonts w:hint="eastAsia"/>
        </w:rPr>
        <w:t>缩短工期</w:t>
      </w:r>
      <w:r>
        <w:rPr>
          <w:rFonts w:hint="eastAsia"/>
        </w:rPr>
        <w:t>80%</w:t>
      </w:r>
      <w:r>
        <w:rPr>
          <w:rFonts w:hint="eastAsia"/>
        </w:rPr>
        <w:t>以上；低成本部署，综合投资成本降低</w:t>
      </w:r>
      <w:r>
        <w:rPr>
          <w:rFonts w:hint="eastAsia"/>
        </w:rPr>
        <w:t>15%</w:t>
      </w:r>
      <w:r>
        <w:rPr>
          <w:rFonts w:hint="eastAsia"/>
        </w:rPr>
        <w:t>—</w:t>
      </w:r>
      <w:r>
        <w:rPr>
          <w:rFonts w:hint="eastAsia"/>
        </w:rPr>
        <w:t>20%</w:t>
      </w:r>
      <w:r>
        <w:rPr>
          <w:rFonts w:hint="eastAsia"/>
        </w:rPr>
        <w:t>；整机集成设计支持灵活迁移，可根据运力需求快速调整站点布局，适配重</w:t>
      </w:r>
      <w:proofErr w:type="gramStart"/>
      <w:r>
        <w:rPr>
          <w:rFonts w:hint="eastAsia"/>
        </w:rPr>
        <w:t>卡运输</w:t>
      </w:r>
      <w:proofErr w:type="gramEnd"/>
      <w:r>
        <w:rPr>
          <w:rFonts w:hint="eastAsia"/>
        </w:rPr>
        <w:t>线路动态变化。</w:t>
      </w:r>
    </w:p>
    <w:p w14:paraId="5214A3E0" w14:textId="77777777" w:rsidR="00000000" w:rsidRDefault="00000000">
      <w:pPr>
        <w:spacing w:line="360" w:lineRule="exact"/>
        <w:ind w:firstLineChars="200" w:firstLine="420"/>
      </w:pPr>
      <w:r>
        <w:rPr>
          <w:rFonts w:hint="eastAsia"/>
        </w:rPr>
        <w:t>技术参数领先：兆瓦级功率，适配未来需求</w:t>
      </w:r>
    </w:p>
    <w:p w14:paraId="7CDFB2D8" w14:textId="77777777" w:rsidR="00000000" w:rsidRDefault="00000000">
      <w:pPr>
        <w:spacing w:line="360" w:lineRule="exact"/>
        <w:ind w:firstLineChars="200" w:firstLine="420"/>
      </w:pPr>
      <w:r>
        <w:rPr>
          <w:rFonts w:hint="eastAsia"/>
        </w:rPr>
        <w:t>产品直接接入</w:t>
      </w:r>
      <w:r>
        <w:rPr>
          <w:rFonts w:hint="eastAsia"/>
        </w:rPr>
        <w:t>10kV</w:t>
      </w:r>
      <w:r>
        <w:rPr>
          <w:rFonts w:hint="eastAsia"/>
        </w:rPr>
        <w:t>配电网，支持</w:t>
      </w:r>
      <w:r>
        <w:rPr>
          <w:rFonts w:hint="eastAsia"/>
        </w:rPr>
        <w:t>200</w:t>
      </w:r>
      <w:r>
        <w:rPr>
          <w:rFonts w:hint="eastAsia"/>
        </w:rPr>
        <w:t>–</w:t>
      </w:r>
      <w:r>
        <w:rPr>
          <w:rFonts w:hint="eastAsia"/>
        </w:rPr>
        <w:t>1000V</w:t>
      </w:r>
      <w:r>
        <w:rPr>
          <w:rFonts w:hint="eastAsia"/>
        </w:rPr>
        <w:t>宽电压输出，全面适配当前及未来“千伏”</w:t>
      </w:r>
      <w:proofErr w:type="gramStart"/>
      <w:r>
        <w:rPr>
          <w:rFonts w:hint="eastAsia"/>
        </w:rPr>
        <w:t>平台超充</w:t>
      </w:r>
      <w:proofErr w:type="gramEnd"/>
      <w:r>
        <w:rPr>
          <w:rFonts w:hint="eastAsia"/>
        </w:rPr>
        <w:t>需求。</w:t>
      </w:r>
    </w:p>
    <w:p w14:paraId="2CDD0CF2" w14:textId="77777777" w:rsidR="00000000" w:rsidRDefault="00000000">
      <w:pPr>
        <w:spacing w:line="360" w:lineRule="exact"/>
        <w:ind w:firstLineChars="200" w:firstLine="422"/>
        <w:outlineLvl w:val="4"/>
        <w:rPr>
          <w:b/>
        </w:rPr>
      </w:pPr>
      <w:r>
        <w:rPr>
          <w:rFonts w:hint="eastAsia"/>
          <w:b/>
        </w:rPr>
        <w:t>（</w:t>
      </w:r>
      <w:r>
        <w:rPr>
          <w:rFonts w:hint="eastAsia"/>
          <w:b/>
        </w:rPr>
        <w:t>2</w:t>
      </w:r>
      <w:r>
        <w:rPr>
          <w:rFonts w:hint="eastAsia"/>
          <w:b/>
        </w:rPr>
        <w:t>）变充团队联袂研发，一体化产品“遥遥领先”</w:t>
      </w:r>
    </w:p>
    <w:p w14:paraId="374658C9" w14:textId="77777777" w:rsidR="00000000" w:rsidRDefault="00000000">
      <w:pPr>
        <w:spacing w:line="360" w:lineRule="exact"/>
        <w:ind w:firstLineChars="200" w:firstLine="420"/>
      </w:pPr>
      <w:r>
        <w:rPr>
          <w:rFonts w:hint="eastAsia"/>
        </w:rPr>
        <w:t>依托公司深耕输配电领域数十年的技术积淀，“变”</w:t>
      </w:r>
      <w:r>
        <w:rPr>
          <w:rFonts w:hint="eastAsia"/>
        </w:rPr>
        <w:t>+</w:t>
      </w:r>
      <w:r>
        <w:rPr>
          <w:rFonts w:hint="eastAsia"/>
        </w:rPr>
        <w:t>“充”团队联袂研发，实现从取向硅钢、变压器到充电设备的全产业链自主研发与生产。自产高效节能变压器与充电堆技术的深度融合，不仅保障核心部件品质与匹配度，更通过材料</w:t>
      </w:r>
      <w:proofErr w:type="gramStart"/>
      <w:r>
        <w:rPr>
          <w:rFonts w:hint="eastAsia"/>
        </w:rPr>
        <w:t>端成本</w:t>
      </w:r>
      <w:proofErr w:type="gramEnd"/>
      <w:r>
        <w:rPr>
          <w:rFonts w:hint="eastAsia"/>
        </w:rPr>
        <w:t>优势，构建竞争对手难以复制的技术壁垒。一体化产品在功率密度、电能转换效率、建站周期等关键指标上，全方位“遥遥领先”行业同类产品。</w:t>
      </w:r>
    </w:p>
    <w:p w14:paraId="20C8EBB1" w14:textId="77777777" w:rsidR="00000000" w:rsidRDefault="00000000">
      <w:pPr>
        <w:spacing w:line="360" w:lineRule="exact"/>
        <w:ind w:firstLineChars="200" w:firstLine="422"/>
        <w:outlineLvl w:val="4"/>
        <w:rPr>
          <w:b/>
        </w:rPr>
      </w:pPr>
      <w:r>
        <w:rPr>
          <w:rFonts w:hint="eastAsia"/>
          <w:b/>
        </w:rPr>
        <w:t>（</w:t>
      </w:r>
      <w:r>
        <w:rPr>
          <w:rFonts w:hint="eastAsia"/>
          <w:b/>
        </w:rPr>
        <w:t>3</w:t>
      </w:r>
      <w:r>
        <w:rPr>
          <w:rFonts w:hint="eastAsia"/>
          <w:b/>
        </w:rPr>
        <w:t>）战略布局与生态合作</w:t>
      </w:r>
    </w:p>
    <w:p w14:paraId="5706A284" w14:textId="77777777" w:rsidR="00000000" w:rsidRDefault="00000000">
      <w:pPr>
        <w:spacing w:line="360" w:lineRule="exact"/>
        <w:ind w:firstLineChars="200" w:firstLine="420"/>
      </w:pPr>
      <w:r>
        <w:rPr>
          <w:rFonts w:hint="eastAsia"/>
        </w:rPr>
        <w:t>公司精准锚定</w:t>
      </w:r>
      <w:proofErr w:type="gramStart"/>
      <w:r>
        <w:rPr>
          <w:rFonts w:hint="eastAsia"/>
        </w:rPr>
        <w:t>电动重卡超</w:t>
      </w:r>
      <w:proofErr w:type="gramEnd"/>
      <w:r>
        <w:rPr>
          <w:rFonts w:hint="eastAsia"/>
        </w:rPr>
        <w:t>充细分市场，计划总投资不超过</w:t>
      </w:r>
      <w:r>
        <w:rPr>
          <w:rFonts w:hint="eastAsia"/>
        </w:rPr>
        <w:t>5.415</w:t>
      </w:r>
      <w:r>
        <w:rPr>
          <w:rFonts w:hint="eastAsia"/>
        </w:rPr>
        <w:t>亿元建设兆瓦级智能超充网络，在云南、重庆等地布局近</w:t>
      </w:r>
      <w:r>
        <w:rPr>
          <w:rFonts w:hint="eastAsia"/>
        </w:rPr>
        <w:t>100</w:t>
      </w:r>
      <w:r>
        <w:rPr>
          <w:rFonts w:hint="eastAsia"/>
        </w:rPr>
        <w:t>座</w:t>
      </w:r>
      <w:proofErr w:type="gramStart"/>
      <w:r>
        <w:rPr>
          <w:rFonts w:hint="eastAsia"/>
        </w:rPr>
        <w:t>电动重卡超</w:t>
      </w:r>
      <w:proofErr w:type="gramEnd"/>
      <w:r>
        <w:rPr>
          <w:rFonts w:hint="eastAsia"/>
        </w:rPr>
        <w:t>充站，重点覆盖物流枢纽、港口、矿区、钢厂等高频使用场景。报告期内，公司与</w:t>
      </w:r>
      <w:proofErr w:type="gramStart"/>
      <w:r>
        <w:rPr>
          <w:rFonts w:hint="eastAsia"/>
        </w:rPr>
        <w:t>重卡超充产业链合作</w:t>
      </w:r>
      <w:proofErr w:type="gramEnd"/>
      <w:r>
        <w:rPr>
          <w:rFonts w:hint="eastAsia"/>
        </w:rPr>
        <w:t>伙伴达成多项战略合作，实现“车—桩—运—场景”一体化超</w:t>
      </w:r>
      <w:proofErr w:type="gramStart"/>
      <w:r>
        <w:rPr>
          <w:rFonts w:hint="eastAsia"/>
        </w:rPr>
        <w:t>充重卡</w:t>
      </w:r>
      <w:proofErr w:type="gramEnd"/>
      <w:r>
        <w:rPr>
          <w:rFonts w:hint="eastAsia"/>
        </w:rPr>
        <w:t>新生态的商业闭环。</w:t>
      </w:r>
    </w:p>
    <w:p w14:paraId="34958B27" w14:textId="77777777" w:rsidR="00000000" w:rsidRDefault="00000000">
      <w:pPr>
        <w:spacing w:line="360" w:lineRule="exact"/>
        <w:ind w:firstLineChars="200" w:firstLine="422"/>
        <w:outlineLvl w:val="4"/>
        <w:rPr>
          <w:b/>
        </w:rPr>
      </w:pPr>
      <w:r>
        <w:rPr>
          <w:rFonts w:hint="eastAsia"/>
          <w:b/>
        </w:rPr>
        <w:t>（</w:t>
      </w:r>
      <w:r>
        <w:rPr>
          <w:rFonts w:hint="eastAsia"/>
          <w:b/>
        </w:rPr>
        <w:t>4</w:t>
      </w:r>
      <w:r>
        <w:rPr>
          <w:rFonts w:hint="eastAsia"/>
          <w:b/>
        </w:rPr>
        <w:t>）技术平台支撑</w:t>
      </w:r>
    </w:p>
    <w:p w14:paraId="680831E7" w14:textId="77777777" w:rsidR="00000000" w:rsidRDefault="00000000">
      <w:pPr>
        <w:spacing w:line="360" w:lineRule="exact"/>
        <w:ind w:firstLineChars="200" w:firstLine="420"/>
      </w:pPr>
      <w:r>
        <w:rPr>
          <w:rFonts w:hint="eastAsia"/>
        </w:rPr>
        <w:lastRenderedPageBreak/>
        <w:t>公司获批国家级企业技术中心，汇聚以中国科学院汪卫华院士为首的研发团队，在电工材料、新能源装备、智能电网等领域具备深厚技术积累，为充电业务持续创新提供了坚实保障。</w:t>
      </w:r>
    </w:p>
    <w:p w14:paraId="1D6F69D9" w14:textId="77777777" w:rsidR="00000000" w:rsidRDefault="00000000">
      <w:pPr>
        <w:spacing w:line="360" w:lineRule="exact"/>
        <w:ind w:firstLineChars="200" w:firstLine="420"/>
      </w:pPr>
      <w:r>
        <w:rPr>
          <w:rFonts w:hint="eastAsia"/>
        </w:rPr>
        <w:t>公司电动汽车充电业务作为战略性新兴板块，依托输配电设备领域深厚技术积淀，实现从设备制造商向新能源基础设施运营商的战略延伸，</w:t>
      </w:r>
      <w:proofErr w:type="gramStart"/>
      <w:r>
        <w:rPr>
          <w:rFonts w:hint="eastAsia"/>
        </w:rPr>
        <w:t>在重卡超</w:t>
      </w:r>
      <w:proofErr w:type="gramEnd"/>
      <w:r>
        <w:rPr>
          <w:rFonts w:hint="eastAsia"/>
        </w:rPr>
        <w:t>充细分赛道快速确立先发优势。</w:t>
      </w:r>
    </w:p>
    <w:p w14:paraId="563C7822" w14:textId="77777777" w:rsidR="00000000" w:rsidRDefault="00000000">
      <w:pPr>
        <w:spacing w:line="360" w:lineRule="exact"/>
        <w:ind w:firstLineChars="200" w:firstLine="420"/>
      </w:pPr>
      <w:r>
        <w:rPr>
          <w:rFonts w:hint="eastAsia"/>
        </w:rPr>
        <w:t>报告期内，公司聚焦三大业务板块：以电力变压器为主的输配电及控制设备业务、以取向硅钢为主的取向硅钢业务，以及以</w:t>
      </w:r>
      <w:proofErr w:type="gramStart"/>
      <w:r>
        <w:rPr>
          <w:rFonts w:hint="eastAsia"/>
        </w:rPr>
        <w:t>重卡超充站</w:t>
      </w:r>
      <w:proofErr w:type="gramEnd"/>
      <w:r>
        <w:rPr>
          <w:rFonts w:hint="eastAsia"/>
        </w:rPr>
        <w:t>为主的电动汽车充电业务。公司坚持“创新驱动、产业升级、全球拓展”的全球化发展战略，依托技术壁垒、产业协同及国际化布局，已发展成为西南地区电力设备龙头企业、民营取向硅钢行业前列企业，以及</w:t>
      </w:r>
      <w:proofErr w:type="gramStart"/>
      <w:r>
        <w:rPr>
          <w:rFonts w:hint="eastAsia"/>
        </w:rPr>
        <w:t>重卡超充站领域</w:t>
      </w:r>
      <w:proofErr w:type="gramEnd"/>
      <w:r>
        <w:rPr>
          <w:rFonts w:hint="eastAsia"/>
        </w:rPr>
        <w:t>的新兴力量。</w:t>
      </w:r>
    </w:p>
    <w:p w14:paraId="68D98312" w14:textId="77777777" w:rsidR="00000000" w:rsidRDefault="00000000">
      <w:pPr>
        <w:spacing w:line="360" w:lineRule="exact"/>
        <w:ind w:firstLineChars="200" w:firstLine="420"/>
      </w:pPr>
      <w:r>
        <w:rPr>
          <w:rFonts w:hint="eastAsia"/>
        </w:rPr>
        <w:t>2025</w:t>
      </w:r>
      <w:r>
        <w:rPr>
          <w:rFonts w:ascii="宋体" w:hAnsi="宋体" w:hint="eastAsia"/>
        </w:rPr>
        <w:t>年，作为深耕电力行业</w:t>
      </w:r>
      <w:r>
        <w:t>32</w:t>
      </w:r>
      <w:r>
        <w:rPr>
          <w:rFonts w:ascii="宋体" w:hAnsi="宋体" w:hint="eastAsia"/>
        </w:rPr>
        <w:t>年的变压器领先企业，</w:t>
      </w:r>
      <w:proofErr w:type="gramStart"/>
      <w:r>
        <w:rPr>
          <w:rFonts w:ascii="宋体" w:hAnsi="宋体" w:hint="eastAsia"/>
        </w:rPr>
        <w:t>望变电气</w:t>
      </w:r>
      <w:proofErr w:type="gramEnd"/>
      <w:r>
        <w:rPr>
          <w:rFonts w:ascii="宋体" w:hAnsi="宋体" w:hint="eastAsia"/>
        </w:rPr>
        <w:t>更在华为的技术支持下，</w:t>
      </w:r>
      <w:r>
        <w:rPr>
          <w:rFonts w:ascii="宋体" w:hAnsi="宋体"/>
        </w:rPr>
        <w:t>基于华为充电液冷主机</w:t>
      </w:r>
      <w:r>
        <w:rPr>
          <w:rFonts w:ascii="宋体" w:hAnsi="宋体" w:hint="eastAsia"/>
        </w:rPr>
        <w:t>，推出针对</w:t>
      </w:r>
      <w:proofErr w:type="gramStart"/>
      <w:r>
        <w:rPr>
          <w:rFonts w:ascii="宋体" w:hAnsi="宋体" w:hint="eastAsia"/>
        </w:rPr>
        <w:t>新能源重卡的</w:t>
      </w:r>
      <w:proofErr w:type="gramEnd"/>
      <w:r>
        <w:rPr>
          <w:rFonts w:ascii="宋体" w:hAnsi="宋体" w:hint="eastAsia"/>
        </w:rPr>
        <w:t>超充设备，发布兆瓦级</w:t>
      </w:r>
      <w:r>
        <w:t>“</w:t>
      </w:r>
      <w:r>
        <w:rPr>
          <w:rFonts w:ascii="宋体" w:hAnsi="宋体" w:hint="eastAsia"/>
        </w:rPr>
        <w:t>智能变充一体</w:t>
      </w:r>
      <w:r>
        <w:t>”</w:t>
      </w:r>
      <w:r>
        <w:rPr>
          <w:rFonts w:ascii="宋体" w:hAnsi="宋体" w:hint="eastAsia"/>
        </w:rPr>
        <w:t>设备，并采用全栈预制化模块架构，通过工厂预制、现场吊装的</w:t>
      </w:r>
      <w:r>
        <w:t>“</w:t>
      </w:r>
      <w:r>
        <w:rPr>
          <w:rFonts w:ascii="宋体" w:hAnsi="宋体" w:hint="eastAsia"/>
        </w:rPr>
        <w:t>积木式</w:t>
      </w:r>
      <w:r>
        <w:t>”</w:t>
      </w:r>
      <w:r>
        <w:rPr>
          <w:rFonts w:ascii="宋体" w:hAnsi="宋体" w:hint="eastAsia"/>
        </w:rPr>
        <w:t>安装</w:t>
      </w:r>
      <w:r>
        <w:rPr>
          <w:rFonts w:hint="eastAsia"/>
        </w:rPr>
        <w:t>,</w:t>
      </w:r>
      <w:r>
        <w:rPr>
          <w:rFonts w:ascii="宋体" w:hAnsi="宋体" w:hint="eastAsia"/>
        </w:rPr>
        <w:t>极大便利了充电站的建设</w:t>
      </w:r>
      <w:r>
        <w:rPr>
          <w:rFonts w:ascii="宋体" w:hAnsi="宋体"/>
        </w:rPr>
        <w:t>。</w:t>
      </w:r>
    </w:p>
    <w:p w14:paraId="7B8637C1" w14:textId="77777777" w:rsidR="00000000" w:rsidRDefault="00000000">
      <w:pPr>
        <w:spacing w:line="360" w:lineRule="exact"/>
        <w:ind w:firstLineChars="200" w:firstLine="420"/>
      </w:pPr>
      <w:r>
        <w:rPr>
          <w:rFonts w:ascii="宋体" w:hAnsi="宋体"/>
        </w:rPr>
        <w:t>依托华为全液冷超</w:t>
      </w:r>
      <w:proofErr w:type="gramStart"/>
      <w:r>
        <w:rPr>
          <w:rFonts w:ascii="宋体" w:hAnsi="宋体"/>
        </w:rPr>
        <w:t>充解决</w:t>
      </w:r>
      <w:proofErr w:type="gramEnd"/>
      <w:r>
        <w:rPr>
          <w:rFonts w:ascii="宋体" w:hAnsi="宋体"/>
        </w:rPr>
        <w:t>方</w:t>
      </w:r>
      <w:r>
        <w:rPr>
          <w:rFonts w:ascii="宋体" w:hAnsi="宋体" w:hint="eastAsia"/>
        </w:rPr>
        <w:t>案，公司精准锚定</w:t>
      </w:r>
      <w:proofErr w:type="gramStart"/>
      <w:r>
        <w:rPr>
          <w:rFonts w:ascii="宋体" w:hAnsi="宋体" w:hint="eastAsia"/>
        </w:rPr>
        <w:t>电动重卡超</w:t>
      </w:r>
      <w:proofErr w:type="gramEnd"/>
      <w:r>
        <w:rPr>
          <w:rFonts w:ascii="宋体" w:hAnsi="宋体" w:hint="eastAsia"/>
        </w:rPr>
        <w:t>充细分市场，计划总投资不超过</w:t>
      </w:r>
      <w:r>
        <w:rPr>
          <w:rFonts w:hint="eastAsia"/>
        </w:rPr>
        <w:t>5.415</w:t>
      </w:r>
      <w:r>
        <w:rPr>
          <w:rFonts w:ascii="宋体" w:hAnsi="宋体" w:hint="eastAsia"/>
        </w:rPr>
        <w:t>亿元建设兆瓦级智能超充网络，计划在云南、重庆等地布局近</w:t>
      </w:r>
      <w:r>
        <w:rPr>
          <w:rFonts w:hint="eastAsia"/>
        </w:rPr>
        <w:t>100</w:t>
      </w:r>
      <w:r>
        <w:rPr>
          <w:rFonts w:ascii="宋体" w:hAnsi="宋体" w:hint="eastAsia"/>
        </w:rPr>
        <w:t>座</w:t>
      </w:r>
      <w:proofErr w:type="gramStart"/>
      <w:r>
        <w:rPr>
          <w:rFonts w:ascii="宋体" w:hAnsi="宋体" w:hint="eastAsia"/>
        </w:rPr>
        <w:t>电动重卡超</w:t>
      </w:r>
      <w:proofErr w:type="gramEnd"/>
      <w:r>
        <w:rPr>
          <w:rFonts w:ascii="宋体" w:hAnsi="宋体" w:hint="eastAsia"/>
        </w:rPr>
        <w:t>充站，重点覆盖物流枢纽、港口、矿区、钢厂等高频使用场景。</w:t>
      </w:r>
    </w:p>
    <w:p w14:paraId="6715EEBB" w14:textId="77777777" w:rsidR="00000000" w:rsidRDefault="00000000">
      <w:pPr>
        <w:spacing w:line="360" w:lineRule="exact"/>
        <w:ind w:firstLineChars="200" w:firstLine="422"/>
        <w:outlineLvl w:val="2"/>
        <w:rPr>
          <w:b/>
        </w:rPr>
      </w:pPr>
      <w:r>
        <w:rPr>
          <w:rFonts w:hint="eastAsia"/>
          <w:b/>
        </w:rPr>
        <w:t>（一）主要产品</w:t>
      </w:r>
    </w:p>
    <w:p w14:paraId="4F747372" w14:textId="77777777" w:rsidR="00000000" w:rsidRDefault="00000000">
      <w:pPr>
        <w:spacing w:line="360" w:lineRule="exact"/>
        <w:ind w:firstLineChars="200" w:firstLine="422"/>
        <w:rPr>
          <w:b/>
        </w:rPr>
      </w:pPr>
      <w:r>
        <w:rPr>
          <w:rFonts w:hint="eastAsia"/>
          <w:b/>
        </w:rPr>
        <w:t>1</w:t>
      </w:r>
      <w:r>
        <w:rPr>
          <w:rFonts w:hint="eastAsia"/>
          <w:b/>
        </w:rPr>
        <w:t>、输配电及控制设备业务</w:t>
      </w:r>
    </w:p>
    <w:p w14:paraId="417DAB64" w14:textId="77777777" w:rsidR="00000000" w:rsidRDefault="00000000">
      <w:pPr>
        <w:spacing w:line="360" w:lineRule="exact"/>
        <w:ind w:firstLineChars="200" w:firstLine="420"/>
        <w:rPr>
          <w:b/>
        </w:rPr>
      </w:pPr>
      <w:r>
        <w:rPr>
          <w:rFonts w:hint="eastAsia"/>
        </w:rPr>
        <w:t>输配电及控制设备主要包括电力变压器、箱式变电站、变充一体机、成套电气设备及铁芯相关产品，产品广泛应用于电力、农业、工业、商业及居民用电、基础设施建设等传统领域，并逐步拓展至新能源光伏、风电、充电设施、储能、轨道交通、数据中心及新型基础设施等新兴领域。</w:t>
      </w:r>
      <w:r>
        <w:rPr>
          <w:rFonts w:hint="eastAsia"/>
          <w:b/>
        </w:rPr>
        <w:t>2</w:t>
      </w:r>
      <w:r>
        <w:rPr>
          <w:rFonts w:hint="eastAsia"/>
          <w:b/>
        </w:rPr>
        <w:t>、取向硅钢业务</w:t>
      </w:r>
    </w:p>
    <w:p w14:paraId="0D24E00A" w14:textId="77777777" w:rsidR="00000000" w:rsidRDefault="00000000">
      <w:pPr>
        <w:spacing w:line="360" w:lineRule="exact"/>
        <w:ind w:firstLineChars="200" w:firstLine="420"/>
      </w:pPr>
      <w:r>
        <w:rPr>
          <w:rFonts w:hint="eastAsia"/>
        </w:rPr>
        <w:t>取向硅钢主要包含一般取向硅钢（</w:t>
      </w:r>
      <w:r>
        <w:rPr>
          <w:rFonts w:hint="eastAsia"/>
        </w:rPr>
        <w:t>CGO</w:t>
      </w:r>
      <w:r>
        <w:rPr>
          <w:rFonts w:hint="eastAsia"/>
        </w:rPr>
        <w:t>）和高磁感取向硅钢（</w:t>
      </w:r>
      <w:proofErr w:type="spellStart"/>
      <w:r>
        <w:rPr>
          <w:rFonts w:hint="eastAsia"/>
        </w:rPr>
        <w:t>HiB</w:t>
      </w:r>
      <w:proofErr w:type="spellEnd"/>
      <w:r>
        <w:rPr>
          <w:rFonts w:hint="eastAsia"/>
        </w:rPr>
        <w:t>），主要用于电力变压器（铁心）的制造，并可拓展应用于大型电机（如水电、风电等）领域。客户群体包括国内外主流电力变压器及电机制造企业，客户结构较为稳定</w:t>
      </w:r>
    </w:p>
    <w:p w14:paraId="5AB3A8C3" w14:textId="77777777" w:rsidR="00000000" w:rsidRDefault="00000000">
      <w:pPr>
        <w:spacing w:line="360" w:lineRule="exact"/>
        <w:ind w:firstLineChars="200" w:firstLine="422"/>
        <w:rPr>
          <w:b/>
        </w:rPr>
      </w:pPr>
      <w:r>
        <w:rPr>
          <w:rFonts w:hint="eastAsia"/>
          <w:b/>
        </w:rPr>
        <w:t>3</w:t>
      </w:r>
      <w:r>
        <w:rPr>
          <w:rFonts w:hint="eastAsia"/>
          <w:b/>
        </w:rPr>
        <w:t>、电动汽车充电业务</w:t>
      </w:r>
    </w:p>
    <w:p w14:paraId="395E2578" w14:textId="77777777" w:rsidR="00000000" w:rsidRDefault="00000000">
      <w:r>
        <w:br w:type="page"/>
      </w:r>
    </w:p>
    <w:p w14:paraId="6BD04442" w14:textId="77777777" w:rsidR="00000000" w:rsidRDefault="00000000">
      <w:pPr>
        <w:spacing w:line="360" w:lineRule="exact"/>
        <w:ind w:firstLineChars="200" w:firstLine="420"/>
      </w:pPr>
      <w:r>
        <w:rPr>
          <w:rFonts w:hint="eastAsia"/>
        </w:rPr>
        <w:lastRenderedPageBreak/>
        <w:t>电动汽车充电业务板块</w:t>
      </w:r>
      <w:proofErr w:type="gramStart"/>
      <w:r>
        <w:rPr>
          <w:rFonts w:hint="eastAsia"/>
        </w:rPr>
        <w:t>聚焦重卡超</w:t>
      </w:r>
      <w:proofErr w:type="gramEnd"/>
      <w:r>
        <w:rPr>
          <w:rFonts w:hint="eastAsia"/>
        </w:rPr>
        <w:t>充细分赛道，通过构建“核心设备自产</w:t>
      </w:r>
      <w:r>
        <w:rPr>
          <w:rFonts w:hint="eastAsia"/>
        </w:rPr>
        <w:t>+</w:t>
      </w:r>
      <w:r>
        <w:rPr>
          <w:rFonts w:hint="eastAsia"/>
        </w:rPr>
        <w:t>场站投建运营</w:t>
      </w:r>
      <w:r>
        <w:rPr>
          <w:rFonts w:hint="eastAsia"/>
        </w:rPr>
        <w:t>+</w:t>
      </w:r>
      <w:r>
        <w:rPr>
          <w:rFonts w:hint="eastAsia"/>
        </w:rPr>
        <w:t>产业链生态协同”的商业模式，致力于成为新能源商用车领域具有竞争力的绿色能源综合服务商。</w:t>
      </w:r>
    </w:p>
    <w:p w14:paraId="2FD785BF" w14:textId="77777777" w:rsidR="00000000" w:rsidRDefault="00000000">
      <w:pPr>
        <w:spacing w:line="360" w:lineRule="exact"/>
        <w:ind w:firstLineChars="200" w:firstLine="420"/>
      </w:pPr>
      <w:r>
        <w:rPr>
          <w:rFonts w:hint="eastAsia"/>
        </w:rPr>
        <w:t>公司正逐步探索“设备</w:t>
      </w:r>
      <w:r>
        <w:rPr>
          <w:rFonts w:hint="eastAsia"/>
        </w:rPr>
        <w:t>+</w:t>
      </w:r>
      <w:r>
        <w:rPr>
          <w:rFonts w:hint="eastAsia"/>
        </w:rPr>
        <w:t>运营”一体化发展路径，提升业务的持续运营能力与商业化水平。</w:t>
      </w:r>
    </w:p>
    <w:p w14:paraId="7A32CE45" w14:textId="77777777" w:rsidR="00000000" w:rsidRDefault="00000000">
      <w:pPr>
        <w:spacing w:line="360" w:lineRule="exact"/>
        <w:ind w:firstLineChars="200" w:firstLine="420"/>
      </w:pPr>
      <w:r>
        <w:rPr>
          <w:rFonts w:hint="eastAsia"/>
        </w:rPr>
        <w:t>公司主要产品在产业链内覆盖情况如下：</w:t>
      </w:r>
    </w:p>
    <w:p w14:paraId="0A201DC3" w14:textId="77777777" w:rsidR="00000000" w:rsidRDefault="00000000">
      <w:r>
        <w:rPr>
          <w:noProof/>
        </w:rPr>
        <w:drawing>
          <wp:inline distT="0" distB="0" distL="0" distR="0" wp14:anchorId="3CA36E34" wp14:editId="64C78DFD">
            <wp:extent cx="5616575" cy="2484120"/>
            <wp:effectExtent l="0" t="0" r="317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9"/>
                    <a:srcRect/>
                    <a:stretch>
                      <a:fillRect/>
                    </a:stretch>
                  </pic:blipFill>
                  <pic:spPr>
                    <a:xfrm>
                      <a:off x="0" y="0"/>
                      <a:ext cx="5616575" cy="2484120"/>
                    </a:xfrm>
                    <a:prstGeom prst="rect">
                      <a:avLst/>
                    </a:prstGeom>
                    <a:noFill/>
                  </pic:spPr>
                </pic:pic>
              </a:graphicData>
            </a:graphic>
          </wp:inline>
        </w:drawing>
      </w:r>
    </w:p>
    <w:p w14:paraId="0D227C83" w14:textId="77777777" w:rsidR="00000000" w:rsidRDefault="00000000">
      <w:r>
        <w:rPr>
          <w:rFonts w:hint="eastAsia"/>
        </w:rPr>
        <w:t>注：上图红色虚线框内为公司主要产品覆盖情况。</w:t>
      </w:r>
    </w:p>
    <w:p w14:paraId="7F0F69AE" w14:textId="77777777" w:rsidR="00000000" w:rsidRDefault="00000000">
      <w:pPr>
        <w:ind w:firstLineChars="200" w:firstLine="420"/>
      </w:pPr>
    </w:p>
    <w:p w14:paraId="0D562BFB" w14:textId="77777777" w:rsidR="00000000" w:rsidRDefault="00000000">
      <w:pPr>
        <w:ind w:firstLineChars="200" w:firstLine="420"/>
      </w:pPr>
      <w:r>
        <w:rPr>
          <w:rFonts w:hint="eastAsia"/>
        </w:rPr>
        <w:t>公司的主要产品基本情况如下：</w:t>
      </w:r>
    </w:p>
    <w:p w14:paraId="3DE1E1B9" w14:textId="77777777" w:rsidR="00000000" w:rsidRDefault="00000000">
      <w:r>
        <w:rPr>
          <w:noProof/>
        </w:rPr>
        <w:drawing>
          <wp:inline distT="0" distB="0" distL="0" distR="0" wp14:anchorId="569F1F97" wp14:editId="318BC749">
            <wp:extent cx="5608955" cy="2862580"/>
            <wp:effectExtent l="0" t="0" r="0" b="0"/>
            <wp:docPr id="5" name="图片 5" descr="C:\Users\W\AppData\Local\Temp\ksohtml2648\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W\AppData\Local\Temp\ksohtml2648\wps2.png"/>
                    <pic:cNvPicPr>
                      <a:picLocks noChangeAspect="1" noChangeArrowheads="1"/>
                    </pic:cNvPicPr>
                  </pic:nvPicPr>
                  <pic:blipFill>
                    <a:blip r:embed="rId10"/>
                    <a:srcRect/>
                    <a:stretch>
                      <a:fillRect/>
                    </a:stretch>
                  </pic:blipFill>
                  <pic:spPr>
                    <a:xfrm>
                      <a:off x="0" y="0"/>
                      <a:ext cx="5608955" cy="2862580"/>
                    </a:xfrm>
                    <a:prstGeom prst="rect">
                      <a:avLst/>
                    </a:prstGeom>
                    <a:noFill/>
                    <a:ln>
                      <a:noFill/>
                    </a:ln>
                  </pic:spPr>
                </pic:pic>
              </a:graphicData>
            </a:graphic>
          </wp:inline>
        </w:drawing>
      </w:r>
    </w:p>
    <w:p w14:paraId="1D9D5020" w14:textId="77777777" w:rsidR="00000000" w:rsidRDefault="00000000">
      <w:r>
        <w:rPr>
          <w:noProof/>
        </w:rPr>
        <w:lastRenderedPageBreak/>
        <w:drawing>
          <wp:inline distT="0" distB="0" distL="0" distR="0" wp14:anchorId="5A6916C8" wp14:editId="0C9BD9A4">
            <wp:extent cx="5608955" cy="2862580"/>
            <wp:effectExtent l="0" t="0" r="0" b="0"/>
            <wp:docPr id="3" name="图片 3" descr="C:\Users\W\AppData\Local\Temp\ksohtml264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AppData\Local\Temp\ksohtml2648\wps3.png"/>
                    <pic:cNvPicPr>
                      <a:picLocks noChangeAspect="1" noChangeArrowheads="1"/>
                    </pic:cNvPicPr>
                  </pic:nvPicPr>
                  <pic:blipFill>
                    <a:blip r:embed="rId11"/>
                    <a:srcRect/>
                    <a:stretch>
                      <a:fillRect/>
                    </a:stretch>
                  </pic:blipFill>
                  <pic:spPr>
                    <a:xfrm>
                      <a:off x="0" y="0"/>
                      <a:ext cx="5608955" cy="2862580"/>
                    </a:xfrm>
                    <a:prstGeom prst="rect">
                      <a:avLst/>
                    </a:prstGeom>
                    <a:noFill/>
                    <a:ln>
                      <a:noFill/>
                    </a:ln>
                  </pic:spPr>
                </pic:pic>
              </a:graphicData>
            </a:graphic>
          </wp:inline>
        </w:drawing>
      </w:r>
    </w:p>
    <w:p w14:paraId="37178DE7" w14:textId="77777777" w:rsidR="00000000" w:rsidRDefault="00000000">
      <w:r>
        <w:t xml:space="preserve"> </w:t>
      </w:r>
    </w:p>
    <w:p w14:paraId="1DABAC30" w14:textId="77777777" w:rsidR="00000000" w:rsidRDefault="00000000">
      <w:r>
        <w:rPr>
          <w:noProof/>
        </w:rPr>
        <w:drawing>
          <wp:inline distT="0" distB="0" distL="0" distR="0" wp14:anchorId="51F91A08" wp14:editId="5C687A40">
            <wp:extent cx="5608955" cy="3011805"/>
            <wp:effectExtent l="0" t="0" r="0" b="0"/>
            <wp:docPr id="6" name="图片 6" descr="C:\Users\W\AppData\Local\Temp\ksohtml264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W\AppData\Local\Temp\ksohtml2648\wps4.jpg"/>
                    <pic:cNvPicPr>
                      <a:picLocks noChangeAspect="1" noChangeArrowheads="1"/>
                    </pic:cNvPicPr>
                  </pic:nvPicPr>
                  <pic:blipFill>
                    <a:blip r:embed="rId12"/>
                    <a:srcRect/>
                    <a:stretch>
                      <a:fillRect/>
                    </a:stretch>
                  </pic:blipFill>
                  <pic:spPr>
                    <a:xfrm>
                      <a:off x="0" y="0"/>
                      <a:ext cx="5608955" cy="3011805"/>
                    </a:xfrm>
                    <a:prstGeom prst="rect">
                      <a:avLst/>
                    </a:prstGeom>
                    <a:noFill/>
                    <a:ln>
                      <a:noFill/>
                    </a:ln>
                  </pic:spPr>
                </pic:pic>
              </a:graphicData>
            </a:graphic>
          </wp:inline>
        </w:drawing>
      </w:r>
    </w:p>
    <w:p w14:paraId="5DF97C09" w14:textId="77777777" w:rsidR="00000000" w:rsidRDefault="00000000">
      <w:pPr>
        <w:spacing w:line="360" w:lineRule="exact"/>
        <w:ind w:firstLineChars="200" w:firstLine="422"/>
        <w:outlineLvl w:val="2"/>
        <w:rPr>
          <w:b/>
        </w:rPr>
      </w:pPr>
      <w:r>
        <w:rPr>
          <w:rFonts w:hint="eastAsia"/>
          <w:b/>
        </w:rPr>
        <w:t>（二）经营模式</w:t>
      </w:r>
    </w:p>
    <w:p w14:paraId="471853DD" w14:textId="77777777" w:rsidR="00000000" w:rsidRDefault="00000000">
      <w:pPr>
        <w:spacing w:line="360" w:lineRule="exact"/>
        <w:ind w:firstLineChars="200" w:firstLine="422"/>
        <w:outlineLvl w:val="3"/>
        <w:rPr>
          <w:b/>
        </w:rPr>
      </w:pPr>
      <w:r>
        <w:rPr>
          <w:rFonts w:hint="eastAsia"/>
          <w:b/>
        </w:rPr>
        <w:t>1</w:t>
      </w:r>
      <w:r>
        <w:rPr>
          <w:rFonts w:hint="eastAsia"/>
          <w:b/>
        </w:rPr>
        <w:t>、业务架构</w:t>
      </w:r>
    </w:p>
    <w:p w14:paraId="0B562306" w14:textId="77777777" w:rsidR="00000000" w:rsidRDefault="00000000">
      <w:pPr>
        <w:spacing w:line="360" w:lineRule="exact"/>
        <w:ind w:firstLineChars="200" w:firstLine="420"/>
      </w:pPr>
      <w:r>
        <w:rPr>
          <w:rFonts w:hint="eastAsia"/>
        </w:rPr>
        <w:t>聚焦三大业务板块：以电力变压器为主的输配电及控制设备业务、以取向硅钢为主的电工钢业务、以</w:t>
      </w:r>
      <w:proofErr w:type="gramStart"/>
      <w:r>
        <w:rPr>
          <w:rFonts w:hint="eastAsia"/>
        </w:rPr>
        <w:t>重卡超充站</w:t>
      </w:r>
      <w:proofErr w:type="gramEnd"/>
      <w:r>
        <w:rPr>
          <w:rFonts w:hint="eastAsia"/>
        </w:rPr>
        <w:t>为主的电动汽车充电业务，形成“材料—装备—服务—运营”的产业链布局。</w:t>
      </w:r>
    </w:p>
    <w:p w14:paraId="028A5993" w14:textId="77777777" w:rsidR="00000000" w:rsidRDefault="00000000">
      <w:pPr>
        <w:spacing w:line="360" w:lineRule="exact"/>
        <w:ind w:firstLineChars="200" w:firstLine="422"/>
        <w:outlineLvl w:val="3"/>
        <w:rPr>
          <w:b/>
        </w:rPr>
      </w:pPr>
      <w:r>
        <w:rPr>
          <w:rFonts w:hint="eastAsia"/>
          <w:b/>
        </w:rPr>
        <w:t>2</w:t>
      </w:r>
      <w:r>
        <w:rPr>
          <w:rFonts w:hint="eastAsia"/>
          <w:b/>
        </w:rPr>
        <w:t>、经营模式</w:t>
      </w:r>
    </w:p>
    <w:p w14:paraId="109B1F51" w14:textId="77777777" w:rsidR="00000000" w:rsidRDefault="00000000">
      <w:pPr>
        <w:spacing w:line="360" w:lineRule="exact"/>
        <w:ind w:firstLineChars="200" w:firstLine="420"/>
      </w:pPr>
      <w:r>
        <w:rPr>
          <w:rFonts w:hint="eastAsia"/>
        </w:rPr>
        <w:t>采购模式：根据订单需求及市场行情制定采购计划，建立供应</w:t>
      </w:r>
      <w:proofErr w:type="gramStart"/>
      <w:r>
        <w:rPr>
          <w:rFonts w:hint="eastAsia"/>
        </w:rPr>
        <w:t>商管理</w:t>
      </w:r>
      <w:proofErr w:type="gramEnd"/>
      <w:r>
        <w:rPr>
          <w:rFonts w:hint="eastAsia"/>
        </w:rPr>
        <w:t>体系保障原材料稳定供应。</w:t>
      </w:r>
    </w:p>
    <w:p w14:paraId="2A0D21C6" w14:textId="77777777" w:rsidR="00000000" w:rsidRDefault="00000000">
      <w:pPr>
        <w:spacing w:line="360" w:lineRule="exact"/>
        <w:ind w:firstLineChars="200" w:firstLine="420"/>
      </w:pPr>
      <w:r>
        <w:rPr>
          <w:rFonts w:hint="eastAsia"/>
        </w:rPr>
        <w:t>取向硅钢：实行连续化生产，确保满产满销；输配电及控制设备：采取“以销定产</w:t>
      </w:r>
      <w:r>
        <w:rPr>
          <w:rFonts w:hint="eastAsia"/>
        </w:rPr>
        <w:t>+</w:t>
      </w:r>
      <w:r>
        <w:rPr>
          <w:rFonts w:hint="eastAsia"/>
        </w:rPr>
        <w:t>适度备货”的生产模式，</w:t>
      </w:r>
      <w:proofErr w:type="gramStart"/>
      <w:r>
        <w:rPr>
          <w:rFonts w:hint="eastAsia"/>
        </w:rPr>
        <w:t>灵活响应</w:t>
      </w:r>
      <w:proofErr w:type="gramEnd"/>
      <w:r>
        <w:rPr>
          <w:rFonts w:hint="eastAsia"/>
        </w:rPr>
        <w:t>市场需求；充电业务：采用项目定制化建设模式，建成投运后主要通过充电服务费实现持续运营收益。</w:t>
      </w:r>
    </w:p>
    <w:p w14:paraId="54D56E03" w14:textId="77777777" w:rsidR="00000000" w:rsidRDefault="00000000">
      <w:pPr>
        <w:spacing w:line="360" w:lineRule="exact"/>
        <w:ind w:firstLineChars="200" w:firstLine="420"/>
        <w:rPr>
          <w:b/>
        </w:rPr>
      </w:pPr>
      <w:r>
        <w:rPr>
          <w:rFonts w:hint="eastAsia"/>
        </w:rPr>
        <w:lastRenderedPageBreak/>
        <w:t>销售模式：取向硅钢以直销为主，服务下游变压器厂商；输配电及控制设备以招投标、竞争性谈判为主的模式获取客户；电动汽车</w:t>
      </w:r>
      <w:r>
        <w:rPr>
          <w:rFonts w:ascii="Segoe UI" w:hAnsi="Segoe UI" w:cs="Segoe UI"/>
          <w:color w:val="0F1115"/>
          <w:shd w:val="clear" w:color="auto" w:fill="FFFFFF"/>
        </w:rPr>
        <w:t>充电业务：通过</w:t>
      </w:r>
      <w:r>
        <w:rPr>
          <w:rStyle w:val="aff2"/>
          <w:rFonts w:ascii="Segoe UI" w:hAnsi="Segoe UI" w:cs="Segoe UI"/>
          <w:b w:val="0"/>
          <w:color w:val="0F1115"/>
          <w:shd w:val="clear" w:color="auto" w:fill="FFFFFF"/>
        </w:rPr>
        <w:t>收取充电服务费</w:t>
      </w:r>
      <w:r>
        <w:rPr>
          <w:rFonts w:ascii="Segoe UI" w:hAnsi="Segoe UI" w:cs="Segoe UI"/>
          <w:color w:val="0F1115"/>
          <w:shd w:val="clear" w:color="auto" w:fill="FFFFFF"/>
        </w:rPr>
        <w:t>实现销售</w:t>
      </w:r>
      <w:r>
        <w:rPr>
          <w:rFonts w:ascii="Segoe UI" w:hAnsi="Segoe UI" w:cs="Segoe UI" w:hint="eastAsia"/>
          <w:color w:val="0F1115"/>
          <w:shd w:val="clear" w:color="auto" w:fill="FFFFFF"/>
        </w:rPr>
        <w:t>。</w:t>
      </w:r>
    </w:p>
    <w:p w14:paraId="1AEA5510" w14:textId="77777777" w:rsidR="00000000" w:rsidRDefault="00000000">
      <w:pPr>
        <w:spacing w:line="360" w:lineRule="exact"/>
        <w:ind w:firstLineChars="200" w:firstLine="422"/>
        <w:outlineLvl w:val="3"/>
        <w:rPr>
          <w:b/>
        </w:rPr>
      </w:pPr>
      <w:r>
        <w:rPr>
          <w:rFonts w:hint="eastAsia"/>
          <w:b/>
        </w:rPr>
        <w:t>3</w:t>
      </w:r>
      <w:r>
        <w:rPr>
          <w:rFonts w:hint="eastAsia"/>
          <w:b/>
        </w:rPr>
        <w:t>、核心优势</w:t>
      </w:r>
    </w:p>
    <w:p w14:paraId="2ACE16D6" w14:textId="77777777" w:rsidR="00000000" w:rsidRDefault="00000000">
      <w:pPr>
        <w:spacing w:line="360" w:lineRule="exact"/>
        <w:ind w:firstLineChars="200" w:firstLine="420"/>
      </w:pPr>
      <w:r>
        <w:rPr>
          <w:rFonts w:hint="eastAsia"/>
        </w:rPr>
        <w:t>依托取向硅钢全产业链优势，实现原材料自给与输配电及控制设备产业协同，降低综合成本，提升产品竞争力。</w:t>
      </w:r>
    </w:p>
    <w:p w14:paraId="3F4EE948" w14:textId="77777777" w:rsidR="00000000" w:rsidRDefault="00000000">
      <w:pPr>
        <w:spacing w:line="360" w:lineRule="exact"/>
        <w:ind w:firstLineChars="200" w:firstLine="420"/>
      </w:pPr>
      <w:r>
        <w:rPr>
          <w:rFonts w:hint="eastAsia"/>
        </w:rPr>
        <w:t>报告期内，公司的主营业务增加电动汽车充电业务，经营模式未发生重大变化。</w:t>
      </w:r>
    </w:p>
    <w:p w14:paraId="51584B51" w14:textId="77777777" w:rsidR="0059473E" w:rsidRDefault="0059473E">
      <w:pPr>
        <w:rPr>
          <w:rFonts w:ascii="宋体"/>
        </w:rPr>
      </w:pPr>
    </w:p>
    <w:p w14:paraId="434E4C4D" w14:textId="77777777" w:rsidR="0059473E" w:rsidRDefault="00000000">
      <w:pPr>
        <w:pStyle w:val="20"/>
        <w:numPr>
          <w:ilvl w:val="0"/>
          <w:numId w:val="22"/>
        </w:numPr>
        <w:spacing w:before="0" w:after="0" w:line="360" w:lineRule="auto"/>
        <w:ind w:left="0" w:firstLine="0"/>
        <w:rPr>
          <w:rFonts w:ascii="宋体"/>
        </w:rPr>
      </w:pPr>
      <w:r>
        <w:rPr>
          <w:rFonts w:ascii="宋体" w:hint="eastAsia"/>
        </w:rPr>
        <w:t>公司主要会计数据和财务指标</w:t>
      </w:r>
    </w:p>
    <w:p w14:paraId="2DD1F2B3" w14:textId="77777777" w:rsidR="0059473E" w:rsidRDefault="00000000">
      <w:pPr>
        <w:pStyle w:val="30"/>
        <w:numPr>
          <w:ilvl w:val="0"/>
          <w:numId w:val="33"/>
        </w:numPr>
        <w:ind w:left="0" w:firstLine="0"/>
        <w:rPr>
          <w:rFonts w:ascii="宋体"/>
        </w:rPr>
      </w:pPr>
      <w:r>
        <w:rPr>
          <w:rFonts w:ascii="宋体" w:hint="eastAsia"/>
        </w:rPr>
        <w:t>近3年的主要会计数据和财务指标</w:t>
      </w:r>
    </w:p>
    <w:p w14:paraId="6A5896DD" w14:textId="77777777" w:rsidR="0059473E" w:rsidRDefault="00000000">
      <w:pPr>
        <w:jc w:val="right"/>
        <w:rPr>
          <w:rFonts w:ascii="宋体" w:hAnsi="宋体" w:hint="eastAsia"/>
          <w:szCs w:val="21"/>
        </w:rPr>
      </w:pPr>
      <w:r>
        <w:rPr>
          <w:rFonts w:ascii="宋体" w:hAnsi="宋体" w:hint="eastAsia"/>
          <w:szCs w:val="21"/>
        </w:rPr>
        <w:t>单位：万元  币种：人民币</w:t>
      </w:r>
    </w:p>
    <w:tbl>
      <w:tblPr>
        <w:tblStyle w:val="a7"/>
        <w:tblW w:w="5000" w:type="pct"/>
        <w:tblLook w:val="04A0" w:firstRow="1" w:lastRow="0" w:firstColumn="1" w:lastColumn="0" w:noHBand="0" w:noVBand="1"/>
      </w:tblPr>
      <w:tblGrid>
        <w:gridCol w:w="1893"/>
        <w:gridCol w:w="1686"/>
        <w:gridCol w:w="1652"/>
        <w:gridCol w:w="1930"/>
        <w:gridCol w:w="1661"/>
      </w:tblGrid>
      <w:tr w:rsidR="0059473E" w14:paraId="66C30F9D" w14:textId="77777777" w:rsidTr="00917AF0">
        <w:tc>
          <w:tcPr>
            <w:tcW w:w="1077" w:type="pct"/>
          </w:tcPr>
          <w:p w14:paraId="63A09452" w14:textId="77777777" w:rsidR="0059473E" w:rsidRDefault="0059473E">
            <w:pPr>
              <w:kinsoku w:val="0"/>
              <w:overflowPunct w:val="0"/>
              <w:autoSpaceDE w:val="0"/>
              <w:autoSpaceDN w:val="0"/>
              <w:adjustRightInd w:val="0"/>
              <w:snapToGrid w:val="0"/>
              <w:jc w:val="center"/>
              <w:rPr>
                <w:rFonts w:ascii="宋体" w:hAnsi="宋体" w:hint="eastAsia"/>
                <w:szCs w:val="21"/>
              </w:rPr>
            </w:pPr>
          </w:p>
        </w:tc>
        <w:tc>
          <w:tcPr>
            <w:tcW w:w="940" w:type="pct"/>
            <w:vAlign w:val="center"/>
          </w:tcPr>
          <w:p w14:paraId="2266E72E" w14:textId="77777777" w:rsidR="0059473E" w:rsidRDefault="00000000">
            <w:pPr>
              <w:kinsoku w:val="0"/>
              <w:overflowPunct w:val="0"/>
              <w:autoSpaceDE w:val="0"/>
              <w:autoSpaceDN w:val="0"/>
              <w:adjustRightInd w:val="0"/>
              <w:snapToGrid w:val="0"/>
              <w:jc w:val="center"/>
              <w:rPr>
                <w:rFonts w:ascii="宋体" w:hAnsi="宋体" w:hint="eastAsia"/>
                <w:szCs w:val="21"/>
              </w:rPr>
            </w:pPr>
            <w:r>
              <w:rPr>
                <w:rFonts w:ascii="宋体" w:hAnsi="宋体" w:hint="eastAsia"/>
                <w:szCs w:val="21"/>
              </w:rPr>
              <w:t>2025年</w:t>
            </w:r>
          </w:p>
        </w:tc>
        <w:tc>
          <w:tcPr>
            <w:tcW w:w="940" w:type="pct"/>
            <w:vAlign w:val="center"/>
          </w:tcPr>
          <w:p w14:paraId="60BF9DEF" w14:textId="77777777" w:rsidR="0059473E" w:rsidRDefault="00000000">
            <w:pPr>
              <w:kinsoku w:val="0"/>
              <w:overflowPunct w:val="0"/>
              <w:autoSpaceDE w:val="0"/>
              <w:autoSpaceDN w:val="0"/>
              <w:adjustRightInd w:val="0"/>
              <w:snapToGrid w:val="0"/>
              <w:jc w:val="center"/>
              <w:rPr>
                <w:rFonts w:ascii="宋体" w:hAnsi="宋体" w:hint="eastAsia"/>
                <w:szCs w:val="21"/>
              </w:rPr>
            </w:pPr>
            <w:r>
              <w:rPr>
                <w:rFonts w:ascii="宋体" w:hAnsi="宋体" w:hint="eastAsia"/>
                <w:szCs w:val="21"/>
              </w:rPr>
              <w:t>2024年</w:t>
            </w:r>
          </w:p>
        </w:tc>
        <w:tc>
          <w:tcPr>
            <w:tcW w:w="1097" w:type="pct"/>
            <w:vAlign w:val="center"/>
          </w:tcPr>
          <w:p w14:paraId="321ACBF1" w14:textId="77777777" w:rsidR="0059473E" w:rsidRDefault="00000000">
            <w:pPr>
              <w:kinsoku w:val="0"/>
              <w:overflowPunct w:val="0"/>
              <w:autoSpaceDE w:val="0"/>
              <w:autoSpaceDN w:val="0"/>
              <w:adjustRightInd w:val="0"/>
              <w:snapToGrid w:val="0"/>
              <w:jc w:val="center"/>
              <w:rPr>
                <w:rFonts w:ascii="宋体" w:hAnsi="宋体" w:hint="eastAsia"/>
                <w:szCs w:val="21"/>
              </w:rPr>
            </w:pPr>
            <w:r>
              <w:rPr>
                <w:rFonts w:ascii="宋体" w:hAnsi="宋体" w:hint="eastAsia"/>
                <w:szCs w:val="21"/>
              </w:rPr>
              <w:t>本年比上年</w:t>
            </w:r>
          </w:p>
          <w:p w14:paraId="490EA887" w14:textId="77777777" w:rsidR="0059473E" w:rsidRDefault="00000000">
            <w:pPr>
              <w:kinsoku w:val="0"/>
              <w:overflowPunct w:val="0"/>
              <w:autoSpaceDE w:val="0"/>
              <w:autoSpaceDN w:val="0"/>
              <w:adjustRightInd w:val="0"/>
              <w:snapToGrid w:val="0"/>
              <w:jc w:val="center"/>
              <w:rPr>
                <w:rFonts w:ascii="宋体" w:hAnsi="宋体" w:hint="eastAsia"/>
                <w:szCs w:val="21"/>
              </w:rPr>
            </w:pPr>
            <w:r>
              <w:rPr>
                <w:rFonts w:ascii="宋体" w:hAnsi="宋体" w:hint="eastAsia"/>
                <w:szCs w:val="21"/>
              </w:rPr>
              <w:t>增减</w:t>
            </w:r>
            <w:r>
              <w:rPr>
                <w:rFonts w:ascii="宋体" w:hAnsi="宋体"/>
                <w:szCs w:val="21"/>
              </w:rPr>
              <w:t>(%)</w:t>
            </w:r>
          </w:p>
        </w:tc>
        <w:tc>
          <w:tcPr>
            <w:tcW w:w="945" w:type="pct"/>
            <w:vAlign w:val="center"/>
          </w:tcPr>
          <w:p w14:paraId="526423ED" w14:textId="77777777" w:rsidR="0059473E" w:rsidRDefault="00000000">
            <w:pPr>
              <w:kinsoku w:val="0"/>
              <w:overflowPunct w:val="0"/>
              <w:autoSpaceDE w:val="0"/>
              <w:autoSpaceDN w:val="0"/>
              <w:adjustRightInd w:val="0"/>
              <w:snapToGrid w:val="0"/>
              <w:jc w:val="center"/>
              <w:rPr>
                <w:rFonts w:ascii="宋体" w:hAnsi="宋体" w:cs="宋体" w:hint="eastAsia"/>
                <w:szCs w:val="21"/>
              </w:rPr>
            </w:pPr>
            <w:r>
              <w:rPr>
                <w:rFonts w:ascii="宋体" w:hAnsi="宋体" w:cs="宋体" w:hint="eastAsia"/>
                <w:szCs w:val="21"/>
              </w:rPr>
              <w:t>2023年</w:t>
            </w:r>
          </w:p>
        </w:tc>
      </w:tr>
      <w:tr w:rsidR="0059473E" w14:paraId="33D1C8B8" w14:textId="77777777" w:rsidTr="00917AF0">
        <w:tc>
          <w:tcPr>
            <w:tcW w:w="1077" w:type="pct"/>
          </w:tcPr>
          <w:p w14:paraId="643AF60A" w14:textId="77777777" w:rsidR="0059473E" w:rsidRDefault="00000000">
            <w:pPr>
              <w:kinsoku w:val="0"/>
              <w:overflowPunct w:val="0"/>
              <w:autoSpaceDE w:val="0"/>
              <w:autoSpaceDN w:val="0"/>
              <w:adjustRightInd w:val="0"/>
              <w:snapToGrid w:val="0"/>
              <w:rPr>
                <w:rFonts w:ascii="宋体" w:hAnsi="宋体" w:hint="eastAsia"/>
                <w:szCs w:val="21"/>
              </w:rPr>
            </w:pPr>
            <w:r>
              <w:rPr>
                <w:rFonts w:ascii="宋体" w:hAnsi="宋体" w:cs="宋体" w:hint="eastAsia"/>
                <w:szCs w:val="21"/>
              </w:rPr>
              <w:t>总资产</w:t>
            </w:r>
          </w:p>
        </w:tc>
        <w:tc>
          <w:tcPr>
            <w:tcW w:w="940" w:type="pct"/>
            <w:vAlign w:val="center"/>
          </w:tcPr>
          <w:p w14:paraId="44FDCF13"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725,838.739669</w:t>
            </w:r>
          </w:p>
        </w:tc>
        <w:tc>
          <w:tcPr>
            <w:tcW w:w="940" w:type="pct"/>
            <w:vAlign w:val="center"/>
          </w:tcPr>
          <w:p w14:paraId="57FDE5E4"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653,194.89</w:t>
            </w:r>
          </w:p>
        </w:tc>
        <w:tc>
          <w:tcPr>
            <w:tcW w:w="1097" w:type="pct"/>
            <w:vAlign w:val="center"/>
          </w:tcPr>
          <w:p w14:paraId="42693B70"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11.12</w:t>
            </w:r>
          </w:p>
        </w:tc>
        <w:tc>
          <w:tcPr>
            <w:tcW w:w="945" w:type="pct"/>
            <w:vAlign w:val="center"/>
          </w:tcPr>
          <w:p w14:paraId="5A1A08D5"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487,524.19</w:t>
            </w:r>
          </w:p>
        </w:tc>
      </w:tr>
      <w:tr w:rsidR="0059473E" w14:paraId="28E1EB67" w14:textId="77777777" w:rsidTr="00917AF0">
        <w:tc>
          <w:tcPr>
            <w:tcW w:w="1077" w:type="pct"/>
          </w:tcPr>
          <w:p w14:paraId="120DFF8E" w14:textId="77777777" w:rsidR="0059473E" w:rsidRDefault="00000000">
            <w:pPr>
              <w:kinsoku w:val="0"/>
              <w:overflowPunct w:val="0"/>
              <w:autoSpaceDE w:val="0"/>
              <w:autoSpaceDN w:val="0"/>
              <w:adjustRightInd w:val="0"/>
              <w:snapToGrid w:val="0"/>
              <w:rPr>
                <w:rFonts w:ascii="宋体" w:hAnsi="宋体" w:hint="eastAsia"/>
                <w:szCs w:val="21"/>
              </w:rPr>
            </w:pPr>
            <w:r>
              <w:rPr>
                <w:rFonts w:ascii="宋体" w:hAnsi="宋体" w:cs="宋体" w:hint="eastAsia"/>
                <w:szCs w:val="21"/>
              </w:rPr>
              <w:t>归属于上市公司股东的净资产</w:t>
            </w:r>
          </w:p>
        </w:tc>
        <w:tc>
          <w:tcPr>
            <w:tcW w:w="940" w:type="pct"/>
            <w:vAlign w:val="center"/>
          </w:tcPr>
          <w:p w14:paraId="3E11B3B7"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249,464.17166</w:t>
            </w:r>
          </w:p>
        </w:tc>
        <w:tc>
          <w:tcPr>
            <w:tcW w:w="940" w:type="pct"/>
            <w:vAlign w:val="center"/>
          </w:tcPr>
          <w:p w14:paraId="4828581C"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241,324.33</w:t>
            </w:r>
          </w:p>
        </w:tc>
        <w:tc>
          <w:tcPr>
            <w:tcW w:w="1097" w:type="pct"/>
            <w:vAlign w:val="center"/>
          </w:tcPr>
          <w:p w14:paraId="4EC901D6"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3.37</w:t>
            </w:r>
          </w:p>
        </w:tc>
        <w:tc>
          <w:tcPr>
            <w:tcW w:w="945" w:type="pct"/>
            <w:vAlign w:val="center"/>
          </w:tcPr>
          <w:p w14:paraId="10585C84"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239,080.85</w:t>
            </w:r>
          </w:p>
        </w:tc>
      </w:tr>
      <w:tr w:rsidR="0059473E" w14:paraId="1BF66A95" w14:textId="77777777" w:rsidTr="00917AF0">
        <w:tc>
          <w:tcPr>
            <w:tcW w:w="1077" w:type="pct"/>
          </w:tcPr>
          <w:p w14:paraId="7E1091C6" w14:textId="77777777" w:rsidR="0059473E" w:rsidRDefault="00000000">
            <w:pPr>
              <w:kinsoku w:val="0"/>
              <w:overflowPunct w:val="0"/>
              <w:autoSpaceDE w:val="0"/>
              <w:autoSpaceDN w:val="0"/>
              <w:adjustRightInd w:val="0"/>
              <w:snapToGrid w:val="0"/>
              <w:rPr>
                <w:rFonts w:ascii="宋体" w:hAnsi="宋体" w:hint="eastAsia"/>
                <w:szCs w:val="21"/>
              </w:rPr>
            </w:pPr>
            <w:r>
              <w:rPr>
                <w:rFonts w:ascii="宋体" w:hAnsi="宋体" w:cs="宋体" w:hint="eastAsia"/>
                <w:szCs w:val="21"/>
              </w:rPr>
              <w:t>营业收入</w:t>
            </w:r>
          </w:p>
        </w:tc>
        <w:tc>
          <w:tcPr>
            <w:tcW w:w="940" w:type="pct"/>
            <w:vAlign w:val="center"/>
          </w:tcPr>
          <w:p w14:paraId="5CB56472"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391,700.827918</w:t>
            </w:r>
          </w:p>
        </w:tc>
        <w:tc>
          <w:tcPr>
            <w:tcW w:w="940" w:type="pct"/>
            <w:vAlign w:val="center"/>
          </w:tcPr>
          <w:p w14:paraId="35DB4BA5"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335,157.00033</w:t>
            </w:r>
          </w:p>
        </w:tc>
        <w:tc>
          <w:tcPr>
            <w:tcW w:w="1097" w:type="pct"/>
            <w:vAlign w:val="center"/>
          </w:tcPr>
          <w:p w14:paraId="38F1D7CD"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16.87</w:t>
            </w:r>
          </w:p>
        </w:tc>
        <w:tc>
          <w:tcPr>
            <w:tcW w:w="945" w:type="pct"/>
            <w:vAlign w:val="center"/>
          </w:tcPr>
          <w:p w14:paraId="30F0ABAA"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271,778.88</w:t>
            </w:r>
          </w:p>
        </w:tc>
      </w:tr>
      <w:tr w:rsidR="0059473E" w14:paraId="27D138A9" w14:textId="77777777" w:rsidTr="00917AF0">
        <w:tc>
          <w:tcPr>
            <w:tcW w:w="1077" w:type="pct"/>
          </w:tcPr>
          <w:p w14:paraId="57639717" w14:textId="77777777" w:rsidR="0059473E" w:rsidRDefault="00000000">
            <w:pPr>
              <w:kinsoku w:val="0"/>
              <w:overflowPunct w:val="0"/>
              <w:autoSpaceDE w:val="0"/>
              <w:autoSpaceDN w:val="0"/>
              <w:adjustRightInd w:val="0"/>
              <w:snapToGrid w:val="0"/>
              <w:rPr>
                <w:rFonts w:ascii="宋体"/>
              </w:rPr>
            </w:pPr>
            <w:r>
              <w:rPr>
                <w:rFonts w:ascii="宋体" w:hint="eastAsia"/>
              </w:rPr>
              <w:t>利润总额</w:t>
            </w:r>
          </w:p>
        </w:tc>
        <w:tc>
          <w:tcPr>
            <w:tcW w:w="940" w:type="pct"/>
            <w:vAlign w:val="center"/>
          </w:tcPr>
          <w:p w14:paraId="22A839B4"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7,939.401279</w:t>
            </w:r>
          </w:p>
        </w:tc>
        <w:tc>
          <w:tcPr>
            <w:tcW w:w="940" w:type="pct"/>
            <w:vAlign w:val="center"/>
          </w:tcPr>
          <w:p w14:paraId="2ABA7AE5"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8,746.451119</w:t>
            </w:r>
          </w:p>
        </w:tc>
        <w:tc>
          <w:tcPr>
            <w:tcW w:w="1097" w:type="pct"/>
            <w:vAlign w:val="center"/>
          </w:tcPr>
          <w:p w14:paraId="4F096820"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-9.23</w:t>
            </w:r>
          </w:p>
        </w:tc>
        <w:tc>
          <w:tcPr>
            <w:tcW w:w="945" w:type="pct"/>
            <w:vAlign w:val="center"/>
          </w:tcPr>
          <w:p w14:paraId="36EC71A9"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27,342.69</w:t>
            </w:r>
          </w:p>
        </w:tc>
      </w:tr>
      <w:tr w:rsidR="0059473E" w14:paraId="070AB4DD" w14:textId="77777777" w:rsidTr="00917AF0">
        <w:tc>
          <w:tcPr>
            <w:tcW w:w="1077" w:type="pct"/>
          </w:tcPr>
          <w:p w14:paraId="20778430" w14:textId="77777777" w:rsidR="0059473E" w:rsidRDefault="00000000">
            <w:pPr>
              <w:kinsoku w:val="0"/>
              <w:overflowPunct w:val="0"/>
              <w:autoSpaceDE w:val="0"/>
              <w:autoSpaceDN w:val="0"/>
              <w:adjustRightInd w:val="0"/>
              <w:snapToGrid w:val="0"/>
              <w:rPr>
                <w:rFonts w:ascii="宋体" w:hAnsi="宋体" w:hint="eastAsia"/>
                <w:szCs w:val="21"/>
              </w:rPr>
            </w:pPr>
            <w:r>
              <w:rPr>
                <w:rFonts w:ascii="宋体" w:hAnsi="宋体" w:cs="宋体" w:hint="eastAsia"/>
                <w:szCs w:val="21"/>
              </w:rPr>
              <w:t>归属于上市公司股东的净利润</w:t>
            </w:r>
          </w:p>
        </w:tc>
        <w:tc>
          <w:tcPr>
            <w:tcW w:w="940" w:type="pct"/>
            <w:vAlign w:val="center"/>
          </w:tcPr>
          <w:p w14:paraId="2416E248"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6,924.321973</w:t>
            </w:r>
          </w:p>
        </w:tc>
        <w:tc>
          <w:tcPr>
            <w:tcW w:w="940" w:type="pct"/>
            <w:vAlign w:val="center"/>
          </w:tcPr>
          <w:p w14:paraId="1CF3AA84"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6,516.647245</w:t>
            </w:r>
          </w:p>
        </w:tc>
        <w:tc>
          <w:tcPr>
            <w:tcW w:w="1097" w:type="pct"/>
            <w:vAlign w:val="center"/>
          </w:tcPr>
          <w:p w14:paraId="4AE152EF"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6.26</w:t>
            </w:r>
          </w:p>
        </w:tc>
        <w:tc>
          <w:tcPr>
            <w:tcW w:w="945" w:type="pct"/>
            <w:vAlign w:val="center"/>
          </w:tcPr>
          <w:p w14:paraId="41377184"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23,458.67</w:t>
            </w:r>
          </w:p>
        </w:tc>
      </w:tr>
      <w:tr w:rsidR="0059473E" w14:paraId="0EEAD696" w14:textId="77777777" w:rsidTr="00917AF0">
        <w:tc>
          <w:tcPr>
            <w:tcW w:w="1077" w:type="pct"/>
          </w:tcPr>
          <w:p w14:paraId="40C948F1" w14:textId="77777777" w:rsidR="0059473E" w:rsidRDefault="00000000">
            <w:pPr>
              <w:kinsoku w:val="0"/>
              <w:overflowPunct w:val="0"/>
              <w:autoSpaceDE w:val="0"/>
              <w:autoSpaceDN w:val="0"/>
              <w:adjustRightInd w:val="0"/>
              <w:snapToGrid w:val="0"/>
              <w:rPr>
                <w:rFonts w:ascii="宋体" w:hAnsi="宋体" w:hint="eastAsia"/>
                <w:szCs w:val="21"/>
              </w:rPr>
            </w:pPr>
            <w:r>
              <w:rPr>
                <w:rFonts w:ascii="宋体" w:hAnsi="宋体" w:cs="宋体" w:hint="eastAsia"/>
                <w:szCs w:val="21"/>
              </w:rPr>
              <w:t>归属于上市公司股东的扣除非经常性损益的净利润</w:t>
            </w:r>
          </w:p>
        </w:tc>
        <w:tc>
          <w:tcPr>
            <w:tcW w:w="940" w:type="pct"/>
            <w:vAlign w:val="center"/>
          </w:tcPr>
          <w:p w14:paraId="05002A68"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6,479.47</w:t>
            </w:r>
          </w:p>
        </w:tc>
        <w:tc>
          <w:tcPr>
            <w:tcW w:w="940" w:type="pct"/>
            <w:vAlign w:val="center"/>
          </w:tcPr>
          <w:p w14:paraId="72679DFC"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3,612.17</w:t>
            </w:r>
          </w:p>
        </w:tc>
        <w:tc>
          <w:tcPr>
            <w:tcW w:w="1097" w:type="pct"/>
            <w:vAlign w:val="center"/>
          </w:tcPr>
          <w:p w14:paraId="0C24D452"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79.38</w:t>
            </w:r>
          </w:p>
        </w:tc>
        <w:tc>
          <w:tcPr>
            <w:tcW w:w="945" w:type="pct"/>
            <w:vAlign w:val="center"/>
          </w:tcPr>
          <w:p w14:paraId="7BF2065B"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22,512.62</w:t>
            </w:r>
          </w:p>
        </w:tc>
      </w:tr>
      <w:tr w:rsidR="0059473E" w14:paraId="286E0255" w14:textId="77777777" w:rsidTr="00917AF0">
        <w:tc>
          <w:tcPr>
            <w:tcW w:w="1077" w:type="pct"/>
          </w:tcPr>
          <w:p w14:paraId="6236DFFA" w14:textId="77777777" w:rsidR="0059473E" w:rsidRDefault="00000000">
            <w:pPr>
              <w:kinsoku w:val="0"/>
              <w:overflowPunct w:val="0"/>
              <w:autoSpaceDE w:val="0"/>
              <w:autoSpaceDN w:val="0"/>
              <w:adjustRightInd w:val="0"/>
              <w:snapToGrid w:val="0"/>
              <w:rPr>
                <w:rFonts w:ascii="宋体" w:hAnsi="宋体" w:hint="eastAsia"/>
                <w:szCs w:val="21"/>
              </w:rPr>
            </w:pPr>
            <w:r>
              <w:rPr>
                <w:rFonts w:ascii="宋体" w:hAnsi="宋体" w:cs="宋体" w:hint="eastAsia"/>
                <w:szCs w:val="21"/>
              </w:rPr>
              <w:t>经营活动产生的现金流量净额</w:t>
            </w:r>
          </w:p>
        </w:tc>
        <w:tc>
          <w:tcPr>
            <w:tcW w:w="940" w:type="pct"/>
            <w:vAlign w:val="center"/>
          </w:tcPr>
          <w:p w14:paraId="6E3B6F75"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22,982.849383</w:t>
            </w:r>
          </w:p>
        </w:tc>
        <w:tc>
          <w:tcPr>
            <w:tcW w:w="940" w:type="pct"/>
            <w:vAlign w:val="center"/>
          </w:tcPr>
          <w:p w14:paraId="792FBC15"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2,065.848539</w:t>
            </w:r>
          </w:p>
        </w:tc>
        <w:tc>
          <w:tcPr>
            <w:tcW w:w="1097" w:type="pct"/>
            <w:vAlign w:val="center"/>
          </w:tcPr>
          <w:p w14:paraId="374F7714"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1,012.51</w:t>
            </w:r>
          </w:p>
        </w:tc>
        <w:tc>
          <w:tcPr>
            <w:tcW w:w="945" w:type="pct"/>
            <w:vAlign w:val="center"/>
          </w:tcPr>
          <w:p w14:paraId="7E980112"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29,186.4</w:t>
            </w:r>
          </w:p>
        </w:tc>
      </w:tr>
      <w:tr w:rsidR="0059473E" w14:paraId="1190963B" w14:textId="77777777" w:rsidTr="00917AF0">
        <w:tc>
          <w:tcPr>
            <w:tcW w:w="1077" w:type="pct"/>
          </w:tcPr>
          <w:p w14:paraId="1F5C34D9" w14:textId="77777777" w:rsidR="0059473E" w:rsidRDefault="00000000">
            <w:pPr>
              <w:kinsoku w:val="0"/>
              <w:overflowPunct w:val="0"/>
              <w:autoSpaceDE w:val="0"/>
              <w:autoSpaceDN w:val="0"/>
              <w:adjustRightInd w:val="0"/>
              <w:snapToGrid w:val="0"/>
              <w:rPr>
                <w:rFonts w:ascii="宋体" w:hAnsi="宋体" w:hint="eastAsia"/>
                <w:szCs w:val="21"/>
              </w:rPr>
            </w:pPr>
            <w:r>
              <w:rPr>
                <w:rFonts w:ascii="宋体" w:hAnsi="宋体" w:cs="宋体" w:hint="eastAsia"/>
                <w:szCs w:val="21"/>
              </w:rPr>
              <w:t>加权平均净资产收益率（</w:t>
            </w:r>
            <w:r>
              <w:rPr>
                <w:rFonts w:ascii="宋体" w:hAnsi="宋体" w:cs="宋体"/>
                <w:szCs w:val="21"/>
              </w:rPr>
              <w:t>%</w:t>
            </w:r>
            <w:r>
              <w:rPr>
                <w:rFonts w:ascii="宋体" w:hAnsi="宋体" w:cs="宋体" w:hint="eastAsia"/>
                <w:szCs w:val="21"/>
              </w:rPr>
              <w:t>）</w:t>
            </w:r>
          </w:p>
        </w:tc>
        <w:tc>
          <w:tcPr>
            <w:tcW w:w="940" w:type="pct"/>
            <w:vAlign w:val="center"/>
          </w:tcPr>
          <w:p w14:paraId="2F6424A0"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2.83</w:t>
            </w:r>
          </w:p>
        </w:tc>
        <w:tc>
          <w:tcPr>
            <w:tcW w:w="940" w:type="pct"/>
            <w:vAlign w:val="center"/>
          </w:tcPr>
          <w:p w14:paraId="2FDDE604"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2.72</w:t>
            </w:r>
          </w:p>
        </w:tc>
        <w:tc>
          <w:tcPr>
            <w:tcW w:w="1097" w:type="pct"/>
            <w:vAlign w:val="center"/>
          </w:tcPr>
          <w:p w14:paraId="6ECE03C3"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增加0.11个百分点</w:t>
            </w:r>
          </w:p>
        </w:tc>
        <w:tc>
          <w:tcPr>
            <w:tcW w:w="945" w:type="pct"/>
            <w:vAlign w:val="center"/>
          </w:tcPr>
          <w:p w14:paraId="707347A6"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10.02</w:t>
            </w:r>
          </w:p>
        </w:tc>
      </w:tr>
      <w:tr w:rsidR="0059473E" w14:paraId="64D6DF20" w14:textId="77777777" w:rsidTr="00917AF0">
        <w:tc>
          <w:tcPr>
            <w:tcW w:w="1077" w:type="pct"/>
          </w:tcPr>
          <w:p w14:paraId="72E010B3" w14:textId="77777777" w:rsidR="0059473E" w:rsidRDefault="00000000">
            <w:pPr>
              <w:kinsoku w:val="0"/>
              <w:overflowPunct w:val="0"/>
              <w:autoSpaceDE w:val="0"/>
              <w:autoSpaceDN w:val="0"/>
              <w:adjustRightInd w:val="0"/>
              <w:snapToGrid w:val="0"/>
              <w:rPr>
                <w:rFonts w:ascii="宋体" w:hAnsi="宋体" w:hint="eastAsia"/>
                <w:szCs w:val="21"/>
              </w:rPr>
            </w:pPr>
            <w:r>
              <w:rPr>
                <w:rFonts w:ascii="宋体" w:hAnsi="宋体" w:cs="宋体" w:hint="eastAsia"/>
                <w:szCs w:val="21"/>
              </w:rPr>
              <w:t>基本每股收益（元／股）</w:t>
            </w:r>
          </w:p>
        </w:tc>
        <w:tc>
          <w:tcPr>
            <w:tcW w:w="940" w:type="pct"/>
            <w:vAlign w:val="center"/>
          </w:tcPr>
          <w:p w14:paraId="18ED96DF"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0.21</w:t>
            </w:r>
          </w:p>
        </w:tc>
        <w:tc>
          <w:tcPr>
            <w:tcW w:w="940" w:type="pct"/>
            <w:vAlign w:val="center"/>
          </w:tcPr>
          <w:p w14:paraId="6DC19597"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0.20</w:t>
            </w:r>
          </w:p>
        </w:tc>
        <w:tc>
          <w:tcPr>
            <w:tcW w:w="1097" w:type="pct"/>
            <w:vAlign w:val="center"/>
          </w:tcPr>
          <w:p w14:paraId="3694C4FB"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5.00</w:t>
            </w:r>
          </w:p>
        </w:tc>
        <w:tc>
          <w:tcPr>
            <w:tcW w:w="945" w:type="pct"/>
            <w:vAlign w:val="center"/>
          </w:tcPr>
          <w:p w14:paraId="0455A63B"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0.70</w:t>
            </w:r>
          </w:p>
        </w:tc>
      </w:tr>
      <w:tr w:rsidR="0059473E" w14:paraId="59D893A2" w14:textId="77777777" w:rsidTr="00917AF0">
        <w:tc>
          <w:tcPr>
            <w:tcW w:w="1077" w:type="pct"/>
          </w:tcPr>
          <w:p w14:paraId="223AC996" w14:textId="77777777" w:rsidR="0059473E" w:rsidRDefault="00000000">
            <w:pPr>
              <w:kinsoku w:val="0"/>
              <w:overflowPunct w:val="0"/>
              <w:autoSpaceDE w:val="0"/>
              <w:autoSpaceDN w:val="0"/>
              <w:adjustRightInd w:val="0"/>
              <w:snapToGrid w:val="0"/>
              <w:rPr>
                <w:rFonts w:ascii="宋体" w:hAnsi="宋体" w:hint="eastAsia"/>
                <w:szCs w:val="21"/>
              </w:rPr>
            </w:pPr>
            <w:r>
              <w:rPr>
                <w:rFonts w:ascii="宋体" w:hAnsi="宋体" w:cs="宋体" w:hint="eastAsia"/>
                <w:szCs w:val="21"/>
              </w:rPr>
              <w:t>稀释每股收益（元／股）</w:t>
            </w:r>
          </w:p>
        </w:tc>
        <w:tc>
          <w:tcPr>
            <w:tcW w:w="940" w:type="pct"/>
            <w:vAlign w:val="center"/>
          </w:tcPr>
          <w:p w14:paraId="445435BE"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0.21</w:t>
            </w:r>
          </w:p>
        </w:tc>
        <w:tc>
          <w:tcPr>
            <w:tcW w:w="940" w:type="pct"/>
            <w:vAlign w:val="center"/>
          </w:tcPr>
          <w:p w14:paraId="6D9E80FA"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0.20</w:t>
            </w:r>
          </w:p>
        </w:tc>
        <w:tc>
          <w:tcPr>
            <w:tcW w:w="1097" w:type="pct"/>
            <w:vAlign w:val="center"/>
          </w:tcPr>
          <w:p w14:paraId="74C6F78B"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5.00</w:t>
            </w:r>
          </w:p>
        </w:tc>
        <w:tc>
          <w:tcPr>
            <w:tcW w:w="945" w:type="pct"/>
            <w:vAlign w:val="center"/>
          </w:tcPr>
          <w:p w14:paraId="10139219" w14:textId="77777777" w:rsidR="0059473E" w:rsidRDefault="00000000">
            <w:pPr>
              <w:kinsoku w:val="0"/>
              <w:overflowPunct w:val="0"/>
              <w:autoSpaceDE w:val="0"/>
              <w:autoSpaceDN w:val="0"/>
              <w:adjustRightInd w:val="0"/>
              <w:snapToGrid w:val="0"/>
              <w:jc w:val="right"/>
              <w:rPr>
                <w:rFonts w:ascii="宋体" w:hAnsi="宋体" w:hint="eastAsia"/>
                <w:szCs w:val="21"/>
              </w:rPr>
            </w:pPr>
            <w:r>
              <w:rPr>
                <w:rFonts w:ascii="宋体" w:hAnsi="宋体"/>
                <w:szCs w:val="21"/>
              </w:rPr>
              <w:t>0.70</w:t>
            </w:r>
          </w:p>
        </w:tc>
      </w:tr>
    </w:tbl>
    <w:p w14:paraId="047E9275" w14:textId="77777777" w:rsidR="0059473E" w:rsidRDefault="0059473E">
      <w:pPr>
        <w:kinsoku w:val="0"/>
        <w:overflowPunct w:val="0"/>
        <w:autoSpaceDE w:val="0"/>
        <w:autoSpaceDN w:val="0"/>
        <w:adjustRightInd w:val="0"/>
        <w:snapToGrid w:val="0"/>
        <w:rPr>
          <w:rFonts w:ascii="宋体" w:hAnsi="宋体" w:hint="eastAsia"/>
          <w:szCs w:val="21"/>
        </w:rPr>
      </w:pPr>
    </w:p>
    <w:p w14:paraId="06C53C18" w14:textId="77777777" w:rsidR="0059473E" w:rsidRDefault="00000000">
      <w:pPr>
        <w:pStyle w:val="30"/>
        <w:numPr>
          <w:ilvl w:val="0"/>
          <w:numId w:val="33"/>
        </w:numPr>
        <w:ind w:left="0" w:firstLine="0"/>
        <w:rPr>
          <w:rFonts w:ascii="宋体"/>
        </w:rPr>
      </w:pPr>
      <w:r>
        <w:rPr>
          <w:rFonts w:ascii="宋体" w:hint="eastAsia"/>
        </w:rPr>
        <w:t>报告期分季度的主要会计数据</w:t>
      </w:r>
    </w:p>
    <w:p w14:paraId="579F10ED" w14:textId="77777777" w:rsidR="00000000" w:rsidRDefault="00000000">
      <w:pPr>
        <w:jc w:val="right"/>
      </w:pPr>
      <w:r>
        <w:rPr>
          <w:rFonts w:hint="eastAsia"/>
        </w:rPr>
        <w:t>单位：万元</w:t>
      </w:r>
      <w:r>
        <w:rPr>
          <w:rFonts w:hint="eastAsia"/>
        </w:rPr>
        <w:t xml:space="preserve">  </w:t>
      </w:r>
      <w:r>
        <w:rPr>
          <w:rFonts w:hint="eastAsia"/>
        </w:rPr>
        <w:t>币种：人民币</w:t>
      </w:r>
    </w:p>
    <w:tbl>
      <w:tblPr>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2"/>
        <w:gridCol w:w="1558"/>
        <w:gridCol w:w="1558"/>
        <w:gridCol w:w="1683"/>
      </w:tblGrid>
      <w:tr w:rsidR="00577D08" w14:paraId="18B7CB45" w14:textId="77777777">
        <w:tc>
          <w:tcPr>
            <w:tcW w:w="2405" w:type="dxa"/>
            <w:vAlign w:val="center"/>
          </w:tcPr>
          <w:p w14:paraId="0C593462" w14:textId="77777777" w:rsidR="00000000" w:rsidRDefault="00000000">
            <w:pPr>
              <w:jc w:val="center"/>
            </w:pPr>
          </w:p>
        </w:tc>
        <w:tc>
          <w:tcPr>
            <w:tcW w:w="1842" w:type="dxa"/>
            <w:vAlign w:val="center"/>
          </w:tcPr>
          <w:p w14:paraId="553B56BD" w14:textId="77777777" w:rsidR="00000000" w:rsidRDefault="00000000">
            <w:pPr>
              <w:jc w:val="center"/>
            </w:pPr>
            <w:r>
              <w:rPr>
                <w:rFonts w:hint="eastAsia"/>
              </w:rPr>
              <w:t>第一季度</w:t>
            </w:r>
          </w:p>
          <w:p w14:paraId="607B60E8" w14:textId="77777777" w:rsidR="00000000" w:rsidRDefault="00000000">
            <w:pPr>
              <w:jc w:val="center"/>
            </w:pPr>
            <w:r>
              <w:rPr>
                <w:rFonts w:hint="eastAsia"/>
              </w:rPr>
              <w:t>（</w:t>
            </w:r>
            <w:r>
              <w:rPr>
                <w:rFonts w:hint="eastAsia"/>
              </w:rPr>
              <w:t>1-3</w:t>
            </w:r>
            <w:r>
              <w:rPr>
                <w:rFonts w:hint="eastAsia"/>
              </w:rPr>
              <w:t>月份）</w:t>
            </w:r>
          </w:p>
        </w:tc>
        <w:tc>
          <w:tcPr>
            <w:tcW w:w="1558" w:type="dxa"/>
            <w:vAlign w:val="center"/>
          </w:tcPr>
          <w:p w14:paraId="784192B9" w14:textId="77777777" w:rsidR="00000000" w:rsidRDefault="00000000">
            <w:pPr>
              <w:jc w:val="center"/>
            </w:pPr>
            <w:r>
              <w:rPr>
                <w:rFonts w:hint="eastAsia"/>
              </w:rPr>
              <w:t>第二季度</w:t>
            </w:r>
          </w:p>
          <w:p w14:paraId="06A6B95F" w14:textId="77777777" w:rsidR="00000000" w:rsidRDefault="00000000">
            <w:pPr>
              <w:jc w:val="center"/>
            </w:pPr>
            <w:r>
              <w:rPr>
                <w:rFonts w:hint="eastAsia"/>
              </w:rPr>
              <w:t>（</w:t>
            </w:r>
            <w:r>
              <w:rPr>
                <w:rFonts w:hint="eastAsia"/>
              </w:rPr>
              <w:t>4-6</w:t>
            </w:r>
            <w:r>
              <w:rPr>
                <w:rFonts w:hint="eastAsia"/>
              </w:rPr>
              <w:t>月份）</w:t>
            </w:r>
          </w:p>
        </w:tc>
        <w:tc>
          <w:tcPr>
            <w:tcW w:w="1558" w:type="dxa"/>
            <w:vAlign w:val="center"/>
          </w:tcPr>
          <w:p w14:paraId="45223639" w14:textId="77777777" w:rsidR="00000000" w:rsidRDefault="00000000">
            <w:pPr>
              <w:jc w:val="center"/>
            </w:pPr>
            <w:r>
              <w:rPr>
                <w:rFonts w:hint="eastAsia"/>
              </w:rPr>
              <w:t>第三季度</w:t>
            </w:r>
          </w:p>
          <w:p w14:paraId="4C86F1D6" w14:textId="77777777" w:rsidR="00000000" w:rsidRDefault="00000000">
            <w:pPr>
              <w:jc w:val="center"/>
            </w:pPr>
            <w:r>
              <w:rPr>
                <w:rFonts w:hint="eastAsia"/>
              </w:rPr>
              <w:t>（</w:t>
            </w:r>
            <w:r>
              <w:rPr>
                <w:rFonts w:hint="eastAsia"/>
              </w:rPr>
              <w:t>7-9</w:t>
            </w:r>
            <w:r>
              <w:rPr>
                <w:rFonts w:hint="eastAsia"/>
              </w:rPr>
              <w:t>月份）</w:t>
            </w:r>
          </w:p>
        </w:tc>
        <w:tc>
          <w:tcPr>
            <w:tcW w:w="1683" w:type="dxa"/>
            <w:vAlign w:val="center"/>
          </w:tcPr>
          <w:p w14:paraId="6FF8835E" w14:textId="77777777" w:rsidR="00000000" w:rsidRDefault="00000000">
            <w:pPr>
              <w:jc w:val="center"/>
            </w:pPr>
            <w:r>
              <w:rPr>
                <w:rFonts w:hint="eastAsia"/>
              </w:rPr>
              <w:t>第四季度</w:t>
            </w:r>
          </w:p>
          <w:p w14:paraId="2BD4AB2E" w14:textId="77777777" w:rsidR="00000000" w:rsidRDefault="00000000">
            <w:pPr>
              <w:jc w:val="center"/>
            </w:pPr>
            <w:r>
              <w:rPr>
                <w:rFonts w:hint="eastAsia"/>
              </w:rPr>
              <w:t>（</w:t>
            </w:r>
            <w:r>
              <w:rPr>
                <w:rFonts w:hint="eastAsia"/>
              </w:rPr>
              <w:t>10-12</w:t>
            </w:r>
            <w:r>
              <w:rPr>
                <w:rFonts w:hint="eastAsia"/>
              </w:rPr>
              <w:t>月份）</w:t>
            </w:r>
          </w:p>
        </w:tc>
      </w:tr>
      <w:tr w:rsidR="00577D08" w14:paraId="20441554" w14:textId="77777777">
        <w:tc>
          <w:tcPr>
            <w:tcW w:w="2405" w:type="dxa"/>
            <w:vAlign w:val="center"/>
          </w:tcPr>
          <w:p w14:paraId="5DFDDB73" w14:textId="77777777" w:rsidR="00000000" w:rsidRDefault="00000000">
            <w:r>
              <w:rPr>
                <w:rFonts w:hint="eastAsia"/>
              </w:rPr>
              <w:t>营业收入</w:t>
            </w:r>
          </w:p>
        </w:tc>
        <w:tc>
          <w:tcPr>
            <w:tcW w:w="1842" w:type="dxa"/>
            <w:vAlign w:val="center"/>
          </w:tcPr>
          <w:p w14:paraId="6ED8AC42" w14:textId="77777777" w:rsidR="00000000" w:rsidRDefault="00000000">
            <w:pPr>
              <w:jc w:val="right"/>
            </w:pPr>
            <w:r>
              <w:t xml:space="preserve"> 78,647.05 </w:t>
            </w:r>
          </w:p>
        </w:tc>
        <w:tc>
          <w:tcPr>
            <w:tcW w:w="1558" w:type="dxa"/>
            <w:vAlign w:val="center"/>
          </w:tcPr>
          <w:p w14:paraId="095545E2" w14:textId="77777777" w:rsidR="00000000" w:rsidRDefault="00000000">
            <w:pPr>
              <w:jc w:val="right"/>
            </w:pPr>
            <w:r>
              <w:t xml:space="preserve"> 104,951.26 </w:t>
            </w:r>
          </w:p>
        </w:tc>
        <w:tc>
          <w:tcPr>
            <w:tcW w:w="1558" w:type="dxa"/>
            <w:vAlign w:val="center"/>
          </w:tcPr>
          <w:p w14:paraId="2766A3C7" w14:textId="77777777" w:rsidR="00000000" w:rsidRDefault="00000000">
            <w:pPr>
              <w:jc w:val="right"/>
            </w:pPr>
            <w:r>
              <w:t xml:space="preserve"> 89,213.69 </w:t>
            </w:r>
          </w:p>
        </w:tc>
        <w:tc>
          <w:tcPr>
            <w:tcW w:w="1683" w:type="dxa"/>
            <w:vAlign w:val="center"/>
          </w:tcPr>
          <w:p w14:paraId="27A5D75F" w14:textId="77777777" w:rsidR="00000000" w:rsidRDefault="00000000">
            <w:pPr>
              <w:jc w:val="right"/>
            </w:pPr>
            <w:r>
              <w:t xml:space="preserve"> 118,888.83 </w:t>
            </w:r>
          </w:p>
        </w:tc>
      </w:tr>
      <w:tr w:rsidR="00577D08" w14:paraId="3798FA5D" w14:textId="77777777">
        <w:tc>
          <w:tcPr>
            <w:tcW w:w="2405" w:type="dxa"/>
            <w:vAlign w:val="center"/>
          </w:tcPr>
          <w:p w14:paraId="6EF30BBC" w14:textId="77777777" w:rsidR="00000000" w:rsidRDefault="00000000">
            <w:r>
              <w:rPr>
                <w:rFonts w:hint="eastAsia"/>
              </w:rPr>
              <w:t>归属于上市公司股东的净利润</w:t>
            </w:r>
          </w:p>
        </w:tc>
        <w:tc>
          <w:tcPr>
            <w:tcW w:w="1842" w:type="dxa"/>
            <w:vAlign w:val="center"/>
          </w:tcPr>
          <w:p w14:paraId="7D160B6D" w14:textId="77777777" w:rsidR="00000000" w:rsidRDefault="00000000">
            <w:pPr>
              <w:jc w:val="right"/>
            </w:pPr>
            <w:r>
              <w:t xml:space="preserve"> 1,449.58 </w:t>
            </w:r>
          </w:p>
        </w:tc>
        <w:tc>
          <w:tcPr>
            <w:tcW w:w="1558" w:type="dxa"/>
            <w:vAlign w:val="center"/>
          </w:tcPr>
          <w:p w14:paraId="51C15699" w14:textId="77777777" w:rsidR="00000000" w:rsidRDefault="00000000">
            <w:pPr>
              <w:jc w:val="right"/>
            </w:pPr>
            <w:r>
              <w:t xml:space="preserve"> 4,013.64 </w:t>
            </w:r>
          </w:p>
        </w:tc>
        <w:tc>
          <w:tcPr>
            <w:tcW w:w="1558" w:type="dxa"/>
            <w:vAlign w:val="center"/>
          </w:tcPr>
          <w:p w14:paraId="01240B1F" w14:textId="77777777" w:rsidR="00000000" w:rsidRDefault="00000000">
            <w:pPr>
              <w:jc w:val="right"/>
            </w:pPr>
            <w:r>
              <w:t xml:space="preserve"> 2,629.99 </w:t>
            </w:r>
          </w:p>
        </w:tc>
        <w:tc>
          <w:tcPr>
            <w:tcW w:w="1683" w:type="dxa"/>
            <w:vAlign w:val="center"/>
          </w:tcPr>
          <w:p w14:paraId="5ECB4813" w14:textId="77777777" w:rsidR="00000000" w:rsidRDefault="00000000">
            <w:pPr>
              <w:jc w:val="right"/>
            </w:pPr>
            <w:r>
              <w:t xml:space="preserve"> -1,168.89 </w:t>
            </w:r>
          </w:p>
        </w:tc>
      </w:tr>
      <w:tr w:rsidR="00577D08" w14:paraId="322A9DEA" w14:textId="77777777">
        <w:tc>
          <w:tcPr>
            <w:tcW w:w="2405" w:type="dxa"/>
            <w:vAlign w:val="center"/>
          </w:tcPr>
          <w:p w14:paraId="02C99196" w14:textId="77777777" w:rsidR="00000000" w:rsidRDefault="00000000">
            <w:r>
              <w:rPr>
                <w:rFonts w:hint="eastAsia"/>
              </w:rPr>
              <w:t>归属于上市公司股东的扣除非经常性损益后的净利润</w:t>
            </w:r>
          </w:p>
        </w:tc>
        <w:tc>
          <w:tcPr>
            <w:tcW w:w="1842" w:type="dxa"/>
            <w:vAlign w:val="center"/>
          </w:tcPr>
          <w:p w14:paraId="09E2EC21" w14:textId="77777777" w:rsidR="00000000" w:rsidRDefault="00000000">
            <w:pPr>
              <w:jc w:val="right"/>
            </w:pPr>
            <w:r>
              <w:t xml:space="preserve"> 1,063.97 </w:t>
            </w:r>
          </w:p>
        </w:tc>
        <w:tc>
          <w:tcPr>
            <w:tcW w:w="1558" w:type="dxa"/>
            <w:vAlign w:val="center"/>
          </w:tcPr>
          <w:p w14:paraId="61897027" w14:textId="77777777" w:rsidR="00000000" w:rsidRDefault="00000000">
            <w:pPr>
              <w:jc w:val="right"/>
            </w:pPr>
            <w:r>
              <w:t xml:space="preserve"> 3,857.59 </w:t>
            </w:r>
          </w:p>
        </w:tc>
        <w:tc>
          <w:tcPr>
            <w:tcW w:w="1558" w:type="dxa"/>
            <w:vAlign w:val="center"/>
          </w:tcPr>
          <w:p w14:paraId="70A0618C" w14:textId="77777777" w:rsidR="00000000" w:rsidRDefault="00000000">
            <w:pPr>
              <w:jc w:val="right"/>
            </w:pPr>
            <w:r>
              <w:t xml:space="preserve"> 2,696.65 </w:t>
            </w:r>
          </w:p>
        </w:tc>
        <w:tc>
          <w:tcPr>
            <w:tcW w:w="1683" w:type="dxa"/>
            <w:vAlign w:val="center"/>
          </w:tcPr>
          <w:p w14:paraId="53CB1D29" w14:textId="77777777" w:rsidR="00000000" w:rsidRDefault="00000000">
            <w:pPr>
              <w:jc w:val="right"/>
            </w:pPr>
            <w:r>
              <w:t xml:space="preserve"> -1,138.7</w:t>
            </w:r>
            <w:r>
              <w:rPr>
                <w:rFonts w:hint="eastAsia"/>
              </w:rPr>
              <w:t>4</w:t>
            </w:r>
            <w:r>
              <w:t xml:space="preserve"> </w:t>
            </w:r>
          </w:p>
        </w:tc>
      </w:tr>
      <w:tr w:rsidR="00577D08" w14:paraId="44ED3753" w14:textId="77777777">
        <w:tc>
          <w:tcPr>
            <w:tcW w:w="2405" w:type="dxa"/>
            <w:vAlign w:val="center"/>
          </w:tcPr>
          <w:p w14:paraId="27F8E2B1" w14:textId="77777777" w:rsidR="00000000" w:rsidRDefault="00000000">
            <w:r>
              <w:rPr>
                <w:rFonts w:hint="eastAsia"/>
              </w:rPr>
              <w:t>经营活动产生的现金流</w:t>
            </w:r>
            <w:r>
              <w:rPr>
                <w:rFonts w:hint="eastAsia"/>
              </w:rPr>
              <w:lastRenderedPageBreak/>
              <w:t>量净额</w:t>
            </w:r>
          </w:p>
        </w:tc>
        <w:tc>
          <w:tcPr>
            <w:tcW w:w="1842" w:type="dxa"/>
            <w:vAlign w:val="center"/>
          </w:tcPr>
          <w:p w14:paraId="121D5B1F" w14:textId="77777777" w:rsidR="00000000" w:rsidRDefault="00000000">
            <w:pPr>
              <w:jc w:val="right"/>
            </w:pPr>
            <w:r>
              <w:lastRenderedPageBreak/>
              <w:t xml:space="preserve"> 7,799.29 </w:t>
            </w:r>
          </w:p>
        </w:tc>
        <w:tc>
          <w:tcPr>
            <w:tcW w:w="1558" w:type="dxa"/>
            <w:vAlign w:val="center"/>
          </w:tcPr>
          <w:p w14:paraId="0B3D7E4B" w14:textId="77777777" w:rsidR="00000000" w:rsidRDefault="00000000">
            <w:pPr>
              <w:jc w:val="right"/>
            </w:pPr>
            <w:r>
              <w:t xml:space="preserve"> -5,816.17 </w:t>
            </w:r>
          </w:p>
        </w:tc>
        <w:tc>
          <w:tcPr>
            <w:tcW w:w="1558" w:type="dxa"/>
            <w:vAlign w:val="center"/>
          </w:tcPr>
          <w:p w14:paraId="5122C867" w14:textId="77777777" w:rsidR="00000000" w:rsidRDefault="00000000">
            <w:pPr>
              <w:jc w:val="right"/>
            </w:pPr>
            <w:r>
              <w:t xml:space="preserve"> 14,591.52 </w:t>
            </w:r>
          </w:p>
        </w:tc>
        <w:tc>
          <w:tcPr>
            <w:tcW w:w="1683" w:type="dxa"/>
            <w:vAlign w:val="center"/>
          </w:tcPr>
          <w:p w14:paraId="3E6F0A5C" w14:textId="77777777" w:rsidR="00000000" w:rsidRDefault="00000000">
            <w:pPr>
              <w:jc w:val="right"/>
            </w:pPr>
            <w:r>
              <w:t xml:space="preserve"> 6,408.21 </w:t>
            </w:r>
          </w:p>
        </w:tc>
      </w:tr>
    </w:tbl>
    <w:p w14:paraId="5B704511" w14:textId="77777777" w:rsidR="00000000" w:rsidRDefault="00000000">
      <w:pPr>
        <w:rPr>
          <w:bCs/>
          <w:szCs w:val="32"/>
        </w:rPr>
      </w:pPr>
      <w:r>
        <w:rPr>
          <w:rFonts w:hint="eastAsia"/>
          <w:bCs/>
          <w:szCs w:val="32"/>
        </w:rPr>
        <w:t>季度数据与已披露定期报告数据差异说明</w:t>
      </w:r>
    </w:p>
    <w:p w14:paraId="7D1675D0" w14:textId="77777777" w:rsidR="00000000" w:rsidRDefault="00000000">
      <w:r>
        <w:rPr>
          <w:rFonts w:ascii="宋体" w:hAnsi="宋体"/>
        </w:rPr>
        <w:fldChar w:fldCharType="begin"/>
      </w:r>
      <w:r>
        <w:rPr>
          <w:rFonts w:ascii="宋体" w:hAnsi="宋体" w:hint="eastAsia"/>
        </w:rPr>
        <w:instrText xml:space="preserve"> MACROBUTTON  SnrToggleCheckbox </w:instrText>
      </w:r>
      <w:r>
        <w:rPr>
          <w:rFonts w:ascii="宋体" w:hAnsi="宋体" w:hint="eastAsia"/>
        </w:rPr>
        <w:instrText>□适用</w:instrText>
      </w:r>
      <w:r>
        <w:rPr>
          <w:rFonts w:ascii="宋体" w:hAnsi="宋体" w:hint="eastAsia"/>
        </w:rPr>
        <w:instrText xml:space="preserve">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w:instrText>
      </w:r>
      <w:r>
        <w:rPr>
          <w:rFonts w:ascii="宋体" w:hAnsi="宋体" w:hint="eastAsia"/>
        </w:rPr>
        <w:instrText>√不适用</w:instrText>
      </w:r>
      <w:r>
        <w:rPr>
          <w:rFonts w:ascii="宋体" w:hAnsi="宋体" w:hint="eastAsia"/>
        </w:rPr>
        <w:instrText xml:space="preserve"> </w:instrText>
      </w:r>
      <w:r>
        <w:rPr>
          <w:rFonts w:ascii="宋体" w:hAnsi="宋体"/>
        </w:rPr>
        <w:fldChar w:fldCharType="end"/>
      </w:r>
    </w:p>
    <w:p w14:paraId="61B2A831" w14:textId="77777777" w:rsidR="0059473E" w:rsidRDefault="00000000">
      <w:pPr>
        <w:pStyle w:val="20"/>
        <w:numPr>
          <w:ilvl w:val="0"/>
          <w:numId w:val="22"/>
        </w:numPr>
        <w:spacing w:before="0" w:after="0" w:line="360" w:lineRule="auto"/>
        <w:ind w:left="0" w:firstLine="0"/>
        <w:rPr>
          <w:rFonts w:ascii="宋体"/>
        </w:rPr>
      </w:pPr>
      <w:r>
        <w:rPr>
          <w:rFonts w:ascii="宋体" w:hint="eastAsia"/>
        </w:rPr>
        <w:t>股东情况</w:t>
      </w:r>
    </w:p>
    <w:p w14:paraId="1DEB54EB" w14:textId="77777777" w:rsidR="0059473E" w:rsidRDefault="00000000">
      <w:pPr>
        <w:pStyle w:val="30"/>
        <w:numPr>
          <w:ilvl w:val="0"/>
          <w:numId w:val="34"/>
        </w:numPr>
        <w:rPr>
          <w:rFonts w:ascii="宋体"/>
        </w:rPr>
      </w:pPr>
      <w:r>
        <w:rPr>
          <w:rFonts w:ascii="宋体" w:hint="eastAsia"/>
        </w:rPr>
        <w:t xml:space="preserve">报告期末及年报披露前一个月末的普通股股东总数、表决权恢复的优先股股东总数和持有特别表决权股份的股东总数及前 10 </w:t>
      </w:r>
      <w:proofErr w:type="gramStart"/>
      <w:r>
        <w:rPr>
          <w:rFonts w:ascii="宋体" w:hint="eastAsia"/>
        </w:rPr>
        <w:t>名股东</w:t>
      </w:r>
      <w:proofErr w:type="gramEnd"/>
      <w:r>
        <w:rPr>
          <w:rFonts w:ascii="宋体" w:hint="eastAsia"/>
        </w:rPr>
        <w:t>情况</w:t>
      </w:r>
    </w:p>
    <w:p w14:paraId="68256B2C" w14:textId="77777777" w:rsidR="0059473E" w:rsidRDefault="0059473E">
      <w:pPr>
        <w:ind w:right="26"/>
        <w:rPr>
          <w:rFonts w:ascii="宋体"/>
        </w:rPr>
      </w:pPr>
    </w:p>
    <w:p w14:paraId="7E8D72D6" w14:textId="77777777" w:rsidR="0059473E" w:rsidRDefault="00000000">
      <w:pPr>
        <w:jc w:val="right"/>
        <w:rPr>
          <w:rFonts w:ascii="宋体" w:hAnsi="宋体" w:hint="eastAsia"/>
          <w:szCs w:val="21"/>
        </w:rPr>
      </w:pPr>
      <w:r>
        <w:rPr>
          <w:rFonts w:ascii="宋体" w:hAnsi="宋体" w:hint="eastAsia"/>
          <w:szCs w:val="21"/>
        </w:rPr>
        <w:t>单位: 股</w:t>
      </w:r>
    </w:p>
    <w:tbl>
      <w:tblPr>
        <w:tblStyle w:val="a7"/>
        <w:tblW w:w="5000" w:type="pct"/>
        <w:tblLook w:val="04A0" w:firstRow="1" w:lastRow="0" w:firstColumn="1" w:lastColumn="0" w:noHBand="0" w:noVBand="1"/>
      </w:tblPr>
      <w:tblGrid>
        <w:gridCol w:w="2215"/>
        <w:gridCol w:w="1161"/>
        <w:gridCol w:w="1266"/>
        <w:gridCol w:w="741"/>
        <w:gridCol w:w="849"/>
        <w:gridCol w:w="870"/>
        <w:gridCol w:w="877"/>
        <w:gridCol w:w="843"/>
      </w:tblGrid>
      <w:tr w:rsidR="0059473E" w14:paraId="1153E3C8" w14:textId="77777777" w:rsidTr="00C80A71">
        <w:tc>
          <w:tcPr>
            <w:tcW w:w="3355" w:type="pct"/>
            <w:gridSpan w:val="5"/>
          </w:tcPr>
          <w:p w14:paraId="137B859D" w14:textId="77777777" w:rsidR="0059473E" w:rsidRDefault="00000000">
            <w:pPr>
              <w:rPr>
                <w:rFonts w:ascii="宋体" w:hAnsi="宋体" w:hint="eastAsia"/>
              </w:rPr>
            </w:pPr>
            <w:r>
              <w:rPr>
                <w:rFonts w:ascii="宋体" w:hAnsi="宋体" w:cs="宋体" w:hint="eastAsia"/>
                <w:szCs w:val="21"/>
              </w:rPr>
              <w:t>截至报告期末普通股股东总数（户）</w:t>
            </w:r>
          </w:p>
        </w:tc>
        <w:tc>
          <w:tcPr>
            <w:tcW w:w="1645" w:type="pct"/>
            <w:gridSpan w:val="3"/>
            <w:vAlign w:val="center"/>
          </w:tcPr>
          <w:p w14:paraId="04C193E8" w14:textId="77777777" w:rsidR="0059473E" w:rsidRDefault="00000000">
            <w:pPr>
              <w:jc w:val="right"/>
              <w:rPr>
                <w:rFonts w:ascii="宋体" w:hAnsi="宋体" w:hint="eastAsia"/>
              </w:rPr>
            </w:pPr>
            <w:r>
              <w:rPr>
                <w:rFonts w:ascii="宋体" w:hAnsi="宋体"/>
              </w:rPr>
              <w:t>27,730</w:t>
            </w:r>
          </w:p>
        </w:tc>
      </w:tr>
      <w:tr w:rsidR="0059473E" w14:paraId="41B722FA" w14:textId="77777777" w:rsidTr="00C80A71">
        <w:tc>
          <w:tcPr>
            <w:tcW w:w="3355" w:type="pct"/>
            <w:gridSpan w:val="5"/>
          </w:tcPr>
          <w:p w14:paraId="5A56217B" w14:textId="77777777" w:rsidR="0059473E" w:rsidRDefault="00000000">
            <w:pPr>
              <w:rPr>
                <w:rFonts w:ascii="宋体" w:hAnsi="宋体" w:cs="宋体" w:hint="eastAsia"/>
                <w:szCs w:val="21"/>
              </w:rPr>
            </w:pPr>
            <w:r>
              <w:rPr>
                <w:rFonts w:ascii="宋体" w:hAnsi="宋体" w:hint="eastAsia"/>
                <w:szCs w:val="21"/>
              </w:rPr>
              <w:t>年度报告披露日前上一月末的普通股股东总数（</w:t>
            </w:r>
            <w:r>
              <w:rPr>
                <w:rFonts w:ascii="宋体" w:hAnsi="宋体"/>
                <w:szCs w:val="21"/>
              </w:rPr>
              <w:t>户</w:t>
            </w:r>
            <w:r>
              <w:rPr>
                <w:rFonts w:ascii="宋体" w:hAnsi="宋体" w:hint="eastAsia"/>
                <w:szCs w:val="21"/>
              </w:rPr>
              <w:t>）</w:t>
            </w:r>
          </w:p>
        </w:tc>
        <w:tc>
          <w:tcPr>
            <w:tcW w:w="1645" w:type="pct"/>
            <w:gridSpan w:val="3"/>
            <w:vAlign w:val="center"/>
          </w:tcPr>
          <w:p w14:paraId="354F63DF" w14:textId="77777777" w:rsidR="0059473E" w:rsidRDefault="00000000">
            <w:pPr>
              <w:jc w:val="right"/>
              <w:rPr>
                <w:rFonts w:ascii="宋体" w:hAnsi="宋体" w:hint="eastAsia"/>
              </w:rPr>
            </w:pPr>
            <w:r>
              <w:rPr>
                <w:rFonts w:ascii="宋体" w:hAnsi="宋体"/>
              </w:rPr>
              <w:t>31,011</w:t>
            </w:r>
          </w:p>
        </w:tc>
      </w:tr>
      <w:tr w:rsidR="0059473E" w14:paraId="0B39B38B" w14:textId="77777777" w:rsidTr="00C80A71">
        <w:tc>
          <w:tcPr>
            <w:tcW w:w="3355" w:type="pct"/>
            <w:gridSpan w:val="5"/>
          </w:tcPr>
          <w:p w14:paraId="29C596CE" w14:textId="77777777" w:rsidR="0059473E" w:rsidRDefault="00000000">
            <w:pPr>
              <w:rPr>
                <w:rFonts w:ascii="宋体" w:hAnsi="宋体" w:cs="宋体" w:hint="eastAsia"/>
                <w:szCs w:val="21"/>
              </w:rPr>
            </w:pPr>
            <w:r>
              <w:rPr>
                <w:rFonts w:ascii="宋体" w:hAnsi="宋体" w:cs="宋体" w:hint="eastAsia"/>
                <w:szCs w:val="21"/>
              </w:rPr>
              <w:t>截至报告期末表决权恢复的优先股股东总数（户）</w:t>
            </w:r>
          </w:p>
        </w:tc>
        <w:tc>
          <w:tcPr>
            <w:tcW w:w="1645" w:type="pct"/>
            <w:gridSpan w:val="3"/>
            <w:vAlign w:val="center"/>
          </w:tcPr>
          <w:p w14:paraId="1C372957" w14:textId="77777777" w:rsidR="0059473E" w:rsidRDefault="00000000">
            <w:pPr>
              <w:jc w:val="right"/>
              <w:rPr>
                <w:rFonts w:ascii="宋体" w:hAnsi="宋体" w:hint="eastAsia"/>
              </w:rPr>
            </w:pPr>
            <w:r>
              <w:rPr>
                <w:rFonts w:ascii="宋体" w:hAnsi="宋体"/>
              </w:rPr>
              <w:t>0</w:t>
            </w:r>
          </w:p>
        </w:tc>
      </w:tr>
      <w:tr w:rsidR="0059473E" w14:paraId="28B1CD42" w14:textId="77777777" w:rsidTr="00C80A71">
        <w:tc>
          <w:tcPr>
            <w:tcW w:w="3355" w:type="pct"/>
            <w:gridSpan w:val="5"/>
          </w:tcPr>
          <w:p w14:paraId="3FA9932B" w14:textId="77777777" w:rsidR="0059473E" w:rsidRDefault="00000000">
            <w:pPr>
              <w:rPr>
                <w:rFonts w:ascii="宋体" w:hAnsi="宋体" w:cs="宋体" w:hint="eastAsia"/>
                <w:szCs w:val="21"/>
              </w:rPr>
            </w:pPr>
            <w:r>
              <w:rPr>
                <w:rFonts w:ascii="宋体" w:hAnsi="宋体" w:cs="宋体" w:hint="eastAsia"/>
                <w:szCs w:val="21"/>
              </w:rPr>
              <w:t>年度报告披露日前</w:t>
            </w:r>
            <w:r>
              <w:rPr>
                <w:rFonts w:ascii="宋体" w:hAnsi="宋体" w:hint="eastAsia"/>
                <w:szCs w:val="21"/>
              </w:rPr>
              <w:t>上一月</w:t>
            </w:r>
            <w:r>
              <w:rPr>
                <w:rFonts w:ascii="宋体" w:hAnsi="宋体" w:cs="宋体" w:hint="eastAsia"/>
                <w:szCs w:val="21"/>
              </w:rPr>
              <w:t>末表决权恢复的优先股股东总数（户）</w:t>
            </w:r>
          </w:p>
        </w:tc>
        <w:tc>
          <w:tcPr>
            <w:tcW w:w="1645" w:type="pct"/>
            <w:gridSpan w:val="3"/>
            <w:vAlign w:val="center"/>
          </w:tcPr>
          <w:p w14:paraId="677FB0E2" w14:textId="77777777" w:rsidR="0059473E" w:rsidRDefault="00000000">
            <w:pPr>
              <w:jc w:val="right"/>
              <w:rPr>
                <w:rFonts w:ascii="宋体" w:hAnsi="宋体" w:hint="eastAsia"/>
              </w:rPr>
            </w:pPr>
            <w:r>
              <w:rPr>
                <w:rFonts w:ascii="宋体" w:hAnsi="宋体"/>
              </w:rPr>
              <w:t>0</w:t>
            </w:r>
          </w:p>
        </w:tc>
      </w:tr>
      <w:tr w:rsidR="0059473E" w14:paraId="791753A5" w14:textId="77777777" w:rsidTr="00C80A71">
        <w:tc>
          <w:tcPr>
            <w:tcW w:w="5000" w:type="pct"/>
            <w:gridSpan w:val="8"/>
          </w:tcPr>
          <w:p w14:paraId="481C19D1" w14:textId="77777777" w:rsidR="0059473E" w:rsidRDefault="00000000">
            <w:pPr>
              <w:jc w:val="center"/>
              <w:rPr>
                <w:rFonts w:ascii="宋体" w:hAnsi="宋体" w:hint="eastAsia"/>
              </w:rPr>
            </w:pPr>
            <w:r>
              <w:rPr>
                <w:rFonts w:ascii="宋体" w:hAnsi="宋体" w:cs="宋体" w:hint="eastAsia"/>
                <w:szCs w:val="21"/>
              </w:rPr>
              <w:t>前十名股东持股情况（不含通过转融通出借股份）</w:t>
            </w:r>
          </w:p>
        </w:tc>
      </w:tr>
      <w:tr w:rsidR="0059473E" w14:paraId="4DD92427" w14:textId="77777777" w:rsidTr="00C80A71">
        <w:trPr>
          <w:trHeight w:val="465"/>
        </w:trPr>
        <w:tc>
          <w:tcPr>
            <w:tcW w:w="1315" w:type="pct"/>
            <w:vMerge w:val="restart"/>
            <w:vAlign w:val="center"/>
          </w:tcPr>
          <w:p w14:paraId="0EF0D04A" w14:textId="77777777" w:rsidR="0059473E" w:rsidRDefault="00000000">
            <w:pPr>
              <w:jc w:val="center"/>
              <w:rPr>
                <w:rFonts w:ascii="宋体" w:hAnsi="宋体" w:cs="宋体" w:hint="eastAsia"/>
                <w:szCs w:val="21"/>
              </w:rPr>
            </w:pPr>
            <w:r>
              <w:rPr>
                <w:rFonts w:ascii="宋体" w:hAnsi="宋体" w:cs="宋体" w:hint="eastAsia"/>
                <w:szCs w:val="21"/>
              </w:rPr>
              <w:t>股东名称</w:t>
            </w:r>
          </w:p>
          <w:p w14:paraId="4773575C" w14:textId="77777777" w:rsidR="0059473E" w:rsidRDefault="00000000">
            <w:pPr>
              <w:jc w:val="center"/>
              <w:rPr>
                <w:rFonts w:ascii="宋体" w:hAnsi="宋体" w:hint="eastAsia"/>
              </w:rPr>
            </w:pPr>
            <w:r>
              <w:rPr>
                <w:rFonts w:ascii="宋体" w:hAnsi="宋体" w:cs="宋体" w:hint="eastAsia"/>
                <w:szCs w:val="21"/>
              </w:rPr>
              <w:t>（全称）</w:t>
            </w:r>
          </w:p>
        </w:tc>
        <w:tc>
          <w:tcPr>
            <w:tcW w:w="550" w:type="pct"/>
            <w:vMerge w:val="restart"/>
            <w:vAlign w:val="center"/>
          </w:tcPr>
          <w:p w14:paraId="2EEB5245" w14:textId="77777777" w:rsidR="0059473E" w:rsidRDefault="00000000">
            <w:pPr>
              <w:jc w:val="center"/>
              <w:rPr>
                <w:rFonts w:ascii="宋体" w:hAnsi="宋体" w:hint="eastAsia"/>
              </w:rPr>
            </w:pPr>
            <w:r>
              <w:rPr>
                <w:rFonts w:ascii="宋体" w:hint="eastAsia"/>
                <w:szCs w:val="21"/>
              </w:rPr>
              <w:t>报告期内增减</w:t>
            </w:r>
          </w:p>
        </w:tc>
        <w:tc>
          <w:tcPr>
            <w:tcW w:w="470" w:type="pct"/>
            <w:vMerge w:val="restart"/>
            <w:vAlign w:val="center"/>
          </w:tcPr>
          <w:p w14:paraId="14BFDF7C" w14:textId="77777777" w:rsidR="0059473E" w:rsidRDefault="00000000">
            <w:pPr>
              <w:jc w:val="center"/>
              <w:rPr>
                <w:rFonts w:ascii="宋体" w:hAnsi="宋体" w:hint="eastAsia"/>
              </w:rPr>
            </w:pPr>
            <w:r>
              <w:rPr>
                <w:rFonts w:ascii="宋体" w:hint="eastAsia"/>
                <w:szCs w:val="21"/>
              </w:rPr>
              <w:t>期末持股数量</w:t>
            </w:r>
          </w:p>
        </w:tc>
        <w:tc>
          <w:tcPr>
            <w:tcW w:w="471" w:type="pct"/>
            <w:vMerge w:val="restart"/>
            <w:vAlign w:val="center"/>
          </w:tcPr>
          <w:p w14:paraId="1FED574A" w14:textId="77777777" w:rsidR="0059473E" w:rsidRDefault="00000000">
            <w:pPr>
              <w:jc w:val="center"/>
              <w:rPr>
                <w:rFonts w:ascii="宋体" w:hAnsi="宋体" w:hint="eastAsia"/>
              </w:rPr>
            </w:pPr>
            <w:r>
              <w:rPr>
                <w:rFonts w:ascii="宋体" w:hint="eastAsia"/>
                <w:szCs w:val="21"/>
              </w:rPr>
              <w:t>比例</w:t>
            </w:r>
            <w:r>
              <w:rPr>
                <w:rFonts w:ascii="宋体" w:hAnsiTheme="minorEastAsia" w:hint="eastAsia"/>
                <w:szCs w:val="21"/>
              </w:rPr>
              <w:t>(%)</w:t>
            </w:r>
          </w:p>
        </w:tc>
        <w:tc>
          <w:tcPr>
            <w:tcW w:w="549" w:type="pct"/>
            <w:vMerge w:val="restart"/>
            <w:vAlign w:val="center"/>
          </w:tcPr>
          <w:p w14:paraId="6F3A710B" w14:textId="77777777" w:rsidR="0059473E" w:rsidRDefault="00000000">
            <w:pPr>
              <w:jc w:val="center"/>
              <w:rPr>
                <w:rFonts w:ascii="宋体" w:hAnsi="宋体" w:hint="eastAsia"/>
              </w:rPr>
            </w:pPr>
            <w:r>
              <w:rPr>
                <w:rFonts w:ascii="宋体" w:hAnsi="宋体" w:cs="宋体" w:hint="eastAsia"/>
                <w:szCs w:val="21"/>
              </w:rPr>
              <w:t>持有有限</w:t>
            </w:r>
            <w:proofErr w:type="gramStart"/>
            <w:r>
              <w:rPr>
                <w:rFonts w:ascii="宋体" w:hAnsi="宋体" w:cs="宋体" w:hint="eastAsia"/>
                <w:szCs w:val="21"/>
              </w:rPr>
              <w:t>售条件</w:t>
            </w:r>
            <w:proofErr w:type="gramEnd"/>
            <w:r>
              <w:rPr>
                <w:rFonts w:ascii="宋体" w:hAnsi="宋体" w:cs="宋体" w:hint="eastAsia"/>
                <w:szCs w:val="21"/>
              </w:rPr>
              <w:t>的股份数量</w:t>
            </w:r>
          </w:p>
        </w:tc>
        <w:tc>
          <w:tcPr>
            <w:tcW w:w="1108" w:type="pct"/>
            <w:gridSpan w:val="2"/>
            <w:vAlign w:val="center"/>
          </w:tcPr>
          <w:p w14:paraId="300FB7EC" w14:textId="77777777" w:rsidR="0059473E" w:rsidRDefault="00000000">
            <w:pPr>
              <w:jc w:val="center"/>
              <w:rPr>
                <w:rFonts w:ascii="宋体" w:hAnsi="宋体" w:hint="eastAsia"/>
              </w:rPr>
            </w:pPr>
            <w:r>
              <w:rPr>
                <w:rFonts w:ascii="宋体" w:hint="eastAsia"/>
                <w:szCs w:val="21"/>
              </w:rPr>
              <w:t>质押、标记或冻结情况</w:t>
            </w:r>
          </w:p>
        </w:tc>
        <w:tc>
          <w:tcPr>
            <w:tcW w:w="537" w:type="pct"/>
            <w:vMerge w:val="restart"/>
            <w:vAlign w:val="center"/>
          </w:tcPr>
          <w:p w14:paraId="660F9533" w14:textId="77777777" w:rsidR="0059473E" w:rsidRDefault="00000000">
            <w:pPr>
              <w:jc w:val="center"/>
              <w:rPr>
                <w:rFonts w:ascii="宋体"/>
                <w:szCs w:val="21"/>
              </w:rPr>
            </w:pPr>
            <w:r>
              <w:rPr>
                <w:rFonts w:ascii="宋体" w:hint="eastAsia"/>
                <w:szCs w:val="21"/>
              </w:rPr>
              <w:t>股东</w:t>
            </w:r>
          </w:p>
          <w:p w14:paraId="7EDBB5C4" w14:textId="77777777" w:rsidR="0059473E" w:rsidRDefault="00000000">
            <w:pPr>
              <w:jc w:val="center"/>
              <w:rPr>
                <w:rFonts w:ascii="宋体" w:hAnsi="宋体" w:hint="eastAsia"/>
              </w:rPr>
            </w:pPr>
            <w:r>
              <w:rPr>
                <w:rFonts w:ascii="宋体" w:hint="eastAsia"/>
                <w:szCs w:val="21"/>
              </w:rPr>
              <w:t>性质</w:t>
            </w:r>
          </w:p>
        </w:tc>
      </w:tr>
      <w:tr w:rsidR="0059473E" w14:paraId="32B9062D" w14:textId="77777777" w:rsidTr="00C80A71">
        <w:trPr>
          <w:trHeight w:val="465"/>
        </w:trPr>
        <w:tc>
          <w:tcPr>
            <w:tcW w:w="1315" w:type="pct"/>
            <w:vMerge/>
            <w:vAlign w:val="center"/>
          </w:tcPr>
          <w:p w14:paraId="1E4CC110" w14:textId="77777777" w:rsidR="0059473E" w:rsidRDefault="0059473E">
            <w:pPr>
              <w:jc w:val="center"/>
              <w:rPr>
                <w:rFonts w:ascii="宋体" w:hAnsi="宋体" w:cs="宋体" w:hint="eastAsia"/>
                <w:szCs w:val="21"/>
              </w:rPr>
            </w:pPr>
          </w:p>
        </w:tc>
        <w:tc>
          <w:tcPr>
            <w:tcW w:w="550" w:type="pct"/>
            <w:vMerge/>
            <w:vAlign w:val="center"/>
          </w:tcPr>
          <w:p w14:paraId="019754F0" w14:textId="77777777" w:rsidR="0059473E" w:rsidRDefault="0059473E">
            <w:pPr>
              <w:jc w:val="center"/>
              <w:rPr>
                <w:rFonts w:ascii="宋体"/>
                <w:szCs w:val="21"/>
              </w:rPr>
            </w:pPr>
          </w:p>
        </w:tc>
        <w:tc>
          <w:tcPr>
            <w:tcW w:w="470" w:type="pct"/>
            <w:vMerge/>
            <w:vAlign w:val="center"/>
          </w:tcPr>
          <w:p w14:paraId="25A231AA" w14:textId="77777777" w:rsidR="0059473E" w:rsidRDefault="0059473E">
            <w:pPr>
              <w:jc w:val="center"/>
              <w:rPr>
                <w:rFonts w:ascii="宋体"/>
                <w:szCs w:val="21"/>
              </w:rPr>
            </w:pPr>
          </w:p>
        </w:tc>
        <w:tc>
          <w:tcPr>
            <w:tcW w:w="471" w:type="pct"/>
            <w:vMerge/>
            <w:vAlign w:val="center"/>
          </w:tcPr>
          <w:p w14:paraId="5A57FC42" w14:textId="77777777" w:rsidR="0059473E" w:rsidRDefault="0059473E">
            <w:pPr>
              <w:jc w:val="center"/>
              <w:rPr>
                <w:rFonts w:ascii="宋体"/>
                <w:szCs w:val="21"/>
              </w:rPr>
            </w:pPr>
          </w:p>
        </w:tc>
        <w:tc>
          <w:tcPr>
            <w:tcW w:w="549" w:type="pct"/>
            <w:vMerge/>
            <w:vAlign w:val="center"/>
          </w:tcPr>
          <w:p w14:paraId="7C75497A" w14:textId="77777777" w:rsidR="0059473E" w:rsidRDefault="0059473E">
            <w:pPr>
              <w:jc w:val="center"/>
              <w:rPr>
                <w:rFonts w:ascii="宋体" w:hAnsi="宋体" w:cs="宋体" w:hint="eastAsia"/>
                <w:szCs w:val="21"/>
              </w:rPr>
            </w:pPr>
          </w:p>
        </w:tc>
        <w:tc>
          <w:tcPr>
            <w:tcW w:w="552" w:type="pct"/>
            <w:vAlign w:val="center"/>
          </w:tcPr>
          <w:p w14:paraId="3A90B938" w14:textId="77777777" w:rsidR="0059473E" w:rsidRDefault="00000000">
            <w:pPr>
              <w:jc w:val="center"/>
              <w:rPr>
                <w:rFonts w:ascii="宋体"/>
                <w:szCs w:val="21"/>
              </w:rPr>
            </w:pPr>
            <w:r>
              <w:rPr>
                <w:rFonts w:ascii="宋体" w:hint="eastAsia"/>
                <w:szCs w:val="21"/>
              </w:rPr>
              <w:t>股份</w:t>
            </w:r>
          </w:p>
          <w:p w14:paraId="5D1E6266" w14:textId="77777777" w:rsidR="0059473E" w:rsidRDefault="00000000">
            <w:pPr>
              <w:jc w:val="center"/>
              <w:rPr>
                <w:rFonts w:ascii="宋体" w:hAnsi="宋体" w:hint="eastAsia"/>
              </w:rPr>
            </w:pPr>
            <w:r>
              <w:rPr>
                <w:rFonts w:ascii="宋体" w:hint="eastAsia"/>
                <w:szCs w:val="21"/>
              </w:rPr>
              <w:t>状态</w:t>
            </w:r>
          </w:p>
        </w:tc>
        <w:tc>
          <w:tcPr>
            <w:tcW w:w="556" w:type="pct"/>
            <w:vAlign w:val="center"/>
          </w:tcPr>
          <w:p w14:paraId="71B1C0B6" w14:textId="77777777" w:rsidR="0059473E" w:rsidRDefault="00000000">
            <w:pPr>
              <w:jc w:val="center"/>
              <w:rPr>
                <w:rFonts w:ascii="宋体" w:hAnsi="宋体" w:hint="eastAsia"/>
              </w:rPr>
            </w:pPr>
            <w:r>
              <w:rPr>
                <w:rFonts w:ascii="宋体" w:hint="eastAsia"/>
                <w:szCs w:val="21"/>
              </w:rPr>
              <w:t>数量</w:t>
            </w:r>
          </w:p>
        </w:tc>
        <w:tc>
          <w:tcPr>
            <w:tcW w:w="537" w:type="pct"/>
            <w:vMerge/>
            <w:vAlign w:val="center"/>
          </w:tcPr>
          <w:p w14:paraId="4B3B0844" w14:textId="77777777" w:rsidR="0059473E" w:rsidRDefault="0059473E">
            <w:pPr>
              <w:jc w:val="center"/>
              <w:rPr>
                <w:rFonts w:ascii="宋体" w:hAnsi="宋体" w:hint="eastAsia"/>
              </w:rPr>
            </w:pPr>
          </w:p>
        </w:tc>
      </w:tr>
      <w:tr w:rsidR="0059473E" w14:paraId="37B04F69" w14:textId="77777777" w:rsidTr="00C80A71">
        <w:tc>
          <w:tcPr>
            <w:tcW w:w="1315" w:type="pct"/>
            <w:vAlign w:val="center"/>
          </w:tcPr>
          <w:p w14:paraId="7F2EAE48" w14:textId="77777777" w:rsidR="0059473E" w:rsidRDefault="00000000">
            <w:pPr>
              <w:jc w:val="left"/>
              <w:rPr>
                <w:rFonts w:ascii="宋体" w:hAnsi="宋体" w:hint="eastAsia"/>
              </w:rPr>
            </w:pPr>
            <w:r>
              <w:rPr>
                <w:rFonts w:ascii="宋体" w:hAnsi="宋体"/>
              </w:rPr>
              <w:t>杨泽民</w:t>
            </w:r>
          </w:p>
        </w:tc>
        <w:tc>
          <w:tcPr>
            <w:tcW w:w="550" w:type="pct"/>
          </w:tcPr>
          <w:p w14:paraId="3CE0FA5D" w14:textId="77777777" w:rsidR="0059473E" w:rsidRDefault="0059473E">
            <w:pPr>
              <w:jc w:val="left"/>
              <w:rPr>
                <w:rFonts w:ascii="宋体" w:hAnsi="宋体" w:hint="eastAsia"/>
              </w:rPr>
            </w:pPr>
          </w:p>
        </w:tc>
        <w:tc>
          <w:tcPr>
            <w:tcW w:w="470" w:type="pct"/>
            <w:vAlign w:val="center"/>
          </w:tcPr>
          <w:p w14:paraId="1DF1A584" w14:textId="77777777" w:rsidR="0059473E" w:rsidRDefault="00000000">
            <w:pPr>
              <w:jc w:val="right"/>
              <w:rPr>
                <w:rFonts w:ascii="宋体" w:hAnsi="宋体" w:hint="eastAsia"/>
              </w:rPr>
            </w:pPr>
            <w:r>
              <w:rPr>
                <w:rFonts w:ascii="宋体" w:hAnsi="宋体" w:hint="eastAsia"/>
              </w:rPr>
              <w:t>52,618,391</w:t>
            </w:r>
          </w:p>
        </w:tc>
        <w:tc>
          <w:tcPr>
            <w:tcW w:w="471" w:type="pct"/>
            <w:vAlign w:val="center"/>
          </w:tcPr>
          <w:p w14:paraId="5A6789B9" w14:textId="77777777" w:rsidR="0059473E" w:rsidRDefault="00000000">
            <w:pPr>
              <w:jc w:val="right"/>
              <w:rPr>
                <w:rFonts w:ascii="宋体" w:hAnsi="宋体" w:hint="eastAsia"/>
              </w:rPr>
            </w:pPr>
            <w:r>
              <w:rPr>
                <w:rFonts w:ascii="宋体" w:hAnsi="宋体" w:hint="eastAsia"/>
              </w:rPr>
              <w:t>15.83</w:t>
            </w:r>
          </w:p>
        </w:tc>
        <w:tc>
          <w:tcPr>
            <w:tcW w:w="549" w:type="pct"/>
            <w:vAlign w:val="center"/>
          </w:tcPr>
          <w:p w14:paraId="511B7711"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25B3A07E"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7720C907"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3FCD07C8" w14:textId="77777777" w:rsidR="0059473E" w:rsidRDefault="00000000">
            <w:pPr>
              <w:jc w:val="right"/>
              <w:rPr>
                <w:rFonts w:ascii="宋体" w:hAnsi="宋体" w:hint="eastAsia"/>
              </w:rPr>
            </w:pPr>
            <w:r>
              <w:rPr>
                <w:rFonts w:ascii="宋体" w:hAnsi="宋体" w:hint="eastAsia"/>
              </w:rPr>
              <w:t>境内自然人</w:t>
            </w:r>
          </w:p>
        </w:tc>
      </w:tr>
      <w:tr w:rsidR="0059473E" w14:paraId="33263D55" w14:textId="77777777" w:rsidTr="00C80A71">
        <w:tc>
          <w:tcPr>
            <w:tcW w:w="1315" w:type="pct"/>
            <w:vAlign w:val="center"/>
          </w:tcPr>
          <w:p w14:paraId="01E33B20" w14:textId="77777777" w:rsidR="0059473E" w:rsidRDefault="00000000">
            <w:pPr>
              <w:jc w:val="left"/>
              <w:rPr>
                <w:rFonts w:ascii="宋体" w:hAnsi="宋体" w:hint="eastAsia"/>
              </w:rPr>
            </w:pPr>
            <w:r>
              <w:rPr>
                <w:rFonts w:ascii="宋体" w:hAnsi="宋体"/>
              </w:rPr>
              <w:t>秦惠兰</w:t>
            </w:r>
          </w:p>
        </w:tc>
        <w:tc>
          <w:tcPr>
            <w:tcW w:w="550" w:type="pct"/>
          </w:tcPr>
          <w:p w14:paraId="055FF526" w14:textId="77777777" w:rsidR="0059473E" w:rsidRDefault="0059473E">
            <w:pPr>
              <w:jc w:val="left"/>
              <w:rPr>
                <w:rFonts w:ascii="宋体" w:hAnsi="宋体" w:hint="eastAsia"/>
              </w:rPr>
            </w:pPr>
          </w:p>
        </w:tc>
        <w:tc>
          <w:tcPr>
            <w:tcW w:w="470" w:type="pct"/>
            <w:vAlign w:val="center"/>
          </w:tcPr>
          <w:p w14:paraId="4D4C60F6" w14:textId="77777777" w:rsidR="0059473E" w:rsidRDefault="00000000">
            <w:pPr>
              <w:jc w:val="right"/>
              <w:rPr>
                <w:rFonts w:ascii="宋体" w:hAnsi="宋体" w:hint="eastAsia"/>
              </w:rPr>
            </w:pPr>
            <w:r>
              <w:rPr>
                <w:rFonts w:ascii="宋体" w:hAnsi="宋体" w:hint="eastAsia"/>
              </w:rPr>
              <w:t>40,841,700</w:t>
            </w:r>
          </w:p>
        </w:tc>
        <w:tc>
          <w:tcPr>
            <w:tcW w:w="471" w:type="pct"/>
            <w:vAlign w:val="center"/>
          </w:tcPr>
          <w:p w14:paraId="0630AA02" w14:textId="77777777" w:rsidR="0059473E" w:rsidRDefault="00000000">
            <w:pPr>
              <w:jc w:val="right"/>
              <w:rPr>
                <w:rFonts w:ascii="宋体" w:hAnsi="宋体" w:hint="eastAsia"/>
              </w:rPr>
            </w:pPr>
            <w:r>
              <w:rPr>
                <w:rFonts w:ascii="宋体" w:hAnsi="宋体" w:hint="eastAsia"/>
              </w:rPr>
              <w:t>12.29</w:t>
            </w:r>
          </w:p>
        </w:tc>
        <w:tc>
          <w:tcPr>
            <w:tcW w:w="549" w:type="pct"/>
            <w:vAlign w:val="center"/>
          </w:tcPr>
          <w:p w14:paraId="13F6C175"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7C6857DA"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49FF48CC"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619884A9" w14:textId="77777777" w:rsidR="0059473E" w:rsidRDefault="00000000">
            <w:pPr>
              <w:jc w:val="right"/>
              <w:rPr>
                <w:rFonts w:ascii="宋体" w:hAnsi="宋体" w:hint="eastAsia"/>
              </w:rPr>
            </w:pPr>
            <w:r>
              <w:rPr>
                <w:rFonts w:ascii="宋体" w:hAnsi="宋体" w:hint="eastAsia"/>
              </w:rPr>
              <w:t>境内自然人</w:t>
            </w:r>
          </w:p>
        </w:tc>
      </w:tr>
      <w:tr w:rsidR="0059473E" w14:paraId="0904B568" w14:textId="77777777" w:rsidTr="00C80A71">
        <w:tc>
          <w:tcPr>
            <w:tcW w:w="1315" w:type="pct"/>
            <w:vAlign w:val="center"/>
          </w:tcPr>
          <w:p w14:paraId="5D0BBBF8" w14:textId="77777777" w:rsidR="0059473E" w:rsidRDefault="00000000">
            <w:pPr>
              <w:jc w:val="left"/>
              <w:rPr>
                <w:rFonts w:ascii="宋体" w:hAnsi="宋体" w:hint="eastAsia"/>
              </w:rPr>
            </w:pPr>
            <w:r>
              <w:rPr>
                <w:rFonts w:ascii="宋体" w:hAnsi="宋体"/>
              </w:rPr>
              <w:t>杨秦</w:t>
            </w:r>
          </w:p>
        </w:tc>
        <w:tc>
          <w:tcPr>
            <w:tcW w:w="550" w:type="pct"/>
          </w:tcPr>
          <w:p w14:paraId="26370DFC" w14:textId="77777777" w:rsidR="0059473E" w:rsidRDefault="0059473E">
            <w:pPr>
              <w:jc w:val="left"/>
              <w:rPr>
                <w:rFonts w:ascii="宋体" w:hAnsi="宋体" w:hint="eastAsia"/>
              </w:rPr>
            </w:pPr>
          </w:p>
        </w:tc>
        <w:tc>
          <w:tcPr>
            <w:tcW w:w="470" w:type="pct"/>
            <w:vAlign w:val="center"/>
          </w:tcPr>
          <w:p w14:paraId="29203DD0" w14:textId="77777777" w:rsidR="0059473E" w:rsidRDefault="00000000">
            <w:pPr>
              <w:jc w:val="right"/>
              <w:rPr>
                <w:rFonts w:ascii="宋体" w:hAnsi="宋体" w:hint="eastAsia"/>
              </w:rPr>
            </w:pPr>
            <w:r>
              <w:rPr>
                <w:rFonts w:ascii="宋体" w:hAnsi="宋体" w:hint="eastAsia"/>
              </w:rPr>
              <w:t>18,015,000</w:t>
            </w:r>
          </w:p>
        </w:tc>
        <w:tc>
          <w:tcPr>
            <w:tcW w:w="471" w:type="pct"/>
            <w:vAlign w:val="center"/>
          </w:tcPr>
          <w:p w14:paraId="54F0100E" w14:textId="77777777" w:rsidR="0059473E" w:rsidRDefault="00000000">
            <w:pPr>
              <w:jc w:val="right"/>
              <w:rPr>
                <w:rFonts w:ascii="宋体" w:hAnsi="宋体" w:hint="eastAsia"/>
              </w:rPr>
            </w:pPr>
            <w:r>
              <w:rPr>
                <w:rFonts w:ascii="宋体" w:hAnsi="宋体" w:hint="eastAsia"/>
              </w:rPr>
              <w:t>5.42</w:t>
            </w:r>
          </w:p>
        </w:tc>
        <w:tc>
          <w:tcPr>
            <w:tcW w:w="549" w:type="pct"/>
            <w:vAlign w:val="center"/>
          </w:tcPr>
          <w:p w14:paraId="18A4CB78"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051E8108"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7E48B97D"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4700E958" w14:textId="77777777" w:rsidR="0059473E" w:rsidRDefault="00000000">
            <w:pPr>
              <w:jc w:val="right"/>
              <w:rPr>
                <w:rFonts w:ascii="宋体" w:hAnsi="宋体" w:hint="eastAsia"/>
              </w:rPr>
            </w:pPr>
            <w:r>
              <w:rPr>
                <w:rFonts w:ascii="宋体" w:hAnsi="宋体" w:hint="eastAsia"/>
              </w:rPr>
              <w:t>境内自然人</w:t>
            </w:r>
          </w:p>
        </w:tc>
      </w:tr>
      <w:tr w:rsidR="0059473E" w14:paraId="65E5E196" w14:textId="77777777" w:rsidTr="00C80A71">
        <w:tc>
          <w:tcPr>
            <w:tcW w:w="1315" w:type="pct"/>
            <w:vAlign w:val="center"/>
          </w:tcPr>
          <w:p w14:paraId="14B0017E" w14:textId="77777777" w:rsidR="0059473E" w:rsidRDefault="00000000">
            <w:pPr>
              <w:jc w:val="left"/>
              <w:rPr>
                <w:rFonts w:ascii="宋体" w:hAnsi="宋体" w:hint="eastAsia"/>
              </w:rPr>
            </w:pPr>
            <w:r>
              <w:rPr>
                <w:rFonts w:ascii="宋体" w:hAnsi="宋体"/>
              </w:rPr>
              <w:t>杨耀</w:t>
            </w:r>
          </w:p>
        </w:tc>
        <w:tc>
          <w:tcPr>
            <w:tcW w:w="550" w:type="pct"/>
          </w:tcPr>
          <w:p w14:paraId="3F3606C8" w14:textId="77777777" w:rsidR="0059473E" w:rsidRDefault="0059473E">
            <w:pPr>
              <w:jc w:val="left"/>
              <w:rPr>
                <w:rFonts w:ascii="宋体" w:hAnsi="宋体" w:hint="eastAsia"/>
              </w:rPr>
            </w:pPr>
          </w:p>
        </w:tc>
        <w:tc>
          <w:tcPr>
            <w:tcW w:w="470" w:type="pct"/>
            <w:vAlign w:val="center"/>
          </w:tcPr>
          <w:p w14:paraId="16AEEF7D" w14:textId="77777777" w:rsidR="0059473E" w:rsidRDefault="00000000">
            <w:pPr>
              <w:jc w:val="right"/>
              <w:rPr>
                <w:rFonts w:ascii="宋体" w:hAnsi="宋体" w:hint="eastAsia"/>
              </w:rPr>
            </w:pPr>
            <w:r>
              <w:rPr>
                <w:rFonts w:ascii="宋体" w:hAnsi="宋体" w:hint="eastAsia"/>
              </w:rPr>
              <w:t>18,000,050</w:t>
            </w:r>
          </w:p>
        </w:tc>
        <w:tc>
          <w:tcPr>
            <w:tcW w:w="471" w:type="pct"/>
            <w:vAlign w:val="center"/>
          </w:tcPr>
          <w:p w14:paraId="5026572A" w14:textId="77777777" w:rsidR="0059473E" w:rsidRDefault="00000000">
            <w:pPr>
              <w:jc w:val="right"/>
              <w:rPr>
                <w:rFonts w:ascii="宋体" w:hAnsi="宋体" w:hint="eastAsia"/>
              </w:rPr>
            </w:pPr>
            <w:r>
              <w:rPr>
                <w:rFonts w:ascii="宋体" w:hAnsi="宋体" w:hint="eastAsia"/>
              </w:rPr>
              <w:t>5.42</w:t>
            </w:r>
          </w:p>
        </w:tc>
        <w:tc>
          <w:tcPr>
            <w:tcW w:w="549" w:type="pct"/>
            <w:vAlign w:val="center"/>
          </w:tcPr>
          <w:p w14:paraId="69EACE68"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6FFD580D"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6527D69E"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44615AD1" w14:textId="77777777" w:rsidR="0059473E" w:rsidRDefault="00000000">
            <w:pPr>
              <w:jc w:val="right"/>
              <w:rPr>
                <w:rFonts w:ascii="宋体" w:hAnsi="宋体" w:hint="eastAsia"/>
              </w:rPr>
            </w:pPr>
            <w:r>
              <w:rPr>
                <w:rFonts w:ascii="宋体" w:hAnsi="宋体" w:hint="eastAsia"/>
              </w:rPr>
              <w:t>境内自然人</w:t>
            </w:r>
          </w:p>
        </w:tc>
      </w:tr>
      <w:tr w:rsidR="0059473E" w14:paraId="0E3DB9A1" w14:textId="77777777" w:rsidTr="00C80A71">
        <w:tc>
          <w:tcPr>
            <w:tcW w:w="1315" w:type="pct"/>
            <w:vAlign w:val="center"/>
          </w:tcPr>
          <w:p w14:paraId="3F0C1348" w14:textId="77777777" w:rsidR="0059473E" w:rsidRDefault="00000000">
            <w:pPr>
              <w:jc w:val="left"/>
              <w:rPr>
                <w:rFonts w:ascii="宋体" w:hAnsi="宋体" w:hint="eastAsia"/>
              </w:rPr>
            </w:pPr>
            <w:r>
              <w:rPr>
                <w:rFonts w:ascii="宋体" w:hAnsi="宋体"/>
              </w:rPr>
              <w:t>赵桂芬</w:t>
            </w:r>
          </w:p>
        </w:tc>
        <w:tc>
          <w:tcPr>
            <w:tcW w:w="550" w:type="pct"/>
            <w:vAlign w:val="center"/>
          </w:tcPr>
          <w:p w14:paraId="4D4C7830" w14:textId="77777777" w:rsidR="0059473E" w:rsidRDefault="00000000">
            <w:pPr>
              <w:jc w:val="left"/>
              <w:rPr>
                <w:rFonts w:ascii="宋体" w:hAnsi="宋体" w:hint="eastAsia"/>
              </w:rPr>
            </w:pPr>
            <w:r>
              <w:rPr>
                <w:rFonts w:ascii="宋体" w:hAnsi="宋体" w:hint="eastAsia"/>
              </w:rPr>
              <w:t>8,431,000</w:t>
            </w:r>
          </w:p>
        </w:tc>
        <w:tc>
          <w:tcPr>
            <w:tcW w:w="470" w:type="pct"/>
            <w:vAlign w:val="center"/>
          </w:tcPr>
          <w:p w14:paraId="09ABAAC6" w14:textId="77777777" w:rsidR="0059473E" w:rsidRDefault="00000000">
            <w:pPr>
              <w:jc w:val="right"/>
              <w:rPr>
                <w:rFonts w:ascii="宋体" w:hAnsi="宋体" w:hint="eastAsia"/>
              </w:rPr>
            </w:pPr>
            <w:r>
              <w:rPr>
                <w:rFonts w:ascii="宋体" w:hAnsi="宋体" w:hint="eastAsia"/>
              </w:rPr>
              <w:t>8,431,000</w:t>
            </w:r>
          </w:p>
        </w:tc>
        <w:tc>
          <w:tcPr>
            <w:tcW w:w="471" w:type="pct"/>
            <w:vAlign w:val="center"/>
          </w:tcPr>
          <w:p w14:paraId="19C31F89" w14:textId="77777777" w:rsidR="0059473E" w:rsidRDefault="00000000">
            <w:pPr>
              <w:jc w:val="right"/>
              <w:rPr>
                <w:rFonts w:ascii="宋体" w:hAnsi="宋体" w:hint="eastAsia"/>
              </w:rPr>
            </w:pPr>
            <w:r>
              <w:rPr>
                <w:rFonts w:ascii="宋体" w:hAnsi="宋体" w:hint="eastAsia"/>
              </w:rPr>
              <w:t>2.54</w:t>
            </w:r>
          </w:p>
        </w:tc>
        <w:tc>
          <w:tcPr>
            <w:tcW w:w="549" w:type="pct"/>
            <w:vAlign w:val="center"/>
          </w:tcPr>
          <w:p w14:paraId="6D9D87AF"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4F6B3843"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5F5A4D90"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265E6462" w14:textId="77777777" w:rsidR="0059473E" w:rsidRDefault="00000000">
            <w:pPr>
              <w:jc w:val="right"/>
              <w:rPr>
                <w:rFonts w:ascii="宋体" w:hAnsi="宋体" w:hint="eastAsia"/>
              </w:rPr>
            </w:pPr>
            <w:r>
              <w:rPr>
                <w:rFonts w:ascii="宋体" w:hAnsi="宋体" w:hint="eastAsia"/>
              </w:rPr>
              <w:t>境内自然人</w:t>
            </w:r>
          </w:p>
        </w:tc>
      </w:tr>
      <w:tr w:rsidR="0059473E" w14:paraId="261681C3" w14:textId="77777777" w:rsidTr="00C80A71">
        <w:tc>
          <w:tcPr>
            <w:tcW w:w="1315" w:type="pct"/>
            <w:vAlign w:val="center"/>
          </w:tcPr>
          <w:p w14:paraId="7107078A" w14:textId="77777777" w:rsidR="0059473E" w:rsidRDefault="00000000">
            <w:pPr>
              <w:jc w:val="left"/>
              <w:rPr>
                <w:rFonts w:ascii="宋体" w:hAnsi="宋体" w:hint="eastAsia"/>
              </w:rPr>
            </w:pPr>
            <w:proofErr w:type="gramStart"/>
            <w:r>
              <w:rPr>
                <w:rFonts w:ascii="宋体" w:hAnsi="宋体"/>
              </w:rPr>
              <w:t>刘远初</w:t>
            </w:r>
            <w:proofErr w:type="gramEnd"/>
          </w:p>
        </w:tc>
        <w:tc>
          <w:tcPr>
            <w:tcW w:w="550" w:type="pct"/>
            <w:vAlign w:val="center"/>
          </w:tcPr>
          <w:p w14:paraId="35B91FDC" w14:textId="77777777" w:rsidR="0059473E" w:rsidRDefault="00000000">
            <w:pPr>
              <w:jc w:val="left"/>
              <w:rPr>
                <w:rFonts w:ascii="宋体" w:hAnsi="宋体" w:hint="eastAsia"/>
              </w:rPr>
            </w:pPr>
            <w:r>
              <w:rPr>
                <w:rFonts w:ascii="宋体" w:hAnsi="宋体" w:hint="eastAsia"/>
              </w:rPr>
              <w:t>4,680,044</w:t>
            </w:r>
          </w:p>
        </w:tc>
        <w:tc>
          <w:tcPr>
            <w:tcW w:w="470" w:type="pct"/>
            <w:vAlign w:val="center"/>
          </w:tcPr>
          <w:p w14:paraId="1A0815F6" w14:textId="77777777" w:rsidR="0059473E" w:rsidRDefault="00000000">
            <w:pPr>
              <w:jc w:val="right"/>
              <w:rPr>
                <w:rFonts w:ascii="宋体" w:hAnsi="宋体" w:hint="eastAsia"/>
              </w:rPr>
            </w:pPr>
            <w:r>
              <w:rPr>
                <w:rFonts w:ascii="宋体" w:hAnsi="宋体" w:hint="eastAsia"/>
              </w:rPr>
              <w:t>4,680,044</w:t>
            </w:r>
          </w:p>
        </w:tc>
        <w:tc>
          <w:tcPr>
            <w:tcW w:w="471" w:type="pct"/>
            <w:vAlign w:val="center"/>
          </w:tcPr>
          <w:p w14:paraId="433F4C71" w14:textId="77777777" w:rsidR="0059473E" w:rsidRDefault="00000000">
            <w:pPr>
              <w:jc w:val="right"/>
              <w:rPr>
                <w:rFonts w:ascii="宋体" w:hAnsi="宋体" w:hint="eastAsia"/>
              </w:rPr>
            </w:pPr>
            <w:r>
              <w:rPr>
                <w:rFonts w:ascii="宋体" w:hAnsi="宋体" w:hint="eastAsia"/>
              </w:rPr>
              <w:t>1.41</w:t>
            </w:r>
          </w:p>
        </w:tc>
        <w:tc>
          <w:tcPr>
            <w:tcW w:w="549" w:type="pct"/>
            <w:vAlign w:val="center"/>
          </w:tcPr>
          <w:p w14:paraId="6E646F3A"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1E0BFEA8"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4D352CCD"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0C04900A" w14:textId="77777777" w:rsidR="0059473E" w:rsidRDefault="00000000">
            <w:pPr>
              <w:jc w:val="right"/>
              <w:rPr>
                <w:rFonts w:ascii="宋体" w:hAnsi="宋体" w:hint="eastAsia"/>
              </w:rPr>
            </w:pPr>
            <w:r>
              <w:rPr>
                <w:rFonts w:ascii="宋体" w:hAnsi="宋体" w:hint="eastAsia"/>
              </w:rPr>
              <w:t>境内自然人</w:t>
            </w:r>
          </w:p>
        </w:tc>
      </w:tr>
      <w:tr w:rsidR="0059473E" w14:paraId="63811E9A" w14:textId="77777777" w:rsidTr="00C80A71">
        <w:tc>
          <w:tcPr>
            <w:tcW w:w="1315" w:type="pct"/>
            <w:vAlign w:val="center"/>
          </w:tcPr>
          <w:p w14:paraId="487CDD2C" w14:textId="77777777" w:rsidR="0059473E" w:rsidRDefault="00000000">
            <w:pPr>
              <w:jc w:val="left"/>
              <w:rPr>
                <w:rFonts w:ascii="宋体" w:hAnsi="宋体" w:hint="eastAsia"/>
              </w:rPr>
            </w:pPr>
            <w:r>
              <w:rPr>
                <w:rFonts w:ascii="宋体" w:hAnsi="宋体"/>
              </w:rPr>
              <w:t>西南证券股份有限公司约定购</w:t>
            </w:r>
            <w:proofErr w:type="gramStart"/>
            <w:r>
              <w:rPr>
                <w:rFonts w:ascii="宋体" w:hAnsi="宋体"/>
              </w:rPr>
              <w:t>回式证券</w:t>
            </w:r>
            <w:proofErr w:type="gramEnd"/>
            <w:r>
              <w:rPr>
                <w:rFonts w:ascii="宋体" w:hAnsi="宋体"/>
              </w:rPr>
              <w:t>交易专用证券账户</w:t>
            </w:r>
          </w:p>
        </w:tc>
        <w:tc>
          <w:tcPr>
            <w:tcW w:w="550" w:type="pct"/>
            <w:vAlign w:val="center"/>
          </w:tcPr>
          <w:p w14:paraId="793DB7D3" w14:textId="77777777" w:rsidR="0059473E" w:rsidRDefault="00000000">
            <w:pPr>
              <w:jc w:val="left"/>
              <w:rPr>
                <w:rFonts w:ascii="宋体" w:hAnsi="宋体" w:hint="eastAsia"/>
              </w:rPr>
            </w:pPr>
            <w:r>
              <w:rPr>
                <w:rFonts w:ascii="宋体" w:hAnsi="宋体" w:hint="eastAsia"/>
              </w:rPr>
              <w:t>1,636,800</w:t>
            </w:r>
          </w:p>
        </w:tc>
        <w:tc>
          <w:tcPr>
            <w:tcW w:w="470" w:type="pct"/>
            <w:vAlign w:val="center"/>
          </w:tcPr>
          <w:p w14:paraId="4FC2077F" w14:textId="77777777" w:rsidR="0059473E" w:rsidRDefault="00000000">
            <w:pPr>
              <w:jc w:val="right"/>
              <w:rPr>
                <w:rFonts w:ascii="宋体" w:hAnsi="宋体" w:hint="eastAsia"/>
              </w:rPr>
            </w:pPr>
            <w:r>
              <w:rPr>
                <w:rFonts w:ascii="宋体" w:hAnsi="宋体" w:hint="eastAsia"/>
              </w:rPr>
              <w:t>4,670,000</w:t>
            </w:r>
          </w:p>
        </w:tc>
        <w:tc>
          <w:tcPr>
            <w:tcW w:w="471" w:type="pct"/>
            <w:vAlign w:val="center"/>
          </w:tcPr>
          <w:p w14:paraId="61A67810" w14:textId="77777777" w:rsidR="0059473E" w:rsidRDefault="00000000">
            <w:pPr>
              <w:jc w:val="right"/>
              <w:rPr>
                <w:rFonts w:ascii="宋体" w:hAnsi="宋体" w:hint="eastAsia"/>
              </w:rPr>
            </w:pPr>
            <w:r>
              <w:rPr>
                <w:rFonts w:ascii="宋体" w:hAnsi="宋体" w:hint="eastAsia"/>
              </w:rPr>
              <w:t>1.41</w:t>
            </w:r>
          </w:p>
        </w:tc>
        <w:tc>
          <w:tcPr>
            <w:tcW w:w="549" w:type="pct"/>
            <w:vAlign w:val="center"/>
          </w:tcPr>
          <w:p w14:paraId="4A58F15A"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512FE6FB"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35BD0A7E"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30485F69" w14:textId="77777777" w:rsidR="0059473E" w:rsidRDefault="00000000">
            <w:pPr>
              <w:jc w:val="right"/>
              <w:rPr>
                <w:rFonts w:ascii="宋体" w:hAnsi="宋体" w:hint="eastAsia"/>
              </w:rPr>
            </w:pPr>
            <w:r>
              <w:rPr>
                <w:rFonts w:ascii="宋体" w:hAnsi="宋体" w:hint="eastAsia"/>
              </w:rPr>
              <w:t>境内非国有法人</w:t>
            </w:r>
          </w:p>
        </w:tc>
      </w:tr>
      <w:tr w:rsidR="0059473E" w14:paraId="3B00A785" w14:textId="77777777" w:rsidTr="00C80A71">
        <w:tc>
          <w:tcPr>
            <w:tcW w:w="1315" w:type="pct"/>
            <w:vAlign w:val="center"/>
          </w:tcPr>
          <w:p w14:paraId="6B7FE384" w14:textId="77777777" w:rsidR="0059473E" w:rsidRDefault="00000000">
            <w:pPr>
              <w:jc w:val="left"/>
              <w:rPr>
                <w:rFonts w:ascii="宋体" w:hAnsi="宋体" w:hint="eastAsia"/>
              </w:rPr>
            </w:pPr>
            <w:r>
              <w:rPr>
                <w:rFonts w:ascii="宋体" w:hAnsi="宋体"/>
              </w:rPr>
              <w:t>杨厚群</w:t>
            </w:r>
          </w:p>
        </w:tc>
        <w:tc>
          <w:tcPr>
            <w:tcW w:w="550" w:type="pct"/>
            <w:vAlign w:val="center"/>
          </w:tcPr>
          <w:p w14:paraId="24483C89" w14:textId="77777777" w:rsidR="0059473E" w:rsidRDefault="00000000">
            <w:pPr>
              <w:jc w:val="left"/>
              <w:rPr>
                <w:rFonts w:ascii="宋体" w:hAnsi="宋体" w:hint="eastAsia"/>
              </w:rPr>
            </w:pPr>
            <w:r>
              <w:rPr>
                <w:rFonts w:ascii="宋体" w:hAnsi="宋体" w:hint="eastAsia"/>
              </w:rPr>
              <w:t>-3,498,256</w:t>
            </w:r>
          </w:p>
        </w:tc>
        <w:tc>
          <w:tcPr>
            <w:tcW w:w="470" w:type="pct"/>
            <w:vAlign w:val="center"/>
          </w:tcPr>
          <w:p w14:paraId="024717BC" w14:textId="77777777" w:rsidR="0059473E" w:rsidRDefault="00000000">
            <w:pPr>
              <w:jc w:val="right"/>
              <w:rPr>
                <w:rFonts w:ascii="宋体" w:hAnsi="宋体" w:hint="eastAsia"/>
              </w:rPr>
            </w:pPr>
            <w:r>
              <w:rPr>
                <w:rFonts w:ascii="宋体" w:hAnsi="宋体" w:hint="eastAsia"/>
              </w:rPr>
              <w:t>4,001,744</w:t>
            </w:r>
          </w:p>
        </w:tc>
        <w:tc>
          <w:tcPr>
            <w:tcW w:w="471" w:type="pct"/>
            <w:vAlign w:val="center"/>
          </w:tcPr>
          <w:p w14:paraId="7C66311A" w14:textId="77777777" w:rsidR="0059473E" w:rsidRDefault="00000000">
            <w:pPr>
              <w:jc w:val="right"/>
              <w:rPr>
                <w:rFonts w:ascii="宋体" w:hAnsi="宋体" w:hint="eastAsia"/>
              </w:rPr>
            </w:pPr>
            <w:r>
              <w:rPr>
                <w:rFonts w:ascii="宋体" w:hAnsi="宋体" w:hint="eastAsia"/>
              </w:rPr>
              <w:t>1.20</w:t>
            </w:r>
          </w:p>
        </w:tc>
        <w:tc>
          <w:tcPr>
            <w:tcW w:w="549" w:type="pct"/>
            <w:vAlign w:val="center"/>
          </w:tcPr>
          <w:p w14:paraId="7776C049"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21BB9B72"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35471FAF"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04974A0E" w14:textId="77777777" w:rsidR="0059473E" w:rsidRDefault="00000000">
            <w:pPr>
              <w:jc w:val="right"/>
              <w:rPr>
                <w:rFonts w:ascii="宋体" w:hAnsi="宋体" w:hint="eastAsia"/>
              </w:rPr>
            </w:pPr>
            <w:r>
              <w:rPr>
                <w:rFonts w:ascii="宋体" w:hAnsi="宋体" w:hint="eastAsia"/>
              </w:rPr>
              <w:t>境内自然人</w:t>
            </w:r>
          </w:p>
        </w:tc>
      </w:tr>
      <w:tr w:rsidR="0059473E" w14:paraId="3D34D3AB" w14:textId="77777777" w:rsidTr="00C80A71">
        <w:tc>
          <w:tcPr>
            <w:tcW w:w="1315" w:type="pct"/>
            <w:vAlign w:val="center"/>
          </w:tcPr>
          <w:p w14:paraId="23276825" w14:textId="77777777" w:rsidR="0059473E" w:rsidRDefault="00000000">
            <w:pPr>
              <w:jc w:val="left"/>
              <w:rPr>
                <w:rFonts w:ascii="宋体" w:hAnsi="宋体" w:hint="eastAsia"/>
              </w:rPr>
            </w:pPr>
            <w:r>
              <w:rPr>
                <w:rFonts w:ascii="宋体" w:hAnsi="宋体"/>
              </w:rPr>
              <w:lastRenderedPageBreak/>
              <w:t>香港中央结算有限公司</w:t>
            </w:r>
          </w:p>
        </w:tc>
        <w:tc>
          <w:tcPr>
            <w:tcW w:w="550" w:type="pct"/>
            <w:vAlign w:val="center"/>
          </w:tcPr>
          <w:p w14:paraId="39D30A37" w14:textId="77777777" w:rsidR="0059473E" w:rsidRDefault="00000000">
            <w:pPr>
              <w:jc w:val="left"/>
              <w:rPr>
                <w:rFonts w:ascii="宋体" w:hAnsi="宋体" w:hint="eastAsia"/>
              </w:rPr>
            </w:pPr>
            <w:r>
              <w:rPr>
                <w:rFonts w:ascii="宋体" w:hAnsi="宋体" w:hint="eastAsia"/>
              </w:rPr>
              <w:t>2,764,011</w:t>
            </w:r>
          </w:p>
        </w:tc>
        <w:tc>
          <w:tcPr>
            <w:tcW w:w="470" w:type="pct"/>
            <w:vAlign w:val="center"/>
          </w:tcPr>
          <w:p w14:paraId="703BB15A" w14:textId="77777777" w:rsidR="0059473E" w:rsidRDefault="00000000">
            <w:pPr>
              <w:jc w:val="right"/>
              <w:rPr>
                <w:rFonts w:ascii="宋体" w:hAnsi="宋体" w:hint="eastAsia"/>
              </w:rPr>
            </w:pPr>
            <w:r>
              <w:rPr>
                <w:rFonts w:ascii="宋体" w:hAnsi="宋体" w:hint="eastAsia"/>
              </w:rPr>
              <w:t>3,851,767</w:t>
            </w:r>
          </w:p>
        </w:tc>
        <w:tc>
          <w:tcPr>
            <w:tcW w:w="471" w:type="pct"/>
            <w:vAlign w:val="center"/>
          </w:tcPr>
          <w:p w14:paraId="3D0FAD93" w14:textId="77777777" w:rsidR="0059473E" w:rsidRDefault="00000000">
            <w:pPr>
              <w:jc w:val="right"/>
              <w:rPr>
                <w:rFonts w:ascii="宋体" w:hAnsi="宋体" w:hint="eastAsia"/>
              </w:rPr>
            </w:pPr>
            <w:r>
              <w:rPr>
                <w:rFonts w:ascii="宋体" w:hAnsi="宋体" w:hint="eastAsia"/>
              </w:rPr>
              <w:t>1.16</w:t>
            </w:r>
          </w:p>
        </w:tc>
        <w:tc>
          <w:tcPr>
            <w:tcW w:w="549" w:type="pct"/>
            <w:vAlign w:val="center"/>
          </w:tcPr>
          <w:p w14:paraId="1D82BF30"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3BED65A9"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1D61DA57"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4E01FC31" w14:textId="77777777" w:rsidR="0059473E" w:rsidRDefault="00000000">
            <w:pPr>
              <w:jc w:val="right"/>
              <w:rPr>
                <w:rFonts w:ascii="宋体" w:hAnsi="宋体" w:hint="eastAsia"/>
              </w:rPr>
            </w:pPr>
            <w:r>
              <w:rPr>
                <w:rFonts w:ascii="宋体" w:hAnsi="宋体" w:hint="eastAsia"/>
              </w:rPr>
              <w:t>境外法人</w:t>
            </w:r>
          </w:p>
        </w:tc>
      </w:tr>
      <w:tr w:rsidR="0059473E" w14:paraId="63378B90" w14:textId="77777777" w:rsidTr="00C80A71">
        <w:tc>
          <w:tcPr>
            <w:tcW w:w="1315" w:type="pct"/>
            <w:vAlign w:val="center"/>
          </w:tcPr>
          <w:p w14:paraId="2EA9283B" w14:textId="77777777" w:rsidR="0059473E" w:rsidRDefault="00000000">
            <w:pPr>
              <w:jc w:val="left"/>
              <w:rPr>
                <w:rFonts w:ascii="宋体" w:hAnsi="宋体" w:hint="eastAsia"/>
              </w:rPr>
            </w:pPr>
            <w:r>
              <w:rPr>
                <w:rFonts w:ascii="宋体" w:hAnsi="宋体"/>
              </w:rPr>
              <w:t>王育森</w:t>
            </w:r>
          </w:p>
        </w:tc>
        <w:tc>
          <w:tcPr>
            <w:tcW w:w="550" w:type="pct"/>
            <w:vAlign w:val="center"/>
          </w:tcPr>
          <w:p w14:paraId="2A79227F" w14:textId="77777777" w:rsidR="0059473E" w:rsidRDefault="00000000">
            <w:pPr>
              <w:jc w:val="left"/>
              <w:rPr>
                <w:rFonts w:ascii="宋体" w:hAnsi="宋体" w:hint="eastAsia"/>
              </w:rPr>
            </w:pPr>
            <w:r>
              <w:rPr>
                <w:rFonts w:ascii="宋体" w:hAnsi="宋体" w:hint="eastAsia"/>
              </w:rPr>
              <w:t>250,000</w:t>
            </w:r>
          </w:p>
        </w:tc>
        <w:tc>
          <w:tcPr>
            <w:tcW w:w="470" w:type="pct"/>
            <w:vAlign w:val="center"/>
          </w:tcPr>
          <w:p w14:paraId="042D2B6C" w14:textId="77777777" w:rsidR="0059473E" w:rsidRDefault="00000000">
            <w:pPr>
              <w:jc w:val="right"/>
              <w:rPr>
                <w:rFonts w:ascii="宋体" w:hAnsi="宋体" w:hint="eastAsia"/>
              </w:rPr>
            </w:pPr>
            <w:r>
              <w:rPr>
                <w:rFonts w:ascii="宋体" w:hAnsi="宋体" w:hint="eastAsia"/>
              </w:rPr>
              <w:t>3,400,000</w:t>
            </w:r>
          </w:p>
        </w:tc>
        <w:tc>
          <w:tcPr>
            <w:tcW w:w="471" w:type="pct"/>
            <w:vAlign w:val="center"/>
          </w:tcPr>
          <w:p w14:paraId="53E77413" w14:textId="77777777" w:rsidR="0059473E" w:rsidRDefault="00000000">
            <w:pPr>
              <w:jc w:val="right"/>
              <w:rPr>
                <w:rFonts w:ascii="宋体" w:hAnsi="宋体" w:hint="eastAsia"/>
              </w:rPr>
            </w:pPr>
            <w:r>
              <w:rPr>
                <w:rFonts w:ascii="宋体" w:hAnsi="宋体" w:hint="eastAsia"/>
              </w:rPr>
              <w:t>1.02</w:t>
            </w:r>
          </w:p>
        </w:tc>
        <w:tc>
          <w:tcPr>
            <w:tcW w:w="549" w:type="pct"/>
            <w:vAlign w:val="center"/>
          </w:tcPr>
          <w:p w14:paraId="715CCC53" w14:textId="77777777" w:rsidR="0059473E" w:rsidRDefault="00000000">
            <w:pPr>
              <w:jc w:val="right"/>
              <w:rPr>
                <w:rFonts w:ascii="宋体" w:hAnsi="宋体" w:hint="eastAsia"/>
              </w:rPr>
            </w:pPr>
            <w:r>
              <w:rPr>
                <w:rFonts w:ascii="宋体" w:hAnsi="宋体" w:hint="eastAsia"/>
              </w:rPr>
              <w:t>0</w:t>
            </w:r>
          </w:p>
        </w:tc>
        <w:tc>
          <w:tcPr>
            <w:tcW w:w="552" w:type="pct"/>
            <w:vAlign w:val="center"/>
          </w:tcPr>
          <w:p w14:paraId="10177AAD" w14:textId="77777777" w:rsidR="0059473E" w:rsidRDefault="00000000">
            <w:pPr>
              <w:jc w:val="right"/>
              <w:rPr>
                <w:rFonts w:ascii="宋体" w:hAnsi="宋体" w:hint="eastAsia"/>
              </w:rPr>
            </w:pPr>
            <w:r>
              <w:rPr>
                <w:rFonts w:ascii="宋体" w:hAnsi="宋体" w:hint="eastAsia"/>
              </w:rPr>
              <w:t>无</w:t>
            </w:r>
          </w:p>
        </w:tc>
        <w:tc>
          <w:tcPr>
            <w:tcW w:w="556" w:type="pct"/>
            <w:vAlign w:val="center"/>
          </w:tcPr>
          <w:p w14:paraId="6FC9EF53" w14:textId="77777777" w:rsidR="0059473E" w:rsidRDefault="00000000">
            <w:pPr>
              <w:jc w:val="right"/>
              <w:rPr>
                <w:rFonts w:ascii="宋体" w:hAnsi="宋体" w:hint="eastAsia"/>
              </w:rPr>
            </w:pPr>
            <w:r>
              <w:rPr>
                <w:rFonts w:ascii="宋体" w:hAnsi="宋体" w:hint="eastAsia"/>
              </w:rPr>
              <w:t>0</w:t>
            </w:r>
          </w:p>
        </w:tc>
        <w:tc>
          <w:tcPr>
            <w:tcW w:w="537" w:type="pct"/>
            <w:vAlign w:val="center"/>
          </w:tcPr>
          <w:p w14:paraId="30EF3100" w14:textId="77777777" w:rsidR="0059473E" w:rsidRDefault="00000000">
            <w:pPr>
              <w:jc w:val="right"/>
              <w:rPr>
                <w:rFonts w:ascii="宋体" w:hAnsi="宋体" w:hint="eastAsia"/>
              </w:rPr>
            </w:pPr>
            <w:r>
              <w:rPr>
                <w:rFonts w:ascii="宋体" w:hAnsi="宋体" w:hint="eastAsia"/>
              </w:rPr>
              <w:t>境内自然人</w:t>
            </w:r>
          </w:p>
        </w:tc>
      </w:tr>
      <w:tr w:rsidR="0059473E" w14:paraId="274E6BFF" w14:textId="77777777" w:rsidTr="00C80A71">
        <w:tc>
          <w:tcPr>
            <w:tcW w:w="1865" w:type="pct"/>
            <w:gridSpan w:val="2"/>
          </w:tcPr>
          <w:p w14:paraId="64F206DA" w14:textId="77777777" w:rsidR="0059473E" w:rsidRDefault="00000000">
            <w:pPr>
              <w:rPr>
                <w:rFonts w:ascii="宋体" w:hAnsi="宋体" w:hint="eastAsia"/>
              </w:rPr>
            </w:pPr>
            <w:r>
              <w:rPr>
                <w:rFonts w:ascii="宋体" w:hAnsi="宋体" w:cs="宋体" w:hint="eastAsia"/>
                <w:szCs w:val="21"/>
              </w:rPr>
              <w:t>上述股东关联关系或一致行动的说明</w:t>
            </w:r>
          </w:p>
        </w:tc>
        <w:tc>
          <w:tcPr>
            <w:tcW w:w="3135" w:type="pct"/>
            <w:gridSpan w:val="6"/>
          </w:tcPr>
          <w:p w14:paraId="33FDB67B" w14:textId="77777777" w:rsidR="0059473E" w:rsidRDefault="00000000">
            <w:pPr>
              <w:jc w:val="left"/>
              <w:rPr>
                <w:rFonts w:ascii="宋体" w:hAnsi="宋体" w:hint="eastAsia"/>
              </w:rPr>
            </w:pPr>
            <w:r>
              <w:rPr>
                <w:rFonts w:ascii="宋体" w:hAnsi="宋体"/>
              </w:rPr>
              <w:t>上述股东中杨泽民、秦惠兰、杨耀与杨秦</w:t>
            </w:r>
            <w:proofErr w:type="gramStart"/>
            <w:r>
              <w:rPr>
                <w:rFonts w:ascii="宋体" w:hAnsi="宋体"/>
              </w:rPr>
              <w:t>系一致</w:t>
            </w:r>
            <w:proofErr w:type="gramEnd"/>
            <w:r>
              <w:rPr>
                <w:rFonts w:ascii="宋体" w:hAnsi="宋体"/>
              </w:rPr>
              <w:t>行动人，杨泽民与秦惠兰系夫妻关系，其女杨秦与其子杨耀系姐弟关系，杨泽民与杨厚群系兄妹关系；除此之外，公司未知上述股东是否存在关联关系，也未知上述股东之间是否属于《上市公司收购管理办法》规定的一致行动人。</w:t>
            </w:r>
          </w:p>
        </w:tc>
      </w:tr>
      <w:tr w:rsidR="0059473E" w14:paraId="1402CB06" w14:textId="77777777" w:rsidTr="00C80A71">
        <w:tc>
          <w:tcPr>
            <w:tcW w:w="1865" w:type="pct"/>
            <w:gridSpan w:val="2"/>
          </w:tcPr>
          <w:p w14:paraId="0691CAEA" w14:textId="77777777" w:rsidR="0059473E" w:rsidRDefault="00000000">
            <w:pPr>
              <w:rPr>
                <w:rFonts w:ascii="宋体" w:hAnsi="宋体" w:cs="宋体" w:hint="eastAsia"/>
                <w:szCs w:val="21"/>
              </w:rPr>
            </w:pPr>
            <w:r>
              <w:rPr>
                <w:rFonts w:ascii="宋体" w:hAnsi="宋体" w:cs="宋体" w:hint="eastAsia"/>
                <w:szCs w:val="21"/>
              </w:rPr>
              <w:t>表决权恢复的优先股股东及持股数量的说明</w:t>
            </w:r>
          </w:p>
        </w:tc>
        <w:tc>
          <w:tcPr>
            <w:tcW w:w="3135" w:type="pct"/>
            <w:gridSpan w:val="6"/>
            <w:vAlign w:val="center"/>
          </w:tcPr>
          <w:p w14:paraId="22222C1B" w14:textId="77777777" w:rsidR="0059473E" w:rsidRDefault="00000000">
            <w:pPr>
              <w:jc w:val="left"/>
              <w:rPr>
                <w:rFonts w:ascii="宋体" w:hAnsi="宋体" w:hint="eastAsia"/>
              </w:rPr>
            </w:pPr>
            <w:r>
              <w:rPr>
                <w:rFonts w:ascii="宋体" w:hAnsi="宋体"/>
              </w:rPr>
              <w:t>无</w:t>
            </w:r>
          </w:p>
        </w:tc>
      </w:tr>
    </w:tbl>
    <w:p w14:paraId="4A335608" w14:textId="77777777" w:rsidR="0059473E" w:rsidRDefault="0059473E">
      <w:pPr>
        <w:rPr>
          <w:rFonts w:ascii="宋体" w:hAnsi="宋体" w:hint="eastAsia"/>
        </w:rPr>
      </w:pPr>
    </w:p>
    <w:p w14:paraId="2E785B3B" w14:textId="77777777" w:rsidR="0059473E" w:rsidRDefault="0059473E">
      <w:pPr>
        <w:rPr>
          <w:rFonts w:ascii="宋体" w:hAnsi="宋体" w:hint="eastAsia"/>
        </w:rPr>
      </w:pPr>
    </w:p>
    <w:p w14:paraId="5A50B69B" w14:textId="77777777" w:rsidR="0059473E" w:rsidRDefault="0059473E">
      <w:pPr>
        <w:rPr>
          <w:rFonts w:ascii="宋体" w:hAnsi="宋体" w:hint="eastAsia"/>
        </w:rPr>
      </w:pPr>
    </w:p>
    <w:p w14:paraId="657A3FC8" w14:textId="77777777" w:rsidR="0059473E" w:rsidRDefault="00000000">
      <w:pPr>
        <w:pStyle w:val="30"/>
        <w:numPr>
          <w:ilvl w:val="0"/>
          <w:numId w:val="34"/>
        </w:numPr>
        <w:rPr>
          <w:rFonts w:ascii="宋体"/>
        </w:rPr>
      </w:pPr>
      <w:r>
        <w:rPr>
          <w:rFonts w:ascii="宋体"/>
        </w:rPr>
        <w:t>公司与</w:t>
      </w:r>
      <w:r>
        <w:rPr>
          <w:rFonts w:ascii="宋体" w:hint="eastAsia"/>
        </w:rPr>
        <w:t>控股股东之间的产权及控制关系的方框图</w:t>
      </w:r>
    </w:p>
    <w:p w14:paraId="1DEDD5F1" w14:textId="77777777" w:rsidR="00000000" w:rsidRDefault="00000000">
      <w:r>
        <w:rPr>
          <w:rFonts w:ascii="宋体" w:hAnsi="宋体"/>
        </w:rPr>
        <w:fldChar w:fldCharType="begin"/>
      </w:r>
      <w:r>
        <w:rPr>
          <w:rFonts w:ascii="宋体" w:hAnsi="宋体" w:hint="eastAsia"/>
        </w:rPr>
        <w:instrText xml:space="preserve"> MACROBUTTON  SnrToggleCheckbox </w:instrText>
      </w:r>
      <w:r>
        <w:rPr>
          <w:rFonts w:ascii="宋体" w:hAnsi="宋体" w:hint="eastAsia"/>
        </w:rPr>
        <w:instrText>√适用</w:instrText>
      </w:r>
      <w:r>
        <w:rPr>
          <w:rFonts w:ascii="宋体" w:hAnsi="宋体" w:hint="eastAsia"/>
        </w:rPr>
        <w:instrText xml:space="preserve">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w:instrText>
      </w:r>
      <w:r>
        <w:rPr>
          <w:rFonts w:ascii="宋体" w:hAnsi="宋体" w:hint="eastAsia"/>
        </w:rPr>
        <w:instrText>□不适用</w:instrText>
      </w:r>
      <w:r>
        <w:rPr>
          <w:rFonts w:ascii="宋体" w:hAnsi="宋体" w:hint="eastAsia"/>
        </w:rPr>
        <w:instrText xml:space="preserve"> </w:instrText>
      </w:r>
      <w:r>
        <w:rPr>
          <w:rFonts w:ascii="宋体" w:hAnsi="宋体"/>
        </w:rPr>
        <w:fldChar w:fldCharType="end"/>
      </w:r>
    </w:p>
    <w:p w14:paraId="483542CF" w14:textId="77777777" w:rsidR="00000000" w:rsidRDefault="00000000">
      <w:pPr>
        <w:jc w:val="center"/>
      </w:pPr>
      <w:r>
        <w:rPr>
          <w:noProof/>
        </w:rPr>
        <w:drawing>
          <wp:inline distT="0" distB="0" distL="0" distR="0" wp14:anchorId="2F26BED2" wp14:editId="7C734265">
            <wp:extent cx="4180840" cy="229362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3"/>
                    <a:stretch>
                      <a:fillRect/>
                    </a:stretch>
                  </pic:blipFill>
                  <pic:spPr>
                    <a:xfrm>
                      <a:off x="0" y="0"/>
                      <a:ext cx="4190551" cy="2298947"/>
                    </a:xfrm>
                    <a:prstGeom prst="rect">
                      <a:avLst/>
                    </a:prstGeom>
                    <a:noFill/>
                    <a:ln w="9525">
                      <a:noFill/>
                      <a:miter lim="800000"/>
                      <a:headEnd/>
                      <a:tailEnd/>
                    </a:ln>
                  </pic:spPr>
                </pic:pic>
              </a:graphicData>
            </a:graphic>
          </wp:inline>
        </w:drawing>
      </w:r>
    </w:p>
    <w:p w14:paraId="3E50EB3F" w14:textId="77777777" w:rsidR="0059473E" w:rsidRDefault="0059473E">
      <w:pPr>
        <w:rPr>
          <w:rFonts w:ascii="宋体"/>
        </w:rPr>
      </w:pPr>
    </w:p>
    <w:p w14:paraId="415DA6E1" w14:textId="77777777" w:rsidR="0059473E" w:rsidRDefault="00000000">
      <w:pPr>
        <w:pStyle w:val="30"/>
        <w:numPr>
          <w:ilvl w:val="0"/>
          <w:numId w:val="34"/>
        </w:numPr>
        <w:rPr>
          <w:rFonts w:ascii="宋体"/>
        </w:rPr>
      </w:pPr>
      <w:r>
        <w:rPr>
          <w:rFonts w:ascii="宋体"/>
        </w:rPr>
        <w:t>公司与实际控制人之间的产权及控制关系的方框图</w:t>
      </w:r>
    </w:p>
    <w:p w14:paraId="40D7DB28" w14:textId="77777777" w:rsidR="00000000" w:rsidRDefault="00000000">
      <w:r>
        <w:rPr>
          <w:rFonts w:ascii="宋体" w:hAnsi="宋体"/>
        </w:rPr>
        <w:fldChar w:fldCharType="begin"/>
      </w:r>
      <w:r>
        <w:rPr>
          <w:rFonts w:ascii="宋体" w:hAnsi="宋体" w:hint="eastAsia"/>
        </w:rPr>
        <w:instrText xml:space="preserve"> MACROBUTTON  SnrToggleCheckbox </w:instrText>
      </w:r>
      <w:r>
        <w:rPr>
          <w:rFonts w:ascii="宋体" w:hAnsi="宋体" w:hint="eastAsia"/>
        </w:rPr>
        <w:instrText>√适用</w:instrText>
      </w:r>
      <w:r>
        <w:rPr>
          <w:rFonts w:ascii="宋体" w:hAnsi="宋体" w:hint="eastAsia"/>
        </w:rPr>
        <w:instrText xml:space="preserve">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w:instrText>
      </w:r>
      <w:r>
        <w:rPr>
          <w:rFonts w:ascii="宋体" w:hAnsi="宋体" w:hint="eastAsia"/>
        </w:rPr>
        <w:instrText>□不适用</w:instrText>
      </w:r>
      <w:r>
        <w:rPr>
          <w:rFonts w:ascii="宋体" w:hAnsi="宋体" w:hint="eastAsia"/>
        </w:rPr>
        <w:instrText xml:space="preserve"> </w:instrText>
      </w:r>
      <w:r>
        <w:rPr>
          <w:rFonts w:ascii="宋体" w:hAnsi="宋体"/>
        </w:rPr>
        <w:fldChar w:fldCharType="end"/>
      </w:r>
    </w:p>
    <w:p w14:paraId="33FF6A12" w14:textId="77777777" w:rsidR="00000000" w:rsidRDefault="00000000">
      <w:pPr>
        <w:jc w:val="center"/>
      </w:pPr>
      <w:r>
        <w:rPr>
          <w:noProof/>
        </w:rPr>
        <w:lastRenderedPageBreak/>
        <w:drawing>
          <wp:inline distT="0" distB="0" distL="0" distR="0" wp14:anchorId="6CC7212A" wp14:editId="2E50277E">
            <wp:extent cx="4488815" cy="2066290"/>
            <wp:effectExtent l="0" t="0" r="698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4"/>
                    <a:stretch>
                      <a:fillRect/>
                    </a:stretch>
                  </pic:blipFill>
                  <pic:spPr>
                    <a:xfrm>
                      <a:off x="0" y="0"/>
                      <a:ext cx="4488815" cy="2066290"/>
                    </a:xfrm>
                    <a:prstGeom prst="rect">
                      <a:avLst/>
                    </a:prstGeom>
                    <a:noFill/>
                    <a:ln>
                      <a:noFill/>
                    </a:ln>
                  </pic:spPr>
                </pic:pic>
              </a:graphicData>
            </a:graphic>
          </wp:inline>
        </w:drawing>
      </w:r>
    </w:p>
    <w:p w14:paraId="6894F487" w14:textId="77777777" w:rsidR="0059473E" w:rsidRDefault="00000000">
      <w:pPr>
        <w:pStyle w:val="30"/>
        <w:numPr>
          <w:ilvl w:val="0"/>
          <w:numId w:val="34"/>
        </w:numPr>
        <w:rPr>
          <w:rFonts w:ascii="宋体"/>
        </w:rPr>
      </w:pPr>
      <w:r>
        <w:rPr>
          <w:rFonts w:ascii="宋体" w:hint="eastAsia"/>
        </w:rPr>
        <w:t xml:space="preserve">报告期末公司优先股股东总数及前10 </w:t>
      </w:r>
      <w:proofErr w:type="gramStart"/>
      <w:r>
        <w:rPr>
          <w:rFonts w:ascii="宋体" w:hint="eastAsia"/>
        </w:rPr>
        <w:t>名股东</w:t>
      </w:r>
      <w:proofErr w:type="gramEnd"/>
      <w:r>
        <w:rPr>
          <w:rFonts w:ascii="宋体" w:hint="eastAsia"/>
        </w:rPr>
        <w:t>情况</w:t>
      </w:r>
    </w:p>
    <w:p w14:paraId="3575BD87" w14:textId="77777777" w:rsidR="0059473E" w:rsidRDefault="00000000">
      <w:pPr>
        <w:rPr>
          <w:rFonts w:ascii="宋体" w:hAnsi="宋体" w:hint="eastAsia"/>
        </w:rPr>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00F4BFC2" w14:textId="77777777" w:rsidR="0059473E" w:rsidRDefault="00000000">
      <w:pPr>
        <w:pStyle w:val="20"/>
        <w:numPr>
          <w:ilvl w:val="0"/>
          <w:numId w:val="22"/>
        </w:numPr>
        <w:spacing w:before="0" w:after="0" w:line="360" w:lineRule="auto"/>
        <w:ind w:left="0" w:firstLine="0"/>
        <w:rPr>
          <w:rFonts w:ascii="宋体"/>
        </w:rPr>
      </w:pPr>
      <w:r>
        <w:rPr>
          <w:rFonts w:ascii="宋体" w:hAnsi="Calibri" w:hint="eastAsia"/>
        </w:rPr>
        <w:t>公司债券</w:t>
      </w:r>
      <w:r>
        <w:rPr>
          <w:rFonts w:ascii="宋体" w:hint="eastAsia"/>
        </w:rPr>
        <w:t>情况</w:t>
      </w:r>
    </w:p>
    <w:p w14:paraId="486D358A" w14:textId="77777777" w:rsidR="0059473E" w:rsidRDefault="00000000">
      <w:pPr>
        <w:rPr>
          <w:rFonts w:ascii="宋体"/>
        </w:rPr>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20ABD497" w14:textId="77777777" w:rsidR="0059473E" w:rsidRDefault="00000000">
      <w:pPr>
        <w:pStyle w:val="10"/>
        <w:spacing w:before="100" w:beforeAutospacing="1" w:after="100" w:afterAutospacing="1" w:line="480" w:lineRule="auto"/>
        <w:rPr>
          <w:rFonts w:ascii="黑体" w:hAnsi="黑体" w:hint="eastAsia"/>
          <w:sz w:val="24"/>
          <w:szCs w:val="24"/>
        </w:rPr>
      </w:pPr>
      <w:r>
        <w:rPr>
          <w:rFonts w:ascii="黑体" w:hAnsi="黑体" w:hint="eastAsia"/>
          <w:sz w:val="24"/>
          <w:szCs w:val="24"/>
        </w:rPr>
        <w:t>第三节 重要事项</w:t>
      </w:r>
    </w:p>
    <w:p w14:paraId="7B07618B" w14:textId="77777777" w:rsidR="0059473E" w:rsidRDefault="00000000">
      <w:pPr>
        <w:pStyle w:val="ac"/>
        <w:numPr>
          <w:ilvl w:val="0"/>
          <w:numId w:val="27"/>
        </w:numPr>
        <w:spacing w:line="360" w:lineRule="auto"/>
        <w:ind w:left="0" w:firstLineChars="0" w:firstLine="0"/>
        <w:outlineLvl w:val="1"/>
        <w:rPr>
          <w:rFonts w:ascii="宋体"/>
        </w:rPr>
      </w:pPr>
      <w:r>
        <w:rPr>
          <w:rFonts w:ascii="宋体" w:hint="eastAsia"/>
        </w:rPr>
        <w:t xml:space="preserve">公司应当根据重要性原则，披露报告期内公司经营情况的重大变化，以及报告期内发生的对公司经营情况有重大影响和预计未来会有重大影响的事项。  </w:t>
      </w:r>
    </w:p>
    <w:p w14:paraId="653616A4" w14:textId="77777777" w:rsidR="00000000" w:rsidRDefault="00000000">
      <w:r>
        <w:t>具体详见以下情况：</w:t>
      </w:r>
    </w:p>
    <w:p w14:paraId="670F893D" w14:textId="77777777" w:rsidR="0059473E" w:rsidRDefault="0059473E">
      <w:pPr>
        <w:rPr>
          <w:rFonts w:ascii="宋体" w:hAnsi="宋体" w:hint="eastAsia"/>
          <w:szCs w:val="21"/>
        </w:rPr>
      </w:pPr>
    </w:p>
    <w:p w14:paraId="5A10C612" w14:textId="77777777" w:rsidR="0059473E" w:rsidRDefault="00000000">
      <w:pPr>
        <w:pStyle w:val="ac"/>
        <w:numPr>
          <w:ilvl w:val="0"/>
          <w:numId w:val="27"/>
        </w:numPr>
        <w:spacing w:line="360" w:lineRule="auto"/>
        <w:ind w:left="0" w:firstLineChars="0" w:firstLine="0"/>
        <w:outlineLvl w:val="1"/>
        <w:rPr>
          <w:rFonts w:ascii="宋体" w:hAnsi="宋体" w:hint="eastAsia"/>
          <w:szCs w:val="21"/>
        </w:rPr>
      </w:pPr>
      <w:r>
        <w:rPr>
          <w:rFonts w:ascii="宋体" w:hAnsi="宋体" w:hint="eastAsia"/>
          <w:szCs w:val="21"/>
        </w:rPr>
        <w:t>公司年度报告披露后存在退</w:t>
      </w:r>
      <w:proofErr w:type="gramStart"/>
      <w:r>
        <w:rPr>
          <w:rFonts w:ascii="宋体" w:hAnsi="宋体" w:hint="eastAsia"/>
          <w:szCs w:val="21"/>
        </w:rPr>
        <w:t>市风险</w:t>
      </w:r>
      <w:proofErr w:type="gramEnd"/>
      <w:r>
        <w:rPr>
          <w:rFonts w:ascii="宋体" w:hAnsi="宋体" w:hint="eastAsia"/>
          <w:szCs w:val="21"/>
        </w:rPr>
        <w:t>警示或终止上市情形的，应当披露导致退</w:t>
      </w:r>
      <w:proofErr w:type="gramStart"/>
      <w:r>
        <w:rPr>
          <w:rFonts w:ascii="宋体" w:hAnsi="宋体" w:hint="eastAsia"/>
          <w:szCs w:val="21"/>
        </w:rPr>
        <w:t>市风险</w:t>
      </w:r>
      <w:proofErr w:type="gramEnd"/>
      <w:r>
        <w:rPr>
          <w:rFonts w:ascii="宋体" w:hAnsi="宋体" w:hint="eastAsia"/>
          <w:szCs w:val="21"/>
        </w:rPr>
        <w:t>警示或终止上市情形的原因。</w:t>
      </w:r>
    </w:p>
    <w:p w14:paraId="508B835E" w14:textId="77777777" w:rsidR="00000000" w:rsidRDefault="00000000">
      <w:r>
        <w:rPr>
          <w:rFonts w:ascii="宋体" w:hAnsi="宋体"/>
        </w:rPr>
        <w:fldChar w:fldCharType="begin"/>
      </w:r>
      <w:r>
        <w:rPr>
          <w:rFonts w:ascii="宋体" w:hAnsi="宋体" w:hint="eastAsia"/>
        </w:rPr>
        <w:instrText xml:space="preserve"> MACROBUTTON  SnrToggleCheckbox </w:instrText>
      </w:r>
      <w:r>
        <w:rPr>
          <w:rFonts w:ascii="宋体" w:hAnsi="宋体" w:hint="eastAsia"/>
        </w:rPr>
        <w:instrText>□适用</w:instrText>
      </w:r>
      <w:r>
        <w:rPr>
          <w:rFonts w:ascii="宋体" w:hAnsi="宋体" w:hint="eastAsia"/>
        </w:rPr>
        <w:instrText xml:space="preserve">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w:instrText>
      </w:r>
      <w:r>
        <w:rPr>
          <w:rFonts w:ascii="宋体" w:hAnsi="宋体" w:hint="eastAsia"/>
        </w:rPr>
        <w:instrText>√不适用</w:instrText>
      </w:r>
      <w:r>
        <w:rPr>
          <w:rFonts w:ascii="宋体" w:hAnsi="宋体" w:hint="eastAsia"/>
        </w:rPr>
        <w:instrText xml:space="preserve"> </w:instrText>
      </w:r>
      <w:r>
        <w:rPr>
          <w:rFonts w:ascii="宋体" w:hAnsi="宋体"/>
        </w:rPr>
        <w:fldChar w:fldCharType="end"/>
      </w:r>
    </w:p>
    <w:p w14:paraId="133B9D65" w14:textId="77777777" w:rsidR="0059473E" w:rsidRDefault="0059473E">
      <w:pPr>
        <w:rPr>
          <w:rFonts w:ascii="宋体" w:hAnsi="宋体" w:hint="eastAsia"/>
        </w:rPr>
      </w:pPr>
    </w:p>
    <w:sectPr w:rsidR="0059473E" w:rsidSect="006228A1">
      <w:pgSz w:w="11906" w:h="16838"/>
      <w:pgMar w:top="1528" w:right="1274" w:bottom="1440" w:left="1800" w:header="855"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C8C8B" w14:textId="77777777" w:rsidR="00612DDF" w:rsidRDefault="00612DDF" w:rsidP="00365E23">
      <w:r>
        <w:separator/>
      </w:r>
    </w:p>
  </w:endnote>
  <w:endnote w:type="continuationSeparator" w:id="0">
    <w:p w14:paraId="317804A0" w14:textId="77777777" w:rsidR="00612DDF" w:rsidRDefault="00612DDF"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3410A" w14:textId="77777777" w:rsidR="00612DDF" w:rsidRDefault="00612DDF" w:rsidP="00365E23">
      <w:r>
        <w:separator/>
      </w:r>
    </w:p>
  </w:footnote>
  <w:footnote w:type="continuationSeparator" w:id="0">
    <w:p w14:paraId="548699FF" w14:textId="77777777" w:rsidR="00612DDF" w:rsidRDefault="00612DDF" w:rsidP="0036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8430" w14:textId="77777777" w:rsidR="004004A3" w:rsidRDefault="00000000">
    <w:pPr>
      <w:pStyle w:val="af"/>
    </w:pPr>
    <w:sdt>
      <w:sdtPr>
        <w:rPr>
          <w:rFonts w:hint="eastAsia"/>
        </w:rPr>
        <w:alias w:val="公司法定中文名称"/>
        <w:tag w:val="_GBC_6cfc21e7307a475fa7ba81ab837a9cfa"/>
        <w:id w:val="2032138261"/>
        <w:dataBinding w:prefixMappings="xmlns:clcid-cgi='clcid-cgi'" w:xpath="/*/clcid-cgi:GongSiFaDingZhongWenMingCheng[not(@periodRef)]" w:storeItemID="{89EBAB94-44A0-46A2-B712-30D997D04A6D}"/>
        <w:text/>
      </w:sdtPr>
      <w:sdtContent>
        <w:proofErr w:type="gramStart"/>
        <w:r w:rsidR="004004A3">
          <w:rPr>
            <w:rFonts w:hint="eastAsia"/>
          </w:rPr>
          <w:t>重庆望变电气</w:t>
        </w:r>
        <w:proofErr w:type="gramEnd"/>
        <w:r w:rsidR="004004A3">
          <w:rPr>
            <w:rFonts w:hint="eastAsia"/>
          </w:rPr>
          <w:t>（集团）股份有限公司</w:t>
        </w:r>
      </w:sdtContent>
    </w:sdt>
    <w:r w:rsidR="00DE3F6F">
      <w:rPr>
        <w:rFonts w:hint="eastAsia"/>
      </w:rPr>
      <w:t>2025</w:t>
    </w:r>
    <w:r w:rsidR="004004A3">
      <w:rPr>
        <w:rFonts w:hint="eastAsia"/>
      </w:rPr>
      <w:t>年年度报告摘要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406"/>
    <w:multiLevelType w:val="multilevel"/>
    <w:tmpl w:val="21C26D54"/>
    <w:styleLink w:val="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07C3BFA"/>
    <w:multiLevelType w:val="hybridMultilevel"/>
    <w:tmpl w:val="857091FC"/>
    <w:lvl w:ilvl="0" w:tplc="EF60CB5E">
      <w:start w:val="1"/>
      <w:numFmt w:val="decimal"/>
      <w:lvlText w:val="3.%1"/>
      <w:lvlJc w:val="left"/>
      <w:pPr>
        <w:ind w:left="440" w:hanging="440"/>
      </w:pPr>
      <w:rPr>
        <w:rFonts w:asciiTheme="minorEastAsia" w:eastAsiaTheme="minorEastAsia" w:hAnsiTheme="minorEastAsia" w:hint="eastAsia"/>
        <w:b/>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0122678"/>
    <w:multiLevelType w:val="multilevel"/>
    <w:tmpl w:val="21C26D54"/>
    <w:numStyleLink w:val="4"/>
  </w:abstractNum>
  <w:abstractNum w:abstractNumId="3" w15:restartNumberingAfterBreak="0">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4135AC6"/>
    <w:multiLevelType w:val="hybridMultilevel"/>
    <w:tmpl w:val="8F1493A6"/>
    <w:lvl w:ilvl="0" w:tplc="CA5A629A">
      <w:start w:val="1"/>
      <w:numFmt w:val="decimal"/>
      <w:lvlText w:val="7.%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57B4F61"/>
    <w:multiLevelType w:val="multilevel"/>
    <w:tmpl w:val="DA6E33D8"/>
    <w:lvl w:ilvl="0">
      <w:start w:val="1"/>
      <w:numFmt w:val="decimal"/>
      <w:lvlText w:val="1.%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1CF75648"/>
    <w:multiLevelType w:val="multilevel"/>
    <w:tmpl w:val="C4A8179A"/>
    <w:lvl w:ilvl="0">
      <w:start w:val="1"/>
      <w:numFmt w:val="decimal"/>
      <w:lvlText w:val="%1、"/>
      <w:lvlJc w:val="left"/>
      <w:pPr>
        <w:ind w:left="425" w:hanging="425"/>
      </w:pPr>
      <w:rPr>
        <w:rFonts w:asciiTheme="majorEastAsia" w:eastAsia="宋体" w:hAnsiTheme="majorEastAsia" w:hint="eastAsia"/>
        <w:sz w:val="21"/>
        <w:szCs w:val="21"/>
      </w:rPr>
    </w:lvl>
    <w:lvl w:ilvl="1">
      <w:start w:val="1"/>
      <w:numFmt w:val="decimal"/>
      <w:lvlText w:val="%1.%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04F3B0A"/>
    <w:multiLevelType w:val="multilevel"/>
    <w:tmpl w:val="F920FA50"/>
    <w:name w:val="main"/>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20701C91"/>
    <w:multiLevelType w:val="hybridMultilevel"/>
    <w:tmpl w:val="1E6461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46C0E3A"/>
    <w:multiLevelType w:val="multilevel"/>
    <w:tmpl w:val="F920FA50"/>
    <w:name w:val="main2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267D3CB4"/>
    <w:multiLevelType w:val="hybridMultilevel"/>
    <w:tmpl w:val="BEA8AE34"/>
    <w:lvl w:ilvl="0" w:tplc="948420C0">
      <w:start w:val="1"/>
      <w:numFmt w:val="decimal"/>
      <w:lvlText w:val="5.%1"/>
      <w:lvlJc w:val="left"/>
      <w:pPr>
        <w:ind w:left="420" w:hanging="420"/>
      </w:pPr>
      <w:rPr>
        <w:rFonts w:ascii="宋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A374A22"/>
    <w:multiLevelType w:val="hybridMultilevel"/>
    <w:tmpl w:val="4776F1F2"/>
    <w:lvl w:ilvl="0" w:tplc="5A0C06E8">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B7B563C"/>
    <w:multiLevelType w:val="hybridMultilevel"/>
    <w:tmpl w:val="4FDAAD38"/>
    <w:lvl w:ilvl="0" w:tplc="D3ECA5A8">
      <w:start w:val="1"/>
      <w:numFmt w:val="decimal"/>
      <w:lvlText w:val="5.%1"/>
      <w:lvlJc w:val="left"/>
      <w:pPr>
        <w:ind w:left="440" w:hanging="440"/>
      </w:pPr>
      <w:rPr>
        <w:rFonts w:asciiTheme="minorEastAsia" w:eastAsiaTheme="minorEastAsia" w:hAnsiTheme="minorEastAsia" w:hint="eastAsia"/>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15E1453"/>
    <w:multiLevelType w:val="hybridMultilevel"/>
    <w:tmpl w:val="977606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3771493"/>
    <w:multiLevelType w:val="multilevel"/>
    <w:tmpl w:val="D8E42A32"/>
    <w:styleLink w:val="6"/>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37C3610E"/>
    <w:multiLevelType w:val="hybridMultilevel"/>
    <w:tmpl w:val="20969206"/>
    <w:lvl w:ilvl="0" w:tplc="FFFFFFFF">
      <w:start w:val="1"/>
      <w:numFmt w:val="decimal"/>
      <w:lvlText w:val="1.%1"/>
      <w:lvlJc w:val="left"/>
      <w:pPr>
        <w:ind w:left="704" w:hanging="420"/>
      </w:pPr>
      <w:rPr>
        <w:rFonts w:hint="eastAsia"/>
        <w:b/>
        <w:i w:val="0"/>
        <w:color w:val="auto"/>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7E50D1B"/>
    <w:multiLevelType w:val="multilevel"/>
    <w:tmpl w:val="FDAA18C4"/>
    <w:styleLink w:val="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1EB09F6"/>
    <w:multiLevelType w:val="multilevel"/>
    <w:tmpl w:val="5C3E46F2"/>
    <w:lvl w:ilvl="0">
      <w:start w:val="1"/>
      <w:numFmt w:val="decimal"/>
      <w:lvlText w:val="%1"/>
      <w:lvlJc w:val="left"/>
      <w:pPr>
        <w:ind w:left="425" w:hanging="425"/>
      </w:pPr>
      <w:rPr>
        <w:rFonts w:ascii="宋体" w:eastAsia="宋体" w:hAnsi="宋体" w:hint="eastAsia"/>
        <w:sz w:val="21"/>
        <w:szCs w:val="21"/>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460F68C8"/>
    <w:multiLevelType w:val="multilevel"/>
    <w:tmpl w:val="5BCE65BC"/>
    <w:lvl w:ilvl="0">
      <w:start w:val="1"/>
      <w:numFmt w:val="chineseCountingThousand"/>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516E1D71"/>
    <w:multiLevelType w:val="hybridMultilevel"/>
    <w:tmpl w:val="859C4D0C"/>
    <w:lvl w:ilvl="0" w:tplc="3DB005AC">
      <w:start w:val="1"/>
      <w:numFmt w:val="decimal"/>
      <w:lvlText w:val="4.%1"/>
      <w:lvlJc w:val="left"/>
      <w:pPr>
        <w:ind w:left="440" w:hanging="440"/>
      </w:pPr>
      <w:rPr>
        <w:rFonts w:asciiTheme="minorEastAsia" w:eastAsiaTheme="minorEastAsia" w:hAnsiTheme="minorEastAsia" w:hint="eastAsia"/>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53D97885"/>
    <w:multiLevelType w:val="multilevel"/>
    <w:tmpl w:val="F4B69B98"/>
    <w:lvl w:ilvl="0">
      <w:start w:val="1"/>
      <w:numFmt w:val="decimal"/>
      <w:lvlText w:val="%1、"/>
      <w:lvlJc w:val="left"/>
      <w:pPr>
        <w:ind w:left="425" w:hanging="425"/>
      </w:pPr>
      <w:rPr>
        <w:rFonts w:asciiTheme="majorEastAsia" w:eastAsia="宋体" w:hAnsiTheme="majorEastAsia" w:hint="eastAsia"/>
        <w:b w: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56153AC7"/>
    <w:multiLevelType w:val="multilevel"/>
    <w:tmpl w:val="107CDADE"/>
    <w:lvl w:ilvl="0">
      <w:start w:val="1"/>
      <w:numFmt w:val="decimal"/>
      <w:lvlText w:val="5.%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626805F7"/>
    <w:multiLevelType w:val="hybridMultilevel"/>
    <w:tmpl w:val="F6966332"/>
    <w:lvl w:ilvl="0" w:tplc="14D6A02E">
      <w:start w:val="1"/>
      <w:numFmt w:val="decimal"/>
      <w:lvlText w:val="4.%1"/>
      <w:lvlJc w:val="left"/>
      <w:pPr>
        <w:ind w:left="845" w:hanging="420"/>
      </w:pPr>
      <w:rPr>
        <w:rFonts w:hint="eastAsia"/>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8" w15:restartNumberingAfterBreak="0">
    <w:nsid w:val="6356205D"/>
    <w:multiLevelType w:val="multilevel"/>
    <w:tmpl w:val="BC8CCCBA"/>
    <w:styleLink w:val="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64BA0CC9"/>
    <w:multiLevelType w:val="multilevel"/>
    <w:tmpl w:val="D8E42A32"/>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675E4B03"/>
    <w:multiLevelType w:val="hybridMultilevel"/>
    <w:tmpl w:val="06AE9B7A"/>
    <w:lvl w:ilvl="0" w:tplc="FFFFFFFF">
      <w:start w:val="1"/>
      <w:numFmt w:val="decimal"/>
      <w:lvlText w:val="1.%1"/>
      <w:lvlJc w:val="left"/>
      <w:pPr>
        <w:ind w:left="420" w:hanging="420"/>
      </w:pPr>
      <w:rPr>
        <w:rFonts w:hint="eastAsia"/>
        <w:b w:val="0"/>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10E79EC"/>
    <w:multiLevelType w:val="multilevel"/>
    <w:tmpl w:val="AEACA9CE"/>
    <w:name w:val="main2"/>
    <w:styleLink w:val="3"/>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3315F9F"/>
    <w:multiLevelType w:val="multilevel"/>
    <w:tmpl w:val="AEACA9CE"/>
    <w:name w:val="main22"/>
    <w:numStyleLink w:val="3"/>
  </w:abstractNum>
  <w:abstractNum w:abstractNumId="33" w15:restartNumberingAfterBreak="0">
    <w:nsid w:val="788D7B85"/>
    <w:multiLevelType w:val="hybridMultilevel"/>
    <w:tmpl w:val="C0A8658C"/>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A7E0CFB"/>
    <w:multiLevelType w:val="multilevel"/>
    <w:tmpl w:val="D8E42A32"/>
    <w:numStyleLink w:val="6"/>
  </w:abstractNum>
  <w:abstractNum w:abstractNumId="35" w15:restartNumberingAfterBreak="0">
    <w:nsid w:val="7D9E582A"/>
    <w:multiLevelType w:val="multilevel"/>
    <w:tmpl w:val="661C989C"/>
    <w:styleLink w:val="5"/>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15:restartNumberingAfterBreak="0">
    <w:nsid w:val="7DB00CEF"/>
    <w:multiLevelType w:val="multilevel"/>
    <w:tmpl w:val="EC0E9280"/>
    <w:lvl w:ilvl="0">
      <w:start w:val="1"/>
      <w:numFmt w:val="decimal"/>
      <w:lvlText w:val="4.%1"/>
      <w:lvlJc w:val="left"/>
      <w:pPr>
        <w:ind w:left="425" w:hanging="425"/>
      </w:pPr>
      <w:rPr>
        <w:rFonts w:ascii="宋体" w:eastAsia="宋体" w:hAnsi="宋体" w:hint="eastAsia"/>
        <w:b w: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332220482">
    <w:abstractNumId w:val="25"/>
  </w:num>
  <w:num w:numId="2" w16cid:durableId="1069839807">
    <w:abstractNumId w:val="28"/>
  </w:num>
  <w:num w:numId="3" w16cid:durableId="1580361340">
    <w:abstractNumId w:val="31"/>
  </w:num>
  <w:num w:numId="4" w16cid:durableId="967466749">
    <w:abstractNumId w:val="2"/>
  </w:num>
  <w:num w:numId="5" w16cid:durableId="1006053731">
    <w:abstractNumId w:val="0"/>
  </w:num>
  <w:num w:numId="6" w16cid:durableId="330911873">
    <w:abstractNumId w:val="35"/>
  </w:num>
  <w:num w:numId="7" w16cid:durableId="1637905329">
    <w:abstractNumId w:val="34"/>
    <w:lvlOverride w:ilvl="0">
      <w:lvl w:ilvl="0">
        <w:start w:val="1"/>
        <w:numFmt w:val="decimal"/>
        <w:lvlText w:val="%1、"/>
        <w:lvlJc w:val="left"/>
        <w:pPr>
          <w:ind w:left="0" w:firstLine="0"/>
        </w:pPr>
        <w:rPr>
          <w:rFonts w:asciiTheme="majorEastAsia" w:eastAsia="宋体" w:hAnsiTheme="majorEastAsia" w:hint="eastAsia"/>
        </w:rPr>
      </w:lvl>
    </w:lvlOverride>
    <w:lvlOverride w:ilvl="1">
      <w:lvl w:ilvl="1">
        <w:start w:val="1"/>
        <w:numFmt w:val="lowerLetter"/>
        <w:lvlText w:val="%2)"/>
        <w:lvlJc w:val="left"/>
        <w:pPr>
          <w:ind w:left="880" w:hanging="440"/>
        </w:pPr>
        <w:rPr>
          <w:rFonts w:hint="eastAsia"/>
        </w:rPr>
      </w:lvl>
    </w:lvlOverride>
    <w:lvlOverride w:ilvl="2">
      <w:lvl w:ilvl="2">
        <w:start w:val="1"/>
        <w:numFmt w:val="lowerRoman"/>
        <w:lvlText w:val="%3."/>
        <w:lvlJc w:val="right"/>
        <w:pPr>
          <w:ind w:left="1320" w:hanging="440"/>
        </w:pPr>
        <w:rPr>
          <w:rFonts w:hint="eastAsia"/>
        </w:rPr>
      </w:lvl>
    </w:lvlOverride>
    <w:lvlOverride w:ilvl="3">
      <w:lvl w:ilvl="3">
        <w:start w:val="1"/>
        <w:numFmt w:val="decimal"/>
        <w:lvlText w:val="%4."/>
        <w:lvlJc w:val="left"/>
        <w:pPr>
          <w:ind w:left="1760" w:hanging="440"/>
        </w:pPr>
        <w:rPr>
          <w:rFonts w:hint="eastAsia"/>
        </w:rPr>
      </w:lvl>
    </w:lvlOverride>
    <w:lvlOverride w:ilvl="4">
      <w:lvl w:ilvl="4">
        <w:start w:val="1"/>
        <w:numFmt w:val="lowerLetter"/>
        <w:lvlText w:val="%5)"/>
        <w:lvlJc w:val="left"/>
        <w:pPr>
          <w:ind w:left="2200" w:hanging="440"/>
        </w:pPr>
        <w:rPr>
          <w:rFonts w:hint="eastAsia"/>
        </w:rPr>
      </w:lvl>
    </w:lvlOverride>
    <w:lvlOverride w:ilvl="5">
      <w:lvl w:ilvl="5">
        <w:start w:val="1"/>
        <w:numFmt w:val="lowerRoman"/>
        <w:lvlText w:val="%6."/>
        <w:lvlJc w:val="right"/>
        <w:pPr>
          <w:ind w:left="2640" w:hanging="440"/>
        </w:pPr>
        <w:rPr>
          <w:rFonts w:hint="eastAsia"/>
        </w:rPr>
      </w:lvl>
    </w:lvlOverride>
    <w:lvlOverride w:ilvl="6">
      <w:lvl w:ilvl="6">
        <w:start w:val="1"/>
        <w:numFmt w:val="decimal"/>
        <w:lvlText w:val="%7."/>
        <w:lvlJc w:val="left"/>
        <w:pPr>
          <w:ind w:left="3080" w:hanging="440"/>
        </w:pPr>
        <w:rPr>
          <w:rFonts w:hint="eastAsia"/>
        </w:rPr>
      </w:lvl>
    </w:lvlOverride>
    <w:lvlOverride w:ilvl="7">
      <w:lvl w:ilvl="7">
        <w:start w:val="1"/>
        <w:numFmt w:val="lowerLetter"/>
        <w:lvlText w:val="%8)"/>
        <w:lvlJc w:val="left"/>
        <w:pPr>
          <w:ind w:left="3520" w:hanging="440"/>
        </w:pPr>
        <w:rPr>
          <w:rFonts w:hint="eastAsia"/>
        </w:rPr>
      </w:lvl>
    </w:lvlOverride>
    <w:lvlOverride w:ilvl="8">
      <w:lvl w:ilvl="8">
        <w:start w:val="1"/>
        <w:numFmt w:val="lowerRoman"/>
        <w:lvlText w:val="%9."/>
        <w:lvlJc w:val="right"/>
        <w:pPr>
          <w:ind w:left="3960" w:hanging="440"/>
        </w:pPr>
        <w:rPr>
          <w:rFonts w:hint="eastAsia"/>
        </w:rPr>
      </w:lvl>
    </w:lvlOverride>
  </w:num>
  <w:num w:numId="8" w16cid:durableId="1620645016">
    <w:abstractNumId w:val="17"/>
  </w:num>
  <w:num w:numId="9" w16cid:durableId="670840996">
    <w:abstractNumId w:val="19"/>
  </w:num>
  <w:num w:numId="10" w16cid:durableId="2004120712">
    <w:abstractNumId w:val="4"/>
  </w:num>
  <w:num w:numId="11" w16cid:durableId="1350912101">
    <w:abstractNumId w:val="29"/>
  </w:num>
  <w:num w:numId="12" w16cid:durableId="295836398">
    <w:abstractNumId w:val="12"/>
  </w:num>
  <w:num w:numId="13" w16cid:durableId="339240122">
    <w:abstractNumId w:val="21"/>
  </w:num>
  <w:num w:numId="14" w16cid:durableId="1573810778">
    <w:abstractNumId w:val="27"/>
  </w:num>
  <w:num w:numId="15" w16cid:durableId="510922666">
    <w:abstractNumId w:val="14"/>
  </w:num>
  <w:num w:numId="16" w16cid:durableId="7876392">
    <w:abstractNumId w:val="18"/>
  </w:num>
  <w:num w:numId="17" w16cid:durableId="159197833">
    <w:abstractNumId w:val="15"/>
  </w:num>
  <w:num w:numId="18" w16cid:durableId="118501011">
    <w:abstractNumId w:val="11"/>
  </w:num>
  <w:num w:numId="19" w16cid:durableId="593976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9028630">
    <w:abstractNumId w:val="3"/>
  </w:num>
  <w:num w:numId="21" w16cid:durableId="1222790626">
    <w:abstractNumId w:val="30"/>
  </w:num>
  <w:num w:numId="22" w16cid:durableId="1485048272">
    <w:abstractNumId w:val="6"/>
  </w:num>
  <w:num w:numId="23" w16cid:durableId="643509521">
    <w:abstractNumId w:val="20"/>
  </w:num>
  <w:num w:numId="24" w16cid:durableId="151145582">
    <w:abstractNumId w:val="36"/>
  </w:num>
  <w:num w:numId="25" w16cid:durableId="1347558656">
    <w:abstractNumId w:val="26"/>
  </w:num>
  <w:num w:numId="26" w16cid:durableId="803424149">
    <w:abstractNumId w:val="22"/>
  </w:num>
  <w:num w:numId="27" w16cid:durableId="1709135586">
    <w:abstractNumId w:val="24"/>
  </w:num>
  <w:num w:numId="28" w16cid:durableId="809859407">
    <w:abstractNumId w:val="10"/>
  </w:num>
  <w:num w:numId="29" w16cid:durableId="964625390">
    <w:abstractNumId w:val="9"/>
  </w:num>
  <w:num w:numId="30" w16cid:durableId="1871449948">
    <w:abstractNumId w:val="33"/>
  </w:num>
  <w:num w:numId="31" w16cid:durableId="797064181">
    <w:abstractNumId w:val="16"/>
  </w:num>
  <w:num w:numId="32" w16cid:durableId="1026102953">
    <w:abstractNumId w:val="5"/>
  </w:num>
  <w:num w:numId="33" w16cid:durableId="1983923637">
    <w:abstractNumId w:val="1"/>
  </w:num>
  <w:num w:numId="34" w16cid:durableId="204031395">
    <w:abstractNumId w:val="23"/>
  </w:num>
  <w:num w:numId="35" w16cid:durableId="195535650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sclosure_Version" w:val="true"/>
  </w:docVars>
  <w:rsids>
    <w:rsidRoot w:val="00DD256F"/>
    <w:rsid w:val="00001BA7"/>
    <w:rsid w:val="00002973"/>
    <w:rsid w:val="00004201"/>
    <w:rsid w:val="0000568D"/>
    <w:rsid w:val="00005A2F"/>
    <w:rsid w:val="00010B15"/>
    <w:rsid w:val="00011C95"/>
    <w:rsid w:val="00014DD5"/>
    <w:rsid w:val="00015DED"/>
    <w:rsid w:val="00017CF8"/>
    <w:rsid w:val="0002110B"/>
    <w:rsid w:val="00022AC0"/>
    <w:rsid w:val="0002612F"/>
    <w:rsid w:val="000271B5"/>
    <w:rsid w:val="000317E9"/>
    <w:rsid w:val="00031A88"/>
    <w:rsid w:val="00033822"/>
    <w:rsid w:val="00036357"/>
    <w:rsid w:val="00036755"/>
    <w:rsid w:val="000429ED"/>
    <w:rsid w:val="00044398"/>
    <w:rsid w:val="00044608"/>
    <w:rsid w:val="00044D5D"/>
    <w:rsid w:val="000451ED"/>
    <w:rsid w:val="000461BB"/>
    <w:rsid w:val="00051708"/>
    <w:rsid w:val="00051BE5"/>
    <w:rsid w:val="00052C25"/>
    <w:rsid w:val="00053994"/>
    <w:rsid w:val="00055B66"/>
    <w:rsid w:val="00055C3F"/>
    <w:rsid w:val="000569CC"/>
    <w:rsid w:val="00057851"/>
    <w:rsid w:val="0006013C"/>
    <w:rsid w:val="000612A1"/>
    <w:rsid w:val="00062AA3"/>
    <w:rsid w:val="00062C6A"/>
    <w:rsid w:val="0006372A"/>
    <w:rsid w:val="00063893"/>
    <w:rsid w:val="0006503C"/>
    <w:rsid w:val="00065B7B"/>
    <w:rsid w:val="000673B4"/>
    <w:rsid w:val="00071950"/>
    <w:rsid w:val="00072A18"/>
    <w:rsid w:val="00073DE4"/>
    <w:rsid w:val="0007504B"/>
    <w:rsid w:val="00076117"/>
    <w:rsid w:val="00076A94"/>
    <w:rsid w:val="00077B9C"/>
    <w:rsid w:val="00077EAC"/>
    <w:rsid w:val="00080509"/>
    <w:rsid w:val="000818E5"/>
    <w:rsid w:val="00082A0D"/>
    <w:rsid w:val="00082A1A"/>
    <w:rsid w:val="00083525"/>
    <w:rsid w:val="00084008"/>
    <w:rsid w:val="000841ED"/>
    <w:rsid w:val="00085C01"/>
    <w:rsid w:val="000866B4"/>
    <w:rsid w:val="000868AD"/>
    <w:rsid w:val="00087BA9"/>
    <w:rsid w:val="00090ADC"/>
    <w:rsid w:val="0009141B"/>
    <w:rsid w:val="00091DDA"/>
    <w:rsid w:val="000955B9"/>
    <w:rsid w:val="00096856"/>
    <w:rsid w:val="00096AC8"/>
    <w:rsid w:val="000A104B"/>
    <w:rsid w:val="000A2501"/>
    <w:rsid w:val="000A28D3"/>
    <w:rsid w:val="000A4309"/>
    <w:rsid w:val="000A4756"/>
    <w:rsid w:val="000A4E34"/>
    <w:rsid w:val="000B14EF"/>
    <w:rsid w:val="000B33F3"/>
    <w:rsid w:val="000B56BC"/>
    <w:rsid w:val="000B5F96"/>
    <w:rsid w:val="000B7BAE"/>
    <w:rsid w:val="000C0519"/>
    <w:rsid w:val="000C19E7"/>
    <w:rsid w:val="000C336D"/>
    <w:rsid w:val="000C4531"/>
    <w:rsid w:val="000C4C03"/>
    <w:rsid w:val="000C531A"/>
    <w:rsid w:val="000C5404"/>
    <w:rsid w:val="000C5B78"/>
    <w:rsid w:val="000C698C"/>
    <w:rsid w:val="000C6DAE"/>
    <w:rsid w:val="000C7C71"/>
    <w:rsid w:val="000D0A4F"/>
    <w:rsid w:val="000D21E8"/>
    <w:rsid w:val="000D32D2"/>
    <w:rsid w:val="000D3B07"/>
    <w:rsid w:val="000D7213"/>
    <w:rsid w:val="000D7307"/>
    <w:rsid w:val="000D7A97"/>
    <w:rsid w:val="000E0E15"/>
    <w:rsid w:val="000E32FF"/>
    <w:rsid w:val="000E518E"/>
    <w:rsid w:val="000E6005"/>
    <w:rsid w:val="000E6844"/>
    <w:rsid w:val="000F192B"/>
    <w:rsid w:val="000F27A2"/>
    <w:rsid w:val="001011FB"/>
    <w:rsid w:val="00101D94"/>
    <w:rsid w:val="001026CF"/>
    <w:rsid w:val="00102B5A"/>
    <w:rsid w:val="00103439"/>
    <w:rsid w:val="00105C16"/>
    <w:rsid w:val="00106C83"/>
    <w:rsid w:val="00110280"/>
    <w:rsid w:val="001105F0"/>
    <w:rsid w:val="00111A05"/>
    <w:rsid w:val="00111E23"/>
    <w:rsid w:val="00115C57"/>
    <w:rsid w:val="001165AE"/>
    <w:rsid w:val="00116D81"/>
    <w:rsid w:val="0012087E"/>
    <w:rsid w:val="001208DD"/>
    <w:rsid w:val="00120FFA"/>
    <w:rsid w:val="0012137E"/>
    <w:rsid w:val="0012160B"/>
    <w:rsid w:val="001239F7"/>
    <w:rsid w:val="00123F0A"/>
    <w:rsid w:val="00126CBD"/>
    <w:rsid w:val="00127157"/>
    <w:rsid w:val="001304AD"/>
    <w:rsid w:val="00131852"/>
    <w:rsid w:val="00134553"/>
    <w:rsid w:val="00134FF0"/>
    <w:rsid w:val="00135853"/>
    <w:rsid w:val="00136A9A"/>
    <w:rsid w:val="00142014"/>
    <w:rsid w:val="00143F2D"/>
    <w:rsid w:val="001440AE"/>
    <w:rsid w:val="0015126D"/>
    <w:rsid w:val="00152158"/>
    <w:rsid w:val="001525B7"/>
    <w:rsid w:val="00153CA8"/>
    <w:rsid w:val="001543D4"/>
    <w:rsid w:val="0015450F"/>
    <w:rsid w:val="0015523D"/>
    <w:rsid w:val="001575B8"/>
    <w:rsid w:val="0016024E"/>
    <w:rsid w:val="0016066A"/>
    <w:rsid w:val="00161CAF"/>
    <w:rsid w:val="00162669"/>
    <w:rsid w:val="00164276"/>
    <w:rsid w:val="00166F73"/>
    <w:rsid w:val="00174686"/>
    <w:rsid w:val="00174867"/>
    <w:rsid w:val="001777F1"/>
    <w:rsid w:val="001816A6"/>
    <w:rsid w:val="001833BD"/>
    <w:rsid w:val="00183D66"/>
    <w:rsid w:val="00184DA6"/>
    <w:rsid w:val="00185A46"/>
    <w:rsid w:val="00186C23"/>
    <w:rsid w:val="001875E5"/>
    <w:rsid w:val="00190753"/>
    <w:rsid w:val="00190D12"/>
    <w:rsid w:val="00190F71"/>
    <w:rsid w:val="0019126B"/>
    <w:rsid w:val="00191434"/>
    <w:rsid w:val="00191BFF"/>
    <w:rsid w:val="0019227C"/>
    <w:rsid w:val="00192CCC"/>
    <w:rsid w:val="001935E1"/>
    <w:rsid w:val="00194F95"/>
    <w:rsid w:val="00195DFE"/>
    <w:rsid w:val="001A0FCF"/>
    <w:rsid w:val="001A11A3"/>
    <w:rsid w:val="001A1D27"/>
    <w:rsid w:val="001A37C6"/>
    <w:rsid w:val="001A582E"/>
    <w:rsid w:val="001A6342"/>
    <w:rsid w:val="001A652B"/>
    <w:rsid w:val="001A7D83"/>
    <w:rsid w:val="001B010B"/>
    <w:rsid w:val="001B0B8E"/>
    <w:rsid w:val="001B4AD8"/>
    <w:rsid w:val="001B5100"/>
    <w:rsid w:val="001B5112"/>
    <w:rsid w:val="001B6304"/>
    <w:rsid w:val="001C5D73"/>
    <w:rsid w:val="001C682C"/>
    <w:rsid w:val="001D07F6"/>
    <w:rsid w:val="001D1069"/>
    <w:rsid w:val="001D1216"/>
    <w:rsid w:val="001D19A9"/>
    <w:rsid w:val="001D2C3C"/>
    <w:rsid w:val="001D4B03"/>
    <w:rsid w:val="001D7404"/>
    <w:rsid w:val="001D7DDF"/>
    <w:rsid w:val="001E00D9"/>
    <w:rsid w:val="001E0CC8"/>
    <w:rsid w:val="001E18AC"/>
    <w:rsid w:val="001E396E"/>
    <w:rsid w:val="001E441C"/>
    <w:rsid w:val="001E4818"/>
    <w:rsid w:val="001E510D"/>
    <w:rsid w:val="001E55CD"/>
    <w:rsid w:val="001E5F29"/>
    <w:rsid w:val="001F019F"/>
    <w:rsid w:val="001F07B9"/>
    <w:rsid w:val="001F220C"/>
    <w:rsid w:val="001F30EE"/>
    <w:rsid w:val="001F33A0"/>
    <w:rsid w:val="001F3908"/>
    <w:rsid w:val="001F3C0E"/>
    <w:rsid w:val="001F453B"/>
    <w:rsid w:val="001F4D76"/>
    <w:rsid w:val="001F5716"/>
    <w:rsid w:val="002013B1"/>
    <w:rsid w:val="00202353"/>
    <w:rsid w:val="00203F1B"/>
    <w:rsid w:val="00205758"/>
    <w:rsid w:val="00205B89"/>
    <w:rsid w:val="00205C40"/>
    <w:rsid w:val="00207D36"/>
    <w:rsid w:val="0021168A"/>
    <w:rsid w:val="0021193E"/>
    <w:rsid w:val="002125FF"/>
    <w:rsid w:val="00213330"/>
    <w:rsid w:val="0021382F"/>
    <w:rsid w:val="002148A9"/>
    <w:rsid w:val="00217EBD"/>
    <w:rsid w:val="002202B4"/>
    <w:rsid w:val="00220E16"/>
    <w:rsid w:val="00220E1F"/>
    <w:rsid w:val="0022224C"/>
    <w:rsid w:val="002222CA"/>
    <w:rsid w:val="00222350"/>
    <w:rsid w:val="00225079"/>
    <w:rsid w:val="00225BD8"/>
    <w:rsid w:val="002264BD"/>
    <w:rsid w:val="002266FB"/>
    <w:rsid w:val="002267A5"/>
    <w:rsid w:val="00230827"/>
    <w:rsid w:val="002329B1"/>
    <w:rsid w:val="0023599E"/>
    <w:rsid w:val="002434A7"/>
    <w:rsid w:val="00243E6E"/>
    <w:rsid w:val="002440DA"/>
    <w:rsid w:val="00245567"/>
    <w:rsid w:val="00251048"/>
    <w:rsid w:val="0025183D"/>
    <w:rsid w:val="002536AC"/>
    <w:rsid w:val="00260266"/>
    <w:rsid w:val="0026068D"/>
    <w:rsid w:val="00260FD0"/>
    <w:rsid w:val="00261101"/>
    <w:rsid w:val="0026118D"/>
    <w:rsid w:val="0026230A"/>
    <w:rsid w:val="002623D2"/>
    <w:rsid w:val="00264752"/>
    <w:rsid w:val="00266C1D"/>
    <w:rsid w:val="00267FCC"/>
    <w:rsid w:val="00273AD2"/>
    <w:rsid w:val="00274667"/>
    <w:rsid w:val="002769EA"/>
    <w:rsid w:val="00277873"/>
    <w:rsid w:val="00280288"/>
    <w:rsid w:val="002824C6"/>
    <w:rsid w:val="0028465C"/>
    <w:rsid w:val="002851FB"/>
    <w:rsid w:val="00285332"/>
    <w:rsid w:val="00285370"/>
    <w:rsid w:val="0028609E"/>
    <w:rsid w:val="00286B4B"/>
    <w:rsid w:val="00290DB6"/>
    <w:rsid w:val="00290F3B"/>
    <w:rsid w:val="002956C2"/>
    <w:rsid w:val="002A07DF"/>
    <w:rsid w:val="002A150F"/>
    <w:rsid w:val="002A2C89"/>
    <w:rsid w:val="002A2D73"/>
    <w:rsid w:val="002A3135"/>
    <w:rsid w:val="002A3EC6"/>
    <w:rsid w:val="002A4005"/>
    <w:rsid w:val="002A4F95"/>
    <w:rsid w:val="002B0BF5"/>
    <w:rsid w:val="002B32FC"/>
    <w:rsid w:val="002B3A99"/>
    <w:rsid w:val="002B5024"/>
    <w:rsid w:val="002B5B90"/>
    <w:rsid w:val="002B7948"/>
    <w:rsid w:val="002B7E2D"/>
    <w:rsid w:val="002C0375"/>
    <w:rsid w:val="002C25CF"/>
    <w:rsid w:val="002C2C31"/>
    <w:rsid w:val="002C30A7"/>
    <w:rsid w:val="002C4534"/>
    <w:rsid w:val="002C4692"/>
    <w:rsid w:val="002C48C7"/>
    <w:rsid w:val="002C522F"/>
    <w:rsid w:val="002C62A6"/>
    <w:rsid w:val="002C6F73"/>
    <w:rsid w:val="002C70C3"/>
    <w:rsid w:val="002C7F97"/>
    <w:rsid w:val="002D0BAE"/>
    <w:rsid w:val="002D11A3"/>
    <w:rsid w:val="002D16DB"/>
    <w:rsid w:val="002D2F34"/>
    <w:rsid w:val="002D4803"/>
    <w:rsid w:val="002D4F09"/>
    <w:rsid w:val="002D545F"/>
    <w:rsid w:val="002D701B"/>
    <w:rsid w:val="002E0263"/>
    <w:rsid w:val="002E149C"/>
    <w:rsid w:val="002E1864"/>
    <w:rsid w:val="002E40BA"/>
    <w:rsid w:val="002E59B1"/>
    <w:rsid w:val="002E5C33"/>
    <w:rsid w:val="002E6ABC"/>
    <w:rsid w:val="002F0E56"/>
    <w:rsid w:val="002F0F92"/>
    <w:rsid w:val="002F4656"/>
    <w:rsid w:val="002F52A7"/>
    <w:rsid w:val="002F560B"/>
    <w:rsid w:val="002F660C"/>
    <w:rsid w:val="003000CA"/>
    <w:rsid w:val="00300F8C"/>
    <w:rsid w:val="003010F2"/>
    <w:rsid w:val="00303809"/>
    <w:rsid w:val="00305947"/>
    <w:rsid w:val="003071D7"/>
    <w:rsid w:val="00307D0F"/>
    <w:rsid w:val="00314161"/>
    <w:rsid w:val="003155D2"/>
    <w:rsid w:val="0031588D"/>
    <w:rsid w:val="0031687F"/>
    <w:rsid w:val="00316B55"/>
    <w:rsid w:val="00316E30"/>
    <w:rsid w:val="00317C18"/>
    <w:rsid w:val="00320996"/>
    <w:rsid w:val="003226F3"/>
    <w:rsid w:val="003237BC"/>
    <w:rsid w:val="00324A94"/>
    <w:rsid w:val="0032514A"/>
    <w:rsid w:val="003268D0"/>
    <w:rsid w:val="00327859"/>
    <w:rsid w:val="00330B40"/>
    <w:rsid w:val="00334089"/>
    <w:rsid w:val="0033515F"/>
    <w:rsid w:val="00335474"/>
    <w:rsid w:val="00335F6A"/>
    <w:rsid w:val="00336913"/>
    <w:rsid w:val="00337056"/>
    <w:rsid w:val="003400CB"/>
    <w:rsid w:val="00340BFC"/>
    <w:rsid w:val="0034374A"/>
    <w:rsid w:val="00345754"/>
    <w:rsid w:val="0034641C"/>
    <w:rsid w:val="003469F1"/>
    <w:rsid w:val="00346A8C"/>
    <w:rsid w:val="00350067"/>
    <w:rsid w:val="003501F6"/>
    <w:rsid w:val="003503C0"/>
    <w:rsid w:val="003504C7"/>
    <w:rsid w:val="00350C86"/>
    <w:rsid w:val="003528AE"/>
    <w:rsid w:val="0035398F"/>
    <w:rsid w:val="00353F5A"/>
    <w:rsid w:val="0035403B"/>
    <w:rsid w:val="003545BB"/>
    <w:rsid w:val="00356081"/>
    <w:rsid w:val="00360520"/>
    <w:rsid w:val="0036105D"/>
    <w:rsid w:val="003617B8"/>
    <w:rsid w:val="00361B84"/>
    <w:rsid w:val="00365E23"/>
    <w:rsid w:val="00366A62"/>
    <w:rsid w:val="00366BFF"/>
    <w:rsid w:val="00367138"/>
    <w:rsid w:val="0036747E"/>
    <w:rsid w:val="0037071A"/>
    <w:rsid w:val="0037121B"/>
    <w:rsid w:val="0037385B"/>
    <w:rsid w:val="00373F47"/>
    <w:rsid w:val="00375F0E"/>
    <w:rsid w:val="00376234"/>
    <w:rsid w:val="0037637F"/>
    <w:rsid w:val="00377986"/>
    <w:rsid w:val="003806D9"/>
    <w:rsid w:val="00381D3A"/>
    <w:rsid w:val="003825B9"/>
    <w:rsid w:val="00383073"/>
    <w:rsid w:val="003839AB"/>
    <w:rsid w:val="003857DB"/>
    <w:rsid w:val="003861D5"/>
    <w:rsid w:val="00391ABF"/>
    <w:rsid w:val="00392161"/>
    <w:rsid w:val="003923F1"/>
    <w:rsid w:val="0039330D"/>
    <w:rsid w:val="00394C62"/>
    <w:rsid w:val="00395C23"/>
    <w:rsid w:val="00395F99"/>
    <w:rsid w:val="0039687E"/>
    <w:rsid w:val="0039766F"/>
    <w:rsid w:val="003A038B"/>
    <w:rsid w:val="003A063D"/>
    <w:rsid w:val="003A2A8F"/>
    <w:rsid w:val="003A46E9"/>
    <w:rsid w:val="003A667A"/>
    <w:rsid w:val="003A68AA"/>
    <w:rsid w:val="003B0926"/>
    <w:rsid w:val="003B0E83"/>
    <w:rsid w:val="003B0E84"/>
    <w:rsid w:val="003B12BE"/>
    <w:rsid w:val="003B1ADC"/>
    <w:rsid w:val="003B45C0"/>
    <w:rsid w:val="003B5F93"/>
    <w:rsid w:val="003B769E"/>
    <w:rsid w:val="003B7A46"/>
    <w:rsid w:val="003C0BEE"/>
    <w:rsid w:val="003C1AD3"/>
    <w:rsid w:val="003C2077"/>
    <w:rsid w:val="003C2302"/>
    <w:rsid w:val="003C30BF"/>
    <w:rsid w:val="003C33A6"/>
    <w:rsid w:val="003C3D1F"/>
    <w:rsid w:val="003C444D"/>
    <w:rsid w:val="003C59FC"/>
    <w:rsid w:val="003C60FE"/>
    <w:rsid w:val="003D0669"/>
    <w:rsid w:val="003D0AB5"/>
    <w:rsid w:val="003D1340"/>
    <w:rsid w:val="003D1C65"/>
    <w:rsid w:val="003D3799"/>
    <w:rsid w:val="003D45EC"/>
    <w:rsid w:val="003D551F"/>
    <w:rsid w:val="003D583D"/>
    <w:rsid w:val="003D58FC"/>
    <w:rsid w:val="003E0471"/>
    <w:rsid w:val="003E0836"/>
    <w:rsid w:val="003E3685"/>
    <w:rsid w:val="003E3CBD"/>
    <w:rsid w:val="003E3DEE"/>
    <w:rsid w:val="003E7B17"/>
    <w:rsid w:val="003F0285"/>
    <w:rsid w:val="003F1776"/>
    <w:rsid w:val="003F20C1"/>
    <w:rsid w:val="003F4E89"/>
    <w:rsid w:val="003F59F3"/>
    <w:rsid w:val="003F63B2"/>
    <w:rsid w:val="003F698E"/>
    <w:rsid w:val="004004A3"/>
    <w:rsid w:val="0040554F"/>
    <w:rsid w:val="00405EEC"/>
    <w:rsid w:val="0040653C"/>
    <w:rsid w:val="00406907"/>
    <w:rsid w:val="00406CE7"/>
    <w:rsid w:val="00406E86"/>
    <w:rsid w:val="00407B05"/>
    <w:rsid w:val="004106F4"/>
    <w:rsid w:val="00410CAB"/>
    <w:rsid w:val="0041294B"/>
    <w:rsid w:val="00415554"/>
    <w:rsid w:val="004228DD"/>
    <w:rsid w:val="00424A37"/>
    <w:rsid w:val="004250C1"/>
    <w:rsid w:val="00425B7D"/>
    <w:rsid w:val="004328C7"/>
    <w:rsid w:val="00432DC3"/>
    <w:rsid w:val="00432EBC"/>
    <w:rsid w:val="00440EF3"/>
    <w:rsid w:val="00442EB8"/>
    <w:rsid w:val="00442EDC"/>
    <w:rsid w:val="00444B5E"/>
    <w:rsid w:val="004476C3"/>
    <w:rsid w:val="00447931"/>
    <w:rsid w:val="004501BC"/>
    <w:rsid w:val="0045026C"/>
    <w:rsid w:val="00450D8E"/>
    <w:rsid w:val="00452A0A"/>
    <w:rsid w:val="004546AB"/>
    <w:rsid w:val="00454B6B"/>
    <w:rsid w:val="00455C8B"/>
    <w:rsid w:val="00455F2F"/>
    <w:rsid w:val="0045723A"/>
    <w:rsid w:val="0046038D"/>
    <w:rsid w:val="0046173C"/>
    <w:rsid w:val="00461904"/>
    <w:rsid w:val="00461B20"/>
    <w:rsid w:val="00462650"/>
    <w:rsid w:val="0046325B"/>
    <w:rsid w:val="00464B6B"/>
    <w:rsid w:val="0046529C"/>
    <w:rsid w:val="00465A86"/>
    <w:rsid w:val="00470727"/>
    <w:rsid w:val="00470E81"/>
    <w:rsid w:val="00471468"/>
    <w:rsid w:val="00472192"/>
    <w:rsid w:val="0047229B"/>
    <w:rsid w:val="004731B0"/>
    <w:rsid w:val="00476DD3"/>
    <w:rsid w:val="004843F9"/>
    <w:rsid w:val="00486355"/>
    <w:rsid w:val="004868A0"/>
    <w:rsid w:val="004873DD"/>
    <w:rsid w:val="0048770D"/>
    <w:rsid w:val="00487D34"/>
    <w:rsid w:val="004915B3"/>
    <w:rsid w:val="00492036"/>
    <w:rsid w:val="00492045"/>
    <w:rsid w:val="0049213C"/>
    <w:rsid w:val="00492A2E"/>
    <w:rsid w:val="0049544D"/>
    <w:rsid w:val="00495B68"/>
    <w:rsid w:val="004960DF"/>
    <w:rsid w:val="00497D51"/>
    <w:rsid w:val="00497DEE"/>
    <w:rsid w:val="004A31D2"/>
    <w:rsid w:val="004A4F80"/>
    <w:rsid w:val="004A5D19"/>
    <w:rsid w:val="004A7B4C"/>
    <w:rsid w:val="004B079A"/>
    <w:rsid w:val="004B19D0"/>
    <w:rsid w:val="004B4CF8"/>
    <w:rsid w:val="004B4E8E"/>
    <w:rsid w:val="004B5A80"/>
    <w:rsid w:val="004B5A88"/>
    <w:rsid w:val="004C1216"/>
    <w:rsid w:val="004C1D84"/>
    <w:rsid w:val="004C3F11"/>
    <w:rsid w:val="004C3F82"/>
    <w:rsid w:val="004C599D"/>
    <w:rsid w:val="004C5F07"/>
    <w:rsid w:val="004C79A3"/>
    <w:rsid w:val="004D20A4"/>
    <w:rsid w:val="004D21A7"/>
    <w:rsid w:val="004D2FBE"/>
    <w:rsid w:val="004D45EF"/>
    <w:rsid w:val="004D5611"/>
    <w:rsid w:val="004D73C3"/>
    <w:rsid w:val="004E17C1"/>
    <w:rsid w:val="004E5EE4"/>
    <w:rsid w:val="004E6016"/>
    <w:rsid w:val="004E6AD7"/>
    <w:rsid w:val="004E7088"/>
    <w:rsid w:val="004E7DBF"/>
    <w:rsid w:val="004F01EB"/>
    <w:rsid w:val="004F0557"/>
    <w:rsid w:val="004F17B5"/>
    <w:rsid w:val="004F42CB"/>
    <w:rsid w:val="004F4CF9"/>
    <w:rsid w:val="004F7901"/>
    <w:rsid w:val="004F7CAA"/>
    <w:rsid w:val="005026EC"/>
    <w:rsid w:val="00502DC5"/>
    <w:rsid w:val="00503CDD"/>
    <w:rsid w:val="0050580A"/>
    <w:rsid w:val="00507AAB"/>
    <w:rsid w:val="00507C75"/>
    <w:rsid w:val="005104A4"/>
    <w:rsid w:val="0051274A"/>
    <w:rsid w:val="00515988"/>
    <w:rsid w:val="00515DBA"/>
    <w:rsid w:val="00517E80"/>
    <w:rsid w:val="00517E8F"/>
    <w:rsid w:val="005215E0"/>
    <w:rsid w:val="0052238C"/>
    <w:rsid w:val="00523EA3"/>
    <w:rsid w:val="00525A58"/>
    <w:rsid w:val="00527F62"/>
    <w:rsid w:val="00530963"/>
    <w:rsid w:val="00530A33"/>
    <w:rsid w:val="00531971"/>
    <w:rsid w:val="00536345"/>
    <w:rsid w:val="005367C1"/>
    <w:rsid w:val="00536F0F"/>
    <w:rsid w:val="005378CF"/>
    <w:rsid w:val="00541825"/>
    <w:rsid w:val="0054313B"/>
    <w:rsid w:val="0054324D"/>
    <w:rsid w:val="00544A5D"/>
    <w:rsid w:val="00547AD7"/>
    <w:rsid w:val="00550495"/>
    <w:rsid w:val="00550B19"/>
    <w:rsid w:val="00550FDD"/>
    <w:rsid w:val="0055115E"/>
    <w:rsid w:val="00552077"/>
    <w:rsid w:val="005525AE"/>
    <w:rsid w:val="00552691"/>
    <w:rsid w:val="00553310"/>
    <w:rsid w:val="00557851"/>
    <w:rsid w:val="00557AEC"/>
    <w:rsid w:val="00557FCB"/>
    <w:rsid w:val="00560FC4"/>
    <w:rsid w:val="0056139C"/>
    <w:rsid w:val="00562189"/>
    <w:rsid w:val="005621BE"/>
    <w:rsid w:val="00562812"/>
    <w:rsid w:val="00564096"/>
    <w:rsid w:val="0056476B"/>
    <w:rsid w:val="0056708B"/>
    <w:rsid w:val="00567A71"/>
    <w:rsid w:val="005731A1"/>
    <w:rsid w:val="00573245"/>
    <w:rsid w:val="005733D1"/>
    <w:rsid w:val="005737D7"/>
    <w:rsid w:val="005748E7"/>
    <w:rsid w:val="0057630C"/>
    <w:rsid w:val="0057734E"/>
    <w:rsid w:val="00584EA2"/>
    <w:rsid w:val="00585BF2"/>
    <w:rsid w:val="005865B8"/>
    <w:rsid w:val="005870B2"/>
    <w:rsid w:val="005874FE"/>
    <w:rsid w:val="00587BDA"/>
    <w:rsid w:val="00590962"/>
    <w:rsid w:val="0059473E"/>
    <w:rsid w:val="00596609"/>
    <w:rsid w:val="00596DC3"/>
    <w:rsid w:val="00597BFB"/>
    <w:rsid w:val="005A04B3"/>
    <w:rsid w:val="005A066F"/>
    <w:rsid w:val="005A22E4"/>
    <w:rsid w:val="005A2DC1"/>
    <w:rsid w:val="005A2DF6"/>
    <w:rsid w:val="005A3E3B"/>
    <w:rsid w:val="005A4BCE"/>
    <w:rsid w:val="005A53D6"/>
    <w:rsid w:val="005A558F"/>
    <w:rsid w:val="005B1DBB"/>
    <w:rsid w:val="005B2906"/>
    <w:rsid w:val="005B338D"/>
    <w:rsid w:val="005B4B05"/>
    <w:rsid w:val="005C0710"/>
    <w:rsid w:val="005C08E9"/>
    <w:rsid w:val="005C254C"/>
    <w:rsid w:val="005C25A0"/>
    <w:rsid w:val="005C2B04"/>
    <w:rsid w:val="005C3401"/>
    <w:rsid w:val="005C566B"/>
    <w:rsid w:val="005C7622"/>
    <w:rsid w:val="005D1D02"/>
    <w:rsid w:val="005D4B3D"/>
    <w:rsid w:val="005D6AC5"/>
    <w:rsid w:val="005D7BD2"/>
    <w:rsid w:val="005E35CB"/>
    <w:rsid w:val="005E4398"/>
    <w:rsid w:val="005E5591"/>
    <w:rsid w:val="005E5653"/>
    <w:rsid w:val="005F1919"/>
    <w:rsid w:val="005F42D5"/>
    <w:rsid w:val="005F5AD2"/>
    <w:rsid w:val="005F5D46"/>
    <w:rsid w:val="005F674A"/>
    <w:rsid w:val="005F783A"/>
    <w:rsid w:val="006004EB"/>
    <w:rsid w:val="006005CA"/>
    <w:rsid w:val="00601A8A"/>
    <w:rsid w:val="00602323"/>
    <w:rsid w:val="00603DCC"/>
    <w:rsid w:val="00607193"/>
    <w:rsid w:val="00607687"/>
    <w:rsid w:val="00611AA3"/>
    <w:rsid w:val="006122DF"/>
    <w:rsid w:val="006125A9"/>
    <w:rsid w:val="00612DDF"/>
    <w:rsid w:val="00613306"/>
    <w:rsid w:val="00614245"/>
    <w:rsid w:val="00615518"/>
    <w:rsid w:val="00615D66"/>
    <w:rsid w:val="00616875"/>
    <w:rsid w:val="006208F8"/>
    <w:rsid w:val="00621156"/>
    <w:rsid w:val="0062248D"/>
    <w:rsid w:val="006228A1"/>
    <w:rsid w:val="00623C25"/>
    <w:rsid w:val="00624B7B"/>
    <w:rsid w:val="00625EE6"/>
    <w:rsid w:val="00626E78"/>
    <w:rsid w:val="00627943"/>
    <w:rsid w:val="00627E1A"/>
    <w:rsid w:val="00631399"/>
    <w:rsid w:val="006315D7"/>
    <w:rsid w:val="0063320F"/>
    <w:rsid w:val="00635B6E"/>
    <w:rsid w:val="00637509"/>
    <w:rsid w:val="006378A7"/>
    <w:rsid w:val="00637BCF"/>
    <w:rsid w:val="006404D3"/>
    <w:rsid w:val="00642651"/>
    <w:rsid w:val="00642693"/>
    <w:rsid w:val="00642F2E"/>
    <w:rsid w:val="00645F91"/>
    <w:rsid w:val="006466BA"/>
    <w:rsid w:val="00647C77"/>
    <w:rsid w:val="00650BD9"/>
    <w:rsid w:val="00651852"/>
    <w:rsid w:val="00651B15"/>
    <w:rsid w:val="00652944"/>
    <w:rsid w:val="00654F6A"/>
    <w:rsid w:val="006562C5"/>
    <w:rsid w:val="00657A99"/>
    <w:rsid w:val="00660BFA"/>
    <w:rsid w:val="00660DA2"/>
    <w:rsid w:val="006652F3"/>
    <w:rsid w:val="006659AB"/>
    <w:rsid w:val="006672F9"/>
    <w:rsid w:val="00667357"/>
    <w:rsid w:val="0067038F"/>
    <w:rsid w:val="006712F9"/>
    <w:rsid w:val="006719F1"/>
    <w:rsid w:val="006738EC"/>
    <w:rsid w:val="0067525C"/>
    <w:rsid w:val="00676992"/>
    <w:rsid w:val="00676D09"/>
    <w:rsid w:val="0067704A"/>
    <w:rsid w:val="006772D2"/>
    <w:rsid w:val="00677775"/>
    <w:rsid w:val="00680CEF"/>
    <w:rsid w:val="0068143C"/>
    <w:rsid w:val="006817E5"/>
    <w:rsid w:val="00681BA5"/>
    <w:rsid w:val="00682E1C"/>
    <w:rsid w:val="006874D0"/>
    <w:rsid w:val="00691E79"/>
    <w:rsid w:val="006933B5"/>
    <w:rsid w:val="00694818"/>
    <w:rsid w:val="006959D3"/>
    <w:rsid w:val="006A0433"/>
    <w:rsid w:val="006A092C"/>
    <w:rsid w:val="006A0F0F"/>
    <w:rsid w:val="006A20A2"/>
    <w:rsid w:val="006B00D5"/>
    <w:rsid w:val="006B1392"/>
    <w:rsid w:val="006B49F1"/>
    <w:rsid w:val="006B4CF6"/>
    <w:rsid w:val="006B5E07"/>
    <w:rsid w:val="006B6153"/>
    <w:rsid w:val="006B7896"/>
    <w:rsid w:val="006B7EEC"/>
    <w:rsid w:val="006C0A08"/>
    <w:rsid w:val="006C0B13"/>
    <w:rsid w:val="006C0BCE"/>
    <w:rsid w:val="006C18F2"/>
    <w:rsid w:val="006C247C"/>
    <w:rsid w:val="006C7F94"/>
    <w:rsid w:val="006D0E76"/>
    <w:rsid w:val="006D0F26"/>
    <w:rsid w:val="006D20D6"/>
    <w:rsid w:val="006D2624"/>
    <w:rsid w:val="006D3388"/>
    <w:rsid w:val="006D6274"/>
    <w:rsid w:val="006D7F2A"/>
    <w:rsid w:val="006E00CA"/>
    <w:rsid w:val="006E0158"/>
    <w:rsid w:val="006E0F8D"/>
    <w:rsid w:val="006E27A2"/>
    <w:rsid w:val="006E301B"/>
    <w:rsid w:val="006E311D"/>
    <w:rsid w:val="006E4FDF"/>
    <w:rsid w:val="006E55DF"/>
    <w:rsid w:val="006E6522"/>
    <w:rsid w:val="006F0D3A"/>
    <w:rsid w:val="006F1B12"/>
    <w:rsid w:val="006F2738"/>
    <w:rsid w:val="006F2B76"/>
    <w:rsid w:val="006F42DC"/>
    <w:rsid w:val="006F62AF"/>
    <w:rsid w:val="007061EC"/>
    <w:rsid w:val="00707972"/>
    <w:rsid w:val="00713167"/>
    <w:rsid w:val="00713270"/>
    <w:rsid w:val="00714093"/>
    <w:rsid w:val="0071791A"/>
    <w:rsid w:val="0072183D"/>
    <w:rsid w:val="00722D87"/>
    <w:rsid w:val="00722EB4"/>
    <w:rsid w:val="00725495"/>
    <w:rsid w:val="00725B7C"/>
    <w:rsid w:val="00727BC4"/>
    <w:rsid w:val="00730E70"/>
    <w:rsid w:val="00731D98"/>
    <w:rsid w:val="00732CCF"/>
    <w:rsid w:val="00733263"/>
    <w:rsid w:val="0073497F"/>
    <w:rsid w:val="00734D28"/>
    <w:rsid w:val="007360BF"/>
    <w:rsid w:val="00736908"/>
    <w:rsid w:val="00740478"/>
    <w:rsid w:val="00740591"/>
    <w:rsid w:val="0074155B"/>
    <w:rsid w:val="0074183E"/>
    <w:rsid w:val="00741B84"/>
    <w:rsid w:val="00742419"/>
    <w:rsid w:val="007438D4"/>
    <w:rsid w:val="00744EA3"/>
    <w:rsid w:val="00745EDA"/>
    <w:rsid w:val="007506FB"/>
    <w:rsid w:val="00750767"/>
    <w:rsid w:val="00752421"/>
    <w:rsid w:val="007550EC"/>
    <w:rsid w:val="00765568"/>
    <w:rsid w:val="00766E3E"/>
    <w:rsid w:val="007670FC"/>
    <w:rsid w:val="00770C1F"/>
    <w:rsid w:val="0077493B"/>
    <w:rsid w:val="00774BCA"/>
    <w:rsid w:val="00775B81"/>
    <w:rsid w:val="00776EE9"/>
    <w:rsid w:val="007800A6"/>
    <w:rsid w:val="00780DD2"/>
    <w:rsid w:val="0078103E"/>
    <w:rsid w:val="0078177B"/>
    <w:rsid w:val="0078231A"/>
    <w:rsid w:val="007824BE"/>
    <w:rsid w:val="007838CE"/>
    <w:rsid w:val="00784404"/>
    <w:rsid w:val="007909A2"/>
    <w:rsid w:val="00792D43"/>
    <w:rsid w:val="007950E3"/>
    <w:rsid w:val="007969A7"/>
    <w:rsid w:val="00796AA4"/>
    <w:rsid w:val="00797C30"/>
    <w:rsid w:val="007A0510"/>
    <w:rsid w:val="007A0EE0"/>
    <w:rsid w:val="007A1619"/>
    <w:rsid w:val="007A2FFD"/>
    <w:rsid w:val="007A4A73"/>
    <w:rsid w:val="007A5A7A"/>
    <w:rsid w:val="007A6050"/>
    <w:rsid w:val="007A69EE"/>
    <w:rsid w:val="007A721A"/>
    <w:rsid w:val="007A794A"/>
    <w:rsid w:val="007B1AEC"/>
    <w:rsid w:val="007B1BEF"/>
    <w:rsid w:val="007B3724"/>
    <w:rsid w:val="007B3A96"/>
    <w:rsid w:val="007B4685"/>
    <w:rsid w:val="007B5A6D"/>
    <w:rsid w:val="007B5BBD"/>
    <w:rsid w:val="007B6B93"/>
    <w:rsid w:val="007B6F05"/>
    <w:rsid w:val="007B70D1"/>
    <w:rsid w:val="007B70F8"/>
    <w:rsid w:val="007C28B1"/>
    <w:rsid w:val="007C483E"/>
    <w:rsid w:val="007C4CF9"/>
    <w:rsid w:val="007C5012"/>
    <w:rsid w:val="007C55B9"/>
    <w:rsid w:val="007C58AF"/>
    <w:rsid w:val="007C6D13"/>
    <w:rsid w:val="007C7F91"/>
    <w:rsid w:val="007D16C0"/>
    <w:rsid w:val="007D1F0E"/>
    <w:rsid w:val="007D29F7"/>
    <w:rsid w:val="007D2B14"/>
    <w:rsid w:val="007D4161"/>
    <w:rsid w:val="007D4436"/>
    <w:rsid w:val="007D459B"/>
    <w:rsid w:val="007D4846"/>
    <w:rsid w:val="007E04BC"/>
    <w:rsid w:val="007E08DF"/>
    <w:rsid w:val="007E148D"/>
    <w:rsid w:val="007E22C7"/>
    <w:rsid w:val="007E31A2"/>
    <w:rsid w:val="007E5D79"/>
    <w:rsid w:val="007F0B5C"/>
    <w:rsid w:val="007F211A"/>
    <w:rsid w:val="007F6D60"/>
    <w:rsid w:val="007F7532"/>
    <w:rsid w:val="00800B7C"/>
    <w:rsid w:val="0080159A"/>
    <w:rsid w:val="00802107"/>
    <w:rsid w:val="00803BA0"/>
    <w:rsid w:val="00804C78"/>
    <w:rsid w:val="00805FEE"/>
    <w:rsid w:val="00807972"/>
    <w:rsid w:val="00807A1B"/>
    <w:rsid w:val="00807F4C"/>
    <w:rsid w:val="00810DA4"/>
    <w:rsid w:val="00811615"/>
    <w:rsid w:val="00812148"/>
    <w:rsid w:val="00813D6B"/>
    <w:rsid w:val="00813FBA"/>
    <w:rsid w:val="00815348"/>
    <w:rsid w:val="00815BBD"/>
    <w:rsid w:val="008206FE"/>
    <w:rsid w:val="00823D29"/>
    <w:rsid w:val="00823D68"/>
    <w:rsid w:val="00823FF4"/>
    <w:rsid w:val="00824F49"/>
    <w:rsid w:val="00825FD4"/>
    <w:rsid w:val="008261F1"/>
    <w:rsid w:val="00827A7A"/>
    <w:rsid w:val="00830C53"/>
    <w:rsid w:val="00831DF1"/>
    <w:rsid w:val="00832C15"/>
    <w:rsid w:val="00833295"/>
    <w:rsid w:val="00835473"/>
    <w:rsid w:val="00835B01"/>
    <w:rsid w:val="0084094A"/>
    <w:rsid w:val="00842CD8"/>
    <w:rsid w:val="00843AE7"/>
    <w:rsid w:val="008469E2"/>
    <w:rsid w:val="008478C8"/>
    <w:rsid w:val="00850C9D"/>
    <w:rsid w:val="00857272"/>
    <w:rsid w:val="00857667"/>
    <w:rsid w:val="008602D5"/>
    <w:rsid w:val="008617A3"/>
    <w:rsid w:val="00862FC7"/>
    <w:rsid w:val="00863A21"/>
    <w:rsid w:val="0086434F"/>
    <w:rsid w:val="00864A63"/>
    <w:rsid w:val="00866F9D"/>
    <w:rsid w:val="00867349"/>
    <w:rsid w:val="00871465"/>
    <w:rsid w:val="00871CED"/>
    <w:rsid w:val="0087221C"/>
    <w:rsid w:val="00872F59"/>
    <w:rsid w:val="00872F7A"/>
    <w:rsid w:val="0087404B"/>
    <w:rsid w:val="00874399"/>
    <w:rsid w:val="00876F4B"/>
    <w:rsid w:val="008772F2"/>
    <w:rsid w:val="00880E3B"/>
    <w:rsid w:val="00882882"/>
    <w:rsid w:val="00883F65"/>
    <w:rsid w:val="00884FAA"/>
    <w:rsid w:val="008861A9"/>
    <w:rsid w:val="00886DC6"/>
    <w:rsid w:val="00887368"/>
    <w:rsid w:val="00890289"/>
    <w:rsid w:val="0089091E"/>
    <w:rsid w:val="00891EEF"/>
    <w:rsid w:val="00893B79"/>
    <w:rsid w:val="00894089"/>
    <w:rsid w:val="008A2784"/>
    <w:rsid w:val="008A3D5E"/>
    <w:rsid w:val="008A3EB2"/>
    <w:rsid w:val="008A479C"/>
    <w:rsid w:val="008A6633"/>
    <w:rsid w:val="008A70F4"/>
    <w:rsid w:val="008B0A6D"/>
    <w:rsid w:val="008B2B68"/>
    <w:rsid w:val="008B3407"/>
    <w:rsid w:val="008B3B55"/>
    <w:rsid w:val="008B4438"/>
    <w:rsid w:val="008B47F0"/>
    <w:rsid w:val="008B5078"/>
    <w:rsid w:val="008B6A50"/>
    <w:rsid w:val="008B6B08"/>
    <w:rsid w:val="008B727E"/>
    <w:rsid w:val="008B77B7"/>
    <w:rsid w:val="008C16F6"/>
    <w:rsid w:val="008C2887"/>
    <w:rsid w:val="008C7016"/>
    <w:rsid w:val="008C7537"/>
    <w:rsid w:val="008D1E81"/>
    <w:rsid w:val="008D3397"/>
    <w:rsid w:val="008D6B67"/>
    <w:rsid w:val="008D77A1"/>
    <w:rsid w:val="008E1C2A"/>
    <w:rsid w:val="008E3E68"/>
    <w:rsid w:val="008E5329"/>
    <w:rsid w:val="008E66C1"/>
    <w:rsid w:val="008E7C30"/>
    <w:rsid w:val="008F054E"/>
    <w:rsid w:val="008F26A5"/>
    <w:rsid w:val="008F282A"/>
    <w:rsid w:val="008F3B8B"/>
    <w:rsid w:val="008F534F"/>
    <w:rsid w:val="008F6844"/>
    <w:rsid w:val="008F687D"/>
    <w:rsid w:val="008F7547"/>
    <w:rsid w:val="00901904"/>
    <w:rsid w:val="00902500"/>
    <w:rsid w:val="00902D28"/>
    <w:rsid w:val="009041D9"/>
    <w:rsid w:val="00906A9A"/>
    <w:rsid w:val="00906F59"/>
    <w:rsid w:val="009109CA"/>
    <w:rsid w:val="00911195"/>
    <w:rsid w:val="00911EA9"/>
    <w:rsid w:val="009137CD"/>
    <w:rsid w:val="00914AE2"/>
    <w:rsid w:val="00915AAF"/>
    <w:rsid w:val="00917925"/>
    <w:rsid w:val="009219E6"/>
    <w:rsid w:val="0092380B"/>
    <w:rsid w:val="00925455"/>
    <w:rsid w:val="0092797D"/>
    <w:rsid w:val="00927F0A"/>
    <w:rsid w:val="00931519"/>
    <w:rsid w:val="00931889"/>
    <w:rsid w:val="00932E75"/>
    <w:rsid w:val="009337E1"/>
    <w:rsid w:val="0093552B"/>
    <w:rsid w:val="00935849"/>
    <w:rsid w:val="00937435"/>
    <w:rsid w:val="00937DCF"/>
    <w:rsid w:val="0094565C"/>
    <w:rsid w:val="009468D7"/>
    <w:rsid w:val="00946EFD"/>
    <w:rsid w:val="00950823"/>
    <w:rsid w:val="00950F0F"/>
    <w:rsid w:val="009518F2"/>
    <w:rsid w:val="0095257C"/>
    <w:rsid w:val="00952CCE"/>
    <w:rsid w:val="009554C1"/>
    <w:rsid w:val="009560B3"/>
    <w:rsid w:val="009563A9"/>
    <w:rsid w:val="009575C4"/>
    <w:rsid w:val="0096133B"/>
    <w:rsid w:val="00963BA7"/>
    <w:rsid w:val="0096680E"/>
    <w:rsid w:val="00966AEA"/>
    <w:rsid w:val="00967EB0"/>
    <w:rsid w:val="00970F55"/>
    <w:rsid w:val="009725CE"/>
    <w:rsid w:val="00973A1D"/>
    <w:rsid w:val="00976D92"/>
    <w:rsid w:val="009804DC"/>
    <w:rsid w:val="00981BF3"/>
    <w:rsid w:val="00982812"/>
    <w:rsid w:val="00983300"/>
    <w:rsid w:val="009834C6"/>
    <w:rsid w:val="00984D06"/>
    <w:rsid w:val="00985375"/>
    <w:rsid w:val="0098699F"/>
    <w:rsid w:val="00987925"/>
    <w:rsid w:val="00992836"/>
    <w:rsid w:val="009937AF"/>
    <w:rsid w:val="00994286"/>
    <w:rsid w:val="009945AF"/>
    <w:rsid w:val="00996EDD"/>
    <w:rsid w:val="009976B3"/>
    <w:rsid w:val="009A03E0"/>
    <w:rsid w:val="009A1094"/>
    <w:rsid w:val="009A1924"/>
    <w:rsid w:val="009A4150"/>
    <w:rsid w:val="009A4CC9"/>
    <w:rsid w:val="009A5751"/>
    <w:rsid w:val="009A5E2D"/>
    <w:rsid w:val="009B4B40"/>
    <w:rsid w:val="009B5B17"/>
    <w:rsid w:val="009B70CF"/>
    <w:rsid w:val="009B75BD"/>
    <w:rsid w:val="009C083D"/>
    <w:rsid w:val="009C08E8"/>
    <w:rsid w:val="009C16BB"/>
    <w:rsid w:val="009C203A"/>
    <w:rsid w:val="009C206A"/>
    <w:rsid w:val="009C2CF3"/>
    <w:rsid w:val="009C4A1C"/>
    <w:rsid w:val="009C4C24"/>
    <w:rsid w:val="009C589B"/>
    <w:rsid w:val="009C5BFC"/>
    <w:rsid w:val="009C733A"/>
    <w:rsid w:val="009D0096"/>
    <w:rsid w:val="009D107D"/>
    <w:rsid w:val="009D3AC9"/>
    <w:rsid w:val="009D3B21"/>
    <w:rsid w:val="009D3D65"/>
    <w:rsid w:val="009D457B"/>
    <w:rsid w:val="009D54DD"/>
    <w:rsid w:val="009E06DB"/>
    <w:rsid w:val="009E0BDC"/>
    <w:rsid w:val="009E1DC4"/>
    <w:rsid w:val="009E1DFA"/>
    <w:rsid w:val="009E2088"/>
    <w:rsid w:val="009E39CE"/>
    <w:rsid w:val="009E766E"/>
    <w:rsid w:val="009F0076"/>
    <w:rsid w:val="009F0F8C"/>
    <w:rsid w:val="009F143D"/>
    <w:rsid w:val="009F211B"/>
    <w:rsid w:val="009F50A5"/>
    <w:rsid w:val="009F5AC0"/>
    <w:rsid w:val="009F719E"/>
    <w:rsid w:val="00A0312C"/>
    <w:rsid w:val="00A031D5"/>
    <w:rsid w:val="00A033F9"/>
    <w:rsid w:val="00A03E9E"/>
    <w:rsid w:val="00A063A0"/>
    <w:rsid w:val="00A072F4"/>
    <w:rsid w:val="00A108F2"/>
    <w:rsid w:val="00A11BB0"/>
    <w:rsid w:val="00A11C45"/>
    <w:rsid w:val="00A12115"/>
    <w:rsid w:val="00A14A7A"/>
    <w:rsid w:val="00A15FD9"/>
    <w:rsid w:val="00A2037E"/>
    <w:rsid w:val="00A20B90"/>
    <w:rsid w:val="00A20BB9"/>
    <w:rsid w:val="00A210A0"/>
    <w:rsid w:val="00A210D8"/>
    <w:rsid w:val="00A2113E"/>
    <w:rsid w:val="00A227F0"/>
    <w:rsid w:val="00A228DC"/>
    <w:rsid w:val="00A23285"/>
    <w:rsid w:val="00A238A8"/>
    <w:rsid w:val="00A257D3"/>
    <w:rsid w:val="00A25A59"/>
    <w:rsid w:val="00A25D37"/>
    <w:rsid w:val="00A27241"/>
    <w:rsid w:val="00A2759F"/>
    <w:rsid w:val="00A33267"/>
    <w:rsid w:val="00A3327B"/>
    <w:rsid w:val="00A33D39"/>
    <w:rsid w:val="00A34C58"/>
    <w:rsid w:val="00A35DC0"/>
    <w:rsid w:val="00A3678C"/>
    <w:rsid w:val="00A376E6"/>
    <w:rsid w:val="00A40628"/>
    <w:rsid w:val="00A41492"/>
    <w:rsid w:val="00A42132"/>
    <w:rsid w:val="00A4225C"/>
    <w:rsid w:val="00A439D0"/>
    <w:rsid w:val="00A441EA"/>
    <w:rsid w:val="00A46B57"/>
    <w:rsid w:val="00A47FAF"/>
    <w:rsid w:val="00A51441"/>
    <w:rsid w:val="00A53819"/>
    <w:rsid w:val="00A55981"/>
    <w:rsid w:val="00A55FD3"/>
    <w:rsid w:val="00A61BE8"/>
    <w:rsid w:val="00A62C21"/>
    <w:rsid w:val="00A62F55"/>
    <w:rsid w:val="00A6386C"/>
    <w:rsid w:val="00A638B5"/>
    <w:rsid w:val="00A6520F"/>
    <w:rsid w:val="00A66B36"/>
    <w:rsid w:val="00A70657"/>
    <w:rsid w:val="00A70BF9"/>
    <w:rsid w:val="00A714D4"/>
    <w:rsid w:val="00A71816"/>
    <w:rsid w:val="00A720B3"/>
    <w:rsid w:val="00A74BCD"/>
    <w:rsid w:val="00A75FD2"/>
    <w:rsid w:val="00A76BD6"/>
    <w:rsid w:val="00A8236A"/>
    <w:rsid w:val="00A8247C"/>
    <w:rsid w:val="00A8254C"/>
    <w:rsid w:val="00A825BC"/>
    <w:rsid w:val="00A83744"/>
    <w:rsid w:val="00A845B0"/>
    <w:rsid w:val="00A853A3"/>
    <w:rsid w:val="00A863E0"/>
    <w:rsid w:val="00A86682"/>
    <w:rsid w:val="00A9196A"/>
    <w:rsid w:val="00A91BE2"/>
    <w:rsid w:val="00A92EA6"/>
    <w:rsid w:val="00A94231"/>
    <w:rsid w:val="00A9478B"/>
    <w:rsid w:val="00A9617A"/>
    <w:rsid w:val="00AA0268"/>
    <w:rsid w:val="00AA1809"/>
    <w:rsid w:val="00AA1F05"/>
    <w:rsid w:val="00AA309C"/>
    <w:rsid w:val="00AA38D0"/>
    <w:rsid w:val="00AA4899"/>
    <w:rsid w:val="00AA6E64"/>
    <w:rsid w:val="00AB0569"/>
    <w:rsid w:val="00AB09DD"/>
    <w:rsid w:val="00AB23B2"/>
    <w:rsid w:val="00AB4DB4"/>
    <w:rsid w:val="00AB67D6"/>
    <w:rsid w:val="00AB723E"/>
    <w:rsid w:val="00AC0218"/>
    <w:rsid w:val="00AC1F94"/>
    <w:rsid w:val="00AC4C7A"/>
    <w:rsid w:val="00AC5357"/>
    <w:rsid w:val="00AC69AD"/>
    <w:rsid w:val="00AD055C"/>
    <w:rsid w:val="00AD267F"/>
    <w:rsid w:val="00AD2C41"/>
    <w:rsid w:val="00AD4CDF"/>
    <w:rsid w:val="00AD7256"/>
    <w:rsid w:val="00AD7EA3"/>
    <w:rsid w:val="00AE09A7"/>
    <w:rsid w:val="00AE0A60"/>
    <w:rsid w:val="00AE3A4D"/>
    <w:rsid w:val="00AE4F58"/>
    <w:rsid w:val="00AE5C96"/>
    <w:rsid w:val="00AE703D"/>
    <w:rsid w:val="00AF041E"/>
    <w:rsid w:val="00AF22B2"/>
    <w:rsid w:val="00AF355B"/>
    <w:rsid w:val="00AF4843"/>
    <w:rsid w:val="00AF4C28"/>
    <w:rsid w:val="00AF554E"/>
    <w:rsid w:val="00AF5A12"/>
    <w:rsid w:val="00AF73CE"/>
    <w:rsid w:val="00B01620"/>
    <w:rsid w:val="00B02481"/>
    <w:rsid w:val="00B04093"/>
    <w:rsid w:val="00B05852"/>
    <w:rsid w:val="00B13E87"/>
    <w:rsid w:val="00B17760"/>
    <w:rsid w:val="00B2164C"/>
    <w:rsid w:val="00B22D32"/>
    <w:rsid w:val="00B22F05"/>
    <w:rsid w:val="00B23CE2"/>
    <w:rsid w:val="00B24D0E"/>
    <w:rsid w:val="00B25612"/>
    <w:rsid w:val="00B2592F"/>
    <w:rsid w:val="00B26FEF"/>
    <w:rsid w:val="00B303A0"/>
    <w:rsid w:val="00B32124"/>
    <w:rsid w:val="00B32A00"/>
    <w:rsid w:val="00B33991"/>
    <w:rsid w:val="00B33A9F"/>
    <w:rsid w:val="00B36475"/>
    <w:rsid w:val="00B36B16"/>
    <w:rsid w:val="00B40F01"/>
    <w:rsid w:val="00B42BC5"/>
    <w:rsid w:val="00B42F6B"/>
    <w:rsid w:val="00B43BAD"/>
    <w:rsid w:val="00B5159C"/>
    <w:rsid w:val="00B51E09"/>
    <w:rsid w:val="00B5227A"/>
    <w:rsid w:val="00B5274C"/>
    <w:rsid w:val="00B5317B"/>
    <w:rsid w:val="00B5482A"/>
    <w:rsid w:val="00B55592"/>
    <w:rsid w:val="00B57391"/>
    <w:rsid w:val="00B57791"/>
    <w:rsid w:val="00B602B4"/>
    <w:rsid w:val="00B67DA4"/>
    <w:rsid w:val="00B714E3"/>
    <w:rsid w:val="00B742B7"/>
    <w:rsid w:val="00B76F38"/>
    <w:rsid w:val="00B773C4"/>
    <w:rsid w:val="00B775A2"/>
    <w:rsid w:val="00B83692"/>
    <w:rsid w:val="00B83A86"/>
    <w:rsid w:val="00B858EE"/>
    <w:rsid w:val="00B85D54"/>
    <w:rsid w:val="00B902A9"/>
    <w:rsid w:val="00B90A53"/>
    <w:rsid w:val="00B90BE6"/>
    <w:rsid w:val="00B92320"/>
    <w:rsid w:val="00B92B5A"/>
    <w:rsid w:val="00B92BAB"/>
    <w:rsid w:val="00B930DC"/>
    <w:rsid w:val="00B94CD1"/>
    <w:rsid w:val="00BA1C8A"/>
    <w:rsid w:val="00BA1CFA"/>
    <w:rsid w:val="00BA3420"/>
    <w:rsid w:val="00BA5148"/>
    <w:rsid w:val="00BA5B18"/>
    <w:rsid w:val="00BB2A0F"/>
    <w:rsid w:val="00BB4D6D"/>
    <w:rsid w:val="00BC059B"/>
    <w:rsid w:val="00BC1CB9"/>
    <w:rsid w:val="00BC359A"/>
    <w:rsid w:val="00BC3D7B"/>
    <w:rsid w:val="00BC54EE"/>
    <w:rsid w:val="00BC586C"/>
    <w:rsid w:val="00BC5CD5"/>
    <w:rsid w:val="00BC64BE"/>
    <w:rsid w:val="00BD02F2"/>
    <w:rsid w:val="00BD1D5E"/>
    <w:rsid w:val="00BD4274"/>
    <w:rsid w:val="00BD5293"/>
    <w:rsid w:val="00BD6AEA"/>
    <w:rsid w:val="00BD6C2D"/>
    <w:rsid w:val="00BD6D2D"/>
    <w:rsid w:val="00BD7DE3"/>
    <w:rsid w:val="00BE3687"/>
    <w:rsid w:val="00BE4A74"/>
    <w:rsid w:val="00BE5EBE"/>
    <w:rsid w:val="00BF0922"/>
    <w:rsid w:val="00BF1322"/>
    <w:rsid w:val="00BF1CCE"/>
    <w:rsid w:val="00BF2AB3"/>
    <w:rsid w:val="00BF3340"/>
    <w:rsid w:val="00BF47D6"/>
    <w:rsid w:val="00BF4E96"/>
    <w:rsid w:val="00BF4FF6"/>
    <w:rsid w:val="00C0165F"/>
    <w:rsid w:val="00C048BA"/>
    <w:rsid w:val="00C07307"/>
    <w:rsid w:val="00C07342"/>
    <w:rsid w:val="00C07C35"/>
    <w:rsid w:val="00C111A1"/>
    <w:rsid w:val="00C125D1"/>
    <w:rsid w:val="00C125F5"/>
    <w:rsid w:val="00C134FE"/>
    <w:rsid w:val="00C15BF0"/>
    <w:rsid w:val="00C163D1"/>
    <w:rsid w:val="00C17733"/>
    <w:rsid w:val="00C179E6"/>
    <w:rsid w:val="00C2012D"/>
    <w:rsid w:val="00C20A73"/>
    <w:rsid w:val="00C20BAD"/>
    <w:rsid w:val="00C20DCB"/>
    <w:rsid w:val="00C22278"/>
    <w:rsid w:val="00C236A3"/>
    <w:rsid w:val="00C23DB6"/>
    <w:rsid w:val="00C24500"/>
    <w:rsid w:val="00C2533E"/>
    <w:rsid w:val="00C258C7"/>
    <w:rsid w:val="00C279CD"/>
    <w:rsid w:val="00C301E9"/>
    <w:rsid w:val="00C30681"/>
    <w:rsid w:val="00C3238E"/>
    <w:rsid w:val="00C334CA"/>
    <w:rsid w:val="00C34A6C"/>
    <w:rsid w:val="00C35E80"/>
    <w:rsid w:val="00C363E7"/>
    <w:rsid w:val="00C4171E"/>
    <w:rsid w:val="00C4187D"/>
    <w:rsid w:val="00C42327"/>
    <w:rsid w:val="00C423FE"/>
    <w:rsid w:val="00C43060"/>
    <w:rsid w:val="00C43DAC"/>
    <w:rsid w:val="00C50C30"/>
    <w:rsid w:val="00C51EB5"/>
    <w:rsid w:val="00C55EAE"/>
    <w:rsid w:val="00C5763C"/>
    <w:rsid w:val="00C6003D"/>
    <w:rsid w:val="00C61DE6"/>
    <w:rsid w:val="00C6231D"/>
    <w:rsid w:val="00C63BD2"/>
    <w:rsid w:val="00C63D5D"/>
    <w:rsid w:val="00C6508D"/>
    <w:rsid w:val="00C65120"/>
    <w:rsid w:val="00C654A3"/>
    <w:rsid w:val="00C65930"/>
    <w:rsid w:val="00C65A98"/>
    <w:rsid w:val="00C70114"/>
    <w:rsid w:val="00C70F59"/>
    <w:rsid w:val="00C74FA7"/>
    <w:rsid w:val="00C7519F"/>
    <w:rsid w:val="00C77B1D"/>
    <w:rsid w:val="00C8041C"/>
    <w:rsid w:val="00C80A71"/>
    <w:rsid w:val="00C829C1"/>
    <w:rsid w:val="00C829E3"/>
    <w:rsid w:val="00C83AA3"/>
    <w:rsid w:val="00C8516F"/>
    <w:rsid w:val="00C85480"/>
    <w:rsid w:val="00C85772"/>
    <w:rsid w:val="00C862F6"/>
    <w:rsid w:val="00C87470"/>
    <w:rsid w:val="00C879B0"/>
    <w:rsid w:val="00C90CB0"/>
    <w:rsid w:val="00C9128D"/>
    <w:rsid w:val="00C91828"/>
    <w:rsid w:val="00C92DF7"/>
    <w:rsid w:val="00C93D5B"/>
    <w:rsid w:val="00C93EFA"/>
    <w:rsid w:val="00C94BA7"/>
    <w:rsid w:val="00C954EA"/>
    <w:rsid w:val="00C96DF2"/>
    <w:rsid w:val="00C9720D"/>
    <w:rsid w:val="00C97ABD"/>
    <w:rsid w:val="00C97F8B"/>
    <w:rsid w:val="00CA011F"/>
    <w:rsid w:val="00CA3DF6"/>
    <w:rsid w:val="00CA4D76"/>
    <w:rsid w:val="00CA508B"/>
    <w:rsid w:val="00CA5FD0"/>
    <w:rsid w:val="00CA77FB"/>
    <w:rsid w:val="00CA7E99"/>
    <w:rsid w:val="00CA7EB9"/>
    <w:rsid w:val="00CB038D"/>
    <w:rsid w:val="00CB1A5A"/>
    <w:rsid w:val="00CB1EDC"/>
    <w:rsid w:val="00CB30CE"/>
    <w:rsid w:val="00CB68F4"/>
    <w:rsid w:val="00CB7396"/>
    <w:rsid w:val="00CB7D73"/>
    <w:rsid w:val="00CC0B03"/>
    <w:rsid w:val="00CC46AA"/>
    <w:rsid w:val="00CC4A20"/>
    <w:rsid w:val="00CC5665"/>
    <w:rsid w:val="00CC5ECB"/>
    <w:rsid w:val="00CC68BB"/>
    <w:rsid w:val="00CC7B51"/>
    <w:rsid w:val="00CD0D77"/>
    <w:rsid w:val="00CD37F4"/>
    <w:rsid w:val="00CD5B7F"/>
    <w:rsid w:val="00CD71B4"/>
    <w:rsid w:val="00CD79FB"/>
    <w:rsid w:val="00CE0734"/>
    <w:rsid w:val="00CE32AD"/>
    <w:rsid w:val="00CE3C44"/>
    <w:rsid w:val="00CF2AC6"/>
    <w:rsid w:val="00CF3C44"/>
    <w:rsid w:val="00CF57DA"/>
    <w:rsid w:val="00CF5AA9"/>
    <w:rsid w:val="00CF6C5E"/>
    <w:rsid w:val="00CF72AD"/>
    <w:rsid w:val="00CF75EC"/>
    <w:rsid w:val="00D01886"/>
    <w:rsid w:val="00D01F95"/>
    <w:rsid w:val="00D02993"/>
    <w:rsid w:val="00D02CE3"/>
    <w:rsid w:val="00D03627"/>
    <w:rsid w:val="00D040E3"/>
    <w:rsid w:val="00D04267"/>
    <w:rsid w:val="00D05CB2"/>
    <w:rsid w:val="00D10061"/>
    <w:rsid w:val="00D1272F"/>
    <w:rsid w:val="00D139BA"/>
    <w:rsid w:val="00D1419F"/>
    <w:rsid w:val="00D147C7"/>
    <w:rsid w:val="00D16EFF"/>
    <w:rsid w:val="00D17DC9"/>
    <w:rsid w:val="00D2095A"/>
    <w:rsid w:val="00D22454"/>
    <w:rsid w:val="00D24145"/>
    <w:rsid w:val="00D2501F"/>
    <w:rsid w:val="00D26697"/>
    <w:rsid w:val="00D27A20"/>
    <w:rsid w:val="00D31D1A"/>
    <w:rsid w:val="00D3296E"/>
    <w:rsid w:val="00D33787"/>
    <w:rsid w:val="00D33B73"/>
    <w:rsid w:val="00D35EA7"/>
    <w:rsid w:val="00D36E79"/>
    <w:rsid w:val="00D408C2"/>
    <w:rsid w:val="00D40A9C"/>
    <w:rsid w:val="00D413EC"/>
    <w:rsid w:val="00D42BD7"/>
    <w:rsid w:val="00D43CC1"/>
    <w:rsid w:val="00D4421B"/>
    <w:rsid w:val="00D44C4C"/>
    <w:rsid w:val="00D472FC"/>
    <w:rsid w:val="00D50280"/>
    <w:rsid w:val="00D50EC9"/>
    <w:rsid w:val="00D511DD"/>
    <w:rsid w:val="00D52AC5"/>
    <w:rsid w:val="00D5354B"/>
    <w:rsid w:val="00D5355C"/>
    <w:rsid w:val="00D545EC"/>
    <w:rsid w:val="00D61583"/>
    <w:rsid w:val="00D64D7A"/>
    <w:rsid w:val="00D64E6F"/>
    <w:rsid w:val="00D654B6"/>
    <w:rsid w:val="00D6693C"/>
    <w:rsid w:val="00D70F07"/>
    <w:rsid w:val="00D74352"/>
    <w:rsid w:val="00D76FBD"/>
    <w:rsid w:val="00D80ECF"/>
    <w:rsid w:val="00D816F2"/>
    <w:rsid w:val="00D82472"/>
    <w:rsid w:val="00D84DCC"/>
    <w:rsid w:val="00D85D8D"/>
    <w:rsid w:val="00D86D39"/>
    <w:rsid w:val="00D95C84"/>
    <w:rsid w:val="00D96580"/>
    <w:rsid w:val="00D966A1"/>
    <w:rsid w:val="00D96C19"/>
    <w:rsid w:val="00D971BC"/>
    <w:rsid w:val="00D972BD"/>
    <w:rsid w:val="00DA3183"/>
    <w:rsid w:val="00DA4BB3"/>
    <w:rsid w:val="00DA60EE"/>
    <w:rsid w:val="00DA7592"/>
    <w:rsid w:val="00DA7A7A"/>
    <w:rsid w:val="00DB04A8"/>
    <w:rsid w:val="00DB0851"/>
    <w:rsid w:val="00DB18BB"/>
    <w:rsid w:val="00DB1D65"/>
    <w:rsid w:val="00DB2558"/>
    <w:rsid w:val="00DB2745"/>
    <w:rsid w:val="00DB2762"/>
    <w:rsid w:val="00DB410A"/>
    <w:rsid w:val="00DC23A4"/>
    <w:rsid w:val="00DC3A9E"/>
    <w:rsid w:val="00DC4DE8"/>
    <w:rsid w:val="00DC6786"/>
    <w:rsid w:val="00DC752F"/>
    <w:rsid w:val="00DD0368"/>
    <w:rsid w:val="00DD256F"/>
    <w:rsid w:val="00DD4115"/>
    <w:rsid w:val="00DD586F"/>
    <w:rsid w:val="00DD66AF"/>
    <w:rsid w:val="00DD74F5"/>
    <w:rsid w:val="00DE2F92"/>
    <w:rsid w:val="00DE3EE9"/>
    <w:rsid w:val="00DE3F6F"/>
    <w:rsid w:val="00DE50BF"/>
    <w:rsid w:val="00DE5B81"/>
    <w:rsid w:val="00DE62C9"/>
    <w:rsid w:val="00DE6591"/>
    <w:rsid w:val="00DE6649"/>
    <w:rsid w:val="00DE79BA"/>
    <w:rsid w:val="00DF019D"/>
    <w:rsid w:val="00DF0AE7"/>
    <w:rsid w:val="00DF271C"/>
    <w:rsid w:val="00DF2791"/>
    <w:rsid w:val="00DF2B3B"/>
    <w:rsid w:val="00DF35B5"/>
    <w:rsid w:val="00DF4E6E"/>
    <w:rsid w:val="00DF583C"/>
    <w:rsid w:val="00DF5D08"/>
    <w:rsid w:val="00DF6660"/>
    <w:rsid w:val="00E01461"/>
    <w:rsid w:val="00E02F4C"/>
    <w:rsid w:val="00E03265"/>
    <w:rsid w:val="00E047AF"/>
    <w:rsid w:val="00E0518A"/>
    <w:rsid w:val="00E05CC2"/>
    <w:rsid w:val="00E07227"/>
    <w:rsid w:val="00E07604"/>
    <w:rsid w:val="00E10AD3"/>
    <w:rsid w:val="00E121A1"/>
    <w:rsid w:val="00E13AAC"/>
    <w:rsid w:val="00E16BC1"/>
    <w:rsid w:val="00E17F53"/>
    <w:rsid w:val="00E20355"/>
    <w:rsid w:val="00E243D5"/>
    <w:rsid w:val="00E254BE"/>
    <w:rsid w:val="00E30886"/>
    <w:rsid w:val="00E325ED"/>
    <w:rsid w:val="00E34A4A"/>
    <w:rsid w:val="00E35549"/>
    <w:rsid w:val="00E3638B"/>
    <w:rsid w:val="00E37373"/>
    <w:rsid w:val="00E40A34"/>
    <w:rsid w:val="00E43CE9"/>
    <w:rsid w:val="00E449AA"/>
    <w:rsid w:val="00E44EE9"/>
    <w:rsid w:val="00E50A0E"/>
    <w:rsid w:val="00E50FD6"/>
    <w:rsid w:val="00E512FB"/>
    <w:rsid w:val="00E513E5"/>
    <w:rsid w:val="00E5158E"/>
    <w:rsid w:val="00E53DDA"/>
    <w:rsid w:val="00E54C42"/>
    <w:rsid w:val="00E5776B"/>
    <w:rsid w:val="00E57B2E"/>
    <w:rsid w:val="00E60CF7"/>
    <w:rsid w:val="00E64F8C"/>
    <w:rsid w:val="00E67342"/>
    <w:rsid w:val="00E67CE1"/>
    <w:rsid w:val="00E70D3E"/>
    <w:rsid w:val="00E70E1A"/>
    <w:rsid w:val="00E7106F"/>
    <w:rsid w:val="00E74067"/>
    <w:rsid w:val="00E744CC"/>
    <w:rsid w:val="00E754BC"/>
    <w:rsid w:val="00E75890"/>
    <w:rsid w:val="00E75C89"/>
    <w:rsid w:val="00E77038"/>
    <w:rsid w:val="00E77878"/>
    <w:rsid w:val="00E77BFA"/>
    <w:rsid w:val="00E8053D"/>
    <w:rsid w:val="00E8072F"/>
    <w:rsid w:val="00E80D20"/>
    <w:rsid w:val="00E81E66"/>
    <w:rsid w:val="00E81FC9"/>
    <w:rsid w:val="00E836B2"/>
    <w:rsid w:val="00E83736"/>
    <w:rsid w:val="00E84B4C"/>
    <w:rsid w:val="00E859E0"/>
    <w:rsid w:val="00E879D4"/>
    <w:rsid w:val="00E906D3"/>
    <w:rsid w:val="00E91107"/>
    <w:rsid w:val="00E914E9"/>
    <w:rsid w:val="00E91DEC"/>
    <w:rsid w:val="00E92BC1"/>
    <w:rsid w:val="00E9410A"/>
    <w:rsid w:val="00E95C74"/>
    <w:rsid w:val="00E96351"/>
    <w:rsid w:val="00E9658E"/>
    <w:rsid w:val="00E96852"/>
    <w:rsid w:val="00E97D9B"/>
    <w:rsid w:val="00EA0135"/>
    <w:rsid w:val="00EA2624"/>
    <w:rsid w:val="00EA32E5"/>
    <w:rsid w:val="00EA3F9B"/>
    <w:rsid w:val="00EA5CF2"/>
    <w:rsid w:val="00EA6C4C"/>
    <w:rsid w:val="00EA7171"/>
    <w:rsid w:val="00EB3A7D"/>
    <w:rsid w:val="00EB63FE"/>
    <w:rsid w:val="00EB664C"/>
    <w:rsid w:val="00EC0376"/>
    <w:rsid w:val="00EC08B3"/>
    <w:rsid w:val="00EC0B79"/>
    <w:rsid w:val="00EC243C"/>
    <w:rsid w:val="00EC25D8"/>
    <w:rsid w:val="00EC2DF2"/>
    <w:rsid w:val="00EC468C"/>
    <w:rsid w:val="00EC6474"/>
    <w:rsid w:val="00EC7005"/>
    <w:rsid w:val="00ED2874"/>
    <w:rsid w:val="00ED5FED"/>
    <w:rsid w:val="00ED74A5"/>
    <w:rsid w:val="00ED7511"/>
    <w:rsid w:val="00ED7E9B"/>
    <w:rsid w:val="00EE00C1"/>
    <w:rsid w:val="00EE598A"/>
    <w:rsid w:val="00EF00D2"/>
    <w:rsid w:val="00EF11D4"/>
    <w:rsid w:val="00EF32FA"/>
    <w:rsid w:val="00EF390C"/>
    <w:rsid w:val="00EF6FB7"/>
    <w:rsid w:val="00F008B6"/>
    <w:rsid w:val="00F01DE0"/>
    <w:rsid w:val="00F021FC"/>
    <w:rsid w:val="00F03EA9"/>
    <w:rsid w:val="00F04227"/>
    <w:rsid w:val="00F0422A"/>
    <w:rsid w:val="00F04AF2"/>
    <w:rsid w:val="00F04FD6"/>
    <w:rsid w:val="00F05928"/>
    <w:rsid w:val="00F05AE4"/>
    <w:rsid w:val="00F06F97"/>
    <w:rsid w:val="00F10D66"/>
    <w:rsid w:val="00F13D61"/>
    <w:rsid w:val="00F14A98"/>
    <w:rsid w:val="00F14C5F"/>
    <w:rsid w:val="00F15341"/>
    <w:rsid w:val="00F1783D"/>
    <w:rsid w:val="00F20999"/>
    <w:rsid w:val="00F2319B"/>
    <w:rsid w:val="00F2356E"/>
    <w:rsid w:val="00F308F0"/>
    <w:rsid w:val="00F320D2"/>
    <w:rsid w:val="00F338F6"/>
    <w:rsid w:val="00F354A0"/>
    <w:rsid w:val="00F37149"/>
    <w:rsid w:val="00F4077C"/>
    <w:rsid w:val="00F41A39"/>
    <w:rsid w:val="00F42540"/>
    <w:rsid w:val="00F42D78"/>
    <w:rsid w:val="00F440A3"/>
    <w:rsid w:val="00F459E9"/>
    <w:rsid w:val="00F45C32"/>
    <w:rsid w:val="00F4637F"/>
    <w:rsid w:val="00F4657F"/>
    <w:rsid w:val="00F46726"/>
    <w:rsid w:val="00F47A0F"/>
    <w:rsid w:val="00F47C5F"/>
    <w:rsid w:val="00F47FA5"/>
    <w:rsid w:val="00F508C1"/>
    <w:rsid w:val="00F517E2"/>
    <w:rsid w:val="00F53DDB"/>
    <w:rsid w:val="00F543C0"/>
    <w:rsid w:val="00F54AF1"/>
    <w:rsid w:val="00F57397"/>
    <w:rsid w:val="00F61DD7"/>
    <w:rsid w:val="00F61E80"/>
    <w:rsid w:val="00F6215D"/>
    <w:rsid w:val="00F63641"/>
    <w:rsid w:val="00F65A93"/>
    <w:rsid w:val="00F71081"/>
    <w:rsid w:val="00F7139B"/>
    <w:rsid w:val="00F722D9"/>
    <w:rsid w:val="00F72D32"/>
    <w:rsid w:val="00F74218"/>
    <w:rsid w:val="00F74F5C"/>
    <w:rsid w:val="00F761B1"/>
    <w:rsid w:val="00F7691F"/>
    <w:rsid w:val="00F838EB"/>
    <w:rsid w:val="00F839C5"/>
    <w:rsid w:val="00F83A6A"/>
    <w:rsid w:val="00F83ECC"/>
    <w:rsid w:val="00F84AFF"/>
    <w:rsid w:val="00F852BD"/>
    <w:rsid w:val="00F86526"/>
    <w:rsid w:val="00F87073"/>
    <w:rsid w:val="00F874A9"/>
    <w:rsid w:val="00F91A45"/>
    <w:rsid w:val="00F922F5"/>
    <w:rsid w:val="00F92896"/>
    <w:rsid w:val="00F9323A"/>
    <w:rsid w:val="00F95F51"/>
    <w:rsid w:val="00F9630B"/>
    <w:rsid w:val="00F96C0E"/>
    <w:rsid w:val="00FA04FF"/>
    <w:rsid w:val="00FA106C"/>
    <w:rsid w:val="00FA2344"/>
    <w:rsid w:val="00FA3AC9"/>
    <w:rsid w:val="00FA498E"/>
    <w:rsid w:val="00FA4E85"/>
    <w:rsid w:val="00FA4F2D"/>
    <w:rsid w:val="00FA71E5"/>
    <w:rsid w:val="00FB06E0"/>
    <w:rsid w:val="00FB2FD5"/>
    <w:rsid w:val="00FB4EF8"/>
    <w:rsid w:val="00FB65F9"/>
    <w:rsid w:val="00FB7145"/>
    <w:rsid w:val="00FC067A"/>
    <w:rsid w:val="00FC099C"/>
    <w:rsid w:val="00FC3A49"/>
    <w:rsid w:val="00FC4390"/>
    <w:rsid w:val="00FC55FA"/>
    <w:rsid w:val="00FC7193"/>
    <w:rsid w:val="00FC7375"/>
    <w:rsid w:val="00FC7F41"/>
    <w:rsid w:val="00FD04AD"/>
    <w:rsid w:val="00FD185A"/>
    <w:rsid w:val="00FD3562"/>
    <w:rsid w:val="00FD3F5B"/>
    <w:rsid w:val="00FD4426"/>
    <w:rsid w:val="00FE0223"/>
    <w:rsid w:val="00FE0EF1"/>
    <w:rsid w:val="00FE271F"/>
    <w:rsid w:val="00FE2B13"/>
    <w:rsid w:val="00FE5D19"/>
    <w:rsid w:val="00FE7F05"/>
    <w:rsid w:val="00FF022D"/>
    <w:rsid w:val="00FF03F3"/>
    <w:rsid w:val="00FF1AAB"/>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2CA1"/>
  <w15:docId w15:val="{ABBD8202-9629-4B47-8738-86FCC706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AAB"/>
    <w:pPr>
      <w:widowControl w:val="0"/>
      <w:jc w:val="both"/>
    </w:pPr>
    <w:rPr>
      <w:kern w:val="2"/>
      <w:sz w:val="21"/>
      <w:szCs w:val="22"/>
    </w:rPr>
  </w:style>
  <w:style w:type="paragraph" w:styleId="10">
    <w:name w:val="heading 1"/>
    <w:basedOn w:val="a"/>
    <w:next w:val="a"/>
    <w:link w:val="11"/>
    <w:uiPriority w:val="99"/>
    <w:qFormat/>
    <w:rsid w:val="003A2A8F"/>
    <w:pPr>
      <w:keepNext/>
      <w:keepLines/>
      <w:spacing w:before="340" w:after="330" w:line="578" w:lineRule="auto"/>
      <w:jc w:val="center"/>
      <w:outlineLvl w:val="0"/>
    </w:pPr>
    <w:rPr>
      <w:rFonts w:eastAsia="黑体"/>
      <w:b/>
      <w:bCs/>
      <w:kern w:val="44"/>
      <w:sz w:val="28"/>
      <w:szCs w:val="44"/>
    </w:rPr>
  </w:style>
  <w:style w:type="paragraph" w:styleId="20">
    <w:name w:val="heading 2"/>
    <w:aliases w:val="标题 2 Char Char Char"/>
    <w:basedOn w:val="a"/>
    <w:next w:val="a"/>
    <w:link w:val="21"/>
    <w:qFormat/>
    <w:rsid w:val="001F1F2B"/>
    <w:pPr>
      <w:keepNext/>
      <w:keepLines/>
      <w:spacing w:before="60" w:after="60"/>
      <w:outlineLvl w:val="1"/>
    </w:pPr>
    <w:rPr>
      <w:rFonts w:ascii="Arial" w:hAnsi="Arial"/>
      <w:b/>
      <w:bCs/>
      <w:szCs w:val="21"/>
    </w:rPr>
  </w:style>
  <w:style w:type="paragraph" w:styleId="30">
    <w:name w:val="heading 3"/>
    <w:basedOn w:val="a"/>
    <w:next w:val="a"/>
    <w:link w:val="31"/>
    <w:uiPriority w:val="9"/>
    <w:qFormat/>
    <w:rsid w:val="00C279CD"/>
    <w:pPr>
      <w:keepNext/>
      <w:keepLines/>
      <w:spacing w:before="120" w:after="120"/>
      <w:outlineLvl w:val="2"/>
    </w:pPr>
    <w:rPr>
      <w:b/>
      <w:bCs/>
      <w:szCs w:val="32"/>
    </w:rPr>
  </w:style>
  <w:style w:type="paragraph" w:styleId="40">
    <w:name w:val="heading 4"/>
    <w:basedOn w:val="a"/>
    <w:next w:val="a"/>
    <w:link w:val="41"/>
    <w:uiPriority w:val="9"/>
    <w:qFormat/>
    <w:rsid w:val="00DD256F"/>
    <w:pPr>
      <w:keepNext/>
      <w:keepLines/>
      <w:spacing w:before="280" w:after="290" w:line="376" w:lineRule="auto"/>
      <w:outlineLvl w:val="3"/>
    </w:pPr>
    <w:rPr>
      <w:rFonts w:ascii="Cambria" w:hAnsi="Cambria"/>
      <w:b/>
      <w:bCs/>
      <w:szCs w:val="28"/>
    </w:rPr>
  </w:style>
  <w:style w:type="paragraph" w:styleId="50">
    <w:name w:val="heading 5"/>
    <w:basedOn w:val="a"/>
    <w:next w:val="a"/>
    <w:link w:val="51"/>
    <w:uiPriority w:val="9"/>
    <w:qFormat/>
    <w:rsid w:val="00DD256F"/>
    <w:pPr>
      <w:keepNext/>
      <w:keepLines/>
      <w:spacing w:before="280" w:after="290" w:line="376" w:lineRule="auto"/>
      <w:outlineLvl w:val="4"/>
    </w:pPr>
    <w:rPr>
      <w:b/>
      <w:bCs/>
      <w:szCs w:val="28"/>
    </w:rPr>
  </w:style>
  <w:style w:type="paragraph" w:styleId="60">
    <w:name w:val="heading 6"/>
    <w:basedOn w:val="a"/>
    <w:next w:val="a"/>
    <w:link w:val="61"/>
    <w:uiPriority w:val="9"/>
    <w:unhideWhenUsed/>
    <w:qFormat/>
    <w:rsid w:val="00337056"/>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3A2A8F"/>
    <w:rPr>
      <w:rFonts w:eastAsia="黑体"/>
      <w:b/>
      <w:bCs/>
      <w:kern w:val="44"/>
      <w:sz w:val="28"/>
      <w:szCs w:val="44"/>
    </w:rPr>
  </w:style>
  <w:style w:type="character" w:customStyle="1" w:styleId="21">
    <w:name w:val="标题 2 字符"/>
    <w:aliases w:val="标题 2 Char Char Char 字符"/>
    <w:basedOn w:val="a0"/>
    <w:link w:val="20"/>
    <w:rsid w:val="003A2A8F"/>
    <w:rPr>
      <w:rFonts w:ascii="Arial" w:hAnsi="Arial"/>
      <w:bCs/>
      <w:kern w:val="2"/>
      <w:sz w:val="21"/>
      <w:szCs w:val="21"/>
    </w:rPr>
  </w:style>
  <w:style w:type="character" w:customStyle="1" w:styleId="31">
    <w:name w:val="标题 3 字符"/>
    <w:basedOn w:val="a0"/>
    <w:link w:val="30"/>
    <w:uiPriority w:val="9"/>
    <w:rsid w:val="00C279CD"/>
    <w:rPr>
      <w:b/>
      <w:bCs/>
      <w:kern w:val="2"/>
      <w:sz w:val="21"/>
      <w:szCs w:val="32"/>
    </w:rPr>
  </w:style>
  <w:style w:type="character" w:customStyle="1" w:styleId="41">
    <w:name w:val="标题 4 字符"/>
    <w:basedOn w:val="a0"/>
    <w:link w:val="40"/>
    <w:uiPriority w:val="9"/>
    <w:rsid w:val="00DD256F"/>
    <w:rPr>
      <w:rFonts w:ascii="Cambria" w:eastAsia="宋体" w:hAnsi="Cambria" w:cs="Times New Roman"/>
      <w:b/>
      <w:bCs/>
      <w:szCs w:val="28"/>
    </w:rPr>
  </w:style>
  <w:style w:type="character" w:customStyle="1" w:styleId="51">
    <w:name w:val="标题 5 字符"/>
    <w:basedOn w:val="a0"/>
    <w:link w:val="50"/>
    <w:uiPriority w:val="9"/>
    <w:rsid w:val="00DD256F"/>
    <w:rPr>
      <w:rFonts w:ascii="Calibri" w:eastAsia="宋体" w:hAnsi="Calibri" w:cs="Times New Roman"/>
      <w:b/>
      <w:bCs/>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TOC1">
    <w:name w:val="toc 1"/>
    <w:basedOn w:val="a"/>
    <w:next w:val="a"/>
    <w:autoRedefine/>
    <w:uiPriority w:val="39"/>
    <w:qFormat/>
    <w:rsid w:val="00DD256F"/>
    <w:rPr>
      <w:rFonts w:ascii="Times New Roman" w:hAnsi="Times New Roman"/>
      <w:szCs w:val="21"/>
    </w:rPr>
  </w:style>
  <w:style w:type="paragraph" w:styleId="TOC2">
    <w:name w:val="toc 2"/>
    <w:basedOn w:val="a"/>
    <w:next w:val="a"/>
    <w:autoRedefine/>
    <w:uiPriority w:val="39"/>
    <w:qFormat/>
    <w:rsid w:val="00DD256F"/>
    <w:pPr>
      <w:ind w:leftChars="200" w:left="420"/>
    </w:pPr>
    <w:rPr>
      <w:rFonts w:ascii="Times New Roman" w:hAnsi="Times New Roman"/>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a6"/>
    <w:uiPriority w:val="99"/>
    <w:qFormat/>
    <w:rsid w:val="00DD256F"/>
    <w:pPr>
      <w:jc w:val="left"/>
    </w:pPr>
    <w:rPr>
      <w:rFonts w:ascii="Times New Roman" w:hAnsi="Times New Roman"/>
      <w:szCs w:val="21"/>
    </w:rPr>
  </w:style>
  <w:style w:type="character" w:customStyle="1" w:styleId="a6">
    <w:name w:val="批注文字 字符"/>
    <w:basedOn w:val="a0"/>
    <w:link w:val="a5"/>
    <w:uiPriority w:val="99"/>
    <w:rsid w:val="00DD256F"/>
    <w:rPr>
      <w:rFonts w:ascii="Times New Roman" w:eastAsia="宋体" w:hAnsi="Times New Roman" w:cs="Times New Roman"/>
      <w:szCs w:val="21"/>
    </w:rPr>
  </w:style>
  <w:style w:type="table" w:styleId="a7">
    <w:name w:val="Table Grid"/>
    <w:basedOn w:val="a1"/>
    <w:uiPriority w:val="59"/>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D256F"/>
    <w:rPr>
      <w:sz w:val="18"/>
      <w:szCs w:val="18"/>
    </w:rPr>
  </w:style>
  <w:style w:type="character" w:customStyle="1" w:styleId="a9">
    <w:name w:val="批注框文本 字符"/>
    <w:basedOn w:val="a0"/>
    <w:link w:val="a8"/>
    <w:uiPriority w:val="99"/>
    <w:semiHidden/>
    <w:rsid w:val="00DD256F"/>
    <w:rPr>
      <w:rFonts w:ascii="Calibri" w:eastAsia="宋体" w:hAnsi="Calibri" w:cs="Times New Roman"/>
      <w:sz w:val="18"/>
      <w:szCs w:val="18"/>
    </w:rPr>
  </w:style>
  <w:style w:type="paragraph" w:styleId="aa">
    <w:name w:val="Salutation"/>
    <w:basedOn w:val="a"/>
    <w:next w:val="a"/>
    <w:link w:val="ab"/>
    <w:uiPriority w:val="99"/>
    <w:rsid w:val="00DD256F"/>
    <w:rPr>
      <w:rFonts w:ascii="Times New Roman" w:hAnsi="Times New Roman"/>
      <w:szCs w:val="21"/>
    </w:rPr>
  </w:style>
  <w:style w:type="character" w:customStyle="1" w:styleId="ab">
    <w:name w:val="称呼 字符"/>
    <w:basedOn w:val="a0"/>
    <w:link w:val="aa"/>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widowControl/>
      <w:spacing w:before="100" w:after="100"/>
      <w:jc w:val="right"/>
    </w:pPr>
    <w:rPr>
      <w:rFonts w:ascii="Arial Unicode MS" w:eastAsia="Arial Unicode MS" w:hAnsi="Times New Roman"/>
      <w:kern w:val="0"/>
      <w:sz w:val="18"/>
      <w:szCs w:val="18"/>
    </w:rPr>
  </w:style>
  <w:style w:type="paragraph" w:styleId="ac">
    <w:name w:val="List Paragraph"/>
    <w:basedOn w:val="a"/>
    <w:qFormat/>
    <w:rsid w:val="00DD256F"/>
    <w:pPr>
      <w:ind w:firstLineChars="200" w:firstLine="420"/>
    </w:pPr>
  </w:style>
  <w:style w:type="character" w:customStyle="1" w:styleId="ad">
    <w:name w:val="批注主题 字符"/>
    <w:basedOn w:val="a6"/>
    <w:link w:val="ae"/>
    <w:uiPriority w:val="99"/>
    <w:semiHidden/>
    <w:rsid w:val="00DD256F"/>
    <w:rPr>
      <w:rFonts w:ascii="Calibri" w:eastAsia="宋体" w:hAnsi="Calibri" w:cs="Times New Roman"/>
      <w:b/>
      <w:bCs/>
      <w:szCs w:val="21"/>
    </w:rPr>
  </w:style>
  <w:style w:type="paragraph" w:styleId="ae">
    <w:name w:val="annotation subject"/>
    <w:basedOn w:val="a5"/>
    <w:next w:val="a5"/>
    <w:link w:val="ad"/>
    <w:uiPriority w:val="99"/>
    <w:semiHidden/>
    <w:unhideWhenUsed/>
    <w:rsid w:val="00DD256F"/>
    <w:rPr>
      <w:rFonts w:ascii="Calibri" w:hAnsi="Calibri"/>
      <w:b/>
      <w:bCs/>
      <w:szCs w:val="22"/>
    </w:rPr>
  </w:style>
  <w:style w:type="paragraph" w:styleId="TOC3">
    <w:name w:val="toc 3"/>
    <w:basedOn w:val="a"/>
    <w:next w:val="a"/>
    <w:autoRedefine/>
    <w:uiPriority w:val="39"/>
    <w:unhideWhenUsed/>
    <w:qFormat/>
    <w:rsid w:val="00DD256F"/>
    <w:pPr>
      <w:widowControl/>
      <w:spacing w:after="100" w:line="276" w:lineRule="auto"/>
      <w:ind w:left="440"/>
      <w:jc w:val="left"/>
    </w:pPr>
    <w:rPr>
      <w:kern w:val="0"/>
      <w:sz w:val="22"/>
    </w:rPr>
  </w:style>
  <w:style w:type="paragraph" w:styleId="af">
    <w:name w:val="header"/>
    <w:basedOn w:val="a"/>
    <w:link w:val="af0"/>
    <w:uiPriority w:val="99"/>
    <w:unhideWhenUsed/>
    <w:rsid w:val="00DD256F"/>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uiPriority w:val="99"/>
    <w:rsid w:val="00DD256F"/>
    <w:rPr>
      <w:rFonts w:ascii="Calibri" w:eastAsia="宋体" w:hAnsi="Calibri" w:cs="Times New Roman"/>
      <w:sz w:val="18"/>
      <w:szCs w:val="18"/>
    </w:rPr>
  </w:style>
  <w:style w:type="paragraph" w:styleId="af1">
    <w:name w:val="footer"/>
    <w:basedOn w:val="a"/>
    <w:link w:val="af2"/>
    <w:uiPriority w:val="99"/>
    <w:unhideWhenUsed/>
    <w:rsid w:val="00DD256F"/>
    <w:pPr>
      <w:tabs>
        <w:tab w:val="center" w:pos="4153"/>
        <w:tab w:val="right" w:pos="8306"/>
      </w:tabs>
      <w:snapToGrid w:val="0"/>
      <w:jc w:val="left"/>
    </w:pPr>
    <w:rPr>
      <w:sz w:val="18"/>
      <w:szCs w:val="18"/>
    </w:rPr>
  </w:style>
  <w:style w:type="character" w:customStyle="1" w:styleId="af2">
    <w:name w:val="页脚 字符"/>
    <w:basedOn w:val="a0"/>
    <w:link w:val="af1"/>
    <w:uiPriority w:val="99"/>
    <w:rsid w:val="00DD256F"/>
    <w:rPr>
      <w:rFonts w:ascii="Calibri" w:eastAsia="宋体" w:hAnsi="Calibri" w:cs="Times New Roman"/>
      <w:sz w:val="18"/>
      <w:szCs w:val="18"/>
    </w:rPr>
  </w:style>
  <w:style w:type="paragraph" w:styleId="af3">
    <w:name w:val="Plain Text"/>
    <w:basedOn w:val="a"/>
    <w:link w:val="af4"/>
    <w:rsid w:val="00DD256F"/>
    <w:rPr>
      <w:rFonts w:ascii="宋体" w:hAnsi="Courier New"/>
      <w:szCs w:val="20"/>
    </w:rPr>
  </w:style>
  <w:style w:type="character" w:customStyle="1" w:styleId="af4">
    <w:name w:val="纯文本 字符"/>
    <w:basedOn w:val="a0"/>
    <w:link w:val="af3"/>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f5">
    <w:name w:val="Body Text"/>
    <w:basedOn w:val="a"/>
    <w:link w:val="af6"/>
    <w:uiPriority w:val="99"/>
    <w:rsid w:val="00DD256F"/>
    <w:pPr>
      <w:spacing w:after="120"/>
    </w:pPr>
    <w:rPr>
      <w:rFonts w:ascii="Times New Roman" w:hAnsi="Times New Roman"/>
      <w:szCs w:val="21"/>
    </w:rPr>
  </w:style>
  <w:style w:type="character" w:customStyle="1" w:styleId="af6">
    <w:name w:val="正文文本 字符"/>
    <w:basedOn w:val="a0"/>
    <w:link w:val="af5"/>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widowControl/>
      <w:tabs>
        <w:tab w:val="left" w:pos="709"/>
      </w:tabs>
      <w:overflowPunct w:val="0"/>
      <w:autoSpaceDE w:val="0"/>
      <w:autoSpaceDN w:val="0"/>
      <w:adjustRightInd w:val="0"/>
      <w:textAlignment w:val="baseline"/>
    </w:pPr>
    <w:rPr>
      <w:rFonts w:ascii="Helvetica-Narrow" w:hAnsi="Helvetica-Narrow"/>
      <w:kern w:val="0"/>
      <w:sz w:val="24"/>
      <w:szCs w:val="24"/>
      <w:lang w:val="en-AU"/>
    </w:rPr>
  </w:style>
  <w:style w:type="paragraph" w:styleId="af7">
    <w:name w:val="Date"/>
    <w:basedOn w:val="a"/>
    <w:next w:val="a"/>
    <w:link w:val="af8"/>
    <w:uiPriority w:val="99"/>
    <w:rsid w:val="00DD256F"/>
    <w:pPr>
      <w:ind w:leftChars="2500" w:left="100"/>
    </w:pPr>
    <w:rPr>
      <w:rFonts w:ascii="Times New Roman" w:hAnsi="Times New Roman"/>
      <w:szCs w:val="21"/>
    </w:rPr>
  </w:style>
  <w:style w:type="character" w:customStyle="1" w:styleId="af8">
    <w:name w:val="日期 字符"/>
    <w:basedOn w:val="a0"/>
    <w:link w:val="af7"/>
    <w:uiPriority w:val="99"/>
    <w:rsid w:val="00DD256F"/>
    <w:rPr>
      <w:rFonts w:ascii="Times New Roman" w:eastAsia="宋体" w:hAnsi="Times New Roman" w:cs="Times New Roman"/>
      <w:szCs w:val="21"/>
    </w:rPr>
  </w:style>
  <w:style w:type="paragraph" w:styleId="af9">
    <w:name w:val="Note Heading"/>
    <w:basedOn w:val="a"/>
    <w:next w:val="a"/>
    <w:link w:val="afa"/>
    <w:uiPriority w:val="99"/>
    <w:rsid w:val="00DD256F"/>
    <w:pPr>
      <w:jc w:val="center"/>
    </w:pPr>
    <w:rPr>
      <w:rFonts w:ascii="Times New Roman" w:hAnsi="Times New Roman"/>
      <w:szCs w:val="21"/>
    </w:rPr>
  </w:style>
  <w:style w:type="character" w:customStyle="1" w:styleId="afa">
    <w:name w:val="注释标题 字符"/>
    <w:basedOn w:val="a0"/>
    <w:link w:val="af9"/>
    <w:uiPriority w:val="99"/>
    <w:rsid w:val="00DD256F"/>
    <w:rPr>
      <w:rFonts w:ascii="Times New Roman" w:eastAsia="宋体" w:hAnsi="Times New Roman" w:cs="Times New Roman"/>
      <w:szCs w:val="21"/>
    </w:rPr>
  </w:style>
  <w:style w:type="paragraph" w:styleId="afb">
    <w:name w:val="toa heading"/>
    <w:basedOn w:val="a"/>
    <w:next w:val="a"/>
    <w:semiHidden/>
    <w:rsid w:val="00DD256F"/>
    <w:pPr>
      <w:spacing w:before="120"/>
    </w:pPr>
    <w:rPr>
      <w:rFonts w:ascii="Arial" w:hAnsi="Arial"/>
      <w:b/>
      <w:bCs/>
      <w:szCs w:val="21"/>
    </w:rPr>
  </w:style>
  <w:style w:type="paragraph" w:customStyle="1" w:styleId="52">
    <w:name w:val="标题5"/>
    <w:basedOn w:val="a"/>
    <w:rsid w:val="00DD256F"/>
    <w:pPr>
      <w:keepNext/>
      <w:keepLines/>
      <w:spacing w:before="280" w:after="290" w:line="376" w:lineRule="auto"/>
      <w:ind w:left="420" w:hanging="420"/>
      <w:outlineLvl w:val="4"/>
    </w:pPr>
    <w:rPr>
      <w:rFonts w:ascii="宋体" w:hAnsi="宋体"/>
      <w:b/>
      <w:bCs/>
      <w:szCs w:val="21"/>
    </w:rPr>
  </w:style>
  <w:style w:type="paragraph" w:styleId="afc">
    <w:name w:val="Revision"/>
    <w:hidden/>
    <w:uiPriority w:val="99"/>
    <w:semiHidden/>
    <w:rsid w:val="00BC1CB9"/>
    <w:rPr>
      <w:kern w:val="2"/>
      <w:sz w:val="21"/>
      <w:szCs w:val="22"/>
    </w:rPr>
  </w:style>
  <w:style w:type="character" w:customStyle="1" w:styleId="Char">
    <w:name w:val="正文的样式 Char"/>
    <w:basedOn w:val="a0"/>
    <w:link w:val="afd"/>
    <w:rsid w:val="006B00D5"/>
    <w:rPr>
      <w:kern w:val="2"/>
      <w:sz w:val="21"/>
      <w:szCs w:val="24"/>
    </w:rPr>
  </w:style>
  <w:style w:type="paragraph" w:customStyle="1" w:styleId="afd">
    <w:name w:val="正文的样式"/>
    <w:basedOn w:val="a"/>
    <w:link w:val="Char"/>
    <w:rsid w:val="006B00D5"/>
    <w:pPr>
      <w:spacing w:before="100" w:after="100"/>
    </w:pPr>
    <w:rPr>
      <w:szCs w:val="24"/>
    </w:rPr>
  </w:style>
  <w:style w:type="paragraph" w:styleId="afe">
    <w:name w:val="Document Map"/>
    <w:basedOn w:val="a"/>
    <w:link w:val="aff"/>
    <w:uiPriority w:val="99"/>
    <w:semiHidden/>
    <w:unhideWhenUsed/>
    <w:rsid w:val="0002110B"/>
    <w:rPr>
      <w:rFonts w:ascii="宋体"/>
      <w:sz w:val="18"/>
      <w:szCs w:val="18"/>
    </w:rPr>
  </w:style>
  <w:style w:type="character" w:customStyle="1" w:styleId="aff">
    <w:name w:val="文档结构图 字符"/>
    <w:basedOn w:val="a0"/>
    <w:link w:val="afe"/>
    <w:uiPriority w:val="99"/>
    <w:semiHidden/>
    <w:rsid w:val="0002110B"/>
    <w:rPr>
      <w:rFonts w:ascii="宋体"/>
      <w:kern w:val="2"/>
      <w:sz w:val="18"/>
      <w:szCs w:val="18"/>
    </w:rPr>
  </w:style>
  <w:style w:type="character" w:styleId="aff0">
    <w:name w:val="Placeholder Text"/>
    <w:basedOn w:val="a0"/>
    <w:uiPriority w:val="99"/>
    <w:semiHidden/>
    <w:rsid w:val="00205C40"/>
    <w:rPr>
      <w:color w:val="auto"/>
    </w:rPr>
  </w:style>
  <w:style w:type="numbering" w:customStyle="1" w:styleId="1">
    <w:name w:val="样式1"/>
    <w:uiPriority w:val="99"/>
    <w:rsid w:val="00C65930"/>
    <w:pPr>
      <w:numPr>
        <w:numId w:val="1"/>
      </w:numPr>
    </w:pPr>
  </w:style>
  <w:style w:type="numbering" w:customStyle="1" w:styleId="2">
    <w:name w:val="样式2"/>
    <w:uiPriority w:val="99"/>
    <w:rsid w:val="00EA5CF2"/>
    <w:pPr>
      <w:numPr>
        <w:numId w:val="2"/>
      </w:numPr>
    </w:pPr>
  </w:style>
  <w:style w:type="numbering" w:customStyle="1" w:styleId="3">
    <w:name w:val="样式3"/>
    <w:uiPriority w:val="99"/>
    <w:rsid w:val="00C74FA7"/>
    <w:pPr>
      <w:numPr>
        <w:numId w:val="3"/>
      </w:numPr>
    </w:pPr>
  </w:style>
  <w:style w:type="numbering" w:customStyle="1" w:styleId="4">
    <w:name w:val="样式4"/>
    <w:uiPriority w:val="99"/>
    <w:rsid w:val="008B0A6D"/>
    <w:pPr>
      <w:numPr>
        <w:numId w:val="5"/>
      </w:numPr>
    </w:pPr>
  </w:style>
  <w:style w:type="numbering" w:customStyle="1" w:styleId="5">
    <w:name w:val="样式5"/>
    <w:uiPriority w:val="99"/>
    <w:rsid w:val="008B0A6D"/>
    <w:pPr>
      <w:numPr>
        <w:numId w:val="6"/>
      </w:numPr>
    </w:pPr>
  </w:style>
  <w:style w:type="numbering" w:customStyle="1" w:styleId="6">
    <w:name w:val="样式6"/>
    <w:uiPriority w:val="99"/>
    <w:rsid w:val="008B0A6D"/>
    <w:pPr>
      <w:numPr>
        <w:numId w:val="8"/>
      </w:numPr>
    </w:pPr>
  </w:style>
  <w:style w:type="numbering" w:customStyle="1" w:styleId="7">
    <w:name w:val="样式7"/>
    <w:uiPriority w:val="99"/>
    <w:rsid w:val="00017CF8"/>
    <w:pPr>
      <w:numPr>
        <w:numId w:val="9"/>
      </w:numPr>
    </w:pPr>
  </w:style>
  <w:style w:type="paragraph" w:styleId="aff1">
    <w:name w:val="Normal (Web)"/>
    <w:basedOn w:val="a"/>
    <w:uiPriority w:val="99"/>
    <w:rsid w:val="00A8236A"/>
    <w:pPr>
      <w:widowControl/>
      <w:spacing w:before="100" w:beforeAutospacing="1" w:after="100" w:afterAutospacing="1"/>
      <w:jc w:val="left"/>
    </w:pPr>
    <w:rPr>
      <w:rFonts w:ascii="宋体" w:hAnsi="宋体" w:cs="宋体"/>
      <w:kern w:val="0"/>
      <w:sz w:val="24"/>
      <w:szCs w:val="24"/>
    </w:rPr>
  </w:style>
  <w:style w:type="character" w:customStyle="1" w:styleId="61">
    <w:name w:val="标题 6 字符"/>
    <w:basedOn w:val="a0"/>
    <w:link w:val="60"/>
    <w:uiPriority w:val="9"/>
    <w:rsid w:val="00337056"/>
    <w:rPr>
      <w:rFonts w:asciiTheme="majorHAnsi" w:eastAsiaTheme="majorEastAsia" w:hAnsiTheme="majorHAnsi" w:cstheme="majorBidi"/>
      <w:b/>
      <w:bCs/>
      <w:kern w:val="2"/>
      <w:sz w:val="24"/>
      <w:szCs w:val="24"/>
    </w:rPr>
  </w:style>
  <w:style w:type="character" w:customStyle="1" w:styleId="Char0">
    <w:name w:val="批注文字 Char"/>
    <w:uiPriority w:val="99"/>
    <w:qFormat/>
    <w:rsid w:val="00DD66AF"/>
    <w:rPr>
      <w:rFonts w:ascii="Times New Roman" w:hAnsi="Times New Roman"/>
      <w:kern w:val="2"/>
      <w:sz w:val="21"/>
      <w:szCs w:val="21"/>
    </w:rPr>
  </w:style>
  <w:style w:type="character" w:customStyle="1" w:styleId="2Char">
    <w:name w:val="标题 2 Char"/>
    <w:aliases w:val="标题 2 Char Char Char Char"/>
    <w:rsid w:val="002B7E2D"/>
    <w:rPr>
      <w:rFonts w:ascii="Arial" w:hAnsi="Arial"/>
      <w:b/>
      <w:bCs/>
      <w:kern w:val="2"/>
      <w:sz w:val="21"/>
      <w:szCs w:val="21"/>
    </w:rPr>
  </w:style>
  <w:style w:type="character" w:customStyle="1" w:styleId="aff2">
    <w:basedOn w:val="a0"/>
    <w:uiPriority w:val="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4704">
      <w:bodyDiv w:val="1"/>
      <w:marLeft w:val="0"/>
      <w:marRight w:val="0"/>
      <w:marTop w:val="0"/>
      <w:marBottom w:val="0"/>
      <w:divBdr>
        <w:top w:val="none" w:sz="0" w:space="0" w:color="auto"/>
        <w:left w:val="none" w:sz="0" w:space="0" w:color="auto"/>
        <w:bottom w:val="none" w:sz="0" w:space="0" w:color="auto"/>
        <w:right w:val="none" w:sz="0" w:space="0" w:color="auto"/>
      </w:divBdr>
    </w:div>
    <w:div w:id="96409322">
      <w:bodyDiv w:val="1"/>
      <w:marLeft w:val="0"/>
      <w:marRight w:val="0"/>
      <w:marTop w:val="0"/>
      <w:marBottom w:val="0"/>
      <w:divBdr>
        <w:top w:val="none" w:sz="0" w:space="0" w:color="auto"/>
        <w:left w:val="none" w:sz="0" w:space="0" w:color="auto"/>
        <w:bottom w:val="none" w:sz="0" w:space="0" w:color="auto"/>
        <w:right w:val="none" w:sz="0" w:space="0" w:color="auto"/>
      </w:divBdr>
    </w:div>
    <w:div w:id="146216160">
      <w:bodyDiv w:val="1"/>
      <w:marLeft w:val="0"/>
      <w:marRight w:val="0"/>
      <w:marTop w:val="0"/>
      <w:marBottom w:val="0"/>
      <w:divBdr>
        <w:top w:val="none" w:sz="0" w:space="0" w:color="auto"/>
        <w:left w:val="none" w:sz="0" w:space="0" w:color="auto"/>
        <w:bottom w:val="none" w:sz="0" w:space="0" w:color="auto"/>
        <w:right w:val="none" w:sz="0" w:space="0" w:color="auto"/>
      </w:divBdr>
    </w:div>
    <w:div w:id="474491321">
      <w:bodyDiv w:val="1"/>
      <w:marLeft w:val="0"/>
      <w:marRight w:val="0"/>
      <w:marTop w:val="0"/>
      <w:marBottom w:val="0"/>
      <w:divBdr>
        <w:top w:val="none" w:sz="0" w:space="0" w:color="auto"/>
        <w:left w:val="none" w:sz="0" w:space="0" w:color="auto"/>
        <w:bottom w:val="none" w:sz="0" w:space="0" w:color="auto"/>
        <w:right w:val="none" w:sz="0" w:space="0" w:color="auto"/>
      </w:divBdr>
    </w:div>
    <w:div w:id="497774575">
      <w:bodyDiv w:val="1"/>
      <w:marLeft w:val="0"/>
      <w:marRight w:val="0"/>
      <w:marTop w:val="0"/>
      <w:marBottom w:val="0"/>
      <w:divBdr>
        <w:top w:val="none" w:sz="0" w:space="0" w:color="auto"/>
        <w:left w:val="none" w:sz="0" w:space="0" w:color="auto"/>
        <w:bottom w:val="none" w:sz="0" w:space="0" w:color="auto"/>
        <w:right w:val="none" w:sz="0" w:space="0" w:color="auto"/>
      </w:divBdr>
    </w:div>
    <w:div w:id="913664209">
      <w:bodyDiv w:val="1"/>
      <w:marLeft w:val="0"/>
      <w:marRight w:val="0"/>
      <w:marTop w:val="0"/>
      <w:marBottom w:val="0"/>
      <w:divBdr>
        <w:top w:val="none" w:sz="0" w:space="0" w:color="auto"/>
        <w:left w:val="none" w:sz="0" w:space="0" w:color="auto"/>
        <w:bottom w:val="none" w:sz="0" w:space="0" w:color="auto"/>
        <w:right w:val="none" w:sz="0" w:space="0" w:color="auto"/>
      </w:divBdr>
    </w:div>
    <w:div w:id="924606186">
      <w:bodyDiv w:val="1"/>
      <w:marLeft w:val="0"/>
      <w:marRight w:val="0"/>
      <w:marTop w:val="0"/>
      <w:marBottom w:val="0"/>
      <w:divBdr>
        <w:top w:val="none" w:sz="0" w:space="0" w:color="auto"/>
        <w:left w:val="none" w:sz="0" w:space="0" w:color="auto"/>
        <w:bottom w:val="none" w:sz="0" w:space="0" w:color="auto"/>
        <w:right w:val="none" w:sz="0" w:space="0" w:color="auto"/>
      </w:divBdr>
    </w:div>
    <w:div w:id="1190799201">
      <w:bodyDiv w:val="1"/>
      <w:marLeft w:val="0"/>
      <w:marRight w:val="0"/>
      <w:marTop w:val="0"/>
      <w:marBottom w:val="0"/>
      <w:divBdr>
        <w:top w:val="none" w:sz="0" w:space="0" w:color="auto"/>
        <w:left w:val="none" w:sz="0" w:space="0" w:color="auto"/>
        <w:bottom w:val="none" w:sz="0" w:space="0" w:color="auto"/>
        <w:right w:val="none" w:sz="0" w:space="0" w:color="auto"/>
      </w:divBdr>
    </w:div>
    <w:div w:id="1219971695">
      <w:bodyDiv w:val="1"/>
      <w:marLeft w:val="0"/>
      <w:marRight w:val="0"/>
      <w:marTop w:val="0"/>
      <w:marBottom w:val="0"/>
      <w:divBdr>
        <w:top w:val="none" w:sz="0" w:space="0" w:color="auto"/>
        <w:left w:val="none" w:sz="0" w:space="0" w:color="auto"/>
        <w:bottom w:val="none" w:sz="0" w:space="0" w:color="auto"/>
        <w:right w:val="none" w:sz="0" w:space="0" w:color="auto"/>
      </w:divBdr>
    </w:div>
    <w:div w:id="1282414449">
      <w:bodyDiv w:val="1"/>
      <w:marLeft w:val="0"/>
      <w:marRight w:val="0"/>
      <w:marTop w:val="0"/>
      <w:marBottom w:val="0"/>
      <w:divBdr>
        <w:top w:val="none" w:sz="0" w:space="0" w:color="auto"/>
        <w:left w:val="none" w:sz="0" w:space="0" w:color="auto"/>
        <w:bottom w:val="none" w:sz="0" w:space="0" w:color="auto"/>
        <w:right w:val="none" w:sz="0" w:space="0" w:color="auto"/>
      </w:divBdr>
    </w:div>
    <w:div w:id="1308246458">
      <w:bodyDiv w:val="1"/>
      <w:marLeft w:val="0"/>
      <w:marRight w:val="0"/>
      <w:marTop w:val="0"/>
      <w:marBottom w:val="0"/>
      <w:divBdr>
        <w:top w:val="none" w:sz="0" w:space="0" w:color="auto"/>
        <w:left w:val="none" w:sz="0" w:space="0" w:color="auto"/>
        <w:bottom w:val="none" w:sz="0" w:space="0" w:color="auto"/>
        <w:right w:val="none" w:sz="0" w:space="0" w:color="auto"/>
      </w:divBdr>
    </w:div>
    <w:div w:id="1420978263">
      <w:bodyDiv w:val="1"/>
      <w:marLeft w:val="0"/>
      <w:marRight w:val="0"/>
      <w:marTop w:val="0"/>
      <w:marBottom w:val="0"/>
      <w:divBdr>
        <w:top w:val="none" w:sz="0" w:space="0" w:color="auto"/>
        <w:left w:val="none" w:sz="0" w:space="0" w:color="auto"/>
        <w:bottom w:val="none" w:sz="0" w:space="0" w:color="auto"/>
        <w:right w:val="none" w:sz="0" w:space="0" w:color="auto"/>
      </w:divBdr>
    </w:div>
    <w:div w:id="1644113358">
      <w:bodyDiv w:val="1"/>
      <w:marLeft w:val="0"/>
      <w:marRight w:val="0"/>
      <w:marTop w:val="0"/>
      <w:marBottom w:val="0"/>
      <w:divBdr>
        <w:top w:val="none" w:sz="0" w:space="0" w:color="auto"/>
        <w:left w:val="none" w:sz="0" w:space="0" w:color="auto"/>
        <w:bottom w:val="none" w:sz="0" w:space="0" w:color="auto"/>
        <w:right w:val="none" w:sz="0" w:space="0" w:color="auto"/>
      </w:divBdr>
    </w:div>
    <w:div w:id="1681928740">
      <w:bodyDiv w:val="1"/>
      <w:marLeft w:val="0"/>
      <w:marRight w:val="0"/>
      <w:marTop w:val="0"/>
      <w:marBottom w:val="0"/>
      <w:divBdr>
        <w:top w:val="none" w:sz="0" w:space="0" w:color="auto"/>
        <w:left w:val="none" w:sz="0" w:space="0" w:color="auto"/>
        <w:bottom w:val="none" w:sz="0" w:space="0" w:color="auto"/>
        <w:right w:val="none" w:sz="0" w:space="0" w:color="auto"/>
      </w:divBdr>
    </w:div>
    <w:div w:id="1855487475">
      <w:bodyDiv w:val="1"/>
      <w:marLeft w:val="0"/>
      <w:marRight w:val="0"/>
      <w:marTop w:val="0"/>
      <w:marBottom w:val="0"/>
      <w:divBdr>
        <w:top w:val="none" w:sz="0" w:space="0" w:color="auto"/>
        <w:left w:val="none" w:sz="0" w:space="0" w:color="auto"/>
        <w:bottom w:val="none" w:sz="0" w:space="0" w:color="auto"/>
        <w:right w:val="none" w:sz="0" w:space="0" w:color="auto"/>
      </w:divBdr>
    </w:div>
    <w:div w:id="1885293235">
      <w:bodyDiv w:val="1"/>
      <w:marLeft w:val="0"/>
      <w:marRight w:val="0"/>
      <w:marTop w:val="0"/>
      <w:marBottom w:val="0"/>
      <w:divBdr>
        <w:top w:val="none" w:sz="0" w:space="0" w:color="auto"/>
        <w:left w:val="none" w:sz="0" w:space="0" w:color="auto"/>
        <w:bottom w:val="none" w:sz="0" w:space="0" w:color="auto"/>
        <w:right w:val="none" w:sz="0" w:space="0" w:color="auto"/>
      </w:divBdr>
    </w:div>
    <w:div w:id="20303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063A7-A704-4092-B661-908DA88B7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5543</Words>
  <Characters>7096</Characters>
  <Application>Microsoft Office Word</Application>
  <DocSecurity>0</DocSecurity>
  <Lines>709</Lines>
  <Paragraphs>743</Paragraphs>
  <ScaleCrop>false</ScaleCrop>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BJB-ZB-009-lwy</dc:creator>
  <cp:lastModifiedBy>BJB-ZB-009</cp:lastModifiedBy>
  <cp:revision>2</cp:revision>
  <dcterms:created xsi:type="dcterms:W3CDTF">2026-04-03T03:25:00Z</dcterms:created>
  <dcterms:modified xsi:type="dcterms:W3CDTF">2026-04-03T03:25:00Z</dcterms:modified>
</cp:coreProperties>
</file>