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439920">
      <w:pPr>
        <w:widowControl w:val="0"/>
        <w:kinsoku/>
        <w:autoSpaceDE/>
        <w:autoSpaceDN/>
        <w:adjustRightInd/>
        <w:snapToGrid/>
        <w:spacing w:line="360" w:lineRule="auto"/>
        <w:jc w:val="center"/>
        <w:textAlignment w:val="auto"/>
        <w:rPr>
          <w:rFonts w:ascii="仿宋" w:hAnsi="仿宋" w:eastAsia="仿宋" w:cs="仿宋"/>
          <w:b/>
          <w:snapToGrid/>
          <w:color w:val="auto"/>
          <w:kern w:val="2"/>
          <w:sz w:val="44"/>
          <w:szCs w:val="44"/>
          <w:highlight w:val="none"/>
        </w:rPr>
      </w:pPr>
      <w:r>
        <w:rPr>
          <w:rFonts w:hint="eastAsia" w:ascii="仿宋" w:hAnsi="仿宋" w:eastAsia="仿宋" w:cs="仿宋"/>
          <w:b/>
          <w:snapToGrid/>
          <w:color w:val="auto"/>
          <w:kern w:val="2"/>
          <w:sz w:val="44"/>
          <w:szCs w:val="44"/>
          <w:highlight w:val="none"/>
        </w:rPr>
        <w:t>重庆望变电气（集团）股份有限公司</w:t>
      </w:r>
    </w:p>
    <w:p w14:paraId="4B98B13D">
      <w:pPr>
        <w:widowControl w:val="0"/>
        <w:kinsoku/>
        <w:autoSpaceDE/>
        <w:autoSpaceDN/>
        <w:adjustRightInd/>
        <w:snapToGrid/>
        <w:spacing w:line="360" w:lineRule="auto"/>
        <w:jc w:val="center"/>
        <w:textAlignment w:val="auto"/>
        <w:rPr>
          <w:rFonts w:ascii="仿宋" w:hAnsi="仿宋" w:eastAsia="仿宋" w:cs="仿宋"/>
          <w:b/>
          <w:color w:val="auto"/>
          <w:sz w:val="36"/>
          <w:szCs w:val="36"/>
          <w:highlight w:val="none"/>
        </w:rPr>
      </w:pPr>
      <w:r>
        <w:rPr>
          <w:rFonts w:hint="eastAsia" w:ascii="仿宋" w:hAnsi="仿宋" w:eastAsia="仿宋" w:cs="仿宋"/>
          <w:b/>
          <w:snapToGrid/>
          <w:color w:val="auto"/>
          <w:kern w:val="2"/>
          <w:sz w:val="44"/>
          <w:szCs w:val="44"/>
          <w:highlight w:val="none"/>
        </w:rPr>
        <w:t>202</w:t>
      </w:r>
      <w:r>
        <w:rPr>
          <w:rFonts w:ascii="仿宋" w:hAnsi="仿宋" w:eastAsia="仿宋" w:cs="仿宋"/>
          <w:b/>
          <w:snapToGrid/>
          <w:color w:val="auto"/>
          <w:kern w:val="2"/>
          <w:sz w:val="44"/>
          <w:szCs w:val="44"/>
          <w:highlight w:val="none"/>
        </w:rPr>
        <w:t>5</w:t>
      </w:r>
      <w:r>
        <w:rPr>
          <w:rFonts w:hint="eastAsia" w:ascii="仿宋" w:hAnsi="仿宋" w:eastAsia="仿宋" w:cs="仿宋"/>
          <w:b/>
          <w:snapToGrid/>
          <w:color w:val="auto"/>
          <w:kern w:val="2"/>
          <w:sz w:val="44"/>
          <w:szCs w:val="44"/>
          <w:highlight w:val="none"/>
        </w:rPr>
        <w:t>年度独立董事述职报告</w:t>
      </w:r>
    </w:p>
    <w:p w14:paraId="559D59C5">
      <w:pPr>
        <w:spacing w:line="360" w:lineRule="auto"/>
        <w:jc w:val="center"/>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沈江</w:t>
      </w:r>
    </w:p>
    <w:p w14:paraId="4EFBC0D0">
      <w:pPr>
        <w:spacing w:line="360" w:lineRule="auto"/>
        <w:ind w:right="79" w:firstLine="616" w:firstLineChars="200"/>
        <w:jc w:val="both"/>
        <w:rPr>
          <w:rFonts w:ascii="仿宋" w:hAnsi="仿宋" w:eastAsia="仿宋" w:cs="仿宋"/>
          <w:color w:val="auto"/>
          <w:sz w:val="32"/>
          <w:szCs w:val="32"/>
          <w:highlight w:val="none"/>
        </w:rPr>
      </w:pPr>
      <w:r>
        <w:rPr>
          <w:rFonts w:hint="eastAsia" w:ascii="仿宋" w:hAnsi="仿宋" w:eastAsia="仿宋" w:cs="仿宋"/>
          <w:color w:val="auto"/>
          <w:spacing w:val="-6"/>
          <w:sz w:val="32"/>
          <w:szCs w:val="32"/>
          <w:highlight w:val="none"/>
        </w:rPr>
        <w:t>作为重庆望变电气（集团）股份有限公司(以下简称“公司”)的独立董事，</w:t>
      </w:r>
      <w:r>
        <w:rPr>
          <w:rFonts w:hint="eastAsia" w:ascii="仿宋" w:hAnsi="仿宋" w:eastAsia="仿宋" w:cs="仿宋"/>
          <w:color w:val="auto"/>
          <w:spacing w:val="-3"/>
          <w:sz w:val="32"/>
          <w:szCs w:val="32"/>
          <w:highlight w:val="none"/>
        </w:rPr>
        <w:t>根据《中华人民共和国公司法》《中华人民共和国证券法》《上海证券交易所股票上市规则》《重庆望变电气（集团）股份有限公司章程》（以下简称“《公司章程》”）和公司《独立董事工作制度》等相关法律法规和</w:t>
      </w:r>
      <w:r>
        <w:rPr>
          <w:rFonts w:hint="eastAsia" w:ascii="仿宋" w:hAnsi="仿宋" w:eastAsia="仿宋" w:cs="仿宋"/>
          <w:color w:val="auto"/>
          <w:spacing w:val="-2"/>
          <w:sz w:val="32"/>
          <w:szCs w:val="32"/>
          <w:highlight w:val="none"/>
        </w:rPr>
        <w:t>规章制度的规定和要求，本人</w:t>
      </w:r>
      <w:r>
        <w:rPr>
          <w:rFonts w:hint="eastAsia" w:ascii="仿宋" w:hAnsi="仿宋" w:eastAsia="仿宋" w:cs="仿宋"/>
          <w:color w:val="auto"/>
          <w:spacing w:val="-1"/>
          <w:sz w:val="32"/>
          <w:szCs w:val="32"/>
          <w:highlight w:val="none"/>
        </w:rPr>
        <w:t>认真行使法规所</w:t>
      </w:r>
      <w:r>
        <w:rPr>
          <w:rFonts w:hint="eastAsia" w:ascii="仿宋" w:hAnsi="仿宋" w:eastAsia="仿宋" w:cs="仿宋"/>
          <w:color w:val="auto"/>
          <w:sz w:val="32"/>
          <w:szCs w:val="32"/>
          <w:highlight w:val="none"/>
        </w:rPr>
        <w:t>赋予的权利，恪尽职守、勤勉尽责，通过与公司持续沟通，收集有关</w:t>
      </w:r>
      <w:r>
        <w:rPr>
          <w:rFonts w:hint="eastAsia" w:ascii="仿宋" w:hAnsi="仿宋" w:eastAsia="仿宋" w:cs="仿宋"/>
          <w:color w:val="auto"/>
          <w:spacing w:val="-1"/>
          <w:sz w:val="32"/>
          <w:szCs w:val="32"/>
          <w:highlight w:val="none"/>
        </w:rPr>
        <w:t>资料，积极主动了解公</w:t>
      </w:r>
      <w:r>
        <w:rPr>
          <w:rFonts w:hint="eastAsia" w:ascii="仿宋" w:hAnsi="仿宋" w:eastAsia="仿宋" w:cs="仿宋"/>
          <w:color w:val="auto"/>
          <w:sz w:val="32"/>
          <w:szCs w:val="32"/>
          <w:highlight w:val="none"/>
        </w:rPr>
        <w:t>司的生产经营和运行情况，对公司的重大决策等事项发表独立意</w:t>
      </w:r>
      <w:r>
        <w:rPr>
          <w:rFonts w:hint="eastAsia" w:ascii="仿宋" w:hAnsi="仿宋" w:eastAsia="仿宋" w:cs="仿宋"/>
          <w:color w:val="auto"/>
          <w:spacing w:val="-1"/>
          <w:sz w:val="32"/>
          <w:szCs w:val="32"/>
          <w:highlight w:val="none"/>
        </w:rPr>
        <w:t>见，维护公司的整体利</w:t>
      </w:r>
      <w:r>
        <w:rPr>
          <w:rFonts w:hint="eastAsia" w:ascii="仿宋" w:hAnsi="仿宋" w:eastAsia="仿宋" w:cs="仿宋"/>
          <w:color w:val="auto"/>
          <w:sz w:val="32"/>
          <w:szCs w:val="32"/>
          <w:highlight w:val="none"/>
        </w:rPr>
        <w:t>益，维护全体股东尤其是中小股东的合法权益，为健全和完善上</w:t>
      </w:r>
      <w:r>
        <w:rPr>
          <w:rFonts w:hint="eastAsia" w:ascii="仿宋" w:hAnsi="仿宋" w:eastAsia="仿宋" w:cs="仿宋"/>
          <w:color w:val="auto"/>
          <w:spacing w:val="-4"/>
          <w:sz w:val="32"/>
          <w:szCs w:val="32"/>
          <w:highlight w:val="none"/>
        </w:rPr>
        <w:t>市公司法人治理结构和提高董事</w:t>
      </w:r>
      <w:r>
        <w:rPr>
          <w:rFonts w:hint="eastAsia" w:ascii="仿宋" w:hAnsi="仿宋" w:eastAsia="仿宋" w:cs="仿宋"/>
          <w:color w:val="auto"/>
          <w:spacing w:val="-3"/>
          <w:sz w:val="32"/>
          <w:szCs w:val="32"/>
          <w:highlight w:val="none"/>
        </w:rPr>
        <w:t>会</w:t>
      </w:r>
      <w:r>
        <w:rPr>
          <w:rFonts w:hint="eastAsia" w:ascii="仿宋" w:hAnsi="仿宋" w:eastAsia="仿宋" w:cs="仿宋"/>
          <w:color w:val="auto"/>
          <w:spacing w:val="-2"/>
          <w:sz w:val="32"/>
          <w:szCs w:val="32"/>
          <w:highlight w:val="none"/>
        </w:rPr>
        <w:t>科学决策、依法运作做了一些工作，并能积极地为公司稳健和长远发展建言献策，提出</w:t>
      </w:r>
      <w:r>
        <w:rPr>
          <w:rFonts w:hint="eastAsia" w:ascii="仿宋" w:hAnsi="仿宋" w:eastAsia="仿宋" w:cs="仿宋"/>
          <w:color w:val="auto"/>
          <w:spacing w:val="-1"/>
          <w:sz w:val="32"/>
          <w:szCs w:val="32"/>
          <w:highlight w:val="none"/>
        </w:rPr>
        <w:t>自己的意见和建议。</w:t>
      </w:r>
    </w:p>
    <w:p w14:paraId="711DC16C">
      <w:pPr>
        <w:spacing w:line="360" w:lineRule="auto"/>
        <w:ind w:firstLine="616" w:firstLineChars="200"/>
        <w:jc w:val="both"/>
        <w:outlineLvl w:val="0"/>
        <w:rPr>
          <w:rFonts w:ascii="仿宋" w:hAnsi="仿宋" w:eastAsia="仿宋" w:cs="仿宋"/>
          <w:color w:val="auto"/>
          <w:spacing w:val="-3"/>
          <w:sz w:val="32"/>
          <w:szCs w:val="32"/>
          <w:highlight w:val="none"/>
        </w:rPr>
      </w:pPr>
      <w:r>
        <w:rPr>
          <w:rFonts w:hint="eastAsia" w:ascii="仿宋" w:hAnsi="仿宋" w:eastAsia="仿宋" w:cs="仿宋"/>
          <w:color w:val="auto"/>
          <w:spacing w:val="-6"/>
          <w:sz w:val="32"/>
          <w:szCs w:val="32"/>
          <w:highlight w:val="none"/>
        </w:rPr>
        <w:t>现</w:t>
      </w:r>
      <w:r>
        <w:rPr>
          <w:rFonts w:hint="eastAsia" w:ascii="仿宋" w:hAnsi="仿宋" w:eastAsia="仿宋" w:cs="仿宋"/>
          <w:color w:val="auto"/>
          <w:spacing w:val="-3"/>
          <w:sz w:val="32"/>
          <w:szCs w:val="32"/>
          <w:highlight w:val="none"/>
        </w:rPr>
        <w:t>将202</w:t>
      </w:r>
      <w:r>
        <w:rPr>
          <w:rFonts w:ascii="仿宋" w:hAnsi="仿宋" w:eastAsia="仿宋" w:cs="仿宋"/>
          <w:color w:val="auto"/>
          <w:spacing w:val="-3"/>
          <w:sz w:val="32"/>
          <w:szCs w:val="32"/>
          <w:highlight w:val="none"/>
        </w:rPr>
        <w:t>5</w:t>
      </w:r>
      <w:r>
        <w:rPr>
          <w:rFonts w:hint="eastAsia" w:ascii="仿宋" w:hAnsi="仿宋" w:eastAsia="仿宋" w:cs="仿宋"/>
          <w:color w:val="auto"/>
          <w:spacing w:val="-3"/>
          <w:sz w:val="32"/>
          <w:szCs w:val="32"/>
          <w:highlight w:val="none"/>
        </w:rPr>
        <w:t>年本人担任公司独立董事以来的工作情况报告如下：</w:t>
      </w:r>
    </w:p>
    <w:p w14:paraId="07F40402">
      <w:pPr>
        <w:spacing w:line="360" w:lineRule="auto"/>
        <w:ind w:firstLine="604" w:firstLineChars="200"/>
        <w:jc w:val="both"/>
        <w:outlineLvl w:val="0"/>
        <w:rPr>
          <w:rFonts w:ascii="仿宋" w:hAnsi="仿宋" w:eastAsia="仿宋" w:cs="仿宋"/>
          <w:color w:val="auto"/>
          <w:sz w:val="32"/>
          <w:szCs w:val="32"/>
          <w:highlight w:val="none"/>
        </w:rPr>
      </w:pPr>
      <w:r>
        <w:rPr>
          <w:rFonts w:hint="eastAsia" w:ascii="仿宋" w:hAnsi="仿宋" w:eastAsia="仿宋" w:cs="仿宋"/>
          <w:color w:val="auto"/>
          <w:spacing w:val="-9"/>
          <w:sz w:val="32"/>
          <w:szCs w:val="32"/>
          <w:highlight w:val="none"/>
          <w14:textOutline w14:w="4356" w14:cap="flat" w14:cmpd="sng" w14:algn="ctr">
            <w14:solidFill>
              <w14:srgbClr w14:val="000000"/>
            </w14:solidFill>
            <w14:prstDash w14:val="solid"/>
            <w14:miter w14:val="0"/>
          </w14:textOutline>
        </w:rPr>
        <w:t>一、独立董事基本情</w:t>
      </w:r>
      <w:r>
        <w:rPr>
          <w:rFonts w:hint="eastAsia" w:ascii="仿宋" w:hAnsi="仿宋" w:eastAsia="仿宋" w:cs="仿宋"/>
          <w:color w:val="auto"/>
          <w:spacing w:val="-8"/>
          <w:sz w:val="32"/>
          <w:szCs w:val="32"/>
          <w:highlight w:val="none"/>
          <w14:textOutline w14:w="4356" w14:cap="flat" w14:cmpd="sng" w14:algn="ctr">
            <w14:solidFill>
              <w14:srgbClr w14:val="000000"/>
            </w14:solidFill>
            <w14:prstDash w14:val="solid"/>
            <w14:miter w14:val="0"/>
          </w14:textOutline>
        </w:rPr>
        <w:t>况</w:t>
      </w:r>
    </w:p>
    <w:p w14:paraId="7887CA92">
      <w:pPr>
        <w:spacing w:line="360" w:lineRule="auto"/>
        <w:ind w:right="79" w:firstLine="640" w:firstLineChars="200"/>
        <w:jc w:val="both"/>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本人基本情况：1960年生，中国国籍，无境外永久居住权，电力系学士学位和继电保护专业硕士学位。1984年9月至1999年10月任华北电力科学研究院员工、副院长；1999年10月至2020年12月任国家电网智能电网部、科技部处长、副主任；2021年2月至今，任中国电器工业协会副会长，2021年12月至2025年5月任西安高压电器研究院股份有限公司独立董事；2023年11月至今，在重庆望变电气（集团）股份有限公司任独立董事。 </w:t>
      </w:r>
    </w:p>
    <w:p w14:paraId="63CBE76E">
      <w:pPr>
        <w:spacing w:line="360" w:lineRule="auto"/>
        <w:ind w:right="125" w:firstLine="624" w:firstLineChars="200"/>
        <w:jc w:val="both"/>
        <w:rPr>
          <w:rFonts w:ascii="仿宋" w:hAnsi="仿宋" w:eastAsia="仿宋" w:cs="仿宋"/>
          <w:color w:val="auto"/>
          <w:sz w:val="32"/>
          <w:szCs w:val="32"/>
          <w:highlight w:val="none"/>
        </w:rPr>
      </w:pPr>
      <w:r>
        <w:rPr>
          <w:rFonts w:hint="eastAsia" w:ascii="仿宋" w:hAnsi="仿宋" w:eastAsia="仿宋" w:cs="仿宋"/>
          <w:color w:val="auto"/>
          <w:spacing w:val="-4"/>
          <w:sz w:val="32"/>
          <w:szCs w:val="32"/>
          <w:highlight w:val="none"/>
        </w:rPr>
        <w:t>作为公司</w:t>
      </w:r>
      <w:r>
        <w:rPr>
          <w:rFonts w:hint="eastAsia" w:ascii="仿宋" w:hAnsi="仿宋" w:eastAsia="仿宋" w:cs="仿宋"/>
          <w:color w:val="auto"/>
          <w:spacing w:val="-9"/>
          <w:sz w:val="32"/>
          <w:szCs w:val="32"/>
          <w:highlight w:val="none"/>
        </w:rPr>
        <w:t>的独立董事，我本人及直系亲属均不持有本公司股份，本人不在公</w:t>
      </w:r>
      <w:r>
        <w:rPr>
          <w:rFonts w:hint="eastAsia" w:ascii="仿宋" w:hAnsi="仿宋" w:eastAsia="仿宋" w:cs="仿宋"/>
          <w:color w:val="auto"/>
          <w:spacing w:val="-16"/>
          <w:sz w:val="32"/>
          <w:szCs w:val="32"/>
          <w:highlight w:val="none"/>
        </w:rPr>
        <w:t>司担任</w:t>
      </w:r>
      <w:r>
        <w:rPr>
          <w:rFonts w:hint="eastAsia" w:ascii="仿宋" w:hAnsi="仿宋" w:eastAsia="仿宋" w:cs="仿宋"/>
          <w:color w:val="auto"/>
          <w:spacing w:val="-10"/>
          <w:sz w:val="32"/>
          <w:szCs w:val="32"/>
          <w:highlight w:val="none"/>
        </w:rPr>
        <w:t>除</w:t>
      </w:r>
      <w:r>
        <w:rPr>
          <w:rFonts w:hint="eastAsia" w:ascii="仿宋" w:hAnsi="仿宋" w:eastAsia="仿宋" w:cs="仿宋"/>
          <w:color w:val="auto"/>
          <w:spacing w:val="-8"/>
          <w:sz w:val="32"/>
          <w:szCs w:val="32"/>
          <w:highlight w:val="none"/>
        </w:rPr>
        <w:t>独立董事以外的其他任何职务，也不在公司股东单位担任任何职务，与公司及公司</w:t>
      </w:r>
      <w:r>
        <w:rPr>
          <w:rFonts w:hint="eastAsia" w:ascii="仿宋" w:hAnsi="仿宋" w:eastAsia="仿宋" w:cs="仿宋"/>
          <w:color w:val="auto"/>
          <w:spacing w:val="-10"/>
          <w:sz w:val="32"/>
          <w:szCs w:val="32"/>
          <w:highlight w:val="none"/>
        </w:rPr>
        <w:t>股东或有利</w:t>
      </w:r>
      <w:r>
        <w:rPr>
          <w:rFonts w:hint="eastAsia" w:ascii="仿宋" w:hAnsi="仿宋" w:eastAsia="仿宋" w:cs="仿宋"/>
          <w:color w:val="auto"/>
          <w:spacing w:val="-8"/>
          <w:sz w:val="32"/>
          <w:szCs w:val="32"/>
          <w:highlight w:val="none"/>
        </w:rPr>
        <w:t>害</w:t>
      </w:r>
      <w:r>
        <w:rPr>
          <w:rFonts w:hint="eastAsia" w:ascii="仿宋" w:hAnsi="仿宋" w:eastAsia="仿宋" w:cs="仿宋"/>
          <w:color w:val="auto"/>
          <w:spacing w:val="-5"/>
          <w:sz w:val="32"/>
          <w:szCs w:val="32"/>
          <w:highlight w:val="none"/>
        </w:rPr>
        <w:t>关系的机构和人员不存在可能妨碍</w:t>
      </w:r>
      <w:r>
        <w:rPr>
          <w:rFonts w:hint="eastAsia" w:ascii="仿宋" w:hAnsi="仿宋" w:eastAsia="仿宋" w:cs="仿宋"/>
          <w:color w:val="auto"/>
          <w:spacing w:val="-9"/>
          <w:sz w:val="32"/>
          <w:szCs w:val="32"/>
          <w:highlight w:val="none"/>
        </w:rPr>
        <w:t>本人</w:t>
      </w:r>
      <w:r>
        <w:rPr>
          <w:rFonts w:hint="eastAsia" w:ascii="仿宋" w:hAnsi="仿宋" w:eastAsia="仿宋" w:cs="仿宋"/>
          <w:color w:val="auto"/>
          <w:spacing w:val="-5"/>
          <w:sz w:val="32"/>
          <w:szCs w:val="32"/>
          <w:highlight w:val="none"/>
        </w:rPr>
        <w:t>进行独立客观判断的关系，没有从</w:t>
      </w:r>
      <w:r>
        <w:rPr>
          <w:rFonts w:hint="eastAsia" w:ascii="仿宋" w:hAnsi="仿宋" w:eastAsia="仿宋" w:cs="仿宋"/>
          <w:color w:val="auto"/>
          <w:spacing w:val="-4"/>
          <w:sz w:val="32"/>
          <w:szCs w:val="32"/>
          <w:highlight w:val="none"/>
        </w:rPr>
        <w:t>公司及公司股东或有利害关系的</w:t>
      </w:r>
      <w:r>
        <w:rPr>
          <w:rFonts w:hint="eastAsia" w:ascii="仿宋" w:hAnsi="仿宋" w:eastAsia="仿宋" w:cs="仿宋"/>
          <w:color w:val="auto"/>
          <w:spacing w:val="-3"/>
          <w:sz w:val="32"/>
          <w:szCs w:val="32"/>
          <w:highlight w:val="none"/>
        </w:rPr>
        <w:t>机</w:t>
      </w:r>
      <w:r>
        <w:rPr>
          <w:rFonts w:hint="eastAsia" w:ascii="仿宋" w:hAnsi="仿宋" w:eastAsia="仿宋" w:cs="仿宋"/>
          <w:color w:val="auto"/>
          <w:spacing w:val="-2"/>
          <w:sz w:val="32"/>
          <w:szCs w:val="32"/>
          <w:highlight w:val="none"/>
        </w:rPr>
        <w:t>构和人员取得额外的、未予披露的其他利益。</w:t>
      </w:r>
      <w:r>
        <w:rPr>
          <w:rFonts w:hint="eastAsia" w:ascii="仿宋" w:hAnsi="仿宋" w:eastAsia="仿宋" w:cs="仿宋"/>
          <w:color w:val="auto"/>
          <w:spacing w:val="-9"/>
          <w:sz w:val="32"/>
          <w:szCs w:val="32"/>
          <w:highlight w:val="none"/>
        </w:rPr>
        <w:t>本人</w:t>
      </w:r>
      <w:r>
        <w:rPr>
          <w:rFonts w:hint="eastAsia" w:ascii="仿宋" w:hAnsi="仿宋" w:eastAsia="仿宋" w:cs="仿宋"/>
          <w:color w:val="auto"/>
          <w:spacing w:val="-3"/>
          <w:sz w:val="32"/>
          <w:szCs w:val="32"/>
          <w:highlight w:val="none"/>
        </w:rPr>
        <w:t>不存在影响独立性的情况</w:t>
      </w:r>
      <w:r>
        <w:rPr>
          <w:rFonts w:hint="eastAsia" w:ascii="仿宋" w:hAnsi="仿宋" w:eastAsia="仿宋" w:cs="仿宋"/>
          <w:color w:val="auto"/>
          <w:spacing w:val="-2"/>
          <w:sz w:val="32"/>
          <w:szCs w:val="32"/>
          <w:highlight w:val="none"/>
        </w:rPr>
        <w:t>。</w:t>
      </w:r>
    </w:p>
    <w:p w14:paraId="4C5F1D69">
      <w:pPr>
        <w:pStyle w:val="10"/>
        <w:numPr>
          <w:ilvl w:val="0"/>
          <w:numId w:val="1"/>
        </w:numPr>
        <w:spacing w:line="360" w:lineRule="auto"/>
        <w:ind w:firstLineChars="0"/>
        <w:jc w:val="both"/>
        <w:outlineLvl w:val="0"/>
        <w:rPr>
          <w:rFonts w:ascii="仿宋" w:hAnsi="仿宋" w:eastAsia="仿宋" w:cs="仿宋"/>
          <w:color w:val="auto"/>
          <w:sz w:val="32"/>
          <w:szCs w:val="32"/>
          <w:highlight w:val="none"/>
        </w:rPr>
      </w:pPr>
      <w:r>
        <w:rPr>
          <w:rFonts w:hint="eastAsia" w:ascii="仿宋" w:hAnsi="仿宋" w:eastAsia="仿宋" w:cs="仿宋"/>
          <w:color w:val="auto"/>
          <w:sz w:val="32"/>
          <w:szCs w:val="32"/>
          <w:highlight w:val="none"/>
          <w14:textOutline w14:w="4356" w14:cap="flat" w14:cmpd="sng" w14:algn="ctr">
            <w14:solidFill>
              <w14:srgbClr w14:val="000000"/>
            </w14:solidFill>
            <w14:prstDash w14:val="solid"/>
            <w14:miter w14:val="0"/>
          </w14:textOutline>
        </w:rPr>
        <w:t>202</w:t>
      </w:r>
      <w:r>
        <w:rPr>
          <w:rFonts w:ascii="仿宋" w:hAnsi="仿宋" w:eastAsia="仿宋" w:cs="仿宋"/>
          <w:color w:val="auto"/>
          <w:sz w:val="32"/>
          <w:szCs w:val="32"/>
          <w:highlight w:val="none"/>
          <w14:textOutline w14:w="4356" w14:cap="flat" w14:cmpd="sng" w14:algn="ctr">
            <w14:solidFill>
              <w14:srgbClr w14:val="000000"/>
            </w14:solidFill>
            <w14:prstDash w14:val="solid"/>
            <w14:miter w14:val="0"/>
          </w14:textOutline>
        </w:rPr>
        <w:t>5</w:t>
      </w:r>
      <w:r>
        <w:rPr>
          <w:rFonts w:hint="eastAsia" w:ascii="仿宋" w:hAnsi="仿宋" w:eastAsia="仿宋" w:cs="仿宋"/>
          <w:color w:val="auto"/>
          <w:sz w:val="32"/>
          <w:szCs w:val="32"/>
          <w:highlight w:val="none"/>
          <w14:textOutline w14:w="4356" w14:cap="flat" w14:cmpd="sng" w14:algn="ctr">
            <w14:solidFill>
              <w14:srgbClr w14:val="000000"/>
            </w14:solidFill>
            <w14:prstDash w14:val="solid"/>
            <w14:miter w14:val="0"/>
          </w14:textOutline>
        </w:rPr>
        <w:t>年度履职情况</w:t>
      </w:r>
    </w:p>
    <w:p w14:paraId="56CF950C">
      <w:pPr>
        <w:numPr>
          <w:ilvl w:val="0"/>
          <w:numId w:val="2"/>
        </w:numPr>
        <w:spacing w:line="360" w:lineRule="auto"/>
        <w:ind w:right="127" w:firstLine="647" w:firstLineChars="200"/>
        <w:jc w:val="both"/>
        <w:rPr>
          <w:rFonts w:ascii="仿宋" w:hAnsi="仿宋" w:eastAsia="仿宋" w:cs="仿宋"/>
          <w:color w:val="auto"/>
          <w:sz w:val="32"/>
          <w:szCs w:val="32"/>
          <w:highlight w:val="none"/>
        </w:rPr>
      </w:pPr>
      <w:r>
        <w:rPr>
          <w:rFonts w:hint="eastAsia" w:ascii="仿宋" w:hAnsi="仿宋" w:eastAsia="仿宋" w:cs="仿宋"/>
          <w:b/>
          <w:bCs/>
          <w:color w:val="auto"/>
          <w:spacing w:val="1"/>
          <w:sz w:val="32"/>
          <w:szCs w:val="32"/>
          <w:highlight w:val="none"/>
        </w:rPr>
        <w:t>出席董事会、股东会的情况</w:t>
      </w:r>
    </w:p>
    <w:tbl>
      <w:tblPr>
        <w:tblStyle w:val="7"/>
        <w:tblW w:w="91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7"/>
        <w:gridCol w:w="796"/>
        <w:gridCol w:w="1152"/>
        <w:gridCol w:w="950"/>
        <w:gridCol w:w="1003"/>
        <w:gridCol w:w="938"/>
        <w:gridCol w:w="875"/>
        <w:gridCol w:w="1022"/>
        <w:gridCol w:w="1404"/>
      </w:tblGrid>
      <w:tr w14:paraId="6AE3F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017" w:type="dxa"/>
            <w:vMerge w:val="restart"/>
            <w:vAlign w:val="center"/>
          </w:tcPr>
          <w:p w14:paraId="18672227">
            <w:pPr>
              <w:widowControl w:val="0"/>
              <w:kinsoku/>
              <w:autoSpaceDE/>
              <w:autoSpaceDN/>
              <w:adjustRightInd/>
              <w:snapToGrid/>
              <w:spacing w:line="360" w:lineRule="auto"/>
              <w:jc w:val="center"/>
              <w:textAlignment w:val="auto"/>
              <w:rPr>
                <w:rFonts w:ascii="仿宋" w:hAnsi="仿宋" w:eastAsia="仿宋" w:cs="仿宋"/>
                <w:color w:val="auto"/>
                <w:sz w:val="24"/>
                <w:szCs w:val="24"/>
                <w:highlight w:val="none"/>
              </w:rPr>
            </w:pPr>
          </w:p>
          <w:sdt>
            <w:sdtPr>
              <w:rPr>
                <w:rFonts w:hint="eastAsia" w:ascii="仿宋" w:hAnsi="仿宋" w:eastAsia="仿宋" w:cs="仿宋"/>
                <w:color w:val="auto"/>
                <w:sz w:val="24"/>
                <w:szCs w:val="24"/>
                <w:highlight w:val="none"/>
              </w:rPr>
              <w:tag w:val="_PLD_fdf987702b2e46a4aaa1e3f20787a76c"/>
              <w:id w:val="419915968"/>
              <w:lock w:val="sdtLocked"/>
            </w:sdtPr>
            <w:sdtEndPr>
              <w:rPr>
                <w:rFonts w:hint="eastAsia" w:ascii="仿宋" w:hAnsi="仿宋" w:eastAsia="仿宋" w:cs="仿宋"/>
                <w:snapToGrid/>
                <w:color w:val="auto"/>
                <w:sz w:val="24"/>
                <w:szCs w:val="24"/>
                <w:highlight w:val="none"/>
              </w:rPr>
            </w:sdtEndPr>
            <w:sdtContent>
              <w:p w14:paraId="50BE896E">
                <w:pPr>
                  <w:widowControl w:val="0"/>
                  <w:kinsoku/>
                  <w:autoSpaceDE/>
                  <w:autoSpaceDN/>
                  <w:adjustRightInd/>
                  <w:snapToGrid/>
                  <w:spacing w:line="360" w:lineRule="auto"/>
                  <w:jc w:val="center"/>
                  <w:textAlignment w:val="auto"/>
                  <w:rPr>
                    <w:rFonts w:ascii="仿宋" w:hAnsi="仿宋" w:eastAsia="仿宋" w:cs="仿宋"/>
                    <w:snapToGrid/>
                    <w:color w:val="auto"/>
                    <w:sz w:val="24"/>
                    <w:szCs w:val="24"/>
                    <w:highlight w:val="none"/>
                  </w:rPr>
                </w:pPr>
                <w:r>
                  <w:rPr>
                    <w:rFonts w:hint="eastAsia" w:ascii="仿宋" w:hAnsi="仿宋" w:eastAsia="仿宋" w:cs="仿宋"/>
                    <w:snapToGrid/>
                    <w:color w:val="auto"/>
                    <w:sz w:val="24"/>
                    <w:szCs w:val="24"/>
                    <w:highlight w:val="none"/>
                  </w:rPr>
                  <w:t>董事</w:t>
                </w:r>
              </w:p>
              <w:p w14:paraId="3637251E">
                <w:pPr>
                  <w:widowControl w:val="0"/>
                  <w:kinsoku/>
                  <w:autoSpaceDE/>
                  <w:autoSpaceDN/>
                  <w:adjustRightInd/>
                  <w:snapToGrid/>
                  <w:spacing w:line="360" w:lineRule="auto"/>
                  <w:jc w:val="center"/>
                  <w:textAlignment w:val="auto"/>
                  <w:rPr>
                    <w:rFonts w:ascii="仿宋" w:hAnsi="仿宋" w:eastAsia="仿宋" w:cs="仿宋"/>
                    <w:snapToGrid/>
                    <w:color w:val="auto"/>
                    <w:sz w:val="24"/>
                    <w:szCs w:val="24"/>
                    <w:highlight w:val="none"/>
                  </w:rPr>
                </w:pPr>
                <w:r>
                  <w:rPr>
                    <w:rFonts w:hint="eastAsia" w:ascii="仿宋" w:hAnsi="仿宋" w:eastAsia="仿宋" w:cs="仿宋"/>
                    <w:snapToGrid/>
                    <w:color w:val="auto"/>
                    <w:sz w:val="24"/>
                    <w:szCs w:val="24"/>
                    <w:highlight w:val="none"/>
                  </w:rPr>
                  <w:t>姓名</w:t>
                </w:r>
              </w:p>
            </w:sdtContent>
          </w:sdt>
        </w:tc>
        <w:sdt>
          <w:sdtPr>
            <w:rPr>
              <w:rFonts w:hint="eastAsia" w:ascii="仿宋" w:hAnsi="仿宋" w:eastAsia="仿宋" w:cs="仿宋"/>
              <w:color w:val="auto"/>
              <w:sz w:val="24"/>
              <w:szCs w:val="24"/>
              <w:highlight w:val="none"/>
            </w:rPr>
            <w:tag w:val="_PLD_8c944f740a3a4784938038ab19e3a6ed"/>
            <w:id w:val="-259754918"/>
            <w:lock w:val="sdtLocked"/>
          </w:sdtPr>
          <w:sdtEndPr>
            <w:rPr>
              <w:rFonts w:hint="eastAsia" w:ascii="仿宋" w:hAnsi="仿宋" w:eastAsia="仿宋" w:cs="仿宋"/>
              <w:snapToGrid/>
              <w:color w:val="auto"/>
              <w:sz w:val="24"/>
              <w:szCs w:val="24"/>
              <w:highlight w:val="none"/>
            </w:rPr>
          </w:sdtEndPr>
          <w:sdtContent>
            <w:tc>
              <w:tcPr>
                <w:tcW w:w="796" w:type="dxa"/>
                <w:vMerge w:val="restart"/>
                <w:vAlign w:val="center"/>
              </w:tcPr>
              <w:p w14:paraId="62206C74">
                <w:pPr>
                  <w:widowControl w:val="0"/>
                  <w:kinsoku/>
                  <w:autoSpaceDE/>
                  <w:autoSpaceDN/>
                  <w:adjustRightInd/>
                  <w:snapToGrid/>
                  <w:spacing w:line="360" w:lineRule="auto"/>
                  <w:jc w:val="center"/>
                  <w:textAlignment w:val="auto"/>
                  <w:rPr>
                    <w:rFonts w:ascii="仿宋" w:hAnsi="仿宋" w:eastAsia="仿宋" w:cs="仿宋"/>
                    <w:snapToGrid/>
                    <w:color w:val="auto"/>
                    <w:sz w:val="24"/>
                    <w:szCs w:val="24"/>
                    <w:highlight w:val="none"/>
                  </w:rPr>
                </w:pPr>
                <w:r>
                  <w:rPr>
                    <w:rFonts w:hint="eastAsia" w:ascii="仿宋" w:hAnsi="仿宋" w:eastAsia="仿宋" w:cs="仿宋"/>
                    <w:snapToGrid/>
                    <w:color w:val="auto"/>
                    <w:sz w:val="24"/>
                    <w:szCs w:val="24"/>
                    <w:highlight w:val="none"/>
                  </w:rPr>
                  <w:t>是否独立董事</w:t>
                </w:r>
              </w:p>
            </w:tc>
          </w:sdtContent>
        </w:sdt>
        <w:sdt>
          <w:sdtPr>
            <w:rPr>
              <w:rFonts w:hint="eastAsia" w:ascii="仿宋" w:hAnsi="仿宋" w:eastAsia="仿宋" w:cs="仿宋"/>
              <w:color w:val="auto"/>
              <w:sz w:val="24"/>
              <w:szCs w:val="24"/>
              <w:highlight w:val="none"/>
            </w:rPr>
            <w:tag w:val="_PLD_41002b55426142459adadb76d790d586"/>
            <w:id w:val="-26868293"/>
            <w:lock w:val="sdtLocked"/>
          </w:sdtPr>
          <w:sdtEndPr>
            <w:rPr>
              <w:rFonts w:hint="eastAsia" w:ascii="仿宋" w:hAnsi="仿宋" w:eastAsia="仿宋" w:cs="仿宋"/>
              <w:snapToGrid/>
              <w:color w:val="auto"/>
              <w:sz w:val="24"/>
              <w:szCs w:val="24"/>
              <w:highlight w:val="none"/>
            </w:rPr>
          </w:sdtEndPr>
          <w:sdtContent>
            <w:tc>
              <w:tcPr>
                <w:tcW w:w="5940" w:type="dxa"/>
                <w:gridSpan w:val="6"/>
                <w:vAlign w:val="center"/>
              </w:tcPr>
              <w:p w14:paraId="712C986D">
                <w:pPr>
                  <w:widowControl w:val="0"/>
                  <w:kinsoku/>
                  <w:autoSpaceDE/>
                  <w:autoSpaceDN/>
                  <w:adjustRightInd/>
                  <w:snapToGrid/>
                  <w:spacing w:line="360" w:lineRule="auto"/>
                  <w:jc w:val="center"/>
                  <w:textAlignment w:val="auto"/>
                  <w:rPr>
                    <w:rFonts w:ascii="仿宋" w:hAnsi="仿宋" w:eastAsia="仿宋" w:cs="仿宋"/>
                    <w:snapToGrid/>
                    <w:color w:val="auto"/>
                    <w:sz w:val="24"/>
                    <w:szCs w:val="24"/>
                    <w:highlight w:val="none"/>
                  </w:rPr>
                </w:pPr>
                <w:r>
                  <w:rPr>
                    <w:rFonts w:hint="eastAsia" w:ascii="仿宋" w:hAnsi="仿宋" w:eastAsia="仿宋" w:cs="仿宋"/>
                    <w:snapToGrid/>
                    <w:color w:val="auto"/>
                    <w:sz w:val="24"/>
                    <w:szCs w:val="24"/>
                    <w:highlight w:val="none"/>
                  </w:rPr>
                  <w:t>参加董事会情况</w:t>
                </w:r>
              </w:p>
            </w:tc>
          </w:sdtContent>
        </w:sdt>
        <w:sdt>
          <w:sdtPr>
            <w:rPr>
              <w:rFonts w:hint="eastAsia" w:ascii="仿宋" w:hAnsi="仿宋" w:eastAsia="仿宋" w:cs="仿宋"/>
              <w:color w:val="auto"/>
              <w:sz w:val="24"/>
              <w:szCs w:val="24"/>
              <w:highlight w:val="none"/>
            </w:rPr>
            <w:tag w:val="_PLD_a86ab0ba65874193bf46821cd6a13f4f"/>
            <w:id w:val="334508182"/>
            <w:lock w:val="sdtLocked"/>
          </w:sdtPr>
          <w:sdtEndPr>
            <w:rPr>
              <w:rFonts w:hint="eastAsia" w:ascii="仿宋" w:hAnsi="仿宋" w:eastAsia="仿宋" w:cs="仿宋"/>
              <w:snapToGrid/>
              <w:color w:val="auto"/>
              <w:sz w:val="24"/>
              <w:szCs w:val="24"/>
              <w:highlight w:val="none"/>
            </w:rPr>
          </w:sdtEndPr>
          <w:sdtContent>
            <w:tc>
              <w:tcPr>
                <w:tcW w:w="1404" w:type="dxa"/>
                <w:vAlign w:val="center"/>
              </w:tcPr>
              <w:p w14:paraId="0E1B871A">
                <w:pPr>
                  <w:widowControl w:val="0"/>
                  <w:kinsoku/>
                  <w:autoSpaceDE/>
                  <w:autoSpaceDN/>
                  <w:adjustRightInd/>
                  <w:snapToGrid/>
                  <w:spacing w:line="360" w:lineRule="auto"/>
                  <w:jc w:val="center"/>
                  <w:textAlignment w:val="auto"/>
                  <w:rPr>
                    <w:rFonts w:ascii="仿宋" w:hAnsi="仿宋" w:eastAsia="仿宋" w:cs="仿宋"/>
                    <w:snapToGrid/>
                    <w:color w:val="auto"/>
                    <w:sz w:val="24"/>
                    <w:szCs w:val="24"/>
                    <w:highlight w:val="none"/>
                  </w:rPr>
                </w:pPr>
                <w:r>
                  <w:rPr>
                    <w:rFonts w:hint="eastAsia" w:ascii="仿宋" w:hAnsi="仿宋" w:eastAsia="仿宋" w:cs="仿宋"/>
                    <w:snapToGrid/>
                    <w:color w:val="auto"/>
                    <w:sz w:val="24"/>
                    <w:szCs w:val="24"/>
                    <w:highlight w:val="none"/>
                  </w:rPr>
                  <w:t>参加股东会情况</w:t>
                </w:r>
              </w:p>
            </w:tc>
          </w:sdtContent>
        </w:sdt>
      </w:tr>
      <w:tr w14:paraId="39120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trPr>
        <w:tc>
          <w:tcPr>
            <w:tcW w:w="1017" w:type="dxa"/>
            <w:vMerge w:val="continue"/>
          </w:tcPr>
          <w:p w14:paraId="693C7ACE">
            <w:pPr>
              <w:widowControl w:val="0"/>
              <w:kinsoku/>
              <w:autoSpaceDE/>
              <w:autoSpaceDN/>
              <w:adjustRightInd/>
              <w:snapToGrid/>
              <w:spacing w:line="360" w:lineRule="auto"/>
              <w:jc w:val="center"/>
              <w:textAlignment w:val="auto"/>
              <w:rPr>
                <w:rFonts w:ascii="仿宋" w:hAnsi="仿宋" w:eastAsia="仿宋" w:cs="仿宋"/>
                <w:snapToGrid/>
                <w:color w:val="auto"/>
                <w:sz w:val="24"/>
                <w:szCs w:val="24"/>
                <w:highlight w:val="none"/>
              </w:rPr>
            </w:pPr>
          </w:p>
        </w:tc>
        <w:tc>
          <w:tcPr>
            <w:tcW w:w="796" w:type="dxa"/>
            <w:vMerge w:val="continue"/>
          </w:tcPr>
          <w:p w14:paraId="7B5DAE7E">
            <w:pPr>
              <w:widowControl w:val="0"/>
              <w:kinsoku/>
              <w:autoSpaceDE/>
              <w:autoSpaceDN/>
              <w:adjustRightInd/>
              <w:snapToGrid/>
              <w:spacing w:line="360" w:lineRule="auto"/>
              <w:jc w:val="center"/>
              <w:textAlignment w:val="auto"/>
              <w:rPr>
                <w:rFonts w:ascii="仿宋" w:hAnsi="仿宋" w:eastAsia="仿宋" w:cs="仿宋"/>
                <w:snapToGrid/>
                <w:color w:val="auto"/>
                <w:sz w:val="24"/>
                <w:szCs w:val="24"/>
                <w:highlight w:val="none"/>
              </w:rPr>
            </w:pPr>
          </w:p>
        </w:tc>
        <w:sdt>
          <w:sdtPr>
            <w:rPr>
              <w:rFonts w:hint="eastAsia" w:ascii="仿宋" w:hAnsi="仿宋" w:eastAsia="仿宋" w:cs="仿宋"/>
              <w:color w:val="auto"/>
              <w:sz w:val="24"/>
              <w:szCs w:val="24"/>
              <w:highlight w:val="none"/>
            </w:rPr>
            <w:tag w:val="_PLD_1be3bc3a3d894e22b017b70a7c691233"/>
            <w:id w:val="1266888258"/>
            <w:lock w:val="sdtLocked"/>
          </w:sdtPr>
          <w:sdtEndPr>
            <w:rPr>
              <w:rFonts w:hint="eastAsia" w:ascii="仿宋" w:hAnsi="仿宋" w:eastAsia="仿宋" w:cs="仿宋"/>
              <w:snapToGrid/>
              <w:color w:val="auto"/>
              <w:sz w:val="24"/>
              <w:szCs w:val="24"/>
              <w:highlight w:val="none"/>
            </w:rPr>
          </w:sdtEndPr>
          <w:sdtContent>
            <w:tc>
              <w:tcPr>
                <w:tcW w:w="1152" w:type="dxa"/>
                <w:vAlign w:val="center"/>
              </w:tcPr>
              <w:p w14:paraId="7CB51354">
                <w:pPr>
                  <w:widowControl w:val="0"/>
                  <w:kinsoku/>
                  <w:autoSpaceDE/>
                  <w:autoSpaceDN/>
                  <w:adjustRightInd/>
                  <w:snapToGrid/>
                  <w:spacing w:line="360" w:lineRule="auto"/>
                  <w:jc w:val="center"/>
                  <w:textAlignment w:val="auto"/>
                  <w:rPr>
                    <w:rFonts w:ascii="仿宋" w:hAnsi="仿宋" w:eastAsia="仿宋" w:cs="仿宋"/>
                    <w:snapToGrid/>
                    <w:color w:val="auto"/>
                    <w:sz w:val="24"/>
                    <w:szCs w:val="24"/>
                    <w:highlight w:val="none"/>
                  </w:rPr>
                </w:pPr>
                <w:r>
                  <w:rPr>
                    <w:rFonts w:hint="eastAsia" w:ascii="仿宋" w:hAnsi="仿宋" w:eastAsia="仿宋" w:cs="仿宋"/>
                    <w:snapToGrid/>
                    <w:color w:val="auto"/>
                    <w:sz w:val="24"/>
                    <w:szCs w:val="24"/>
                    <w:highlight w:val="none"/>
                  </w:rPr>
                  <w:t>本年应参加董事会次数</w:t>
                </w:r>
              </w:p>
            </w:tc>
          </w:sdtContent>
        </w:sdt>
        <w:sdt>
          <w:sdtPr>
            <w:rPr>
              <w:rFonts w:hint="eastAsia" w:ascii="仿宋" w:hAnsi="仿宋" w:eastAsia="仿宋" w:cs="仿宋"/>
              <w:color w:val="auto"/>
              <w:sz w:val="24"/>
              <w:szCs w:val="24"/>
              <w:highlight w:val="none"/>
            </w:rPr>
            <w:tag w:val="_PLD_3e45fc9802f241cb8e17735983417e9b"/>
            <w:id w:val="-362371327"/>
            <w:lock w:val="sdtLocked"/>
          </w:sdtPr>
          <w:sdtEndPr>
            <w:rPr>
              <w:rFonts w:hint="eastAsia" w:ascii="仿宋" w:hAnsi="仿宋" w:eastAsia="仿宋" w:cs="仿宋"/>
              <w:snapToGrid/>
              <w:color w:val="auto"/>
              <w:sz w:val="24"/>
              <w:szCs w:val="24"/>
              <w:highlight w:val="none"/>
            </w:rPr>
          </w:sdtEndPr>
          <w:sdtContent>
            <w:tc>
              <w:tcPr>
                <w:tcW w:w="950" w:type="dxa"/>
                <w:vAlign w:val="center"/>
              </w:tcPr>
              <w:p w14:paraId="6238C86F">
                <w:pPr>
                  <w:widowControl w:val="0"/>
                  <w:kinsoku/>
                  <w:autoSpaceDE/>
                  <w:autoSpaceDN/>
                  <w:adjustRightInd/>
                  <w:snapToGrid/>
                  <w:spacing w:line="360" w:lineRule="auto"/>
                  <w:jc w:val="center"/>
                  <w:textAlignment w:val="auto"/>
                  <w:rPr>
                    <w:rFonts w:ascii="仿宋" w:hAnsi="仿宋" w:eastAsia="仿宋" w:cs="仿宋"/>
                    <w:snapToGrid/>
                    <w:color w:val="auto"/>
                    <w:sz w:val="24"/>
                    <w:szCs w:val="24"/>
                    <w:highlight w:val="none"/>
                  </w:rPr>
                </w:pPr>
                <w:r>
                  <w:rPr>
                    <w:rFonts w:hint="eastAsia" w:ascii="仿宋" w:hAnsi="仿宋" w:eastAsia="仿宋" w:cs="仿宋"/>
                    <w:snapToGrid/>
                    <w:color w:val="auto"/>
                    <w:sz w:val="24"/>
                    <w:szCs w:val="24"/>
                    <w:highlight w:val="none"/>
                  </w:rPr>
                  <w:t>亲自出席次数</w:t>
                </w:r>
              </w:p>
            </w:tc>
          </w:sdtContent>
        </w:sdt>
        <w:sdt>
          <w:sdtPr>
            <w:rPr>
              <w:rFonts w:hint="eastAsia" w:ascii="仿宋" w:hAnsi="仿宋" w:eastAsia="仿宋" w:cs="仿宋"/>
              <w:color w:val="auto"/>
              <w:sz w:val="24"/>
              <w:szCs w:val="24"/>
              <w:highlight w:val="none"/>
            </w:rPr>
            <w:tag w:val="_PLD_5b2f1e699fe34def868fe8b765d768ba"/>
            <w:id w:val="1020672869"/>
            <w:lock w:val="sdtLocked"/>
          </w:sdtPr>
          <w:sdtEndPr>
            <w:rPr>
              <w:rFonts w:hint="eastAsia" w:ascii="仿宋" w:hAnsi="仿宋" w:eastAsia="仿宋" w:cs="仿宋"/>
              <w:snapToGrid/>
              <w:color w:val="auto"/>
              <w:sz w:val="24"/>
              <w:szCs w:val="24"/>
              <w:highlight w:val="none"/>
            </w:rPr>
          </w:sdtEndPr>
          <w:sdtContent>
            <w:tc>
              <w:tcPr>
                <w:tcW w:w="1003" w:type="dxa"/>
                <w:vAlign w:val="center"/>
              </w:tcPr>
              <w:p w14:paraId="09A5AB32">
                <w:pPr>
                  <w:widowControl w:val="0"/>
                  <w:kinsoku/>
                  <w:autoSpaceDE/>
                  <w:autoSpaceDN/>
                  <w:adjustRightInd/>
                  <w:snapToGrid/>
                  <w:spacing w:line="360" w:lineRule="auto"/>
                  <w:jc w:val="center"/>
                  <w:textAlignment w:val="auto"/>
                  <w:rPr>
                    <w:rFonts w:ascii="仿宋" w:hAnsi="仿宋" w:eastAsia="仿宋" w:cs="仿宋"/>
                    <w:snapToGrid/>
                    <w:color w:val="auto"/>
                    <w:sz w:val="24"/>
                    <w:szCs w:val="24"/>
                    <w:highlight w:val="none"/>
                  </w:rPr>
                </w:pPr>
                <w:r>
                  <w:rPr>
                    <w:rFonts w:hint="eastAsia" w:ascii="仿宋" w:hAnsi="仿宋" w:eastAsia="仿宋" w:cs="仿宋"/>
                    <w:snapToGrid/>
                    <w:color w:val="auto"/>
                    <w:sz w:val="24"/>
                    <w:szCs w:val="24"/>
                    <w:highlight w:val="none"/>
                  </w:rPr>
                  <w:t>以通讯方式参加次数</w:t>
                </w:r>
              </w:p>
            </w:tc>
          </w:sdtContent>
        </w:sdt>
        <w:sdt>
          <w:sdtPr>
            <w:rPr>
              <w:rFonts w:hint="eastAsia" w:ascii="仿宋" w:hAnsi="仿宋" w:eastAsia="仿宋" w:cs="仿宋"/>
              <w:color w:val="auto"/>
              <w:sz w:val="24"/>
              <w:szCs w:val="24"/>
              <w:highlight w:val="none"/>
            </w:rPr>
            <w:tag w:val="_PLD_981a0cb863d94703a5482c1ca67d4cb5"/>
            <w:id w:val="-188675750"/>
            <w:lock w:val="sdtLocked"/>
          </w:sdtPr>
          <w:sdtEndPr>
            <w:rPr>
              <w:rFonts w:hint="eastAsia" w:ascii="仿宋" w:hAnsi="仿宋" w:eastAsia="仿宋" w:cs="仿宋"/>
              <w:snapToGrid/>
              <w:color w:val="auto"/>
              <w:sz w:val="24"/>
              <w:szCs w:val="24"/>
              <w:highlight w:val="none"/>
            </w:rPr>
          </w:sdtEndPr>
          <w:sdtContent>
            <w:tc>
              <w:tcPr>
                <w:tcW w:w="938" w:type="dxa"/>
                <w:vAlign w:val="center"/>
              </w:tcPr>
              <w:p w14:paraId="1D00574B">
                <w:pPr>
                  <w:widowControl w:val="0"/>
                  <w:kinsoku/>
                  <w:autoSpaceDE/>
                  <w:autoSpaceDN/>
                  <w:adjustRightInd/>
                  <w:snapToGrid/>
                  <w:spacing w:line="360" w:lineRule="auto"/>
                  <w:jc w:val="center"/>
                  <w:textAlignment w:val="auto"/>
                  <w:rPr>
                    <w:rFonts w:ascii="仿宋" w:hAnsi="仿宋" w:eastAsia="仿宋" w:cs="仿宋"/>
                    <w:snapToGrid/>
                    <w:color w:val="auto"/>
                    <w:sz w:val="24"/>
                    <w:szCs w:val="24"/>
                    <w:highlight w:val="none"/>
                  </w:rPr>
                </w:pPr>
                <w:r>
                  <w:rPr>
                    <w:rFonts w:hint="eastAsia" w:ascii="仿宋" w:hAnsi="仿宋" w:eastAsia="仿宋" w:cs="仿宋"/>
                    <w:snapToGrid/>
                    <w:color w:val="auto"/>
                    <w:sz w:val="24"/>
                    <w:szCs w:val="24"/>
                    <w:highlight w:val="none"/>
                  </w:rPr>
                  <w:t>委托出席次数</w:t>
                </w:r>
              </w:p>
            </w:tc>
          </w:sdtContent>
        </w:sdt>
        <w:sdt>
          <w:sdtPr>
            <w:rPr>
              <w:rFonts w:hint="eastAsia" w:ascii="仿宋" w:hAnsi="仿宋" w:eastAsia="仿宋" w:cs="仿宋"/>
              <w:color w:val="auto"/>
              <w:sz w:val="24"/>
              <w:szCs w:val="24"/>
              <w:highlight w:val="none"/>
            </w:rPr>
            <w:tag w:val="_PLD_e955143b8973461bb11aa6e64e6bb542"/>
            <w:id w:val="183567938"/>
            <w:lock w:val="sdtLocked"/>
          </w:sdtPr>
          <w:sdtEndPr>
            <w:rPr>
              <w:rFonts w:hint="eastAsia" w:ascii="仿宋" w:hAnsi="仿宋" w:eastAsia="仿宋" w:cs="仿宋"/>
              <w:snapToGrid/>
              <w:color w:val="auto"/>
              <w:sz w:val="24"/>
              <w:szCs w:val="24"/>
              <w:highlight w:val="none"/>
            </w:rPr>
          </w:sdtEndPr>
          <w:sdtContent>
            <w:tc>
              <w:tcPr>
                <w:tcW w:w="875" w:type="dxa"/>
                <w:vAlign w:val="center"/>
              </w:tcPr>
              <w:p w14:paraId="73A05DD0">
                <w:pPr>
                  <w:widowControl w:val="0"/>
                  <w:kinsoku/>
                  <w:autoSpaceDE/>
                  <w:autoSpaceDN/>
                  <w:adjustRightInd/>
                  <w:snapToGrid/>
                  <w:spacing w:line="360" w:lineRule="auto"/>
                  <w:jc w:val="center"/>
                  <w:textAlignment w:val="auto"/>
                  <w:rPr>
                    <w:rFonts w:ascii="仿宋" w:hAnsi="仿宋" w:eastAsia="仿宋" w:cs="仿宋"/>
                    <w:snapToGrid/>
                    <w:color w:val="auto"/>
                    <w:sz w:val="24"/>
                    <w:szCs w:val="24"/>
                    <w:highlight w:val="none"/>
                  </w:rPr>
                </w:pPr>
                <w:r>
                  <w:rPr>
                    <w:rFonts w:hint="eastAsia" w:ascii="仿宋" w:hAnsi="仿宋" w:eastAsia="仿宋" w:cs="仿宋"/>
                    <w:snapToGrid/>
                    <w:color w:val="auto"/>
                    <w:sz w:val="24"/>
                    <w:szCs w:val="24"/>
                    <w:highlight w:val="none"/>
                  </w:rPr>
                  <w:t>缺席</w:t>
                </w:r>
              </w:p>
              <w:p w14:paraId="01E2AC47">
                <w:pPr>
                  <w:widowControl w:val="0"/>
                  <w:kinsoku/>
                  <w:autoSpaceDE/>
                  <w:autoSpaceDN/>
                  <w:adjustRightInd/>
                  <w:snapToGrid/>
                  <w:spacing w:line="360" w:lineRule="auto"/>
                  <w:jc w:val="center"/>
                  <w:textAlignment w:val="auto"/>
                  <w:rPr>
                    <w:rFonts w:ascii="仿宋" w:hAnsi="仿宋" w:eastAsia="仿宋" w:cs="仿宋"/>
                    <w:snapToGrid/>
                    <w:color w:val="auto"/>
                    <w:sz w:val="24"/>
                    <w:szCs w:val="24"/>
                    <w:highlight w:val="none"/>
                  </w:rPr>
                </w:pPr>
                <w:r>
                  <w:rPr>
                    <w:rFonts w:hint="eastAsia" w:ascii="仿宋" w:hAnsi="仿宋" w:eastAsia="仿宋" w:cs="仿宋"/>
                    <w:snapToGrid/>
                    <w:color w:val="auto"/>
                    <w:sz w:val="24"/>
                    <w:szCs w:val="24"/>
                    <w:highlight w:val="none"/>
                  </w:rPr>
                  <w:t>次数</w:t>
                </w:r>
              </w:p>
            </w:tc>
          </w:sdtContent>
        </w:sdt>
        <w:sdt>
          <w:sdtPr>
            <w:rPr>
              <w:rFonts w:hint="eastAsia" w:ascii="仿宋" w:hAnsi="仿宋" w:eastAsia="仿宋" w:cs="仿宋"/>
              <w:color w:val="auto"/>
              <w:sz w:val="24"/>
              <w:szCs w:val="24"/>
              <w:highlight w:val="none"/>
            </w:rPr>
            <w:tag w:val="_PLD_c94de7a455d94af5b8ffe4cc736c4b46"/>
            <w:id w:val="1450975485"/>
            <w:lock w:val="sdtLocked"/>
          </w:sdtPr>
          <w:sdtEndPr>
            <w:rPr>
              <w:rFonts w:hint="eastAsia" w:ascii="仿宋" w:hAnsi="仿宋" w:eastAsia="仿宋" w:cs="仿宋"/>
              <w:snapToGrid/>
              <w:color w:val="auto"/>
              <w:sz w:val="24"/>
              <w:szCs w:val="24"/>
              <w:highlight w:val="none"/>
            </w:rPr>
          </w:sdtEndPr>
          <w:sdtContent>
            <w:tc>
              <w:tcPr>
                <w:tcW w:w="1022" w:type="dxa"/>
                <w:vAlign w:val="center"/>
              </w:tcPr>
              <w:p w14:paraId="48D7EEC4">
                <w:pPr>
                  <w:widowControl w:val="0"/>
                  <w:kinsoku/>
                  <w:autoSpaceDE/>
                  <w:autoSpaceDN/>
                  <w:adjustRightInd/>
                  <w:snapToGrid/>
                  <w:spacing w:line="360" w:lineRule="auto"/>
                  <w:jc w:val="center"/>
                  <w:textAlignment w:val="auto"/>
                  <w:rPr>
                    <w:rFonts w:ascii="仿宋" w:hAnsi="仿宋" w:eastAsia="仿宋" w:cs="仿宋"/>
                    <w:snapToGrid/>
                    <w:color w:val="auto"/>
                    <w:sz w:val="24"/>
                    <w:szCs w:val="24"/>
                    <w:highlight w:val="none"/>
                  </w:rPr>
                </w:pPr>
                <w:r>
                  <w:rPr>
                    <w:rFonts w:hint="eastAsia" w:ascii="仿宋" w:hAnsi="仿宋" w:eastAsia="仿宋" w:cs="仿宋"/>
                    <w:snapToGrid/>
                    <w:color w:val="auto"/>
                    <w:sz w:val="24"/>
                    <w:szCs w:val="24"/>
                    <w:highlight w:val="none"/>
                  </w:rPr>
                  <w:t>是否连续两次未亲自参加会议</w:t>
                </w:r>
              </w:p>
            </w:tc>
          </w:sdtContent>
        </w:sdt>
        <w:sdt>
          <w:sdtPr>
            <w:rPr>
              <w:rFonts w:hint="eastAsia" w:ascii="仿宋" w:hAnsi="仿宋" w:eastAsia="仿宋" w:cs="仿宋"/>
              <w:color w:val="auto"/>
              <w:sz w:val="24"/>
              <w:szCs w:val="24"/>
              <w:highlight w:val="none"/>
            </w:rPr>
            <w:tag w:val="_PLD_7f17c2a5ff9540709fafff9460b0756d"/>
            <w:id w:val="-956106833"/>
            <w:lock w:val="sdtLocked"/>
          </w:sdtPr>
          <w:sdtEndPr>
            <w:rPr>
              <w:rFonts w:hint="eastAsia" w:ascii="仿宋" w:hAnsi="仿宋" w:eastAsia="仿宋" w:cs="仿宋"/>
              <w:snapToGrid/>
              <w:color w:val="auto"/>
              <w:sz w:val="24"/>
              <w:szCs w:val="24"/>
              <w:highlight w:val="none"/>
            </w:rPr>
          </w:sdtEndPr>
          <w:sdtContent>
            <w:tc>
              <w:tcPr>
                <w:tcW w:w="1404" w:type="dxa"/>
                <w:vAlign w:val="center"/>
              </w:tcPr>
              <w:p w14:paraId="0249198C">
                <w:pPr>
                  <w:widowControl w:val="0"/>
                  <w:kinsoku/>
                  <w:autoSpaceDE/>
                  <w:autoSpaceDN/>
                  <w:adjustRightInd/>
                  <w:snapToGrid/>
                  <w:spacing w:line="360" w:lineRule="auto"/>
                  <w:jc w:val="center"/>
                  <w:textAlignment w:val="auto"/>
                  <w:rPr>
                    <w:rFonts w:ascii="仿宋" w:hAnsi="仿宋" w:eastAsia="仿宋" w:cs="仿宋"/>
                    <w:b/>
                    <w:snapToGrid/>
                    <w:color w:val="auto"/>
                    <w:sz w:val="24"/>
                    <w:szCs w:val="24"/>
                    <w:highlight w:val="none"/>
                  </w:rPr>
                </w:pPr>
                <w:r>
                  <w:rPr>
                    <w:rFonts w:hint="eastAsia" w:ascii="仿宋" w:hAnsi="仿宋" w:eastAsia="仿宋" w:cs="仿宋"/>
                    <w:snapToGrid/>
                    <w:color w:val="auto"/>
                    <w:sz w:val="24"/>
                    <w:szCs w:val="24"/>
                    <w:highlight w:val="none"/>
                  </w:rPr>
                  <w:t>出席股东会的次数</w:t>
                </w:r>
              </w:p>
            </w:tc>
          </w:sdtContent>
        </w:sdt>
      </w:tr>
      <w:tr w14:paraId="0FC3A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trPr>
        <w:tc>
          <w:tcPr>
            <w:tcW w:w="1017" w:type="dxa"/>
          </w:tcPr>
          <w:p w14:paraId="633E687E">
            <w:pPr>
              <w:widowControl w:val="0"/>
              <w:kinsoku/>
              <w:autoSpaceDE/>
              <w:autoSpaceDN/>
              <w:adjustRightInd/>
              <w:snapToGrid/>
              <w:spacing w:line="360" w:lineRule="auto"/>
              <w:jc w:val="center"/>
              <w:textAlignment w:val="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沈江</w:t>
            </w:r>
          </w:p>
        </w:tc>
        <w:tc>
          <w:tcPr>
            <w:tcW w:w="796" w:type="dxa"/>
          </w:tcPr>
          <w:p w14:paraId="6FF0BC9E">
            <w:pPr>
              <w:widowControl w:val="0"/>
              <w:kinsoku/>
              <w:autoSpaceDE/>
              <w:autoSpaceDN/>
              <w:adjustRightInd/>
              <w:snapToGrid/>
              <w:spacing w:line="360" w:lineRule="auto"/>
              <w:jc w:val="center"/>
              <w:textAlignment w:val="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是</w:t>
            </w:r>
          </w:p>
        </w:tc>
        <w:tc>
          <w:tcPr>
            <w:tcW w:w="1152" w:type="dxa"/>
          </w:tcPr>
          <w:p w14:paraId="5CBF29B3">
            <w:pPr>
              <w:widowControl w:val="0"/>
              <w:kinsoku/>
              <w:autoSpaceDE/>
              <w:autoSpaceDN/>
              <w:adjustRightInd/>
              <w:snapToGrid/>
              <w:spacing w:line="360" w:lineRule="auto"/>
              <w:jc w:val="center"/>
              <w:textAlignment w:val="auto"/>
              <w:rPr>
                <w:rFonts w:ascii="仿宋" w:hAnsi="仿宋" w:eastAsia="仿宋" w:cs="仿宋"/>
                <w:snapToGrid/>
                <w:color w:val="auto"/>
                <w:sz w:val="24"/>
                <w:szCs w:val="24"/>
                <w:highlight w:val="none"/>
              </w:rPr>
            </w:pPr>
            <w:r>
              <w:rPr>
                <w:rFonts w:ascii="仿宋" w:hAnsi="仿宋" w:eastAsia="仿宋" w:cs="仿宋"/>
                <w:snapToGrid/>
                <w:color w:val="auto"/>
                <w:sz w:val="24"/>
                <w:szCs w:val="24"/>
                <w:highlight w:val="none"/>
              </w:rPr>
              <w:t>6</w:t>
            </w:r>
          </w:p>
        </w:tc>
        <w:tc>
          <w:tcPr>
            <w:tcW w:w="950" w:type="dxa"/>
          </w:tcPr>
          <w:p w14:paraId="5C340A20">
            <w:pPr>
              <w:widowControl w:val="0"/>
              <w:kinsoku/>
              <w:autoSpaceDE/>
              <w:autoSpaceDN/>
              <w:adjustRightInd/>
              <w:snapToGrid/>
              <w:spacing w:line="360" w:lineRule="auto"/>
              <w:jc w:val="center"/>
              <w:textAlignment w:val="auto"/>
              <w:rPr>
                <w:rFonts w:ascii="仿宋" w:hAnsi="仿宋" w:eastAsia="仿宋" w:cs="仿宋"/>
                <w:snapToGrid/>
                <w:color w:val="auto"/>
                <w:sz w:val="24"/>
                <w:szCs w:val="24"/>
                <w:highlight w:val="none"/>
              </w:rPr>
            </w:pPr>
            <w:r>
              <w:rPr>
                <w:rFonts w:ascii="仿宋" w:hAnsi="仿宋" w:eastAsia="仿宋" w:cs="仿宋"/>
                <w:snapToGrid/>
                <w:color w:val="auto"/>
                <w:sz w:val="24"/>
                <w:szCs w:val="24"/>
                <w:highlight w:val="none"/>
              </w:rPr>
              <w:t>6</w:t>
            </w:r>
          </w:p>
        </w:tc>
        <w:tc>
          <w:tcPr>
            <w:tcW w:w="1003" w:type="dxa"/>
          </w:tcPr>
          <w:p w14:paraId="4F6F8C37">
            <w:pPr>
              <w:widowControl w:val="0"/>
              <w:kinsoku/>
              <w:autoSpaceDE/>
              <w:autoSpaceDN/>
              <w:adjustRightInd/>
              <w:snapToGrid/>
              <w:spacing w:line="360" w:lineRule="auto"/>
              <w:jc w:val="center"/>
              <w:textAlignment w:val="auto"/>
              <w:rPr>
                <w:rFonts w:ascii="仿宋" w:hAnsi="仿宋" w:eastAsia="仿宋" w:cs="仿宋"/>
                <w:snapToGrid/>
                <w:color w:val="auto"/>
                <w:sz w:val="24"/>
                <w:szCs w:val="24"/>
                <w:highlight w:val="none"/>
              </w:rPr>
            </w:pPr>
            <w:r>
              <w:rPr>
                <w:rFonts w:ascii="仿宋" w:hAnsi="仿宋" w:eastAsia="仿宋" w:cs="仿宋"/>
                <w:snapToGrid/>
                <w:color w:val="auto"/>
                <w:sz w:val="24"/>
                <w:szCs w:val="24"/>
                <w:highlight w:val="none"/>
              </w:rPr>
              <w:t>5</w:t>
            </w:r>
          </w:p>
        </w:tc>
        <w:tc>
          <w:tcPr>
            <w:tcW w:w="938" w:type="dxa"/>
          </w:tcPr>
          <w:p w14:paraId="35270EE7">
            <w:pPr>
              <w:widowControl w:val="0"/>
              <w:kinsoku/>
              <w:autoSpaceDE/>
              <w:autoSpaceDN/>
              <w:adjustRightInd/>
              <w:snapToGrid/>
              <w:spacing w:line="360" w:lineRule="auto"/>
              <w:jc w:val="center"/>
              <w:textAlignment w:val="auto"/>
              <w:rPr>
                <w:rFonts w:ascii="仿宋" w:hAnsi="仿宋" w:eastAsia="仿宋" w:cs="仿宋"/>
                <w:snapToGrid/>
                <w:color w:val="auto"/>
                <w:sz w:val="24"/>
                <w:szCs w:val="24"/>
                <w:highlight w:val="none"/>
              </w:rPr>
            </w:pPr>
            <w:r>
              <w:rPr>
                <w:rFonts w:hint="eastAsia" w:ascii="仿宋" w:hAnsi="仿宋" w:eastAsia="仿宋" w:cs="仿宋"/>
                <w:snapToGrid/>
                <w:color w:val="auto"/>
                <w:sz w:val="24"/>
                <w:szCs w:val="24"/>
                <w:highlight w:val="none"/>
              </w:rPr>
              <w:t>0</w:t>
            </w:r>
          </w:p>
        </w:tc>
        <w:tc>
          <w:tcPr>
            <w:tcW w:w="875" w:type="dxa"/>
          </w:tcPr>
          <w:p w14:paraId="4CB2A482">
            <w:pPr>
              <w:widowControl w:val="0"/>
              <w:kinsoku/>
              <w:autoSpaceDE/>
              <w:autoSpaceDN/>
              <w:adjustRightInd/>
              <w:snapToGrid/>
              <w:spacing w:line="360" w:lineRule="auto"/>
              <w:jc w:val="center"/>
              <w:textAlignment w:val="auto"/>
              <w:rPr>
                <w:rFonts w:ascii="仿宋" w:hAnsi="仿宋" w:eastAsia="仿宋" w:cs="仿宋"/>
                <w:snapToGrid/>
                <w:color w:val="auto"/>
                <w:sz w:val="24"/>
                <w:szCs w:val="24"/>
                <w:highlight w:val="none"/>
              </w:rPr>
            </w:pPr>
            <w:r>
              <w:rPr>
                <w:rFonts w:hint="eastAsia" w:ascii="仿宋" w:hAnsi="仿宋" w:eastAsia="仿宋" w:cs="仿宋"/>
                <w:snapToGrid/>
                <w:color w:val="auto"/>
                <w:sz w:val="24"/>
                <w:szCs w:val="24"/>
                <w:highlight w:val="none"/>
              </w:rPr>
              <w:t>0</w:t>
            </w:r>
          </w:p>
        </w:tc>
        <w:tc>
          <w:tcPr>
            <w:tcW w:w="1022" w:type="dxa"/>
          </w:tcPr>
          <w:p w14:paraId="28074F8B">
            <w:pPr>
              <w:widowControl w:val="0"/>
              <w:kinsoku/>
              <w:autoSpaceDE/>
              <w:autoSpaceDN/>
              <w:adjustRightInd/>
              <w:snapToGrid/>
              <w:spacing w:line="360" w:lineRule="auto"/>
              <w:jc w:val="center"/>
              <w:textAlignment w:val="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否</w:t>
            </w:r>
          </w:p>
        </w:tc>
        <w:tc>
          <w:tcPr>
            <w:tcW w:w="1404" w:type="dxa"/>
          </w:tcPr>
          <w:p w14:paraId="05A8BAE5">
            <w:pPr>
              <w:widowControl w:val="0"/>
              <w:kinsoku/>
              <w:autoSpaceDE/>
              <w:autoSpaceDN/>
              <w:adjustRightInd/>
              <w:snapToGrid/>
              <w:spacing w:line="360" w:lineRule="auto"/>
              <w:jc w:val="center"/>
              <w:textAlignment w:val="auto"/>
              <w:rPr>
                <w:rFonts w:ascii="仿宋" w:hAnsi="仿宋" w:eastAsia="宋体" w:cs="仿宋"/>
                <w:snapToGrid/>
                <w:color w:val="auto"/>
                <w:sz w:val="24"/>
                <w:szCs w:val="24"/>
                <w:highlight w:val="none"/>
              </w:rPr>
            </w:pPr>
            <w:r>
              <w:rPr>
                <w:rFonts w:ascii="仿宋" w:hAnsi="仿宋" w:eastAsia="仿宋" w:cs="仿宋"/>
                <w:snapToGrid/>
                <w:color w:val="auto"/>
                <w:sz w:val="24"/>
                <w:szCs w:val="24"/>
                <w:highlight w:val="none"/>
              </w:rPr>
              <w:t>1</w:t>
            </w:r>
          </w:p>
        </w:tc>
      </w:tr>
    </w:tbl>
    <w:p w14:paraId="3BD353D4">
      <w:pPr>
        <w:spacing w:line="360" w:lineRule="auto"/>
        <w:ind w:right="125" w:firstLine="644" w:firstLineChars="200"/>
        <w:jc w:val="both"/>
        <w:rPr>
          <w:rFonts w:ascii="仿宋" w:hAnsi="仿宋" w:eastAsia="仿宋" w:cs="仿宋"/>
          <w:color w:val="auto"/>
          <w:spacing w:val="1"/>
          <w:sz w:val="32"/>
          <w:szCs w:val="32"/>
          <w:highlight w:val="none"/>
        </w:rPr>
      </w:pPr>
      <w:r>
        <w:rPr>
          <w:rFonts w:hint="eastAsia" w:ascii="仿宋" w:hAnsi="仿宋" w:eastAsia="仿宋" w:cs="仿宋"/>
          <w:color w:val="auto"/>
          <w:spacing w:val="1"/>
          <w:sz w:val="32"/>
          <w:szCs w:val="32"/>
          <w:highlight w:val="none"/>
        </w:rPr>
        <w:t>本人对提交董事会的议案进行认真审议，以独立、客观、审慎的态度行使表决权，本人认为公司重大经营事项和其他重大事项均履行了相关审批程序，合法有效，无提出异议的事项，也没有反对、弃权的情形。</w:t>
      </w:r>
    </w:p>
    <w:p w14:paraId="52F4B20E">
      <w:pPr>
        <w:spacing w:line="360" w:lineRule="auto"/>
        <w:ind w:firstLine="317" w:firstLineChars="100"/>
        <w:jc w:val="both"/>
        <w:rPr>
          <w:rFonts w:ascii="仿宋" w:hAnsi="仿宋" w:eastAsia="仿宋" w:cs="仿宋"/>
          <w:b/>
          <w:bCs/>
          <w:color w:val="auto"/>
          <w:spacing w:val="-2"/>
          <w:sz w:val="32"/>
          <w:szCs w:val="32"/>
          <w:highlight w:val="none"/>
        </w:rPr>
      </w:pPr>
      <w:r>
        <w:rPr>
          <w:rFonts w:hint="eastAsia" w:ascii="仿宋" w:hAnsi="仿宋" w:eastAsia="仿宋" w:cs="仿宋"/>
          <w:b/>
          <w:bCs/>
          <w:color w:val="auto"/>
          <w:spacing w:val="-2"/>
          <w:sz w:val="32"/>
          <w:szCs w:val="32"/>
          <w:highlight w:val="none"/>
        </w:rPr>
        <w:t>（二）参与董事会专门委员会工作情况</w:t>
      </w:r>
    </w:p>
    <w:p w14:paraId="615987C7">
      <w:pPr>
        <w:spacing w:line="360" w:lineRule="auto"/>
        <w:ind w:firstLine="632" w:firstLineChars="200"/>
        <w:jc w:val="both"/>
        <w:rPr>
          <w:rFonts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rPr>
        <w:t>报告期内，公司董事会下设四大专门委员会(战略、审计、提名、薪酬与考核委员会)，本人担任公司董事会薪酬与考核委员会主任委员、董事会提名委员会成员、董事会审计委员会成员。</w:t>
      </w:r>
    </w:p>
    <w:p w14:paraId="5754A260">
      <w:pPr>
        <w:spacing w:line="360" w:lineRule="auto"/>
        <w:ind w:firstLine="632" w:firstLineChars="200"/>
        <w:jc w:val="both"/>
        <w:rPr>
          <w:rFonts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rPr>
        <w:t>报告期内，公司共召开了</w:t>
      </w:r>
      <w:r>
        <w:rPr>
          <w:rFonts w:ascii="仿宋" w:hAnsi="仿宋" w:eastAsia="仿宋" w:cs="仿宋"/>
          <w:color w:val="auto"/>
          <w:spacing w:val="-2"/>
          <w:sz w:val="32"/>
          <w:szCs w:val="32"/>
          <w:highlight w:val="none"/>
        </w:rPr>
        <w:t>5</w:t>
      </w:r>
      <w:r>
        <w:rPr>
          <w:rFonts w:hint="eastAsia" w:ascii="仿宋" w:hAnsi="仿宋" w:eastAsia="仿宋" w:cs="仿宋"/>
          <w:color w:val="auto"/>
          <w:spacing w:val="-2"/>
          <w:sz w:val="32"/>
          <w:szCs w:val="32"/>
          <w:highlight w:val="none"/>
        </w:rPr>
        <w:t>次审计委员会和</w:t>
      </w:r>
      <w:r>
        <w:rPr>
          <w:rFonts w:ascii="仿宋" w:hAnsi="仿宋" w:eastAsia="仿宋" w:cs="仿宋"/>
          <w:color w:val="auto"/>
          <w:spacing w:val="-2"/>
          <w:sz w:val="32"/>
          <w:szCs w:val="32"/>
          <w:highlight w:val="none"/>
        </w:rPr>
        <w:t>3</w:t>
      </w:r>
      <w:r>
        <w:rPr>
          <w:rFonts w:hint="eastAsia" w:ascii="仿宋" w:hAnsi="仿宋" w:eastAsia="仿宋" w:cs="仿宋"/>
          <w:color w:val="auto"/>
          <w:spacing w:val="-2"/>
          <w:sz w:val="32"/>
          <w:szCs w:val="32"/>
          <w:highlight w:val="none"/>
        </w:rPr>
        <w:t>次薪酬与考核委员会会议。本人均严格按照公司董事会专门委员会相关工作规则的规定，亲自参加了相关会议，对相关议案进行了认真审查，未有提出反对或弃权的情况。本人利用自身所具备的专业知识和工作经验，忠实勤勉地履行职责，为公司董事会科学决策提供了建设性意见。</w:t>
      </w:r>
    </w:p>
    <w:p w14:paraId="14499C07">
      <w:pPr>
        <w:spacing w:line="360" w:lineRule="auto"/>
        <w:ind w:firstLine="635" w:firstLineChars="200"/>
        <w:jc w:val="both"/>
        <w:rPr>
          <w:rFonts w:ascii="仿宋" w:hAnsi="仿宋" w:eastAsia="仿宋" w:cs="仿宋"/>
          <w:b/>
          <w:bCs/>
          <w:color w:val="auto"/>
          <w:spacing w:val="-2"/>
          <w:sz w:val="32"/>
          <w:szCs w:val="32"/>
          <w:highlight w:val="none"/>
        </w:rPr>
      </w:pPr>
      <w:r>
        <w:rPr>
          <w:rFonts w:hint="eastAsia" w:ascii="仿宋" w:hAnsi="仿宋" w:eastAsia="仿宋" w:cs="仿宋"/>
          <w:b/>
          <w:bCs/>
          <w:color w:val="auto"/>
          <w:spacing w:val="-2"/>
          <w:sz w:val="32"/>
          <w:szCs w:val="32"/>
          <w:highlight w:val="none"/>
        </w:rPr>
        <w:t>（三）参与独立董事专门会议工作情况</w:t>
      </w:r>
    </w:p>
    <w:p w14:paraId="6595F7B8">
      <w:pPr>
        <w:spacing w:line="360" w:lineRule="auto"/>
        <w:ind w:firstLine="632" w:firstLineChars="200"/>
        <w:jc w:val="both"/>
        <w:rPr>
          <w:rFonts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rPr>
        <w:t>报告期内公司共召开</w:t>
      </w:r>
      <w:r>
        <w:rPr>
          <w:rFonts w:ascii="仿宋" w:hAnsi="仿宋" w:eastAsia="仿宋" w:cs="仿宋"/>
          <w:color w:val="auto"/>
          <w:spacing w:val="-2"/>
          <w:sz w:val="32"/>
          <w:szCs w:val="32"/>
          <w:highlight w:val="none"/>
        </w:rPr>
        <w:t>2</w:t>
      </w:r>
      <w:r>
        <w:rPr>
          <w:rFonts w:hint="eastAsia" w:ascii="仿宋" w:hAnsi="仿宋" w:eastAsia="仿宋" w:cs="仿宋"/>
          <w:color w:val="auto"/>
          <w:spacing w:val="-2"/>
          <w:sz w:val="32"/>
          <w:szCs w:val="32"/>
          <w:highlight w:val="none"/>
        </w:rPr>
        <w:t>次独立董事专门会议，本人均亲自出席，作为公司独立董事，积极履行独立董事专门会议成员职责：</w:t>
      </w:r>
    </w:p>
    <w:p w14:paraId="6E6BC681">
      <w:pPr>
        <w:spacing w:line="360" w:lineRule="auto"/>
        <w:ind w:firstLine="632" w:firstLineChars="200"/>
        <w:jc w:val="both"/>
        <w:rPr>
          <w:rFonts w:ascii="仿宋" w:hAnsi="仿宋" w:eastAsia="仿宋" w:cs="仿宋"/>
          <w:color w:val="auto"/>
          <w:spacing w:val="-2"/>
          <w:sz w:val="32"/>
          <w:szCs w:val="32"/>
          <w:highlight w:val="none"/>
        </w:rPr>
      </w:pPr>
      <w:bookmarkStart w:id="0" w:name="OLE_LINK3"/>
      <w:bookmarkStart w:id="1" w:name="OLE_LINK4"/>
      <w:r>
        <w:rPr>
          <w:rFonts w:hint="eastAsia" w:ascii="仿宋" w:hAnsi="仿宋" w:eastAsia="仿宋" w:cs="仿宋"/>
          <w:color w:val="auto"/>
          <w:spacing w:val="-2"/>
          <w:sz w:val="32"/>
          <w:szCs w:val="32"/>
          <w:highlight w:val="none"/>
        </w:rPr>
        <w:t>（1）</w:t>
      </w:r>
      <w:r>
        <w:rPr>
          <w:rFonts w:ascii="仿宋" w:hAnsi="仿宋" w:eastAsia="仿宋" w:cs="仿宋"/>
          <w:color w:val="auto"/>
          <w:sz w:val="32"/>
          <w:szCs w:val="32"/>
          <w:highlight w:val="none"/>
        </w:rPr>
        <w:t>202</w:t>
      </w:r>
      <w:r>
        <w:rPr>
          <w:rFonts w:hint="eastAsia" w:ascii="仿宋" w:hAnsi="仿宋" w:eastAsia="仿宋" w:cs="仿宋"/>
          <w:color w:val="auto"/>
          <w:sz w:val="32"/>
          <w:szCs w:val="32"/>
          <w:highlight w:val="none"/>
        </w:rPr>
        <w:t>5年</w:t>
      </w:r>
      <w:r>
        <w:rPr>
          <w:rFonts w:ascii="仿宋" w:hAnsi="仿宋" w:eastAsia="仿宋" w:cs="仿宋"/>
          <w:color w:val="auto"/>
          <w:sz w:val="32"/>
          <w:szCs w:val="32"/>
          <w:highlight w:val="none"/>
        </w:rPr>
        <w:t>3</w:t>
      </w:r>
      <w:r>
        <w:rPr>
          <w:rFonts w:hint="eastAsia" w:ascii="仿宋" w:hAnsi="仿宋" w:eastAsia="仿宋" w:cs="仿宋"/>
          <w:color w:val="auto"/>
          <w:sz w:val="32"/>
          <w:szCs w:val="32"/>
          <w:highlight w:val="none"/>
        </w:rPr>
        <w:t>月</w:t>
      </w:r>
      <w:r>
        <w:rPr>
          <w:rFonts w:ascii="仿宋" w:hAnsi="仿宋" w:eastAsia="仿宋" w:cs="仿宋"/>
          <w:color w:val="auto"/>
          <w:sz w:val="32"/>
          <w:szCs w:val="32"/>
          <w:highlight w:val="none"/>
        </w:rPr>
        <w:t>4</w:t>
      </w:r>
      <w:r>
        <w:rPr>
          <w:rFonts w:hint="eastAsia" w:ascii="仿宋" w:hAnsi="仿宋" w:eastAsia="仿宋" w:cs="仿宋"/>
          <w:color w:val="auto"/>
          <w:sz w:val="32"/>
          <w:szCs w:val="32"/>
          <w:highlight w:val="none"/>
        </w:rPr>
        <w:t>日，参加了第四届董事会独立董事专门会议第三次会议</w:t>
      </w:r>
      <w:r>
        <w:rPr>
          <w:rFonts w:hint="eastAsia" w:ascii="仿宋" w:hAnsi="仿宋" w:eastAsia="仿宋" w:cs="仿宋"/>
          <w:color w:val="auto"/>
          <w:spacing w:val="-2"/>
          <w:sz w:val="32"/>
          <w:szCs w:val="32"/>
          <w:highlight w:val="none"/>
        </w:rPr>
        <w:t>，审议通过了</w:t>
      </w:r>
      <w:r>
        <w:rPr>
          <w:rFonts w:hint="eastAsia" w:ascii="仿宋" w:hAnsi="仿宋" w:eastAsia="仿宋" w:cs="仿宋"/>
          <w:color w:val="auto"/>
          <w:sz w:val="32"/>
          <w:szCs w:val="32"/>
          <w:highlight w:val="none"/>
        </w:rPr>
        <w:t>以下议案</w:t>
      </w:r>
      <w:r>
        <w:rPr>
          <w:rFonts w:hint="eastAsia" w:ascii="仿宋" w:hAnsi="仿宋" w:eastAsia="仿宋" w:cs="仿宋"/>
          <w:color w:val="auto"/>
          <w:spacing w:val="-2"/>
          <w:sz w:val="32"/>
          <w:szCs w:val="32"/>
          <w:highlight w:val="none"/>
        </w:rPr>
        <w:t>：《关于增加</w:t>
      </w:r>
      <w:r>
        <w:rPr>
          <w:rFonts w:ascii="仿宋" w:hAnsi="仿宋" w:eastAsia="仿宋" w:cs="仿宋"/>
          <w:color w:val="auto"/>
          <w:spacing w:val="-2"/>
          <w:sz w:val="32"/>
          <w:szCs w:val="32"/>
          <w:highlight w:val="none"/>
        </w:rPr>
        <w:t>2025</w:t>
      </w:r>
      <w:r>
        <w:rPr>
          <w:rFonts w:hint="eastAsia" w:ascii="仿宋" w:hAnsi="仿宋" w:eastAsia="仿宋" w:cs="仿宋"/>
          <w:color w:val="auto"/>
          <w:spacing w:val="-2"/>
          <w:sz w:val="32"/>
          <w:szCs w:val="32"/>
          <w:highlight w:val="none"/>
        </w:rPr>
        <w:t>年度日常关联交易预计的议案》；</w:t>
      </w:r>
    </w:p>
    <w:p w14:paraId="073AA9E7">
      <w:pPr>
        <w:spacing w:line="360" w:lineRule="auto"/>
        <w:ind w:firstLine="640" w:firstLineChars="200"/>
        <w:jc w:val="both"/>
        <w:rPr>
          <w:rFonts w:ascii="仿宋" w:hAnsi="仿宋" w:eastAsia="仿宋" w:cs="仿宋"/>
          <w:b/>
          <w:bCs/>
          <w:color w:val="auto"/>
          <w:spacing w:val="-2"/>
          <w:sz w:val="32"/>
          <w:szCs w:val="32"/>
          <w:highlight w:val="none"/>
        </w:rPr>
      </w:pPr>
      <w:r>
        <w:rPr>
          <w:rFonts w:hint="eastAsia" w:ascii="仿宋" w:hAnsi="仿宋" w:eastAsia="仿宋" w:cs="仿宋"/>
          <w:color w:val="auto"/>
          <w:sz w:val="32"/>
          <w:szCs w:val="32"/>
          <w:highlight w:val="none"/>
        </w:rPr>
        <w:t>（</w:t>
      </w:r>
      <w:r>
        <w:rPr>
          <w:rFonts w:ascii="仿宋" w:hAnsi="仿宋" w:eastAsia="仿宋" w:cs="仿宋"/>
          <w:color w:val="auto"/>
          <w:sz w:val="32"/>
          <w:szCs w:val="32"/>
          <w:highlight w:val="none"/>
        </w:rPr>
        <w:t>2</w:t>
      </w:r>
      <w:r>
        <w:rPr>
          <w:rFonts w:hint="eastAsia" w:ascii="仿宋" w:hAnsi="仿宋" w:eastAsia="仿宋" w:cs="仿宋"/>
          <w:color w:val="auto"/>
          <w:sz w:val="32"/>
          <w:szCs w:val="32"/>
          <w:highlight w:val="none"/>
        </w:rPr>
        <w:t>）202</w:t>
      </w:r>
      <w:r>
        <w:rPr>
          <w:rFonts w:ascii="仿宋" w:hAnsi="仿宋" w:eastAsia="仿宋" w:cs="仿宋"/>
          <w:color w:val="auto"/>
          <w:sz w:val="32"/>
          <w:szCs w:val="32"/>
          <w:highlight w:val="none"/>
        </w:rPr>
        <w:t>5</w:t>
      </w:r>
      <w:r>
        <w:rPr>
          <w:rFonts w:hint="eastAsia" w:ascii="仿宋" w:hAnsi="仿宋" w:eastAsia="仿宋" w:cs="仿宋"/>
          <w:color w:val="auto"/>
          <w:sz w:val="32"/>
          <w:szCs w:val="32"/>
          <w:highlight w:val="none"/>
        </w:rPr>
        <w:t>年</w:t>
      </w:r>
      <w:r>
        <w:rPr>
          <w:rFonts w:ascii="仿宋" w:hAnsi="仿宋" w:eastAsia="仿宋" w:cs="仿宋"/>
          <w:color w:val="auto"/>
          <w:sz w:val="32"/>
          <w:szCs w:val="32"/>
          <w:highlight w:val="none"/>
        </w:rPr>
        <w:t>12</w:t>
      </w:r>
      <w:r>
        <w:rPr>
          <w:rFonts w:hint="eastAsia" w:ascii="仿宋" w:hAnsi="仿宋" w:eastAsia="仿宋" w:cs="仿宋"/>
          <w:color w:val="auto"/>
          <w:sz w:val="32"/>
          <w:szCs w:val="32"/>
          <w:highlight w:val="none"/>
        </w:rPr>
        <w:t>月</w:t>
      </w:r>
      <w:r>
        <w:rPr>
          <w:rFonts w:ascii="仿宋" w:hAnsi="仿宋" w:eastAsia="仿宋" w:cs="仿宋"/>
          <w:color w:val="auto"/>
          <w:sz w:val="32"/>
          <w:szCs w:val="32"/>
          <w:highlight w:val="none"/>
        </w:rPr>
        <w:t>9</w:t>
      </w:r>
      <w:r>
        <w:rPr>
          <w:rFonts w:hint="eastAsia" w:ascii="仿宋" w:hAnsi="仿宋" w:eastAsia="仿宋" w:cs="仿宋"/>
          <w:color w:val="auto"/>
          <w:sz w:val="32"/>
          <w:szCs w:val="32"/>
          <w:highlight w:val="none"/>
        </w:rPr>
        <w:t>日，参加了第四届董事会独立董事专门会议第四次会议</w:t>
      </w:r>
      <w:r>
        <w:rPr>
          <w:rFonts w:hint="eastAsia" w:ascii="仿宋" w:hAnsi="仿宋" w:eastAsia="仿宋" w:cs="仿宋"/>
          <w:color w:val="auto"/>
          <w:spacing w:val="-2"/>
          <w:sz w:val="32"/>
          <w:szCs w:val="32"/>
          <w:highlight w:val="none"/>
        </w:rPr>
        <w:t>，审议通过了</w:t>
      </w:r>
      <w:r>
        <w:rPr>
          <w:rFonts w:hint="eastAsia" w:ascii="仿宋" w:hAnsi="仿宋" w:eastAsia="仿宋" w:cs="仿宋"/>
          <w:color w:val="auto"/>
          <w:sz w:val="32"/>
          <w:szCs w:val="32"/>
          <w:highlight w:val="none"/>
        </w:rPr>
        <w:t>以下议案</w:t>
      </w:r>
      <w:r>
        <w:rPr>
          <w:rFonts w:hint="eastAsia" w:ascii="仿宋" w:hAnsi="仿宋" w:eastAsia="仿宋" w:cs="仿宋"/>
          <w:color w:val="auto"/>
          <w:spacing w:val="-2"/>
          <w:sz w:val="32"/>
          <w:szCs w:val="32"/>
          <w:highlight w:val="none"/>
        </w:rPr>
        <w:t>：《关于预计</w:t>
      </w:r>
      <w:r>
        <w:rPr>
          <w:rFonts w:ascii="仿宋" w:hAnsi="仿宋" w:eastAsia="仿宋" w:cs="仿宋"/>
          <w:color w:val="auto"/>
          <w:spacing w:val="-2"/>
          <w:sz w:val="32"/>
          <w:szCs w:val="32"/>
          <w:highlight w:val="none"/>
        </w:rPr>
        <w:t>2026</w:t>
      </w:r>
      <w:r>
        <w:rPr>
          <w:rFonts w:hint="eastAsia" w:ascii="仿宋" w:hAnsi="仿宋" w:eastAsia="仿宋" w:cs="仿宋"/>
          <w:color w:val="auto"/>
          <w:spacing w:val="-2"/>
          <w:sz w:val="32"/>
          <w:szCs w:val="32"/>
          <w:highlight w:val="none"/>
        </w:rPr>
        <w:t>年度日常关联交易的议案》。</w:t>
      </w:r>
    </w:p>
    <w:bookmarkEnd w:id="0"/>
    <w:bookmarkEnd w:id="1"/>
    <w:p w14:paraId="5EF5E9D2">
      <w:pPr>
        <w:spacing w:line="360" w:lineRule="auto"/>
        <w:ind w:firstLine="635" w:firstLineChars="200"/>
        <w:jc w:val="both"/>
        <w:rPr>
          <w:rFonts w:ascii="仿宋" w:hAnsi="仿宋" w:eastAsia="仿宋" w:cs="仿宋"/>
          <w:b/>
          <w:bCs/>
          <w:color w:val="auto"/>
          <w:spacing w:val="-2"/>
          <w:sz w:val="32"/>
          <w:szCs w:val="32"/>
          <w:highlight w:val="none"/>
        </w:rPr>
      </w:pPr>
      <w:r>
        <w:rPr>
          <w:rFonts w:hint="eastAsia" w:ascii="仿宋" w:hAnsi="仿宋" w:eastAsia="仿宋" w:cs="仿宋"/>
          <w:b/>
          <w:bCs/>
          <w:color w:val="auto"/>
          <w:spacing w:val="-2"/>
          <w:sz w:val="32"/>
          <w:szCs w:val="32"/>
          <w:highlight w:val="none"/>
        </w:rPr>
        <w:t>（四）其他履职事项</w:t>
      </w:r>
    </w:p>
    <w:p w14:paraId="1AEF8C98">
      <w:pPr>
        <w:spacing w:line="360" w:lineRule="auto"/>
        <w:ind w:firstLine="632" w:firstLineChars="200"/>
        <w:jc w:val="both"/>
        <w:rPr>
          <w:rFonts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rPr>
        <w:t>1、在公司现场及与公司沟通情况</w:t>
      </w:r>
    </w:p>
    <w:p w14:paraId="30F154BB">
      <w:pPr>
        <w:spacing w:line="360" w:lineRule="auto"/>
        <w:ind w:firstLine="632" w:firstLineChars="200"/>
        <w:jc w:val="both"/>
        <w:rPr>
          <w:rFonts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rPr>
        <w:t>一是持续收集并熟悉公司的背景资料及相关的财务报表信息，向公司相关事业部</w:t>
      </w:r>
      <w:r>
        <w:rPr>
          <w:rFonts w:hint="eastAsia" w:ascii="仿宋" w:hAnsi="仿宋" w:eastAsia="仿宋" w:cs="仿宋"/>
          <w:color w:val="auto"/>
          <w:spacing w:val="-2"/>
          <w:sz w:val="32"/>
          <w:szCs w:val="32"/>
          <w:highlight w:val="none"/>
          <w:lang w:eastAsia="zh-CN"/>
        </w:rPr>
        <w:t>了解</w:t>
      </w:r>
      <w:r>
        <w:rPr>
          <w:rFonts w:hint="eastAsia" w:ascii="仿宋" w:hAnsi="仿宋" w:eastAsia="仿宋" w:cs="仿宋"/>
          <w:color w:val="auto"/>
          <w:spacing w:val="-2"/>
          <w:sz w:val="32"/>
          <w:szCs w:val="32"/>
          <w:highlight w:val="none"/>
        </w:rPr>
        <w:t>公司主要产品相关的专业知识，对公司所在的行业与产品有进一步的了解。</w:t>
      </w:r>
    </w:p>
    <w:p w14:paraId="1923404E">
      <w:pPr>
        <w:spacing w:line="360" w:lineRule="auto"/>
        <w:ind w:firstLine="632" w:firstLineChars="200"/>
        <w:jc w:val="both"/>
        <w:rPr>
          <w:rFonts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rPr>
        <w:t>二是主动向证券投资部同事取得了公司内部控制相关的新版制度，并在平常进行了系统学习、了解。通过参会、走访调研、视频、电话等方式，定期获取公司运营情况等资料，及时获悉公司重大事项的进展情况，了解掌握公司运行动态。此外，还对公司证券事务代表及董事会秘书转发的有关政策文件与监管案例进行了认真学习。</w:t>
      </w:r>
    </w:p>
    <w:p w14:paraId="7D65BF61">
      <w:pPr>
        <w:spacing w:line="360" w:lineRule="auto"/>
        <w:ind w:firstLine="632" w:firstLineChars="200"/>
        <w:jc w:val="both"/>
        <w:rPr>
          <w:rFonts w:hint="default" w:ascii="仿宋" w:hAnsi="仿宋" w:eastAsia="仿宋" w:cs="仿宋"/>
          <w:color w:val="auto"/>
          <w:spacing w:val="-2"/>
          <w:sz w:val="32"/>
          <w:szCs w:val="32"/>
          <w:highlight w:val="none"/>
          <w:lang w:val="en-US" w:eastAsia="zh-CN"/>
        </w:rPr>
      </w:pPr>
      <w:r>
        <w:rPr>
          <w:rFonts w:hint="eastAsia" w:ascii="仿宋" w:hAnsi="仿宋" w:eastAsia="仿宋" w:cs="仿宋"/>
          <w:color w:val="auto"/>
          <w:spacing w:val="-2"/>
          <w:sz w:val="32"/>
          <w:szCs w:val="32"/>
          <w:highlight w:val="none"/>
        </w:rPr>
        <w:t>三是</w:t>
      </w:r>
      <w:r>
        <w:rPr>
          <w:rFonts w:hint="eastAsia" w:ascii="仿宋" w:hAnsi="仿宋" w:eastAsia="仿宋" w:cs="仿宋"/>
          <w:color w:val="auto"/>
          <w:spacing w:val="-2"/>
          <w:sz w:val="32"/>
          <w:szCs w:val="32"/>
          <w:highlight w:val="none"/>
          <w:lang w:val="en-US" w:eastAsia="zh-CN"/>
        </w:rPr>
        <w:t>定期研究变压器行业的发展动向，撰写每月一份变压器</w:t>
      </w:r>
      <w:r>
        <w:rPr>
          <w:rFonts w:hint="eastAsia" w:ascii="仿宋" w:hAnsi="仿宋" w:eastAsia="仿宋" w:cs="仿宋"/>
          <w:color w:val="auto"/>
          <w:spacing w:val="-2"/>
          <w:sz w:val="32"/>
          <w:szCs w:val="32"/>
          <w:highlight w:val="none"/>
        </w:rPr>
        <w:t>采购经理指数（PMI）分析报告</w:t>
      </w:r>
      <w:r>
        <w:rPr>
          <w:rFonts w:hint="eastAsia" w:ascii="仿宋" w:hAnsi="仿宋" w:eastAsia="仿宋" w:cs="仿宋"/>
          <w:color w:val="auto"/>
          <w:spacing w:val="-2"/>
          <w:sz w:val="32"/>
          <w:szCs w:val="32"/>
          <w:highlight w:val="none"/>
          <w:lang w:eastAsia="zh-CN"/>
        </w:rPr>
        <w:t>。</w:t>
      </w:r>
    </w:p>
    <w:p w14:paraId="1D492A53">
      <w:pPr>
        <w:spacing w:line="360" w:lineRule="auto"/>
        <w:ind w:firstLine="632" w:firstLineChars="200"/>
        <w:jc w:val="both"/>
        <w:rPr>
          <w:rFonts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rPr>
        <w:t>四是</w:t>
      </w:r>
      <w:r>
        <w:rPr>
          <w:rFonts w:hint="eastAsia" w:ascii="仿宋" w:hAnsi="仿宋" w:eastAsia="仿宋" w:cs="仿宋"/>
          <w:color w:val="auto"/>
          <w:spacing w:val="-2"/>
          <w:sz w:val="32"/>
          <w:szCs w:val="32"/>
          <w:highlight w:val="none"/>
          <w:lang w:val="en-US" w:eastAsia="zh-CN"/>
        </w:rPr>
        <w:t>不定期前往公司北京办事处进行业务指导。</w:t>
      </w:r>
    </w:p>
    <w:p w14:paraId="7ED98E23">
      <w:pPr>
        <w:spacing w:line="360" w:lineRule="auto"/>
        <w:ind w:firstLine="632" w:firstLineChars="200"/>
        <w:jc w:val="both"/>
        <w:rPr>
          <w:rFonts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rPr>
        <w:t>2、与内部审计机构及会计师事务所的沟通情况</w:t>
      </w:r>
    </w:p>
    <w:p w14:paraId="5241BE6F">
      <w:pPr>
        <w:spacing w:line="360" w:lineRule="auto"/>
        <w:ind w:firstLine="632" w:firstLineChars="200"/>
        <w:jc w:val="both"/>
        <w:rPr>
          <w:rFonts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rPr>
        <w:t>报告期内，本人与公司内部审计机构、年审会计师事务所积极沟通，与会计师事务所就年审计划、审计重点等事项进行了探讨和交流，共同推动审计工作的全面、高效开展。</w:t>
      </w:r>
    </w:p>
    <w:p w14:paraId="42AF6BAE">
      <w:pPr>
        <w:spacing w:line="360" w:lineRule="auto"/>
        <w:ind w:firstLine="632" w:firstLineChars="200"/>
        <w:jc w:val="both"/>
        <w:rPr>
          <w:rFonts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rPr>
        <w:t>本人通过行业公开信息关注了负责公司年审的天健会计师事务所，并及时与公司证券事务代表进行了沟通。在了解到负责公司年审的团队人员时，建议要求负责公司年报审计的天健团队应保持稳定性、独立性与专业胜任能力，并合理安排审计人员与时间，以确保公司年报审计的信息质量与按期披露。</w:t>
      </w:r>
    </w:p>
    <w:p w14:paraId="7B1AC3B0">
      <w:pPr>
        <w:spacing w:line="360" w:lineRule="auto"/>
        <w:ind w:firstLine="632" w:firstLineChars="200"/>
        <w:jc w:val="both"/>
        <w:rPr>
          <w:rFonts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rPr>
        <w:t>3、与中小股东的沟通情况</w:t>
      </w:r>
    </w:p>
    <w:p w14:paraId="02BBCA76">
      <w:pPr>
        <w:spacing w:line="360" w:lineRule="auto"/>
        <w:ind w:firstLine="632" w:firstLineChars="200"/>
        <w:jc w:val="both"/>
        <w:rPr>
          <w:rFonts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rPr>
        <w:t>报告期内，本人积极关注上证e互动等平台上公司股东的提问，了解公司股东的想法和关注事项；亦注重参与公司投资者管理方面的工作，切实维护全体股东尤其是中小股东的合法利益。</w:t>
      </w:r>
    </w:p>
    <w:p w14:paraId="1246A13F">
      <w:pPr>
        <w:spacing w:line="360" w:lineRule="auto"/>
        <w:ind w:firstLine="632" w:firstLineChars="200"/>
        <w:jc w:val="both"/>
        <w:rPr>
          <w:rFonts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rPr>
        <w:t>4、上市公司配合独立董事履职情况</w:t>
      </w:r>
    </w:p>
    <w:p w14:paraId="74BE8929">
      <w:pPr>
        <w:spacing w:line="360" w:lineRule="auto"/>
        <w:ind w:firstLine="632" w:firstLineChars="200"/>
        <w:jc w:val="both"/>
        <w:rPr>
          <w:rFonts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rPr>
        <w:t>公司为保证独立董事有效行使职权，为独立董事提供了必要的工作条件。在履职过程中，公司董事会、管理层和相关工作人员积极配合本人工作，及时提供本人开展工作所需信息、资料和协助，沟通与意见传达渠道通畅，本人提出的相关意见均得到了有效传导、及时响应与恰当处理。</w:t>
      </w:r>
    </w:p>
    <w:p w14:paraId="4394AABA">
      <w:pPr>
        <w:spacing w:line="360" w:lineRule="auto"/>
        <w:ind w:firstLine="644" w:firstLineChars="200"/>
        <w:jc w:val="both"/>
        <w:outlineLvl w:val="0"/>
        <w:rPr>
          <w:rFonts w:ascii="仿宋" w:hAnsi="仿宋" w:eastAsia="仿宋" w:cs="仿宋"/>
          <w:color w:val="auto"/>
          <w:sz w:val="32"/>
          <w:szCs w:val="32"/>
          <w:highlight w:val="none"/>
        </w:rPr>
      </w:pPr>
      <w:r>
        <w:rPr>
          <w:rFonts w:hint="eastAsia" w:ascii="仿宋" w:hAnsi="仿宋" w:eastAsia="仿宋" w:cs="仿宋"/>
          <w:color w:val="auto"/>
          <w:spacing w:val="1"/>
          <w:sz w:val="32"/>
          <w:szCs w:val="32"/>
          <w:highlight w:val="none"/>
          <w14:textOutline w14:w="4356" w14:cap="flat" w14:cmpd="sng" w14:algn="ctr">
            <w14:solidFill>
              <w14:srgbClr w14:val="000000"/>
            </w14:solidFill>
            <w14:prstDash w14:val="solid"/>
            <w14:miter w14:val="0"/>
          </w14:textOutline>
        </w:rPr>
        <w:t>三、202</w:t>
      </w:r>
      <w:r>
        <w:rPr>
          <w:rFonts w:ascii="仿宋" w:hAnsi="仿宋" w:eastAsia="仿宋" w:cs="仿宋"/>
          <w:color w:val="auto"/>
          <w:spacing w:val="1"/>
          <w:sz w:val="32"/>
          <w:szCs w:val="32"/>
          <w:highlight w:val="none"/>
          <w14:textOutline w14:w="4356" w14:cap="flat" w14:cmpd="sng" w14:algn="ctr">
            <w14:solidFill>
              <w14:srgbClr w14:val="000000"/>
            </w14:solidFill>
            <w14:prstDash w14:val="solid"/>
            <w14:miter w14:val="0"/>
          </w14:textOutline>
        </w:rPr>
        <w:t>5</w:t>
      </w:r>
      <w:r>
        <w:rPr>
          <w:rFonts w:hint="eastAsia" w:ascii="仿宋" w:hAnsi="仿宋" w:eastAsia="仿宋" w:cs="仿宋"/>
          <w:color w:val="auto"/>
          <w:spacing w:val="1"/>
          <w:sz w:val="32"/>
          <w:szCs w:val="32"/>
          <w:highlight w:val="none"/>
          <w14:textOutline w14:w="4356" w14:cap="flat" w14:cmpd="sng" w14:algn="ctr">
            <w14:solidFill>
              <w14:srgbClr w14:val="000000"/>
            </w14:solidFill>
            <w14:prstDash w14:val="solid"/>
            <w14:miter w14:val="0"/>
          </w14:textOutline>
        </w:rPr>
        <w:t>年度履职重点关注事项</w:t>
      </w:r>
    </w:p>
    <w:p w14:paraId="424C3B28">
      <w:pPr>
        <w:spacing w:line="360" w:lineRule="auto"/>
        <w:ind w:firstLine="632" w:firstLineChars="200"/>
        <w:jc w:val="both"/>
        <w:rPr>
          <w:rFonts w:ascii="仿宋" w:hAnsi="仿宋" w:eastAsia="仿宋" w:cs="仿宋"/>
          <w:color w:val="auto"/>
          <w:spacing w:val="-2"/>
          <w:sz w:val="32"/>
          <w:szCs w:val="32"/>
          <w:highlight w:val="none"/>
        </w:rPr>
      </w:pPr>
      <w:bookmarkStart w:id="2" w:name="OLE_LINK5"/>
      <w:bookmarkStart w:id="3" w:name="OLE_LINK2"/>
      <w:bookmarkStart w:id="4" w:name="OLE_LINK1"/>
      <w:r>
        <w:rPr>
          <w:rFonts w:hint="eastAsia" w:ascii="仿宋" w:hAnsi="仿宋" w:eastAsia="仿宋" w:cs="仿宋"/>
          <w:color w:val="auto"/>
          <w:spacing w:val="-2"/>
          <w:sz w:val="32"/>
          <w:szCs w:val="32"/>
          <w:highlight w:val="none"/>
        </w:rPr>
        <w:t>（一）应当披露的关联交易</w:t>
      </w:r>
    </w:p>
    <w:p w14:paraId="56EDFA16">
      <w:pPr>
        <w:spacing w:line="360" w:lineRule="auto"/>
        <w:ind w:firstLine="632" w:firstLineChars="200"/>
        <w:jc w:val="both"/>
        <w:rPr>
          <w:rFonts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rPr>
        <w:t>报告期内、本人履职期间，公司未发生应披露而未披露关联交易的情况。</w:t>
      </w:r>
    </w:p>
    <w:p w14:paraId="2F657E13">
      <w:pPr>
        <w:spacing w:line="360" w:lineRule="auto"/>
        <w:ind w:firstLine="632" w:firstLineChars="200"/>
        <w:jc w:val="both"/>
        <w:rPr>
          <w:rFonts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rPr>
        <w:t>（二）公司及相关方变更或豁免承诺的情况</w:t>
      </w:r>
    </w:p>
    <w:p w14:paraId="468DC6CC">
      <w:pPr>
        <w:spacing w:line="360" w:lineRule="auto"/>
        <w:ind w:firstLine="632" w:firstLineChars="200"/>
        <w:jc w:val="both"/>
        <w:rPr>
          <w:rFonts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rPr>
        <w:t>报告期内、本人履职期间，不存在公司及相关方变更或者豁免有关承诺的情况，也未出现公司及相关方违反公开承诺的情况。</w:t>
      </w:r>
    </w:p>
    <w:p w14:paraId="442C238A">
      <w:pPr>
        <w:spacing w:line="360" w:lineRule="auto"/>
        <w:ind w:firstLine="632" w:firstLineChars="200"/>
        <w:jc w:val="both"/>
        <w:rPr>
          <w:rFonts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rPr>
        <w:t>（三）被收购上市公司董事会针对收购所作出的决策及采取的措施情况</w:t>
      </w:r>
    </w:p>
    <w:p w14:paraId="6A28D929">
      <w:pPr>
        <w:spacing w:line="360" w:lineRule="auto"/>
        <w:ind w:firstLine="632" w:firstLineChars="200"/>
        <w:jc w:val="both"/>
        <w:rPr>
          <w:rFonts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rPr>
        <w:t>报告期内、本人履职期间，公司不存在适用此情况的情形。</w:t>
      </w:r>
    </w:p>
    <w:p w14:paraId="11642375">
      <w:pPr>
        <w:spacing w:line="360" w:lineRule="auto"/>
        <w:ind w:firstLine="632" w:firstLineChars="200"/>
        <w:jc w:val="both"/>
        <w:rPr>
          <w:rFonts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rPr>
        <w:t>（四）披露财务会计报告及定期报告中的财务信息、内部控制评价报告</w:t>
      </w:r>
    </w:p>
    <w:p w14:paraId="16D988C1">
      <w:pPr>
        <w:spacing w:line="360" w:lineRule="auto"/>
        <w:ind w:firstLine="632" w:firstLineChars="200"/>
        <w:jc w:val="both"/>
        <w:rPr>
          <w:rFonts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rPr>
        <w:t>报告期内、本人履职期间，公司披露了以下定期报告：《202</w:t>
      </w:r>
      <w:r>
        <w:rPr>
          <w:rFonts w:ascii="仿宋" w:hAnsi="仿宋" w:eastAsia="仿宋" w:cs="仿宋"/>
          <w:color w:val="auto"/>
          <w:spacing w:val="-2"/>
          <w:sz w:val="32"/>
          <w:szCs w:val="32"/>
          <w:highlight w:val="none"/>
        </w:rPr>
        <w:t>4</w:t>
      </w:r>
      <w:r>
        <w:rPr>
          <w:rFonts w:hint="eastAsia" w:ascii="仿宋" w:hAnsi="仿宋" w:eastAsia="仿宋" w:cs="仿宋"/>
          <w:color w:val="auto"/>
          <w:spacing w:val="-2"/>
          <w:sz w:val="32"/>
          <w:szCs w:val="32"/>
          <w:highlight w:val="none"/>
        </w:rPr>
        <w:t>年年度报告》《202</w:t>
      </w:r>
      <w:r>
        <w:rPr>
          <w:rFonts w:ascii="仿宋" w:hAnsi="仿宋" w:eastAsia="仿宋" w:cs="仿宋"/>
          <w:color w:val="auto"/>
          <w:spacing w:val="-2"/>
          <w:sz w:val="32"/>
          <w:szCs w:val="32"/>
          <w:highlight w:val="none"/>
        </w:rPr>
        <w:t>5</w:t>
      </w:r>
      <w:r>
        <w:rPr>
          <w:rFonts w:hint="eastAsia" w:ascii="仿宋" w:hAnsi="仿宋" w:eastAsia="仿宋" w:cs="仿宋"/>
          <w:color w:val="auto"/>
          <w:spacing w:val="-2"/>
          <w:sz w:val="32"/>
          <w:szCs w:val="32"/>
          <w:highlight w:val="none"/>
        </w:rPr>
        <w:t>年第一季度报告》《202</w:t>
      </w:r>
      <w:r>
        <w:rPr>
          <w:rFonts w:ascii="仿宋" w:hAnsi="仿宋" w:eastAsia="仿宋" w:cs="仿宋"/>
          <w:color w:val="auto"/>
          <w:spacing w:val="-2"/>
          <w:sz w:val="32"/>
          <w:szCs w:val="32"/>
          <w:highlight w:val="none"/>
        </w:rPr>
        <w:t>5</w:t>
      </w:r>
      <w:r>
        <w:rPr>
          <w:rFonts w:hint="eastAsia" w:ascii="仿宋" w:hAnsi="仿宋" w:eastAsia="仿宋" w:cs="仿宋"/>
          <w:color w:val="auto"/>
          <w:spacing w:val="-2"/>
          <w:sz w:val="32"/>
          <w:szCs w:val="32"/>
          <w:highlight w:val="none"/>
        </w:rPr>
        <w:t>年半年度报告》《2</w:t>
      </w:r>
      <w:r>
        <w:rPr>
          <w:rFonts w:ascii="仿宋" w:hAnsi="仿宋" w:eastAsia="仿宋" w:cs="仿宋"/>
          <w:color w:val="auto"/>
          <w:spacing w:val="-2"/>
          <w:sz w:val="32"/>
          <w:szCs w:val="32"/>
          <w:highlight w:val="none"/>
        </w:rPr>
        <w:t>025</w:t>
      </w:r>
      <w:r>
        <w:rPr>
          <w:rFonts w:hint="eastAsia" w:ascii="仿宋" w:hAnsi="仿宋" w:eastAsia="仿宋" w:cs="仿宋"/>
          <w:color w:val="auto"/>
          <w:spacing w:val="-2"/>
          <w:sz w:val="32"/>
          <w:szCs w:val="32"/>
          <w:highlight w:val="none"/>
        </w:rPr>
        <w:t>年第三季度报告》；且披露了《202</w:t>
      </w:r>
      <w:r>
        <w:rPr>
          <w:rFonts w:ascii="仿宋" w:hAnsi="仿宋" w:eastAsia="仿宋" w:cs="仿宋"/>
          <w:color w:val="auto"/>
          <w:spacing w:val="-2"/>
          <w:sz w:val="32"/>
          <w:szCs w:val="32"/>
          <w:highlight w:val="none"/>
        </w:rPr>
        <w:t>4</w:t>
      </w:r>
      <w:r>
        <w:rPr>
          <w:rFonts w:hint="eastAsia" w:ascii="仿宋" w:hAnsi="仿宋" w:eastAsia="仿宋" w:cs="仿宋"/>
          <w:color w:val="auto"/>
          <w:spacing w:val="-2"/>
          <w:sz w:val="32"/>
          <w:szCs w:val="32"/>
          <w:highlight w:val="none"/>
        </w:rPr>
        <w:t>年度内部控制自我评价报告》。</w:t>
      </w:r>
    </w:p>
    <w:p w14:paraId="1FC9F3F0">
      <w:pPr>
        <w:spacing w:line="360" w:lineRule="auto"/>
        <w:ind w:firstLine="632" w:firstLineChars="200"/>
        <w:jc w:val="both"/>
        <w:rPr>
          <w:rFonts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rPr>
        <w:t>（五）聘用、解聘承办上市公司审计业务的会计师事务所</w:t>
      </w:r>
    </w:p>
    <w:p w14:paraId="41F6ADF6">
      <w:pPr>
        <w:spacing w:line="360" w:lineRule="auto"/>
        <w:ind w:firstLine="632" w:firstLineChars="200"/>
        <w:jc w:val="both"/>
        <w:rPr>
          <w:rFonts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rPr>
        <w:t>报告期内、本人履职期间，公司报告期内，公司续</w:t>
      </w:r>
      <w:r>
        <w:rPr>
          <w:rFonts w:hint="eastAsia" w:ascii="仿宋" w:hAnsi="仿宋" w:eastAsia="仿宋" w:cs="仿宋"/>
          <w:color w:val="auto"/>
          <w:kern w:val="2"/>
          <w:sz w:val="32"/>
          <w:szCs w:val="32"/>
          <w:highlight w:val="none"/>
        </w:rPr>
        <w:t>聘天健会计师事务所为公司202</w:t>
      </w:r>
      <w:r>
        <w:rPr>
          <w:rFonts w:ascii="仿宋" w:hAnsi="仿宋" w:eastAsia="仿宋" w:cs="仿宋"/>
          <w:color w:val="auto"/>
          <w:kern w:val="2"/>
          <w:sz w:val="32"/>
          <w:szCs w:val="32"/>
          <w:highlight w:val="none"/>
        </w:rPr>
        <w:t>5</w:t>
      </w:r>
      <w:r>
        <w:rPr>
          <w:rFonts w:hint="eastAsia" w:ascii="仿宋" w:hAnsi="仿宋" w:eastAsia="仿宋" w:cs="仿宋"/>
          <w:color w:val="auto"/>
          <w:kern w:val="2"/>
          <w:sz w:val="32"/>
          <w:szCs w:val="32"/>
          <w:highlight w:val="none"/>
        </w:rPr>
        <w:t>年度审计机构。</w:t>
      </w:r>
    </w:p>
    <w:p w14:paraId="10959AB8">
      <w:pPr>
        <w:spacing w:line="360" w:lineRule="auto"/>
        <w:ind w:firstLine="632" w:firstLineChars="200"/>
        <w:jc w:val="both"/>
        <w:rPr>
          <w:rFonts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rPr>
        <w:t>（六）聘任或者解聘公司财务负责人</w:t>
      </w:r>
    </w:p>
    <w:p w14:paraId="21FE770A">
      <w:pPr>
        <w:spacing w:line="360" w:lineRule="auto"/>
        <w:ind w:firstLine="632" w:firstLineChars="200"/>
        <w:jc w:val="both"/>
        <w:rPr>
          <w:rFonts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rPr>
        <w:t>报告期内、本人履职期间，公司未发生聘任或者解聘公司财务负责人的情况。</w:t>
      </w:r>
    </w:p>
    <w:p w14:paraId="4944F06D">
      <w:pPr>
        <w:spacing w:line="360" w:lineRule="auto"/>
        <w:ind w:firstLine="632" w:firstLineChars="200"/>
        <w:jc w:val="both"/>
        <w:rPr>
          <w:rFonts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rPr>
        <w:t>（七）因会计准则变更以外的原因作出会计政策、会计估计变更或者重大会计差错更正</w:t>
      </w:r>
    </w:p>
    <w:p w14:paraId="6AD35890">
      <w:pPr>
        <w:spacing w:line="360" w:lineRule="auto"/>
        <w:ind w:firstLine="632" w:firstLineChars="200"/>
        <w:jc w:val="both"/>
        <w:rPr>
          <w:rFonts w:hint="eastAsia"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rPr>
        <w:t>报告期内、本人履职期间，公司存在因国家统一的会计制度要求作出的会计政策变更，对公司财务状况、经营成果和现金流量无重大影响，不存在损害公司及全体股东利益的情形。除此之外，不存在因会计准则变更以外的原因作出会计政策、会计估计变更或者重大会计差错更正。</w:t>
      </w:r>
    </w:p>
    <w:p w14:paraId="3F30309F">
      <w:pPr>
        <w:spacing w:line="360" w:lineRule="auto"/>
        <w:ind w:firstLine="632" w:firstLineChars="200"/>
        <w:jc w:val="both"/>
        <w:rPr>
          <w:rFonts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rPr>
        <w:t>（八）提名或者任免董事，聘任或者解聘高级管理人员</w:t>
      </w:r>
    </w:p>
    <w:p w14:paraId="27BA27BB">
      <w:pPr>
        <w:spacing w:line="360" w:lineRule="auto"/>
        <w:ind w:firstLine="632" w:firstLineChars="200"/>
        <w:jc w:val="both"/>
        <w:rPr>
          <w:rFonts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rPr>
        <w:t>报告期内、本人履职期间，公司不存在聘任公司高级管理人员的情况。</w:t>
      </w:r>
    </w:p>
    <w:p w14:paraId="7DDA9E95">
      <w:pPr>
        <w:spacing w:line="360" w:lineRule="auto"/>
        <w:ind w:firstLine="632" w:firstLineChars="200"/>
        <w:jc w:val="both"/>
        <w:rPr>
          <w:rFonts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rPr>
        <w:t>（九）董事、高级管理人员的薪酬及股权激励计划有关事项</w:t>
      </w:r>
    </w:p>
    <w:p w14:paraId="7297D815">
      <w:pPr>
        <w:spacing w:line="360" w:lineRule="auto"/>
        <w:ind w:firstLine="632" w:firstLineChars="200"/>
        <w:jc w:val="both"/>
        <w:rPr>
          <w:rFonts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rPr>
        <w:t>本人对公司董事、高级管理人员薪酬及薪酬方案情况进行了审核，不存在损害公司及股东利益的情形。</w:t>
      </w:r>
    </w:p>
    <w:p w14:paraId="77644819">
      <w:pPr>
        <w:spacing w:line="360" w:lineRule="auto"/>
        <w:ind w:firstLine="632" w:firstLineChars="200"/>
        <w:jc w:val="both"/>
        <w:rPr>
          <w:rFonts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rPr>
        <w:t>报告期内，本人持续关注股权激励计划进展，认真审议了限制性股票等相关议案并发表独立意见，股权激励事项符合《上市公司股权激励管理办法》</w:t>
      </w:r>
      <w:bookmarkStart w:id="5" w:name="_GoBack"/>
      <w:bookmarkEnd w:id="5"/>
      <w:r>
        <w:rPr>
          <w:rFonts w:hint="eastAsia" w:ascii="仿宋" w:hAnsi="仿宋" w:eastAsia="仿宋" w:cs="仿宋"/>
          <w:color w:val="auto"/>
          <w:spacing w:val="-2"/>
          <w:sz w:val="32"/>
          <w:szCs w:val="32"/>
          <w:highlight w:val="none"/>
        </w:rPr>
        <w:t>等法律法规以及终止实施</w:t>
      </w:r>
      <w:r>
        <w:rPr>
          <w:rFonts w:ascii="仿宋" w:hAnsi="仿宋" w:eastAsia="仿宋" w:cs="仿宋"/>
          <w:color w:val="auto"/>
          <w:spacing w:val="-2"/>
          <w:sz w:val="32"/>
          <w:szCs w:val="32"/>
          <w:highlight w:val="none"/>
        </w:rPr>
        <w:t>2024</w:t>
      </w:r>
      <w:r>
        <w:rPr>
          <w:rFonts w:hint="eastAsia" w:ascii="仿宋" w:hAnsi="仿宋" w:eastAsia="仿宋" w:cs="仿宋"/>
          <w:color w:val="auto"/>
          <w:spacing w:val="-2"/>
          <w:sz w:val="32"/>
          <w:szCs w:val="32"/>
          <w:highlight w:val="none"/>
        </w:rPr>
        <w:t>年限制性股票激励计划的规定，程序合法、合规</w:t>
      </w:r>
      <w:r>
        <w:rPr>
          <w:rFonts w:hint="eastAsia" w:ascii="仿宋" w:hAnsi="仿宋" w:eastAsia="仿宋" w:cs="仿宋"/>
          <w:color w:val="auto"/>
          <w:spacing w:val="-2"/>
          <w:sz w:val="32"/>
          <w:szCs w:val="32"/>
          <w:highlight w:val="none"/>
          <w:lang w:eastAsia="zh-CN"/>
        </w:rPr>
        <w:t>，对</w:t>
      </w:r>
      <w:r>
        <w:rPr>
          <w:rFonts w:hint="eastAsia" w:ascii="仿宋" w:hAnsi="仿宋" w:eastAsia="仿宋" w:cs="仿宋"/>
          <w:color w:val="auto"/>
          <w:spacing w:val="-2"/>
          <w:sz w:val="32"/>
          <w:szCs w:val="32"/>
          <w:highlight w:val="none"/>
        </w:rPr>
        <w:t>限制性股票进行终止和回购注销相关股票。</w:t>
      </w:r>
    </w:p>
    <w:bookmarkEnd w:id="2"/>
    <w:bookmarkEnd w:id="3"/>
    <w:bookmarkEnd w:id="4"/>
    <w:p w14:paraId="023AF9F5">
      <w:pPr>
        <w:spacing w:line="360" w:lineRule="auto"/>
        <w:ind w:firstLine="635" w:firstLineChars="200"/>
        <w:jc w:val="both"/>
        <w:rPr>
          <w:rFonts w:ascii="仿宋" w:hAnsi="仿宋" w:eastAsia="仿宋" w:cs="仿宋"/>
          <w:b/>
          <w:bCs/>
          <w:color w:val="auto"/>
          <w:spacing w:val="-2"/>
          <w:sz w:val="32"/>
          <w:szCs w:val="32"/>
          <w:highlight w:val="none"/>
        </w:rPr>
      </w:pPr>
      <w:r>
        <w:rPr>
          <w:rFonts w:hint="eastAsia" w:ascii="仿宋" w:hAnsi="仿宋" w:eastAsia="仿宋" w:cs="仿宋"/>
          <w:b/>
          <w:bCs/>
          <w:color w:val="auto"/>
          <w:spacing w:val="-2"/>
          <w:sz w:val="32"/>
          <w:szCs w:val="32"/>
          <w:highlight w:val="none"/>
        </w:rPr>
        <w:t>四、履职情况总体评价</w:t>
      </w:r>
    </w:p>
    <w:p w14:paraId="1A7FA869">
      <w:pPr>
        <w:spacing w:line="360" w:lineRule="auto"/>
        <w:ind w:firstLine="632" w:firstLineChars="200"/>
        <w:jc w:val="both"/>
        <w:rPr>
          <w:rFonts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rPr>
        <w:t>担任公司独立董事以来，本人勤勉、忠实地履行了独立董事的各项职责，充分发挥了决策、监督与咨询作用，有效维护了公司及全体股东的利益。在勤勉义务方面，202</w:t>
      </w:r>
      <w:r>
        <w:rPr>
          <w:rFonts w:ascii="仿宋" w:hAnsi="仿宋" w:eastAsia="仿宋" w:cs="仿宋"/>
          <w:color w:val="auto"/>
          <w:spacing w:val="-2"/>
          <w:sz w:val="32"/>
          <w:szCs w:val="32"/>
          <w:highlight w:val="none"/>
        </w:rPr>
        <w:t>5</w:t>
      </w:r>
      <w:r>
        <w:rPr>
          <w:rFonts w:hint="eastAsia" w:ascii="仿宋" w:hAnsi="仿宋" w:eastAsia="仿宋" w:cs="仿宋"/>
          <w:color w:val="auto"/>
          <w:spacing w:val="-2"/>
          <w:sz w:val="32"/>
          <w:szCs w:val="32"/>
          <w:highlight w:val="none"/>
        </w:rPr>
        <w:t>年期间，本人为公司工作的时间约为</w:t>
      </w:r>
      <w:r>
        <w:rPr>
          <w:rFonts w:hint="eastAsia" w:ascii="仿宋" w:hAnsi="仿宋" w:eastAsia="仿宋" w:cs="仿宋"/>
          <w:color w:val="auto"/>
          <w:spacing w:val="-2"/>
          <w:sz w:val="32"/>
          <w:szCs w:val="32"/>
          <w:highlight w:val="none"/>
          <w:lang w:val="en-US" w:eastAsia="zh-CN"/>
        </w:rPr>
        <w:t>21.5</w:t>
      </w:r>
      <w:r>
        <w:rPr>
          <w:rFonts w:hint="eastAsia" w:ascii="仿宋" w:hAnsi="仿宋" w:eastAsia="仿宋" w:cs="仿宋"/>
          <w:color w:val="auto"/>
          <w:spacing w:val="-2"/>
          <w:sz w:val="32"/>
          <w:szCs w:val="32"/>
          <w:highlight w:val="none"/>
        </w:rPr>
        <w:t>个工作日（其中现场工作时间为</w:t>
      </w:r>
      <w:r>
        <w:rPr>
          <w:rFonts w:hint="eastAsia" w:ascii="仿宋" w:hAnsi="仿宋" w:eastAsia="仿宋" w:cs="仿宋"/>
          <w:color w:val="auto"/>
          <w:spacing w:val="-2"/>
          <w:sz w:val="32"/>
          <w:szCs w:val="32"/>
          <w:highlight w:val="none"/>
          <w:lang w:val="en-US" w:eastAsia="zh-CN"/>
        </w:rPr>
        <w:t>21.5</w:t>
      </w:r>
      <w:r>
        <w:rPr>
          <w:rFonts w:hint="eastAsia" w:ascii="仿宋" w:hAnsi="仿宋" w:eastAsia="仿宋" w:cs="仿宋"/>
          <w:color w:val="auto"/>
          <w:spacing w:val="-2"/>
          <w:sz w:val="32"/>
          <w:szCs w:val="32"/>
          <w:highlight w:val="none"/>
        </w:rPr>
        <w:t>个工作日），积极履行了各项职责。在忠实义务方面，本人积极维护公司整体利益，不存在履职过程中接受不正当利益、利用在公司地位和职权谋取私利、擅自泄露公司商业秘密、利用关联关系损害公司利益等情形，本职与兼职工作与公司独立董事职务均不存在利益冲突，并已如实告知公司有关情况。在独立性方面，根据《上市公司独立董事管理办法》，本人已开展独立董事独立性自查，本人持续符合独立性要求，并持续独立履职，未受公司及主要股东、实际控制人的影响。</w:t>
      </w:r>
    </w:p>
    <w:p w14:paraId="3B5ED70C">
      <w:pPr>
        <w:spacing w:line="360" w:lineRule="auto"/>
        <w:ind w:firstLine="632" w:firstLineChars="200"/>
        <w:jc w:val="both"/>
        <w:rPr>
          <w:rFonts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rPr>
        <w:t>202</w:t>
      </w:r>
      <w:r>
        <w:rPr>
          <w:rFonts w:ascii="仿宋" w:hAnsi="仿宋" w:eastAsia="仿宋" w:cs="仿宋"/>
          <w:color w:val="auto"/>
          <w:spacing w:val="-2"/>
          <w:sz w:val="32"/>
          <w:szCs w:val="32"/>
          <w:highlight w:val="none"/>
        </w:rPr>
        <w:t>6</w:t>
      </w:r>
      <w:r>
        <w:rPr>
          <w:rFonts w:hint="eastAsia" w:ascii="仿宋" w:hAnsi="仿宋" w:eastAsia="仿宋" w:cs="仿宋"/>
          <w:color w:val="auto"/>
          <w:spacing w:val="-2"/>
          <w:sz w:val="32"/>
          <w:szCs w:val="32"/>
          <w:highlight w:val="none"/>
        </w:rPr>
        <w:t>年，本人将继续本着对全体股东和公司利益高度负责的精神，认真、勤勉、忠实地履行好独立董事的“三项”职责，加强与其他董事及管理层的沟通，发挥审计委员会的专业职责，提高董事会的决策质量，切实维护公司整体利益和全体股东的合法权益。</w:t>
      </w:r>
    </w:p>
    <w:p w14:paraId="17DDA3C8">
      <w:pPr>
        <w:spacing w:line="360" w:lineRule="auto"/>
        <w:ind w:firstLine="632" w:firstLineChars="200"/>
        <w:jc w:val="both"/>
        <w:rPr>
          <w:rFonts w:ascii="仿宋" w:hAnsi="仿宋" w:eastAsia="仿宋" w:cs="仿宋"/>
          <w:color w:val="auto"/>
          <w:spacing w:val="-2"/>
          <w:sz w:val="32"/>
          <w:szCs w:val="32"/>
          <w:highlight w:val="none"/>
        </w:rPr>
      </w:pPr>
    </w:p>
    <w:p w14:paraId="312B081E">
      <w:pPr>
        <w:spacing w:line="360" w:lineRule="auto"/>
        <w:ind w:firstLine="632" w:firstLineChars="200"/>
        <w:jc w:val="both"/>
        <w:rPr>
          <w:rFonts w:ascii="仿宋" w:hAnsi="仿宋" w:eastAsia="仿宋" w:cs="仿宋"/>
          <w:color w:val="auto"/>
          <w:spacing w:val="-2"/>
          <w:sz w:val="32"/>
          <w:szCs w:val="32"/>
          <w:highlight w:val="none"/>
        </w:rPr>
      </w:pPr>
    </w:p>
    <w:p w14:paraId="3356A789">
      <w:pPr>
        <w:spacing w:line="360" w:lineRule="auto"/>
        <w:ind w:firstLine="632" w:firstLineChars="200"/>
        <w:rPr>
          <w:rFonts w:hint="eastAsia" w:ascii="仿宋" w:hAnsi="仿宋" w:eastAsia="仿宋" w:cs="仿宋"/>
          <w:color w:val="auto"/>
          <w:spacing w:val="-2"/>
          <w:sz w:val="32"/>
          <w:szCs w:val="32"/>
          <w:highlight w:val="none"/>
        </w:rPr>
      </w:pPr>
      <w:r>
        <w:rPr>
          <w:rFonts w:hint="eastAsia" w:ascii="仿宋" w:hAnsi="仿宋" w:eastAsia="仿宋" w:cs="仿宋"/>
          <w:color w:val="auto"/>
          <w:spacing w:val="-2"/>
          <w:sz w:val="32"/>
          <w:szCs w:val="32"/>
          <w:highlight w:val="none"/>
        </w:rPr>
        <w:t>特此报告。</w:t>
      </w:r>
    </w:p>
    <w:p w14:paraId="702F4393">
      <w:pPr>
        <w:spacing w:line="360" w:lineRule="auto"/>
        <w:ind w:firstLine="632" w:firstLineChars="200"/>
        <w:rPr>
          <w:rFonts w:hint="eastAsia" w:ascii="仿宋" w:hAnsi="仿宋" w:eastAsia="仿宋" w:cs="仿宋"/>
          <w:color w:val="auto"/>
          <w:spacing w:val="-2"/>
          <w:sz w:val="32"/>
          <w:szCs w:val="32"/>
          <w:highlight w:val="none"/>
        </w:rPr>
      </w:pPr>
    </w:p>
    <w:p w14:paraId="1416FFC2">
      <w:pPr>
        <w:spacing w:line="360" w:lineRule="auto"/>
        <w:ind w:firstLine="632" w:firstLineChars="200"/>
        <w:jc w:val="right"/>
        <w:rPr>
          <w:rFonts w:hint="eastAsia" w:ascii="仿宋" w:hAnsi="仿宋" w:eastAsia="仿宋" w:cs="仿宋"/>
          <w:color w:val="auto"/>
          <w:spacing w:val="-2"/>
          <w:sz w:val="32"/>
          <w:szCs w:val="32"/>
          <w:highlight w:val="none"/>
          <w:lang w:val="en-US" w:eastAsia="zh-CN"/>
        </w:rPr>
      </w:pPr>
      <w:r>
        <w:rPr>
          <w:rFonts w:hint="eastAsia" w:ascii="仿宋" w:hAnsi="仿宋" w:eastAsia="仿宋" w:cs="仿宋"/>
          <w:color w:val="auto"/>
          <w:spacing w:val="-2"/>
          <w:sz w:val="32"/>
          <w:szCs w:val="32"/>
          <w:highlight w:val="none"/>
          <w:lang w:val="en-US" w:eastAsia="zh-CN"/>
        </w:rPr>
        <w:t>沈江</w:t>
      </w:r>
    </w:p>
    <w:p w14:paraId="6F092E8D">
      <w:pPr>
        <w:spacing w:line="360" w:lineRule="auto"/>
        <w:ind w:firstLine="632" w:firstLineChars="200"/>
        <w:jc w:val="right"/>
        <w:rPr>
          <w:rFonts w:hint="default" w:ascii="仿宋" w:hAnsi="仿宋" w:eastAsia="仿宋" w:cs="仿宋"/>
          <w:color w:val="auto"/>
          <w:spacing w:val="-2"/>
          <w:sz w:val="32"/>
          <w:szCs w:val="32"/>
          <w:highlight w:val="none"/>
          <w:lang w:val="en-US" w:eastAsia="zh-CN"/>
        </w:rPr>
      </w:pPr>
      <w:r>
        <w:rPr>
          <w:rFonts w:hint="eastAsia" w:ascii="仿宋" w:hAnsi="仿宋" w:eastAsia="仿宋" w:cs="仿宋"/>
          <w:color w:val="auto"/>
          <w:spacing w:val="-2"/>
          <w:sz w:val="32"/>
          <w:szCs w:val="32"/>
          <w:highlight w:val="none"/>
          <w:lang w:val="en-US" w:eastAsia="zh-CN"/>
        </w:rPr>
        <w:t>2026年4月2日</w:t>
      </w:r>
    </w:p>
    <w:sectPr>
      <w:pgSz w:w="11906" w:h="16838"/>
      <w:pgMar w:top="1440" w:right="1800" w:bottom="1440" w:left="1800" w:header="454"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C30662"/>
    <w:multiLevelType w:val="singleLevel"/>
    <w:tmpl w:val="86C30662"/>
    <w:lvl w:ilvl="0" w:tentative="0">
      <w:start w:val="1"/>
      <w:numFmt w:val="chineseCounting"/>
      <w:suff w:val="nothing"/>
      <w:lvlText w:val="（%1）"/>
      <w:lvlJc w:val="left"/>
      <w:rPr>
        <w:rFonts w:hint="eastAsia"/>
      </w:rPr>
    </w:lvl>
  </w:abstractNum>
  <w:abstractNum w:abstractNumId="1">
    <w:nsid w:val="03FE5756"/>
    <w:multiLevelType w:val="multilevel"/>
    <w:tmpl w:val="03FE5756"/>
    <w:lvl w:ilvl="0" w:tentative="0">
      <w:start w:val="2"/>
      <w:numFmt w:val="japaneseCounting"/>
      <w:lvlText w:val="%1、"/>
      <w:lvlJc w:val="left"/>
      <w:pPr>
        <w:ind w:left="1360" w:hanging="720"/>
      </w:pPr>
      <w:rPr>
        <w:rFonts w:hint="default"/>
      </w:rPr>
    </w:lvl>
    <w:lvl w:ilvl="1" w:tentative="0">
      <w:start w:val="1"/>
      <w:numFmt w:val="lowerLetter"/>
      <w:lvlText w:val="%2)"/>
      <w:lvlJc w:val="left"/>
      <w:pPr>
        <w:ind w:left="1520" w:hanging="440"/>
      </w:pPr>
    </w:lvl>
    <w:lvl w:ilvl="2" w:tentative="0">
      <w:start w:val="1"/>
      <w:numFmt w:val="lowerRoman"/>
      <w:lvlText w:val="%3."/>
      <w:lvlJc w:val="right"/>
      <w:pPr>
        <w:ind w:left="1960" w:hanging="440"/>
      </w:pPr>
    </w:lvl>
    <w:lvl w:ilvl="3" w:tentative="0">
      <w:start w:val="1"/>
      <w:numFmt w:val="decimal"/>
      <w:lvlText w:val="%4."/>
      <w:lvlJc w:val="left"/>
      <w:pPr>
        <w:ind w:left="2400" w:hanging="440"/>
      </w:pPr>
    </w:lvl>
    <w:lvl w:ilvl="4" w:tentative="0">
      <w:start w:val="1"/>
      <w:numFmt w:val="lowerLetter"/>
      <w:lvlText w:val="%5)"/>
      <w:lvlJc w:val="left"/>
      <w:pPr>
        <w:ind w:left="2840" w:hanging="440"/>
      </w:pPr>
    </w:lvl>
    <w:lvl w:ilvl="5" w:tentative="0">
      <w:start w:val="1"/>
      <w:numFmt w:val="lowerRoman"/>
      <w:lvlText w:val="%6."/>
      <w:lvlJc w:val="right"/>
      <w:pPr>
        <w:ind w:left="3280" w:hanging="440"/>
      </w:pPr>
    </w:lvl>
    <w:lvl w:ilvl="6" w:tentative="0">
      <w:start w:val="1"/>
      <w:numFmt w:val="decimal"/>
      <w:lvlText w:val="%7."/>
      <w:lvlJc w:val="left"/>
      <w:pPr>
        <w:ind w:left="3720" w:hanging="440"/>
      </w:pPr>
    </w:lvl>
    <w:lvl w:ilvl="7" w:tentative="0">
      <w:start w:val="1"/>
      <w:numFmt w:val="lowerLetter"/>
      <w:lvlText w:val="%8)"/>
      <w:lvlJc w:val="left"/>
      <w:pPr>
        <w:ind w:left="4160" w:hanging="440"/>
      </w:pPr>
    </w:lvl>
    <w:lvl w:ilvl="8" w:tentative="0">
      <w:start w:val="1"/>
      <w:numFmt w:val="lowerRoman"/>
      <w:lvlText w:val="%9."/>
      <w:lvlJc w:val="right"/>
      <w:pPr>
        <w:ind w:left="4600" w:hanging="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g2YWRmZGU0MDUxMGY0NWQyMTNhNjJiOTc3NzFiMjIifQ=="/>
  </w:docVars>
  <w:rsids>
    <w:rsidRoot w:val="0DCD5ABB"/>
    <w:rsid w:val="00014381"/>
    <w:rsid w:val="00035CB4"/>
    <w:rsid w:val="000F3EE5"/>
    <w:rsid w:val="0011676F"/>
    <w:rsid w:val="001206E4"/>
    <w:rsid w:val="00151E7C"/>
    <w:rsid w:val="001E53E8"/>
    <w:rsid w:val="002A3879"/>
    <w:rsid w:val="002B50CC"/>
    <w:rsid w:val="002B51DF"/>
    <w:rsid w:val="002F4EA2"/>
    <w:rsid w:val="003E4B86"/>
    <w:rsid w:val="003E72F3"/>
    <w:rsid w:val="003F3654"/>
    <w:rsid w:val="004507E6"/>
    <w:rsid w:val="0046056F"/>
    <w:rsid w:val="00481CD7"/>
    <w:rsid w:val="004A2011"/>
    <w:rsid w:val="00514647"/>
    <w:rsid w:val="0052002F"/>
    <w:rsid w:val="005751F2"/>
    <w:rsid w:val="0059735B"/>
    <w:rsid w:val="005B22C4"/>
    <w:rsid w:val="005C54B9"/>
    <w:rsid w:val="005E5950"/>
    <w:rsid w:val="0063438D"/>
    <w:rsid w:val="006E512E"/>
    <w:rsid w:val="0071674D"/>
    <w:rsid w:val="007673C6"/>
    <w:rsid w:val="007A5C48"/>
    <w:rsid w:val="00837D5D"/>
    <w:rsid w:val="008A5119"/>
    <w:rsid w:val="008F11A6"/>
    <w:rsid w:val="00932739"/>
    <w:rsid w:val="00973B0D"/>
    <w:rsid w:val="00982571"/>
    <w:rsid w:val="00985A69"/>
    <w:rsid w:val="009872AF"/>
    <w:rsid w:val="009A2130"/>
    <w:rsid w:val="009B5027"/>
    <w:rsid w:val="009C7B5C"/>
    <w:rsid w:val="009D2F8D"/>
    <w:rsid w:val="009F7B6E"/>
    <w:rsid w:val="00AC18D4"/>
    <w:rsid w:val="00B14C83"/>
    <w:rsid w:val="00B6112A"/>
    <w:rsid w:val="00C23CA9"/>
    <w:rsid w:val="00C2528F"/>
    <w:rsid w:val="00C50572"/>
    <w:rsid w:val="00CB4FB3"/>
    <w:rsid w:val="00D33F04"/>
    <w:rsid w:val="00E277CC"/>
    <w:rsid w:val="00EA2B55"/>
    <w:rsid w:val="00F149E1"/>
    <w:rsid w:val="00F336A3"/>
    <w:rsid w:val="00F83487"/>
    <w:rsid w:val="00FA5F66"/>
    <w:rsid w:val="00FE3434"/>
    <w:rsid w:val="06A4782F"/>
    <w:rsid w:val="0A543559"/>
    <w:rsid w:val="0DCD5ABB"/>
    <w:rsid w:val="102E23FD"/>
    <w:rsid w:val="10DC1AA9"/>
    <w:rsid w:val="14293E20"/>
    <w:rsid w:val="15A038B8"/>
    <w:rsid w:val="16B62558"/>
    <w:rsid w:val="20325CC4"/>
    <w:rsid w:val="2D4D0935"/>
    <w:rsid w:val="36C0343A"/>
    <w:rsid w:val="37A13306"/>
    <w:rsid w:val="3BCA7FC4"/>
    <w:rsid w:val="3E4F338F"/>
    <w:rsid w:val="5204005C"/>
    <w:rsid w:val="52CD73C5"/>
    <w:rsid w:val="538B4884"/>
    <w:rsid w:val="60DC5F0B"/>
    <w:rsid w:val="611F02DD"/>
    <w:rsid w:val="68850524"/>
    <w:rsid w:val="6C2E163F"/>
    <w:rsid w:val="6E7A7215"/>
    <w:rsid w:val="6F5A7CFE"/>
    <w:rsid w:val="7652119E"/>
    <w:rsid w:val="7F9D46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style>
  <w:style w:type="paragraph" w:styleId="3">
    <w:name w:val="Balloon Text"/>
    <w:basedOn w:val="1"/>
    <w:link w:val="13"/>
    <w:qFormat/>
    <w:uiPriority w:val="0"/>
    <w:rPr>
      <w:sz w:val="18"/>
      <w:szCs w:val="18"/>
    </w:rPr>
  </w:style>
  <w:style w:type="paragraph" w:styleId="4">
    <w:name w:val="footer"/>
    <w:basedOn w:val="1"/>
    <w:autoRedefine/>
    <w:qFormat/>
    <w:uiPriority w:val="0"/>
    <w:pPr>
      <w:tabs>
        <w:tab w:val="center" w:pos="4153"/>
        <w:tab w:val="right" w:pos="8306"/>
      </w:tabs>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table" w:styleId="7">
    <w:name w:val="Table Grid"/>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9">
    <w:name w:val="annotation reference"/>
    <w:basedOn w:val="8"/>
    <w:qFormat/>
    <w:uiPriority w:val="0"/>
    <w:rPr>
      <w:sz w:val="21"/>
      <w:szCs w:val="21"/>
    </w:rPr>
  </w:style>
  <w:style w:type="paragraph" w:styleId="10">
    <w:name w:val="List Paragraph"/>
    <w:basedOn w:val="1"/>
    <w:autoRedefine/>
    <w:unhideWhenUsed/>
    <w:qFormat/>
    <w:uiPriority w:val="99"/>
    <w:pPr>
      <w:ind w:firstLine="420" w:firstLineChars="200"/>
    </w:pPr>
  </w:style>
  <w:style w:type="paragraph" w:customStyle="1" w:styleId="11">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2">
    <w:name w:val="修订1"/>
    <w:hidden/>
    <w:unhideWhenUsed/>
    <w:qFormat/>
    <w:uiPriority w:val="99"/>
    <w:rPr>
      <w:rFonts w:ascii="Arial" w:hAnsi="Arial" w:eastAsia="Arial" w:cs="Arial"/>
      <w:snapToGrid w:val="0"/>
      <w:color w:val="000000"/>
      <w:sz w:val="21"/>
      <w:szCs w:val="21"/>
      <w:lang w:val="en-US" w:eastAsia="zh-CN" w:bidi="ar-SA"/>
    </w:rPr>
  </w:style>
  <w:style w:type="character" w:customStyle="1" w:styleId="13">
    <w:name w:val="批注框文本 字符"/>
    <w:basedOn w:val="8"/>
    <w:link w:val="3"/>
    <w:qFormat/>
    <w:uiPriority w:val="0"/>
    <w:rPr>
      <w:rFonts w:ascii="Arial" w:hAnsi="Arial" w:eastAsia="Arial" w:cs="Arial"/>
      <w:snapToGrid w:val="0"/>
      <w:color w:val="000000"/>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6b953903-790a-4c3f-b27e-41ad61213202</errorID>
      <errorWord>(</errorWord>
      <group>L1_Format</group>
      <groupName>格式问题</groupName>
      <ability>L2_HalfPunc</ability>
      <abilityName>全半角检查</abilityName>
      <candidateList>
        <item>（</item>
      </candidateList>
      <explain>文本全半角错误。</explain>
      <paraID>4EFBC0D0</paraID>
      <start>18</start>
      <end>19</end>
      <status>unmodified</status>
      <modifiedWord/>
      <trackRevisions>false</trackRevisions>
    </reviewItem>
    <reviewItem>
      <errorID>fa9674c4-224f-4fb0-a6ea-ebd0b556ff7b</errorID>
      <errorWord>)</errorWord>
      <group>L1_Format</group>
      <groupName>格式问题</groupName>
      <ability>L2_HalfPunc</ability>
      <abilityName>全半角检查</abilityName>
      <candidateList>
        <item>）</item>
      </candidateList>
      <explain>文本全半角错误。</explain>
      <paraID>4EFBC0D0</paraID>
      <start>27</start>
      <end>28</end>
      <status>unmodified</status>
      <modifiedWord/>
      <trackRevisions>false</trackRevisions>
    </reviewItem>
    <reviewItem>
      <errorID>aef5a268-f608-4486-9687-a0d4c8457b10</errorID>
      <errorWord>(</errorWord>
      <group>L1_Format</group>
      <groupName>格式问题</groupName>
      <ability>L2_HalfPunc</ability>
      <abilityName>全半角检查</abilityName>
      <candidateList>
        <item>（</item>
      </candidateList>
      <explain>文本全半角错误。</explain>
      <paraID>615987C7</paraID>
      <start>19</start>
      <end>20</end>
      <status>unmodified</status>
      <modifiedWord/>
      <trackRevisions>false</trackRevisions>
    </reviewItem>
    <reviewItem>
      <errorID>c2c4c2d5-a508-47a3-8daf-ce6387d31ab6</errorID>
      <errorWord>)</errorWord>
      <group>L1_Format</group>
      <groupName>格式问题</groupName>
      <ability>L2_HalfPunc</ability>
      <abilityName>全半角检查</abilityName>
      <candidateList>
        <item>）</item>
      </candidateList>
      <explain>文本全半角错误。</explain>
      <paraID>615987C7</paraID>
      <start>37</start>
      <end>38</end>
      <status>unmodified</status>
      <modifiedWord/>
      <trackRevisions>false</trackRevisions>
    </reviewItem>
    <reviewItem>
      <errorID>16819555-b005-4a3b-841b-832ee53719bd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1AEF8C98</paraID>
      <start>0</start>
      <end>2</end>
      <status>unmodified</status>
      <modifiedWord/>
      <trackRevisions>false</trackRevisions>
    </reviewItem>
    <reviewItem>
      <errorID>5dee94ef-b079-4ff2-9080-4d9709c50ab1</errorID>
      <errorWord>了解了</errorWord>
      <group>L1_Word</group>
      <groupName>字词问题</groupName>
      <ability>L2_Typo</ability>
      <abilityName>字词错误</abilityName>
      <candidateList>
        <item>了解</item>
      </candidateList>
      <explain/>
      <paraID>30F154BB</paraID>
      <start>35</start>
      <end>37</end>
      <status>modified</status>
      <modifiedWord>了解</modifiedWord>
      <trackRevisions>false</trackRevisions>
    </reviewItem>
    <reviewItem>
      <errorID>a1afae85-fd78-4dd4-9cc0-813a08eb5ce0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7ED98E23</paraID>
      <start>0</start>
      <end>2</end>
      <status>unmodified</status>
      <modifiedWord/>
      <trackRevisions>false</trackRevisions>
    </reviewItem>
    <reviewItem>
      <errorID>78772739-1f0c-44df-96df-f6911fb288ad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7B1AC3B0</paraID>
      <start>0</start>
      <end>2</end>
      <status>unmodified</status>
      <modifiedWord/>
      <trackRevisions>false</trackRevisions>
    </reviewItem>
    <reviewItem>
      <errorID>080d10da-b97f-4844-ad76-734d33304144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1246A13F</paraID>
      <start>0</start>
      <end>2</end>
      <status>unmodified</status>
      <modifiedWord/>
      <trackRevisions>false</trackRevisions>
    </reviewItem>
    <reviewItem>
      <errorID>ee40dd82-8e92-438a-86f3-e1e96336e2e9</errorID>
      <errorWord>，</errorWord>
      <group>L1_Word</group>
      <groupName>字词问题</groupName>
      <ability>L2_Typo</ability>
      <abilityName>字词错误</abilityName>
      <candidateList>
        <item>，对</item>
      </candidateList>
      <explain/>
      <paraID>77644819</paraID>
      <start>101</start>
      <end>103</end>
      <status>modified</status>
      <modifiedWord>，对</modifiedWord>
      <trackRevisions>false</trackRevisions>
    </reviewItem>
  </reviewItems>
  <config/>
</contractReview>
</file>

<file path=customXml/itemProps1.xml><?xml version="1.0" encoding="utf-8"?>
<ds:datastoreItem xmlns:ds="http://schemas.openxmlformats.org/officeDocument/2006/customXml" ds:itemID="{bc2583aa-8411-48f6-a40d-94b929f28bf3}">
  <ds:schemaRefs/>
</ds:datastoreItem>
</file>

<file path=docProps/app.xml><?xml version="1.0" encoding="utf-8"?>
<Properties xmlns="http://schemas.openxmlformats.org/officeDocument/2006/extended-properties" xmlns:vt="http://schemas.openxmlformats.org/officeDocument/2006/docPropsVTypes">
  <Template>Normal</Template>
  <Company>HP</Company>
  <Pages>8</Pages>
  <Words>3404</Words>
  <Characters>3499</Characters>
  <Lines>25</Lines>
  <Paragraphs>7</Paragraphs>
  <TotalTime>38</TotalTime>
  <ScaleCrop>false</ScaleCrop>
  <LinksUpToDate>false</LinksUpToDate>
  <CharactersWithSpaces>3500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2024-04-17T01:58:00Z</dcterms:created>
  <dc:creator>Y.    Miss</dc:creator>
  <cp:lastModifiedBy>雯亦</cp:lastModifiedBy>
  <dcterms:modified xsi:type="dcterms:W3CDTF">2026-03-27T03:43:59Z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26F961F94B2F4DCA86E2E9ACEF669B6C_11</vt:lpwstr>
  </property>
  <property fmtid="{D5CDD505-2E9C-101B-9397-08002B2CF9AE}" pid="4" name="KSOTemplateDocerSaveRecord">
    <vt:lpwstr>eyJoZGlkIjoiZTQzZmRmZDMxMjkwMDE2NTk0ZWQ1ZWYwMzRmYjVhNmUiLCJ1c2VySWQiOiI2NDQwNzQxNTQifQ==</vt:lpwstr>
  </property>
</Properties>
</file>