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370" w:rsidRDefault="003C2EEE">
      <w:pPr>
        <w:spacing w:beforeLines="50" w:before="120" w:afterLines="50" w:after="120"/>
        <w:rPr>
          <w:bCs w:val="0"/>
          <w:color w:val="000000" w:themeColor="text1"/>
        </w:rPr>
      </w:pPr>
      <w:r>
        <w:rPr>
          <w:rFonts w:hint="eastAsia"/>
          <w:color w:val="000000" w:themeColor="text1"/>
        </w:rPr>
        <w:t>公司代码：</w:t>
      </w:r>
      <w:sdt>
        <w:sdtPr>
          <w:rPr>
            <w:rFonts w:hint="eastAsia"/>
            <w:bCs w:val="0"/>
          </w:rPr>
          <w:alias w:val="公司代码"/>
          <w:tag w:val="_GBC_704b7b03ea3f4a93b8d4655a09b2ff61"/>
          <w:id w:val="-2016295762"/>
          <w:placeholder>
            <w:docPart w:val="GBC22222222222222222222222222222"/>
          </w:placeholder>
        </w:sdtPr>
        <w:sdtEndPr/>
        <w:sdtContent>
          <w:r>
            <w:rPr>
              <w:rFonts w:hint="eastAsia"/>
              <w:bCs w:val="0"/>
            </w:rPr>
            <w:t>603191</w:t>
          </w:r>
        </w:sdtContent>
      </w:sdt>
      <w:r>
        <w:rPr>
          <w:rFonts w:hint="eastAsia"/>
          <w:color w:val="000000" w:themeColor="text1"/>
        </w:rPr>
        <w:t xml:space="preserve">                      　　 </w:t>
      </w:r>
      <w:r>
        <w:rPr>
          <w:color w:val="000000" w:themeColor="text1"/>
        </w:rPr>
        <w:t xml:space="preserve">      </w:t>
      </w:r>
      <w:proofErr w:type="gramStart"/>
      <w:r>
        <w:rPr>
          <w:rFonts w:hint="eastAsia"/>
          <w:color w:val="000000" w:themeColor="text1"/>
        </w:rPr>
        <w:t xml:space="preserve">　　　　　　　　</w:t>
      </w:r>
      <w:proofErr w:type="gramEnd"/>
      <w:r>
        <w:rPr>
          <w:rFonts w:hint="eastAsia"/>
          <w:color w:val="000000" w:themeColor="text1"/>
        </w:rPr>
        <w:t>公司简称：</w:t>
      </w:r>
      <w:sdt>
        <w:sdtPr>
          <w:rPr>
            <w:rFonts w:hint="eastAsia"/>
            <w:bCs w:val="0"/>
          </w:rPr>
          <w:alias w:val="公司简称"/>
          <w:tag w:val="_GBC_0384ae715a1e4b4894a29e4d27f5bef4"/>
          <w:id w:val="-1180579245"/>
          <w:placeholder>
            <w:docPart w:val="GBC22222222222222222222222222222"/>
          </w:placeholder>
        </w:sdtPr>
        <w:sdtEndPr/>
        <w:sdtContent>
          <w:proofErr w:type="gramStart"/>
          <w:r>
            <w:rPr>
              <w:rFonts w:hint="eastAsia"/>
              <w:bCs w:val="0"/>
            </w:rPr>
            <w:t>望变电气</w:t>
          </w:r>
          <w:proofErr w:type="gramEnd"/>
        </w:sdtContent>
      </w:sdt>
    </w:p>
    <w:p w:rsidR="00597370" w:rsidRDefault="00597370">
      <w:pPr>
        <w:rPr>
          <w:color w:val="000000" w:themeColor="text1"/>
        </w:rPr>
      </w:pPr>
    </w:p>
    <w:p w:rsidR="00597370" w:rsidRDefault="00597370">
      <w:pPr>
        <w:rPr>
          <w:color w:val="000000" w:themeColor="text1"/>
        </w:rPr>
      </w:pPr>
    </w:p>
    <w:p w:rsidR="00597370" w:rsidRDefault="00597370">
      <w:pPr>
        <w:rPr>
          <w:color w:val="000000" w:themeColor="text1"/>
        </w:rPr>
      </w:pPr>
    </w:p>
    <w:p w:rsidR="00597370" w:rsidRDefault="00597370">
      <w:pPr>
        <w:rPr>
          <w:color w:val="000000" w:themeColor="text1"/>
        </w:rPr>
      </w:pPr>
    </w:p>
    <w:p w:rsidR="00597370" w:rsidRDefault="00597370">
      <w:pPr>
        <w:rPr>
          <w:color w:val="000000" w:themeColor="text1"/>
        </w:rPr>
      </w:pPr>
    </w:p>
    <w:p w:rsidR="00597370" w:rsidRDefault="00597370">
      <w:pPr>
        <w:rPr>
          <w:color w:val="FF0000"/>
        </w:rPr>
      </w:pPr>
    </w:p>
    <w:p w:rsidR="00597370" w:rsidRDefault="00597370">
      <w:pPr>
        <w:rPr>
          <w:color w:val="FF0000"/>
        </w:rPr>
      </w:pPr>
    </w:p>
    <w:p w:rsidR="00597370" w:rsidRDefault="006840ED">
      <w:pPr>
        <w:jc w:val="center"/>
        <w:rPr>
          <w:rFonts w:ascii="黑体" w:eastAsia="黑体" w:hAnsi="黑体"/>
          <w:b/>
          <w:bCs w:val="0"/>
          <w:color w:val="FF0000"/>
          <w:sz w:val="44"/>
          <w:szCs w:val="44"/>
        </w:rPr>
      </w:pPr>
      <w:sdt>
        <w:sdtPr>
          <w:rPr>
            <w:rFonts w:ascii="黑体" w:eastAsia="黑体" w:hAnsi="黑体" w:hint="eastAsia"/>
            <w:b/>
            <w:bCs w:val="0"/>
            <w:color w:val="FF0000"/>
            <w:sz w:val="44"/>
            <w:szCs w:val="44"/>
          </w:rPr>
          <w:alias w:val="公司法定中文名称"/>
          <w:tag w:val="_GBC_ef279e32efc14c6bb521c62ff1f265ba"/>
          <w:id w:val="659438438"/>
          <w:placeholder>
            <w:docPart w:val="GBC22222222222222222222222222222"/>
          </w:placeholder>
          <w:dataBinding w:prefixMappings="xmlns:clcid-cgi='clcid-cgi'" w:xpath="/*/clcid-cgi:GongSiFaDingZhongWenMingCheng" w:storeItemID="{89EBAB94-44A0-46A2-B712-30D997D04A6D}"/>
          <w:text/>
        </w:sdtPr>
        <w:sdtEndPr/>
        <w:sdtContent>
          <w:proofErr w:type="gramStart"/>
          <w:r w:rsidR="003C2EEE">
            <w:rPr>
              <w:rFonts w:ascii="黑体" w:eastAsia="黑体" w:hAnsi="黑体" w:hint="eastAsia"/>
              <w:b/>
              <w:bCs w:val="0"/>
              <w:color w:val="FF0000"/>
              <w:sz w:val="44"/>
              <w:szCs w:val="44"/>
            </w:rPr>
            <w:t>重庆望变电气</w:t>
          </w:r>
          <w:proofErr w:type="gramEnd"/>
          <w:r w:rsidR="003C2EEE">
            <w:rPr>
              <w:rFonts w:ascii="黑体" w:eastAsia="黑体" w:hAnsi="黑体" w:hint="eastAsia"/>
              <w:b/>
              <w:bCs w:val="0"/>
              <w:color w:val="FF0000"/>
              <w:sz w:val="44"/>
              <w:szCs w:val="44"/>
            </w:rPr>
            <w:t>（集团）股份有限公司</w:t>
          </w:r>
        </w:sdtContent>
      </w:sdt>
    </w:p>
    <w:p w:rsidR="00597370" w:rsidRDefault="003C2EEE">
      <w:pPr>
        <w:jc w:val="center"/>
        <w:rPr>
          <w:rFonts w:ascii="黑体" w:eastAsia="黑体" w:hAnsi="黑体"/>
          <w:b/>
          <w:bCs w:val="0"/>
          <w:color w:val="FF0000"/>
          <w:sz w:val="44"/>
          <w:szCs w:val="44"/>
        </w:rPr>
      </w:pPr>
      <w:r>
        <w:rPr>
          <w:rFonts w:ascii="黑体" w:eastAsia="黑体" w:hAnsi="黑体"/>
          <w:b/>
          <w:color w:val="FF0000"/>
          <w:sz w:val="44"/>
          <w:szCs w:val="44"/>
        </w:rPr>
        <w:t>2024年</w:t>
      </w:r>
      <w:r>
        <w:rPr>
          <w:rFonts w:ascii="黑体" w:eastAsia="黑体" w:hAnsi="黑体" w:hint="eastAsia"/>
          <w:b/>
          <w:color w:val="FF0000"/>
          <w:sz w:val="44"/>
          <w:szCs w:val="44"/>
        </w:rPr>
        <w:t>半年度报告</w:t>
      </w:r>
    </w:p>
    <w:p w:rsidR="00597370" w:rsidRDefault="00597370">
      <w:pPr>
        <w:rPr>
          <w:color w:val="FF0000"/>
        </w:rPr>
      </w:pPr>
    </w:p>
    <w:p w:rsidR="00597370" w:rsidRDefault="00597370">
      <w:pPr>
        <w:rPr>
          <w:color w:val="FF0000"/>
        </w:rPr>
      </w:pPr>
    </w:p>
    <w:p w:rsidR="00597370" w:rsidRDefault="00597370">
      <w:pPr>
        <w:rPr>
          <w:color w:val="000000" w:themeColor="text1"/>
        </w:rPr>
      </w:pPr>
    </w:p>
    <w:p w:rsidR="00597370" w:rsidRDefault="003C2EEE">
      <w:pPr>
        <w:rPr>
          <w:color w:val="000000" w:themeColor="text1"/>
        </w:rPr>
      </w:pPr>
      <w:r>
        <w:rPr>
          <w:noProof/>
          <w:color w:val="000000" w:themeColor="text1"/>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5608955" cy="3736340"/>
            <wp:effectExtent l="0" t="0" r="0" b="0"/>
            <wp:wrapNone/>
            <wp:docPr id="3" name="图片 3" descr="E:\望变20230915\0-办公资料\1-望变\文件\1-董秘办\10-披露\7-企业宣传\集团ABCD区航拍照\C区-研发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望变20230915\0-办公资料\1-望变\文件\1-董秘办\10-披露\7-企业宣传\集团ABCD区航拍照\C区-研发楼-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608955" cy="3736566"/>
                    </a:xfrm>
                    <a:prstGeom prst="rect">
                      <a:avLst/>
                    </a:prstGeom>
                    <a:noFill/>
                    <a:ln>
                      <a:noFill/>
                    </a:ln>
                  </pic:spPr>
                </pic:pic>
              </a:graphicData>
            </a:graphic>
          </wp:anchor>
        </w:drawing>
      </w:r>
    </w:p>
    <w:p w:rsidR="00597370" w:rsidRDefault="00597370">
      <w:pPr>
        <w:rPr>
          <w:color w:val="000000" w:themeColor="text1"/>
        </w:rPr>
      </w:pPr>
    </w:p>
    <w:p w:rsidR="00597370" w:rsidRDefault="00597370">
      <w:pPr>
        <w:rPr>
          <w:color w:val="000000" w:themeColor="text1"/>
        </w:rPr>
      </w:pPr>
    </w:p>
    <w:p w:rsidR="00597370" w:rsidRDefault="00597370">
      <w:pPr>
        <w:rPr>
          <w:color w:val="000000" w:themeColor="text1"/>
        </w:rPr>
      </w:pPr>
    </w:p>
    <w:p w:rsidR="00597370" w:rsidRDefault="003C2EEE">
      <w:pPr>
        <w:rPr>
          <w:color w:val="000000" w:themeColor="text1"/>
        </w:rPr>
      </w:pPr>
      <w:r>
        <w:rPr>
          <w:color w:val="000000" w:themeColor="text1"/>
        </w:rPr>
        <w:br w:type="page"/>
      </w:r>
    </w:p>
    <w:p w:rsidR="00597370" w:rsidRDefault="003C2EEE">
      <w:pPr>
        <w:pStyle w:val="afd"/>
        <w:spacing w:after="280" w:afterAutospacing="0"/>
        <w:jc w:val="center"/>
        <w:rPr>
          <w:b/>
          <w:bCs w:val="0"/>
          <w:color w:val="000000" w:themeColor="text1"/>
          <w:sz w:val="28"/>
          <w:szCs w:val="28"/>
        </w:rPr>
      </w:pPr>
      <w:bookmarkStart w:id="0" w:name="_Toc387656034"/>
      <w:r>
        <w:rPr>
          <w:rFonts w:hint="eastAsia"/>
          <w:b/>
          <w:color w:val="000000" w:themeColor="text1"/>
          <w:sz w:val="28"/>
          <w:szCs w:val="28"/>
        </w:rPr>
        <w:lastRenderedPageBreak/>
        <w:t>重要提示</w:t>
      </w:r>
      <w:bookmarkEnd w:id="0"/>
    </w:p>
    <w:p w:rsidR="00597370" w:rsidRDefault="006840ED">
      <w:pPr>
        <w:pStyle w:val="2"/>
        <w:numPr>
          <w:ilvl w:val="0"/>
          <w:numId w:val="1"/>
        </w:numPr>
        <w:tabs>
          <w:tab w:val="left" w:pos="434"/>
        </w:tabs>
        <w:spacing w:before="0" w:after="0" w:line="360" w:lineRule="auto"/>
        <w:ind w:left="369" w:hangingChars="175" w:hanging="369"/>
        <w:rPr>
          <w:rFonts w:ascii="宋体" w:hAnsi="宋体"/>
          <w:color w:val="000000" w:themeColor="text1"/>
        </w:rPr>
      </w:pPr>
      <w:sdt>
        <w:sdtPr>
          <w:rPr>
            <w:rFonts w:ascii="宋体" w:hAnsi="宋体" w:hint="eastAsia"/>
            <w:color w:val="000000" w:themeColor="text1"/>
          </w:rPr>
          <w:alias w:val="董事会及董事声明"/>
          <w:tag w:val="_GBC_6c6da163383e4e4c92758ff24076a138"/>
          <w:id w:val="-41223928"/>
          <w:placeholder>
            <w:docPart w:val="GBC22222222222222222222222222222"/>
          </w:placeholder>
        </w:sdtPr>
        <w:sdtEndPr/>
        <w:sdtContent>
          <w:r w:rsidR="003C2EEE">
            <w:rPr>
              <w:rFonts w:ascii="宋体" w:hAnsi="宋体" w:cs="宋体"/>
              <w:color w:val="000000" w:themeColor="text1"/>
            </w:rPr>
            <w:t>本公司董事会、监事会及董事、监事、高级管理人员保证</w:t>
          </w:r>
          <w:r w:rsidR="003C2EEE">
            <w:rPr>
              <w:rFonts w:ascii="宋体" w:hAnsi="宋体" w:cs="宋体" w:hint="eastAsia"/>
              <w:color w:val="000000" w:themeColor="text1"/>
            </w:rPr>
            <w:t>半</w:t>
          </w:r>
          <w:r w:rsidR="003C2EEE">
            <w:rPr>
              <w:rFonts w:ascii="宋体" w:hAnsi="宋体" w:cs="宋体"/>
              <w:color w:val="000000" w:themeColor="text1"/>
            </w:rPr>
            <w:t>年度报告内容的真实</w:t>
          </w:r>
          <w:r w:rsidR="003C2EEE">
            <w:rPr>
              <w:rFonts w:ascii="宋体" w:hAnsi="宋体" w:cs="宋体" w:hint="eastAsia"/>
              <w:color w:val="000000" w:themeColor="text1"/>
            </w:rPr>
            <w:t>性</w:t>
          </w:r>
          <w:r w:rsidR="003C2EEE">
            <w:rPr>
              <w:rFonts w:ascii="宋体" w:hAnsi="宋体" w:cs="宋体"/>
              <w:color w:val="000000" w:themeColor="text1"/>
            </w:rPr>
            <w:t>、准确</w:t>
          </w:r>
          <w:r w:rsidR="003C2EEE">
            <w:rPr>
              <w:rFonts w:ascii="宋体" w:hAnsi="宋体" w:cs="宋体" w:hint="eastAsia"/>
              <w:color w:val="000000" w:themeColor="text1"/>
            </w:rPr>
            <w:t>性</w:t>
          </w:r>
          <w:r w:rsidR="003C2EEE">
            <w:rPr>
              <w:rFonts w:ascii="宋体" w:hAnsi="宋体" w:cs="宋体"/>
              <w:color w:val="000000" w:themeColor="text1"/>
            </w:rPr>
            <w:t>、完整</w:t>
          </w:r>
          <w:r w:rsidR="003C2EEE">
            <w:rPr>
              <w:rFonts w:ascii="宋体" w:hAnsi="宋体" w:cs="宋体" w:hint="eastAsia"/>
              <w:color w:val="000000" w:themeColor="text1"/>
            </w:rPr>
            <w:t>性</w:t>
          </w:r>
          <w:r w:rsidR="003C2EEE">
            <w:rPr>
              <w:rFonts w:ascii="宋体" w:hAnsi="宋体" w:cs="宋体"/>
              <w:color w:val="000000" w:themeColor="text1"/>
            </w:rPr>
            <w:t>，不存在虚假记载、误导性陈述或重大遗漏，并承担个别和连带的法律责任。</w:t>
          </w:r>
        </w:sdtContent>
      </w:sdt>
    </w:p>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bookmarkStart w:id="1" w:name="_Hlk106871957"/>
      <w:bookmarkEnd w:id="1"/>
      <w:r>
        <w:rPr>
          <w:rFonts w:ascii="宋体" w:hAnsi="宋体" w:hint="eastAsia"/>
          <w:color w:val="000000" w:themeColor="text1"/>
        </w:rPr>
        <w:t>公司</w:t>
      </w:r>
      <w:sdt>
        <w:sdtPr>
          <w:rPr>
            <w:rFonts w:ascii="宋体" w:hAnsi="宋体" w:hint="eastAsia"/>
            <w:color w:val="000000" w:themeColor="text1"/>
          </w:rPr>
          <w:tag w:val="_GBC_2e0ee33ebae04a83b92e8b1aa6754169"/>
          <w:id w:val="578872905"/>
          <w:placeholder>
            <w:docPart w:val="GBC22222222222222222222222222222"/>
          </w:placeholder>
        </w:sdtPr>
        <w:sdtEndPr/>
        <w:sdtContent>
          <w:r>
            <w:rPr>
              <w:rFonts w:ascii="宋体" w:hAnsi="宋体" w:hint="eastAsia"/>
              <w:color w:val="000000" w:themeColor="text1"/>
            </w:rPr>
            <w:t>全体董事出席</w:t>
          </w:r>
        </w:sdtContent>
      </w:sdt>
      <w:r>
        <w:rPr>
          <w:rFonts w:ascii="宋体" w:hAnsi="宋体" w:hint="eastAsia"/>
          <w:color w:val="000000" w:themeColor="text1"/>
        </w:rPr>
        <w:t>董事会会议。</w:t>
      </w:r>
    </w:p>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proofErr w:type="gramStart"/>
      <w:r>
        <w:rPr>
          <w:rFonts w:ascii="宋体" w:hAnsi="宋体" w:hint="eastAsia"/>
          <w:color w:val="000000" w:themeColor="text1"/>
        </w:rPr>
        <w:t>本半年度</w:t>
      </w:r>
      <w:proofErr w:type="gramEnd"/>
      <w:r>
        <w:rPr>
          <w:rFonts w:ascii="宋体" w:hAnsi="宋体" w:hint="eastAsia"/>
          <w:color w:val="000000" w:themeColor="text1"/>
        </w:rPr>
        <w:t>报告</w:t>
      </w:r>
      <w:sdt>
        <w:sdtPr>
          <w:rPr>
            <w:rFonts w:ascii="宋体" w:hAnsi="宋体" w:hint="eastAsia"/>
            <w:color w:val="000000" w:themeColor="text1"/>
          </w:rPr>
          <w:tag w:val="_GBC_be15b7a71d95430e82193d4cab461623"/>
          <w:id w:val="-81222777"/>
          <w:placeholder>
            <w:docPart w:val="GBC22222222222222222222222222222"/>
          </w:placeholder>
        </w:sdtPr>
        <w:sdtEndPr/>
        <w:sdtContent>
          <w:r>
            <w:rPr>
              <w:rFonts w:ascii="宋体" w:hAnsi="宋体" w:hint="eastAsia"/>
              <w:color w:val="000000" w:themeColor="text1"/>
            </w:rPr>
            <w:t>未经审计</w:t>
          </w:r>
        </w:sdtContent>
      </w:sdt>
      <w:r>
        <w:rPr>
          <w:rFonts w:ascii="宋体" w:hAnsi="宋体" w:hint="eastAsia"/>
          <w:color w:val="000000" w:themeColor="text1"/>
        </w:rPr>
        <w:t>。</w:t>
      </w:r>
    </w:p>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r>
        <w:rPr>
          <w:rFonts w:ascii="宋体" w:hAnsi="宋体" w:hint="eastAsia"/>
          <w:color w:val="000000" w:themeColor="text1"/>
        </w:rPr>
        <w:t>公司负责人</w:t>
      </w:r>
      <w:sdt>
        <w:sdtPr>
          <w:rPr>
            <w:rFonts w:ascii="宋体" w:hAnsi="宋体" w:hint="eastAsia"/>
            <w:color w:val="000000" w:themeColor="text1"/>
          </w:rPr>
          <w:alias w:val="公司负责人姓名"/>
          <w:tag w:val="_GBC_ee6b72f666bb497bbe8fc037096654d2"/>
          <w:id w:val="-634265282"/>
          <w:placeholder>
            <w:docPart w:val="GBC22222222222222222222222222222"/>
          </w:placeholder>
          <w:dataBinding w:prefixMappings="xmlns:clcid-mr='clcid-mr'" w:xpath="/*/clcid-mr:GongSiFuZeRenXingMing[not(@periodRef)]" w:storeItemID="{89EBAB94-44A0-46A2-B712-30D997D04A6D}"/>
          <w:text/>
        </w:sdtPr>
        <w:sdtEndPr/>
        <w:sdtContent>
          <w:r>
            <w:rPr>
              <w:rFonts w:ascii="宋体" w:hAnsi="宋体" w:hint="eastAsia"/>
              <w:color w:val="000000" w:themeColor="text1"/>
            </w:rPr>
            <w:t>杨泽民</w:t>
          </w:r>
        </w:sdtContent>
      </w:sdt>
      <w:r>
        <w:rPr>
          <w:rFonts w:ascii="宋体" w:hAnsi="宋体" w:hint="eastAsia"/>
          <w:color w:val="000000" w:themeColor="text1"/>
        </w:rPr>
        <w:t>、主管会计工作负责人</w:t>
      </w:r>
      <w:sdt>
        <w:sdtPr>
          <w:rPr>
            <w:rFonts w:ascii="宋体" w:hAnsi="宋体" w:hint="eastAsia"/>
            <w:color w:val="000000" w:themeColor="text1"/>
          </w:rPr>
          <w:alias w:val="主管会计工作负责人姓名"/>
          <w:tag w:val="_GBC_51ed55c6ff134dadaa6756998c964cdf"/>
          <w:id w:val="1853603236"/>
          <w:placeholder>
            <w:docPart w:val="GBC22222222222222222222222222222"/>
          </w:placeholder>
          <w:dataBinding w:prefixMappings="xmlns:clcid-mr='clcid-mr'" w:xpath="/*/clcid-mr:ZhuGuanKuaiJiGongZuoFuZeRenXingMing[not(@periodRef)]" w:storeItemID="{89EBAB94-44A0-46A2-B712-30D997D04A6D}"/>
          <w:text/>
        </w:sdtPr>
        <w:sdtEndPr/>
        <w:sdtContent>
          <w:r>
            <w:rPr>
              <w:rFonts w:ascii="宋体" w:hAnsi="宋体" w:hint="eastAsia"/>
              <w:color w:val="000000" w:themeColor="text1"/>
            </w:rPr>
            <w:t>杨万华</w:t>
          </w:r>
        </w:sdtContent>
      </w:sdt>
      <w:r>
        <w:rPr>
          <w:rFonts w:ascii="宋体" w:hAnsi="宋体" w:hint="eastAsia"/>
          <w:color w:val="000000" w:themeColor="text1"/>
        </w:rPr>
        <w:t>及会计机构负责人（会计主管人员）</w:t>
      </w:r>
      <w:sdt>
        <w:sdtPr>
          <w:rPr>
            <w:rFonts w:ascii="宋体" w:hAnsi="宋体" w:hint="eastAsia"/>
            <w:color w:val="000000" w:themeColor="text1"/>
          </w:rPr>
          <w:alias w:val="会计机构负责人姓名"/>
          <w:tag w:val="_GBC_aa7d9e44d6e64b9abdcdefb4a3968427"/>
          <w:id w:val="-1319026671"/>
          <w:placeholder>
            <w:docPart w:val="GBC22222222222222222222222222222"/>
          </w:placeholder>
          <w:dataBinding w:prefixMappings="xmlns:clcid-mr='clcid-mr'" w:xpath="/*/clcid-mr:KuaiJiJiGouFuZeRenXingMing[not(@periodRef)]" w:storeItemID="{89EBAB94-44A0-46A2-B712-30D997D04A6D}"/>
          <w:text/>
        </w:sdtPr>
        <w:sdtEndPr/>
        <w:sdtContent>
          <w:r>
            <w:rPr>
              <w:rFonts w:ascii="宋体" w:hAnsi="宋体" w:hint="eastAsia"/>
              <w:color w:val="000000" w:themeColor="text1"/>
            </w:rPr>
            <w:t>冯波</w:t>
          </w:r>
        </w:sdtContent>
      </w:sdt>
      <w:r>
        <w:rPr>
          <w:rFonts w:ascii="宋体" w:hAnsi="宋体" w:hint="eastAsia"/>
          <w:color w:val="000000" w:themeColor="text1"/>
        </w:rPr>
        <w:t>声明：保证半年度报告中财务报告的真实、准确、完整。</w:t>
      </w:r>
    </w:p>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r>
        <w:rPr>
          <w:rFonts w:ascii="宋体" w:hAnsi="宋体"/>
          <w:color w:val="000000" w:themeColor="text1"/>
        </w:rPr>
        <w:t>董事会</w:t>
      </w:r>
      <w:r>
        <w:rPr>
          <w:color w:val="000000" w:themeColor="text1"/>
        </w:rPr>
        <w:t>决议通过的本报告期利润分配预案或公积金转增股本预案</w:t>
      </w:r>
    </w:p>
    <w:sdt>
      <w:sdtPr>
        <w:rPr>
          <w:rFonts w:hint="eastAsia"/>
          <w:color w:val="000000" w:themeColor="text1"/>
        </w:rPr>
        <w:alias w:val="经董事会审议的报告期利润分配预案或公积金转增股本预案"/>
        <w:tag w:val="_GBC_7676626d447143468bebcc8d267ec746"/>
        <w:id w:val="808913805"/>
        <w:placeholder>
          <w:docPart w:val="GBC22222222222222222222222222222"/>
        </w:placeholder>
      </w:sdtPr>
      <w:sdtEndPr>
        <w:rPr>
          <w:shd w:val="pct10" w:color="auto" w:fill="FFFFFF"/>
        </w:rPr>
      </w:sdtEndPr>
      <w:sdtContent>
        <w:p w:rsidR="00597370" w:rsidRDefault="003C2EEE">
          <w:pPr>
            <w:kinsoku w:val="0"/>
            <w:overflowPunct w:val="0"/>
            <w:autoSpaceDE w:val="0"/>
            <w:autoSpaceDN w:val="0"/>
            <w:adjustRightInd w:val="0"/>
            <w:snapToGrid w:val="0"/>
            <w:spacing w:line="360" w:lineRule="exact"/>
            <w:rPr>
              <w:color w:val="000000" w:themeColor="text1"/>
              <w:shd w:val="pct10" w:color="auto" w:fill="FFFFFF"/>
            </w:rPr>
          </w:pPr>
          <w:r>
            <w:rPr>
              <w:rFonts w:hint="eastAsia"/>
              <w:color w:val="000000" w:themeColor="text1"/>
            </w:rPr>
            <w:t>无</w:t>
          </w:r>
        </w:p>
      </w:sdtContent>
    </w:sdt>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r>
        <w:rPr>
          <w:rFonts w:ascii="宋体" w:hAnsi="宋体"/>
          <w:color w:val="000000" w:themeColor="text1"/>
        </w:rPr>
        <w:t>前瞻性陈述的风险声明</w:t>
      </w:r>
    </w:p>
    <w:sdt>
      <w:sdtPr>
        <w:rPr>
          <w:color w:val="000000" w:themeColor="text1"/>
        </w:rPr>
        <w:alias w:val="是否适用：前瞻性陈述的风险声明[双击切换]"/>
        <w:tag w:val="_GBC_6a28949332914149bda7cc0225d614b7"/>
        <w:id w:val="176688211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公司对报告涉及未来计划等前瞻性陈述的声明"/>
        <w:tag w:val="_GBC_6511b5aecc604062ad93b5fbd25fd19b"/>
        <w:id w:val="-1672021269"/>
        <w:placeholder>
          <w:docPart w:val="GBC22222222222222222222222222222"/>
        </w:placeholder>
      </w:sdtPr>
      <w:sdtEndPr>
        <w:rPr>
          <w:shd w:val="pct10" w:color="auto" w:fill="FFFFFF"/>
        </w:rPr>
      </w:sdtEndPr>
      <w:sdtContent>
        <w:p w:rsidR="00597370" w:rsidRDefault="003C2EEE">
          <w:pPr>
            <w:kinsoku w:val="0"/>
            <w:overflowPunct w:val="0"/>
            <w:autoSpaceDE w:val="0"/>
            <w:autoSpaceDN w:val="0"/>
            <w:adjustRightInd w:val="0"/>
            <w:snapToGrid w:val="0"/>
            <w:spacing w:line="360" w:lineRule="exact"/>
            <w:ind w:firstLineChars="200" w:firstLine="420"/>
            <w:rPr>
              <w:color w:val="000000" w:themeColor="text1"/>
            </w:rPr>
          </w:pPr>
          <w:r>
            <w:rPr>
              <w:rFonts w:hint="eastAsia"/>
              <w:color w:val="000000" w:themeColor="text1"/>
            </w:rPr>
            <w:t>本报告包含若干公司对未来发展战略、业务规划、经营计划、财务预计等前瞻性描述；这些</w:t>
          </w:r>
        </w:p>
        <w:p w:rsidR="00597370" w:rsidRDefault="003C2EEE">
          <w:pPr>
            <w:kinsoku w:val="0"/>
            <w:overflowPunct w:val="0"/>
            <w:autoSpaceDE w:val="0"/>
            <w:autoSpaceDN w:val="0"/>
            <w:adjustRightInd w:val="0"/>
            <w:snapToGrid w:val="0"/>
            <w:spacing w:line="360" w:lineRule="exact"/>
            <w:rPr>
              <w:color w:val="000000" w:themeColor="text1"/>
            </w:rPr>
          </w:pPr>
          <w:r>
            <w:rPr>
              <w:rFonts w:hint="eastAsia"/>
              <w:color w:val="000000" w:themeColor="text1"/>
            </w:rPr>
            <w:t>陈述基于当前能够掌握的信息与数据对未来所做出的估计或预测，不构成公司对投资者的实质承</w:t>
          </w:r>
        </w:p>
        <w:p w:rsidR="00597370" w:rsidRDefault="003C2EEE">
          <w:pPr>
            <w:kinsoku w:val="0"/>
            <w:overflowPunct w:val="0"/>
            <w:autoSpaceDE w:val="0"/>
            <w:autoSpaceDN w:val="0"/>
            <w:adjustRightInd w:val="0"/>
            <w:snapToGrid w:val="0"/>
            <w:spacing w:line="360" w:lineRule="exact"/>
            <w:rPr>
              <w:color w:val="000000" w:themeColor="text1"/>
              <w:shd w:val="pct10" w:color="auto" w:fill="FFFFFF"/>
            </w:rPr>
          </w:pPr>
          <w:r>
            <w:rPr>
              <w:rFonts w:hint="eastAsia"/>
              <w:color w:val="000000" w:themeColor="text1"/>
            </w:rPr>
            <w:t>诺，敬请投资者注意投资风险。</w:t>
          </w:r>
        </w:p>
      </w:sdtContent>
    </w:sdt>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r>
        <w:rPr>
          <w:rFonts w:ascii="宋体" w:hAnsi="宋体"/>
          <w:color w:val="000000" w:themeColor="text1"/>
        </w:rPr>
        <w:t>是否存在被控股股东及其</w:t>
      </w:r>
      <w:r>
        <w:rPr>
          <w:rFonts w:ascii="宋体" w:hAnsi="宋体" w:hint="eastAsia"/>
          <w:color w:val="000000" w:themeColor="text1"/>
        </w:rPr>
        <w:t>他</w:t>
      </w:r>
      <w:r>
        <w:rPr>
          <w:rFonts w:ascii="宋体" w:hAnsi="宋体"/>
          <w:color w:val="000000" w:themeColor="text1"/>
        </w:rPr>
        <w:t>关联方非经营性占用资金情况</w:t>
      </w:r>
    </w:p>
    <w:sdt>
      <w:sdtPr>
        <w:rPr>
          <w:rFonts w:hint="eastAsia"/>
          <w:bCs w:val="0"/>
          <w:color w:val="000000" w:themeColor="text1"/>
        </w:rPr>
        <w:alias w:val="本公司是否存在大股东占用资金情况"/>
        <w:tag w:val="_GBC_a32400ff33ee44d89632e0d79a7f2c42"/>
        <w:id w:val="1782847922"/>
        <w:placeholder>
          <w:docPart w:val="GBC22222222222222222222222222222"/>
        </w:placeholder>
        <w:comboBox>
          <w:listItem w:displayText="是" w:value="true"/>
          <w:listItem w:displayText="否" w:value="false"/>
        </w:comboBox>
      </w:sdtPr>
      <w:sdtEndPr/>
      <w:sdtContent>
        <w:p w:rsidR="00597370" w:rsidRDefault="003C2EEE">
          <w:pPr>
            <w:kinsoku w:val="0"/>
            <w:overflowPunct w:val="0"/>
            <w:autoSpaceDE w:val="0"/>
            <w:autoSpaceDN w:val="0"/>
            <w:adjustRightInd w:val="0"/>
            <w:snapToGrid w:val="0"/>
            <w:spacing w:line="360" w:lineRule="exact"/>
            <w:rPr>
              <w:bCs w:val="0"/>
              <w:color w:val="000000" w:themeColor="text1"/>
            </w:rPr>
          </w:pPr>
          <w:r>
            <w:rPr>
              <w:rFonts w:hint="eastAsia"/>
              <w:bCs w:val="0"/>
              <w:color w:val="000000" w:themeColor="text1"/>
            </w:rPr>
            <w:t>否</w:t>
          </w:r>
        </w:p>
      </w:sdtContent>
    </w:sdt>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r>
        <w:rPr>
          <w:rFonts w:ascii="宋体" w:hAnsi="宋体"/>
          <w:color w:val="000000" w:themeColor="text1"/>
        </w:rPr>
        <w:t>是否存在违反规定决策程序对外提供担保的情况</w:t>
      </w:r>
    </w:p>
    <w:sdt>
      <w:sdtPr>
        <w:rPr>
          <w:rFonts w:hint="eastAsia"/>
          <w:color w:val="000000" w:themeColor="text1"/>
        </w:rPr>
        <w:alias w:val="本公司是否存在违反规定决策程序对外提供担保的情况"/>
        <w:tag w:val="_GBC_3bc3f02bd342494aa2858bb9a39d8458"/>
        <w:id w:val="504482951"/>
        <w:placeholder>
          <w:docPart w:val="GBC22222222222222222222222222222"/>
        </w:placeholder>
        <w:comboBox>
          <w:listItem w:displayText="是" w:value="true"/>
          <w:listItem w:displayText="否" w:value="false"/>
        </w:comboBox>
      </w:sdtPr>
      <w:sdtEndPr/>
      <w:sdtContent>
        <w:p w:rsidR="00597370" w:rsidRDefault="003C2EEE">
          <w:pPr>
            <w:rPr>
              <w:color w:val="000000" w:themeColor="text1"/>
            </w:rPr>
          </w:pPr>
          <w:r>
            <w:rPr>
              <w:rFonts w:hint="eastAsia"/>
              <w:color w:val="000000" w:themeColor="text1"/>
            </w:rPr>
            <w:t>否</w:t>
          </w:r>
        </w:p>
      </w:sdtContent>
    </w:sdt>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bookmarkStart w:id="2" w:name="_Hlk61881950"/>
      <w:bookmarkStart w:id="3" w:name="_Hlk72769553"/>
      <w:r>
        <w:rPr>
          <w:rFonts w:ascii="宋体" w:hAnsi="宋体" w:cs="宋体"/>
          <w:color w:val="000000" w:themeColor="text1"/>
          <w:kern w:val="0"/>
        </w:rPr>
        <w:t>是否存在半数</w:t>
      </w:r>
      <w:r>
        <w:rPr>
          <w:rFonts w:ascii="宋体" w:hAnsi="宋体" w:cs="宋体" w:hint="eastAsia"/>
          <w:color w:val="000000" w:themeColor="text1"/>
          <w:kern w:val="0"/>
        </w:rPr>
        <w:t>以上</w:t>
      </w:r>
      <w:r>
        <w:rPr>
          <w:rFonts w:ascii="宋体" w:hAnsi="宋体" w:cs="宋体"/>
          <w:color w:val="000000" w:themeColor="text1"/>
          <w:kern w:val="0"/>
        </w:rPr>
        <w:t>董事无法保证公司所披露</w:t>
      </w:r>
      <w:r>
        <w:rPr>
          <w:rFonts w:ascii="宋体" w:hAnsi="宋体" w:cs="宋体" w:hint="eastAsia"/>
          <w:color w:val="000000" w:themeColor="text1"/>
          <w:kern w:val="0"/>
        </w:rPr>
        <w:t>半</w:t>
      </w:r>
      <w:r>
        <w:rPr>
          <w:rFonts w:ascii="宋体" w:hAnsi="宋体" w:cs="宋体"/>
          <w:color w:val="000000" w:themeColor="text1"/>
          <w:kern w:val="0"/>
        </w:rPr>
        <w:t>年度报告的真实性、准确性和完整性</w:t>
      </w:r>
      <w:bookmarkEnd w:id="2"/>
    </w:p>
    <w:sdt>
      <w:sdtPr>
        <w:rPr>
          <w:rFonts w:hint="eastAsia"/>
          <w:color w:val="000000" w:themeColor="text1"/>
        </w:rPr>
        <w:alias w:val="是否存在半数以上董事无法保证公司所披露年度报告的真实性、准确性和完整性"/>
        <w:tag w:val="_GBC_016ca2a0d8c2429a89679ee7fdc015c2"/>
        <w:id w:val="-986938309"/>
        <w:lock w:val="sdtLocked"/>
        <w:placeholder>
          <w:docPart w:val="GBC22222222222222222222222222222"/>
        </w:placeholder>
        <w:comboBox>
          <w:listItem w:displayText="是" w:value="是"/>
          <w:listItem w:displayText="否" w:value="否"/>
        </w:comboBox>
      </w:sdtPr>
      <w:sdtEndPr/>
      <w:sdtContent>
        <w:p w:rsidR="00597370" w:rsidRDefault="003C2EEE">
          <w:pPr>
            <w:rPr>
              <w:color w:val="000000" w:themeColor="text1"/>
            </w:rPr>
          </w:pPr>
          <w:r>
            <w:rPr>
              <w:rFonts w:hint="eastAsia"/>
              <w:color w:val="000000" w:themeColor="text1"/>
            </w:rPr>
            <w:t>否</w:t>
          </w:r>
        </w:p>
      </w:sdtContent>
    </w:sdt>
    <w:bookmarkEnd w:id="3"/>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r>
        <w:rPr>
          <w:rFonts w:ascii="宋体" w:hAnsi="宋体"/>
          <w:color w:val="000000" w:themeColor="text1"/>
        </w:rPr>
        <w:t>重大风险提示</w:t>
      </w:r>
    </w:p>
    <w:sdt>
      <w:sdtPr>
        <w:rPr>
          <w:rFonts w:hint="eastAsia"/>
          <w:color w:val="000000" w:themeColor="text1"/>
        </w:rPr>
        <w:alias w:val="重大风险提示"/>
        <w:tag w:val="_GBC_d0220f8592e64dd1b898937e183da1e3"/>
        <w:id w:val="896939344"/>
        <w:placeholder>
          <w:docPart w:val="GBC22222222222222222222222222222"/>
        </w:placeholder>
      </w:sdtPr>
      <w:sdtEndPr/>
      <w:sdtContent>
        <w:p w:rsidR="00597370" w:rsidRDefault="003C2EEE">
          <w:pPr>
            <w:ind w:firstLineChars="200" w:firstLine="420"/>
            <w:rPr>
              <w:color w:val="000000" w:themeColor="text1"/>
            </w:rPr>
          </w:pPr>
          <w:r>
            <w:rPr>
              <w:rFonts w:hint="eastAsia"/>
              <w:color w:val="000000" w:themeColor="text1"/>
            </w:rPr>
            <w:t>公司已在本报告中详细阐述了公司在生产经营过程中可能面临的各种风险及应对措施，敬请</w:t>
          </w:r>
        </w:p>
        <w:p w:rsidR="00597370" w:rsidRDefault="003C2EEE">
          <w:pPr>
            <w:rPr>
              <w:color w:val="000000" w:themeColor="text1"/>
            </w:rPr>
          </w:pPr>
          <w:r>
            <w:rPr>
              <w:rFonts w:hint="eastAsia"/>
              <w:color w:val="000000" w:themeColor="text1"/>
            </w:rPr>
            <w:t>查阅第三节、五（一）“可能面对的风险”部分。</w:t>
          </w:r>
        </w:p>
      </w:sdtContent>
    </w:sdt>
    <w:p w:rsidR="00597370" w:rsidRDefault="003C2EEE">
      <w:pPr>
        <w:pStyle w:val="2"/>
        <w:numPr>
          <w:ilvl w:val="0"/>
          <w:numId w:val="1"/>
        </w:numPr>
        <w:tabs>
          <w:tab w:val="left" w:pos="434"/>
        </w:tabs>
        <w:spacing w:before="0" w:after="0" w:line="360" w:lineRule="auto"/>
        <w:ind w:left="369" w:hangingChars="175" w:hanging="369"/>
        <w:rPr>
          <w:rFonts w:ascii="宋体" w:hAnsi="宋体"/>
          <w:color w:val="000000" w:themeColor="text1"/>
        </w:rPr>
      </w:pPr>
      <w:r>
        <w:rPr>
          <w:rFonts w:ascii="宋体" w:hAnsi="宋体" w:hint="eastAsia"/>
          <w:color w:val="000000" w:themeColor="text1"/>
        </w:rPr>
        <w:t>其他</w:t>
      </w:r>
    </w:p>
    <w:sdt>
      <w:sdtPr>
        <w:rPr>
          <w:color w:val="000000" w:themeColor="text1"/>
        </w:rPr>
        <w:alias w:val="是否适用：其他重要提示[双击切换]"/>
        <w:tag w:val="_GBC_3a91363d913942688077b069148debc5"/>
        <w:id w:val="-161913144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sectPr w:rsidR="00597370">
          <w:headerReference w:type="default" r:id="rId13"/>
          <w:footerReference w:type="default" r:id="rId14"/>
          <w:pgSz w:w="11906" w:h="16838"/>
          <w:pgMar w:top="1525" w:right="1276" w:bottom="1440" w:left="1797" w:header="855" w:footer="992" w:gutter="0"/>
          <w:cols w:space="425"/>
          <w:docGrid w:linePitch="312"/>
        </w:sectPr>
      </w:pPr>
    </w:p>
    <w:p w:rsidR="00597370" w:rsidRDefault="00597370">
      <w:pPr>
        <w:rPr>
          <w:color w:val="000000" w:themeColor="text1"/>
        </w:rPr>
      </w:pPr>
    </w:p>
    <w:p w:rsidR="00597370" w:rsidRDefault="003C2EEE">
      <w:pPr>
        <w:kinsoku w:val="0"/>
        <w:overflowPunct w:val="0"/>
        <w:autoSpaceDE w:val="0"/>
        <w:autoSpaceDN w:val="0"/>
        <w:adjustRightInd w:val="0"/>
        <w:snapToGrid w:val="0"/>
        <w:spacing w:line="360" w:lineRule="auto"/>
        <w:jc w:val="center"/>
        <w:rPr>
          <w:color w:val="000000" w:themeColor="text1"/>
        </w:rPr>
      </w:pPr>
      <w:r>
        <w:rPr>
          <w:rFonts w:hint="eastAsia"/>
          <w:b/>
          <w:color w:val="000000" w:themeColor="text1"/>
          <w:sz w:val="32"/>
          <w:szCs w:val="32"/>
        </w:rPr>
        <w:t>目录</w:t>
      </w:r>
      <w:r>
        <w:rPr>
          <w:color w:val="000000" w:themeColor="text1"/>
          <w:shd w:val="pct10" w:color="auto" w:fill="FFFFFF"/>
        </w:rPr>
        <w:fldChar w:fldCharType="begin"/>
      </w:r>
      <w:r>
        <w:rPr>
          <w:color w:val="000000" w:themeColor="text1"/>
          <w:shd w:val="pct10" w:color="auto" w:fill="FFFFFF"/>
        </w:rPr>
        <w:instrText xml:space="preserve"> TOC \o "1-1" \h \z \u </w:instrText>
      </w:r>
      <w:r>
        <w:rPr>
          <w:color w:val="000000" w:themeColor="text1"/>
          <w:shd w:val="pct10" w:color="auto" w:fill="FFFFFF"/>
        </w:rPr>
        <w:fldChar w:fldCharType="separate"/>
      </w:r>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55" w:history="1">
        <w:r w:rsidR="003C2EEE">
          <w:rPr>
            <w:rStyle w:val="aff5"/>
            <w:rFonts w:ascii="黑体" w:hAnsi="黑体"/>
            <w:color w:val="000000" w:themeColor="text1"/>
          </w:rPr>
          <w:t>第一节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释义</w:t>
        </w:r>
        <w:r w:rsidR="003C2EEE">
          <w:rPr>
            <w:color w:val="000000" w:themeColor="text1"/>
          </w:rPr>
          <w:tab/>
        </w:r>
        <w:r w:rsidR="003C2EEE">
          <w:rPr>
            <w:color w:val="000000" w:themeColor="text1"/>
          </w:rPr>
          <w:fldChar w:fldCharType="begin"/>
        </w:r>
        <w:r w:rsidR="003C2EEE">
          <w:rPr>
            <w:color w:val="000000" w:themeColor="text1"/>
          </w:rPr>
          <w:instrText xml:space="preserve"> PAGEREF _Toc142578255 \h </w:instrText>
        </w:r>
        <w:r w:rsidR="003C2EEE">
          <w:rPr>
            <w:color w:val="000000" w:themeColor="text1"/>
          </w:rPr>
        </w:r>
        <w:r w:rsidR="003C2EEE">
          <w:rPr>
            <w:color w:val="000000" w:themeColor="text1"/>
          </w:rPr>
          <w:fldChar w:fldCharType="separate"/>
        </w:r>
        <w:r w:rsidR="003C2EEE">
          <w:rPr>
            <w:color w:val="000000" w:themeColor="text1"/>
          </w:rPr>
          <w:t>5</w:t>
        </w:r>
        <w:r w:rsidR="003C2EEE">
          <w:rPr>
            <w:color w:val="000000" w:themeColor="text1"/>
          </w:rPr>
          <w:fldChar w:fldCharType="end"/>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56" w:history="1">
        <w:r w:rsidR="003C2EEE">
          <w:rPr>
            <w:rStyle w:val="aff5"/>
            <w:rFonts w:ascii="黑体" w:hAnsi="黑体"/>
            <w:color w:val="000000" w:themeColor="text1"/>
          </w:rPr>
          <w:t>第二节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公司简介和主要财务指标</w:t>
        </w:r>
        <w:r w:rsidR="003C2EEE">
          <w:rPr>
            <w:color w:val="000000" w:themeColor="text1"/>
          </w:rPr>
          <w:tab/>
        </w:r>
        <w:r w:rsidR="003C2EEE">
          <w:rPr>
            <w:color w:val="000000" w:themeColor="text1"/>
          </w:rPr>
          <w:fldChar w:fldCharType="begin"/>
        </w:r>
        <w:r w:rsidR="003C2EEE">
          <w:rPr>
            <w:color w:val="000000" w:themeColor="text1"/>
          </w:rPr>
          <w:instrText xml:space="preserve"> PAGEREF _Toc142578256 \h </w:instrText>
        </w:r>
        <w:r w:rsidR="003C2EEE">
          <w:rPr>
            <w:color w:val="000000" w:themeColor="text1"/>
          </w:rPr>
        </w:r>
        <w:r w:rsidR="003C2EEE">
          <w:rPr>
            <w:color w:val="000000" w:themeColor="text1"/>
          </w:rPr>
          <w:fldChar w:fldCharType="separate"/>
        </w:r>
        <w:r w:rsidR="003C2EEE">
          <w:rPr>
            <w:color w:val="000000" w:themeColor="text1"/>
          </w:rPr>
          <w:t>5</w:t>
        </w:r>
        <w:r w:rsidR="003C2EEE">
          <w:rPr>
            <w:color w:val="000000" w:themeColor="text1"/>
          </w:rPr>
          <w:fldChar w:fldCharType="end"/>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57" w:history="1">
        <w:r w:rsidR="003C2EEE">
          <w:rPr>
            <w:rStyle w:val="aff5"/>
            <w:rFonts w:ascii="黑体" w:hAnsi="黑体"/>
            <w:color w:val="000000" w:themeColor="text1"/>
          </w:rPr>
          <w:t>第三节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管理层讨论与分析</w:t>
        </w:r>
        <w:r w:rsidR="003C2EEE">
          <w:rPr>
            <w:color w:val="000000" w:themeColor="text1"/>
          </w:rPr>
          <w:tab/>
          <w:t>8</w:t>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58" w:history="1">
        <w:r w:rsidR="003C2EEE">
          <w:rPr>
            <w:rStyle w:val="aff5"/>
            <w:rFonts w:ascii="黑体" w:hAnsi="黑体"/>
            <w:color w:val="000000" w:themeColor="text1"/>
          </w:rPr>
          <w:t>第四节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公司治理</w:t>
        </w:r>
        <w:r w:rsidR="003C2EEE">
          <w:rPr>
            <w:color w:val="000000" w:themeColor="text1"/>
          </w:rPr>
          <w:tab/>
          <w:t>29</w:t>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59" w:history="1">
        <w:r w:rsidR="003C2EEE">
          <w:rPr>
            <w:rStyle w:val="aff5"/>
            <w:rFonts w:ascii="黑体" w:hAnsi="黑体"/>
            <w:color w:val="000000" w:themeColor="text1"/>
          </w:rPr>
          <w:t>第五节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环境与社会责任</w:t>
        </w:r>
        <w:r w:rsidR="003C2EEE">
          <w:rPr>
            <w:color w:val="000000" w:themeColor="text1"/>
          </w:rPr>
          <w:tab/>
          <w:t>30</w:t>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60" w:history="1">
        <w:r w:rsidR="003C2EEE">
          <w:rPr>
            <w:rStyle w:val="aff5"/>
            <w:rFonts w:ascii="黑体" w:hAnsi="黑体"/>
            <w:color w:val="000000" w:themeColor="text1"/>
          </w:rPr>
          <w:t>第六节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重要事项</w:t>
        </w:r>
        <w:r w:rsidR="003C2EEE">
          <w:rPr>
            <w:color w:val="000000" w:themeColor="text1"/>
          </w:rPr>
          <w:tab/>
          <w:t>38</w:t>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61" w:history="1">
        <w:r w:rsidR="003C2EEE">
          <w:rPr>
            <w:rStyle w:val="aff5"/>
            <w:rFonts w:ascii="黑体" w:hAnsi="黑体"/>
            <w:color w:val="000000" w:themeColor="text1"/>
          </w:rPr>
          <w:t>第七节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股份变动及股东情况</w:t>
        </w:r>
        <w:r w:rsidR="003C2EEE">
          <w:rPr>
            <w:color w:val="000000" w:themeColor="text1"/>
          </w:rPr>
          <w:tab/>
          <w:t>58</w:t>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62" w:history="1">
        <w:r w:rsidR="003C2EEE">
          <w:rPr>
            <w:rStyle w:val="aff5"/>
            <w:rFonts w:ascii="黑体" w:hAnsi="黑体"/>
            <w:color w:val="000000" w:themeColor="text1"/>
          </w:rPr>
          <w:t>第八节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优先股相关情况</w:t>
        </w:r>
        <w:r w:rsidR="003C2EEE">
          <w:rPr>
            <w:color w:val="000000" w:themeColor="text1"/>
          </w:rPr>
          <w:tab/>
          <w:t>63</w:t>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63" w:history="1">
        <w:r w:rsidR="003C2EEE">
          <w:rPr>
            <w:rStyle w:val="aff5"/>
            <w:rFonts w:ascii="黑体" w:hAnsi="黑体"/>
            <w:color w:val="000000" w:themeColor="text1"/>
          </w:rPr>
          <w:t>第九节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债券相关情况</w:t>
        </w:r>
        <w:r w:rsidR="003C2EEE">
          <w:rPr>
            <w:color w:val="000000" w:themeColor="text1"/>
          </w:rPr>
          <w:tab/>
          <w:t>64</w:t>
        </w:r>
      </w:hyperlink>
    </w:p>
    <w:p w:rsidR="00597370" w:rsidRDefault="006840ED">
      <w:pPr>
        <w:pStyle w:val="11"/>
        <w:tabs>
          <w:tab w:val="left" w:pos="1050"/>
          <w:tab w:val="right" w:leader="dot" w:pos="8823"/>
        </w:tabs>
        <w:ind w:left="422" w:hanging="422"/>
        <w:rPr>
          <w:rFonts w:asciiTheme="minorHAnsi" w:eastAsiaTheme="minorEastAsia" w:hAnsiTheme="minorHAnsi" w:cstheme="minorBidi"/>
          <w:b w:val="0"/>
          <w:bCs w:val="0"/>
          <w:caps w:val="0"/>
          <w:color w:val="000000" w:themeColor="text1"/>
          <w:kern w:val="2"/>
          <w:szCs w:val="22"/>
          <w14:ligatures w14:val="standardContextual"/>
        </w:rPr>
      </w:pPr>
      <w:hyperlink w:anchor="_Toc142578264" w:history="1">
        <w:r w:rsidR="003C2EEE">
          <w:rPr>
            <w:rStyle w:val="aff5"/>
            <w:rFonts w:ascii="黑体" w:hAnsi="黑体"/>
            <w:color w:val="000000" w:themeColor="text1"/>
          </w:rPr>
          <w:t>第十节</w:t>
        </w:r>
        <w:r w:rsidR="003C2EEE">
          <w:rPr>
            <w:rFonts w:asciiTheme="minorHAnsi" w:eastAsiaTheme="minorEastAsia" w:hAnsiTheme="minorHAnsi" w:cstheme="minorBidi"/>
            <w:b w:val="0"/>
            <w:bCs w:val="0"/>
            <w:caps w:val="0"/>
            <w:color w:val="000000" w:themeColor="text1"/>
            <w:kern w:val="2"/>
            <w:szCs w:val="22"/>
            <w14:ligatures w14:val="standardContextual"/>
          </w:rPr>
          <w:tab/>
        </w:r>
        <w:r w:rsidR="003C2EEE">
          <w:rPr>
            <w:rStyle w:val="aff5"/>
            <w:rFonts w:ascii="黑体" w:hAnsi="黑体"/>
            <w:color w:val="000000" w:themeColor="text1"/>
          </w:rPr>
          <w:t>财务报告</w:t>
        </w:r>
        <w:r w:rsidR="003C2EEE">
          <w:rPr>
            <w:color w:val="000000" w:themeColor="text1"/>
          </w:rPr>
          <w:tab/>
          <w:t>65</w:t>
        </w:r>
      </w:hyperlink>
    </w:p>
    <w:p w:rsidR="00597370" w:rsidRDefault="003C2EEE">
      <w:pPr>
        <w:kinsoku w:val="0"/>
        <w:overflowPunct w:val="0"/>
        <w:autoSpaceDE w:val="0"/>
        <w:autoSpaceDN w:val="0"/>
        <w:adjustRightInd w:val="0"/>
        <w:snapToGrid w:val="0"/>
        <w:spacing w:line="360" w:lineRule="auto"/>
        <w:jc w:val="center"/>
        <w:rPr>
          <w:color w:val="000000" w:themeColor="text1"/>
          <w:shd w:val="pct10" w:color="auto" w:fill="FFFFFF"/>
        </w:rPr>
      </w:pPr>
      <w:r>
        <w:rPr>
          <w:color w:val="000000" w:themeColor="text1"/>
          <w:shd w:val="pct10" w:color="auto" w:fill="FFFFFF"/>
        </w:rPr>
        <w:fldChar w:fldCharType="end"/>
      </w:r>
    </w:p>
    <w:p w:rsidR="00597370" w:rsidRDefault="00597370">
      <w:pPr>
        <w:spacing w:line="360" w:lineRule="exact"/>
        <w:ind w:right="5"/>
        <w:rPr>
          <w:b/>
          <w:bCs w:val="0"/>
          <w:color w:val="000000" w:themeColor="text1"/>
          <w:sz w:val="24"/>
        </w:rPr>
      </w:pPr>
      <w:bookmarkStart w:id="4" w:name="_Hlk76111741"/>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276"/>
        <w:gridCol w:w="6547"/>
      </w:tblGrid>
      <w:sdt>
        <w:sdtPr>
          <w:rPr>
            <w:color w:val="000000" w:themeColor="text1"/>
          </w:rPr>
          <w:alias w:val="备查文件情况"/>
          <w:tag w:val="_TUP_d1defbbd2758417a8ea21948dd35feef"/>
          <w:id w:val="374044612"/>
          <w:placeholder>
            <w:docPart w:val="C6BC4CD5D09C47F58ECD675527EA454C"/>
          </w:placeholder>
        </w:sdtPr>
        <w:sdtEndPr/>
        <w:sdtContent>
          <w:tr w:rsidR="00597370">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rPr>
                    <w:color w:val="000000" w:themeColor="text1"/>
                  </w:rPr>
                  <w:tag w:val="_PLD_4dedc5664132424db8ffece735208815"/>
                  <w:id w:val="-404768435"/>
                </w:sdtPr>
                <w:sdtEndPr/>
                <w:sdtContent>
                  <w:p w:rsidR="00597370" w:rsidRDefault="003C2EEE">
                    <w:pPr>
                      <w:autoSpaceDE w:val="0"/>
                      <w:autoSpaceDN w:val="0"/>
                      <w:adjustRightInd w:val="0"/>
                      <w:jc w:val="center"/>
                      <w:rPr>
                        <w:color w:val="000000" w:themeColor="text1"/>
                      </w:rPr>
                    </w:pPr>
                    <w:r>
                      <w:rPr>
                        <w:color w:val="000000" w:themeColor="text1"/>
                      </w:rPr>
                      <w:t>备查文件目录</w:t>
                    </w:r>
                  </w:p>
                </w:sdtContent>
              </w:sdt>
            </w:tc>
            <w:tc>
              <w:tcPr>
                <w:tcW w:w="371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rPr>
                  <w:t>载有法定代表人、主管会计工作的负责人和会计机构负责人签名并盖章的会计报表；</w:t>
                </w:r>
              </w:p>
            </w:tc>
          </w:tr>
        </w:sdtContent>
      </w:sdt>
      <w:tr w:rsidR="00597370">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597370" w:rsidRDefault="00597370">
            <w:pPr>
              <w:pStyle w:val="Style106"/>
            </w:pPr>
          </w:p>
        </w:tc>
        <w:tc>
          <w:tcPr>
            <w:tcW w:w="371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rPr>
              <w:t>报告期内公开披露过的所有公司文件的正本及公告的原稿；</w:t>
            </w:r>
          </w:p>
        </w:tc>
      </w:tr>
      <w:tr w:rsidR="00597370">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597370" w:rsidRDefault="00597370">
            <w:pPr>
              <w:pStyle w:val="Style106"/>
            </w:pPr>
          </w:p>
        </w:tc>
        <w:tc>
          <w:tcPr>
            <w:tcW w:w="371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rPr>
              <w:t>经公司法定代表人签署的</w:t>
            </w:r>
            <w:r>
              <w:t>2024年</w:t>
            </w:r>
            <w:r>
              <w:rPr>
                <w:rFonts w:hint="eastAsia"/>
              </w:rPr>
              <w:t>半年度</w:t>
            </w:r>
            <w:r>
              <w:t>报告原件。</w:t>
            </w:r>
          </w:p>
        </w:tc>
      </w:tr>
    </w:tbl>
    <w:p w:rsidR="00597370" w:rsidRDefault="00597370">
      <w:pPr>
        <w:spacing w:line="360" w:lineRule="exact"/>
        <w:jc w:val="right"/>
        <w:rPr>
          <w:color w:val="000000" w:themeColor="text1"/>
        </w:rPr>
      </w:pPr>
    </w:p>
    <w:bookmarkEnd w:id="4"/>
    <w:p w:rsidR="00597370" w:rsidRDefault="00597370">
      <w:pPr>
        <w:kinsoku w:val="0"/>
        <w:overflowPunct w:val="0"/>
        <w:autoSpaceDE w:val="0"/>
        <w:autoSpaceDN w:val="0"/>
        <w:adjustRightInd w:val="0"/>
        <w:snapToGrid w:val="0"/>
        <w:spacing w:line="360" w:lineRule="exact"/>
        <w:rPr>
          <w:color w:val="000000" w:themeColor="text1"/>
          <w:shd w:val="pct10" w:color="auto" w:fill="FFFFFF"/>
        </w:rPr>
      </w:pPr>
    </w:p>
    <w:p w:rsidR="00597370" w:rsidRDefault="003C2EEE">
      <w:pPr>
        <w:rPr>
          <w:color w:val="000000" w:themeColor="text1"/>
        </w:rPr>
      </w:pPr>
      <w:r>
        <w:rPr>
          <w:color w:val="000000" w:themeColor="text1"/>
        </w:rPr>
        <w:br w:type="page"/>
      </w:r>
    </w:p>
    <w:p w:rsidR="00597370" w:rsidRDefault="003C2EEE">
      <w:pPr>
        <w:pStyle w:val="1"/>
        <w:numPr>
          <w:ilvl w:val="0"/>
          <w:numId w:val="2"/>
        </w:numPr>
        <w:rPr>
          <w:rFonts w:ascii="黑体" w:hAnsi="黑体"/>
          <w:color w:val="000000" w:themeColor="text1"/>
        </w:rPr>
      </w:pPr>
      <w:bookmarkStart w:id="5" w:name="_Toc76114272"/>
      <w:bookmarkStart w:id="6" w:name="_Toc142578255"/>
      <w:r>
        <w:rPr>
          <w:rFonts w:ascii="黑体" w:hAnsi="黑体" w:hint="eastAsia"/>
          <w:color w:val="000000" w:themeColor="text1"/>
        </w:rPr>
        <w:lastRenderedPageBreak/>
        <w:t>释义</w:t>
      </w:r>
      <w:bookmarkEnd w:id="5"/>
      <w:bookmarkEnd w:id="6"/>
    </w:p>
    <w:p w:rsidR="00597370" w:rsidRDefault="003C2EEE">
      <w:pPr>
        <w:rPr>
          <w:color w:val="000000" w:themeColor="text1"/>
        </w:rPr>
      </w:pPr>
      <w:r>
        <w:rPr>
          <w:color w:val="000000" w:themeColor="text1"/>
        </w:rPr>
        <w:t>在本报告书中，除非文义另有所指，下列词语具有如下含义：</w:t>
      </w:r>
    </w:p>
    <w:tbl>
      <w:tblPr>
        <w:tblStyle w:val="g5"/>
        <w:tblW w:w="5000" w:type="pct"/>
        <w:jc w:val="center"/>
        <w:tblLayout w:type="fixed"/>
        <w:tblCellMar>
          <w:left w:w="0" w:type="dxa"/>
          <w:right w:w="28" w:type="dxa"/>
        </w:tblCellMar>
        <w:tblLook w:val="04A0" w:firstRow="1" w:lastRow="0" w:firstColumn="1" w:lastColumn="0" w:noHBand="0" w:noVBand="1"/>
      </w:tblPr>
      <w:tblGrid>
        <w:gridCol w:w="2689"/>
        <w:gridCol w:w="567"/>
        <w:gridCol w:w="5567"/>
      </w:tblGrid>
      <w:tr w:rsidR="00597370">
        <w:trPr>
          <w:trHeight w:val="397"/>
          <w:jc w:val="center"/>
        </w:trPr>
        <w:sdt>
          <w:sdtPr>
            <w:rPr>
              <w:rFonts w:ascii="Times New Roman" w:hAnsi="Times New Roman"/>
              <w:color w:val="000000" w:themeColor="text1"/>
            </w:rPr>
            <w:tag w:val="_PLD_d73bff14187b49a1b1c86b56316c5e47"/>
            <w:id w:val="-109892488"/>
          </w:sdtPr>
          <w:sdtEndPr/>
          <w:sdtContent>
            <w:tc>
              <w:tcPr>
                <w:tcW w:w="8823" w:type="dxa"/>
                <w:gridSpan w:val="3"/>
              </w:tcPr>
              <w:p w:rsidR="00597370" w:rsidRDefault="003C2EEE">
                <w:pPr>
                  <w:rPr>
                    <w:rFonts w:ascii="Times New Roman" w:hAnsi="Times New Roman"/>
                    <w:color w:val="000000" w:themeColor="text1"/>
                  </w:rPr>
                </w:pPr>
                <w:r>
                  <w:rPr>
                    <w:rFonts w:ascii="Times New Roman" w:hAnsi="Times New Roman"/>
                    <w:color w:val="000000" w:themeColor="text1"/>
                  </w:rPr>
                  <w:t>常用词语释义</w:t>
                </w:r>
              </w:p>
            </w:tc>
          </w:sdtContent>
        </w:sdt>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中国证监会、证监会</w:t>
            </w:r>
          </w:p>
        </w:tc>
        <w:tc>
          <w:tcPr>
            <w:tcW w:w="567" w:type="dxa"/>
            <w:vAlign w:val="center"/>
          </w:tcPr>
          <w:p w:rsidR="00597370" w:rsidRDefault="003C2EEE">
            <w:pPr>
              <w:jc w:val="center"/>
              <w:rPr>
                <w:rFonts w:ascii="Times New Roman" w:hAnsi="Times New Roman"/>
                <w:color w:val="000000" w:themeColor="text1"/>
                <w:highlight w:val="lightGray"/>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中国证券监督管理委员会</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上交所</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上海证券交易所</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公司法</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中华人民共和国公司法</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证券法</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中华人民共和国证券法</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公司章程</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proofErr w:type="gramStart"/>
            <w:r>
              <w:rPr>
                <w:rFonts w:ascii="Times New Roman" w:hAnsi="Times New Roman"/>
              </w:rPr>
              <w:t>重庆望变电气</w:t>
            </w:r>
            <w:proofErr w:type="gramEnd"/>
            <w:r>
              <w:rPr>
                <w:rFonts w:ascii="Times New Roman" w:hAnsi="Times New Roman"/>
              </w:rPr>
              <w:t>（集团）股份有限公司章程</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报告期、本报告期、本期</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2024</w:t>
            </w:r>
            <w:r>
              <w:rPr>
                <w:rFonts w:ascii="Times New Roman" w:hAnsi="Times New Roman"/>
              </w:rPr>
              <w:t>年</w:t>
            </w:r>
            <w:r>
              <w:rPr>
                <w:rFonts w:ascii="Times New Roman" w:hAnsi="Times New Roman"/>
              </w:rPr>
              <w:t>1</w:t>
            </w:r>
            <w:r>
              <w:rPr>
                <w:rFonts w:ascii="Times New Roman" w:hAnsi="Times New Roman"/>
              </w:rPr>
              <w:t>月</w:t>
            </w:r>
            <w:r>
              <w:rPr>
                <w:rFonts w:ascii="Times New Roman" w:hAnsi="Times New Roman"/>
              </w:rPr>
              <w:t>1</w:t>
            </w:r>
            <w:r>
              <w:rPr>
                <w:rFonts w:ascii="Times New Roman" w:hAnsi="Times New Roman"/>
              </w:rPr>
              <w:t>日至</w:t>
            </w:r>
            <w:r>
              <w:rPr>
                <w:rFonts w:ascii="Times New Roman" w:hAnsi="Times New Roman"/>
              </w:rPr>
              <w:t>2024</w:t>
            </w:r>
            <w:r>
              <w:rPr>
                <w:rFonts w:ascii="Times New Roman" w:hAnsi="Times New Roman"/>
              </w:rPr>
              <w:t>年</w:t>
            </w:r>
            <w:r>
              <w:rPr>
                <w:rFonts w:ascii="Times New Roman" w:hAnsi="Times New Roman"/>
              </w:rPr>
              <w:t>6</w:t>
            </w:r>
            <w:r>
              <w:rPr>
                <w:rFonts w:ascii="Times New Roman" w:hAnsi="Times New Roman"/>
              </w:rPr>
              <w:t>月</w:t>
            </w:r>
            <w:r>
              <w:rPr>
                <w:rFonts w:ascii="Times New Roman" w:hAnsi="Times New Roman"/>
              </w:rPr>
              <w:t>30</w:t>
            </w:r>
            <w:r>
              <w:rPr>
                <w:rFonts w:ascii="Times New Roman" w:hAnsi="Times New Roman"/>
              </w:rPr>
              <w:t>日</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亿元、万元、元</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人民币亿元、万元、元</w:t>
            </w:r>
          </w:p>
        </w:tc>
      </w:tr>
      <w:tr w:rsidR="00597370">
        <w:trPr>
          <w:trHeight w:val="397"/>
          <w:jc w:val="center"/>
        </w:trPr>
        <w:tc>
          <w:tcPr>
            <w:tcW w:w="2689" w:type="dxa"/>
            <w:vAlign w:val="center"/>
          </w:tcPr>
          <w:p w:rsidR="00597370" w:rsidRDefault="003C2EEE">
            <w:pPr>
              <w:pStyle w:val="Style106"/>
              <w:rPr>
                <w:rFonts w:ascii="Times New Roman" w:hAnsi="Times New Roman"/>
              </w:rPr>
            </w:pPr>
            <w:proofErr w:type="gramStart"/>
            <w:r>
              <w:rPr>
                <w:rFonts w:ascii="Times New Roman" w:hAnsi="Times New Roman" w:hint="eastAsia"/>
              </w:rPr>
              <w:t>望变电气</w:t>
            </w:r>
            <w:proofErr w:type="gramEnd"/>
            <w:r>
              <w:rPr>
                <w:rFonts w:ascii="Times New Roman" w:hAnsi="Times New Roman" w:hint="eastAsia"/>
              </w:rPr>
              <w:t>、公司、母公司</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proofErr w:type="gramStart"/>
            <w:r>
              <w:rPr>
                <w:rFonts w:ascii="Times New Roman" w:hAnsi="Times New Roman"/>
              </w:rPr>
              <w:t>重庆望变电气</w:t>
            </w:r>
            <w:proofErr w:type="gramEnd"/>
            <w:r>
              <w:rPr>
                <w:rFonts w:ascii="Times New Roman" w:hAnsi="Times New Roman"/>
              </w:rPr>
              <w:t>（集团）股份有限公司</w:t>
            </w:r>
          </w:p>
        </w:tc>
      </w:tr>
      <w:tr w:rsidR="00597370">
        <w:trPr>
          <w:trHeight w:val="397"/>
          <w:jc w:val="center"/>
        </w:trPr>
        <w:tc>
          <w:tcPr>
            <w:tcW w:w="2689" w:type="dxa"/>
            <w:vAlign w:val="center"/>
          </w:tcPr>
          <w:p w:rsidR="00597370" w:rsidRDefault="003C2EEE">
            <w:pPr>
              <w:pStyle w:val="Style106"/>
              <w:rPr>
                <w:rFonts w:ascii="Times New Roman" w:hAnsi="Times New Roman"/>
              </w:rPr>
            </w:pPr>
            <w:proofErr w:type="gramStart"/>
            <w:r>
              <w:rPr>
                <w:rFonts w:ascii="Times New Roman" w:hAnsi="Times New Roman" w:hint="eastAsia"/>
              </w:rPr>
              <w:t>云变电气</w:t>
            </w:r>
            <w:proofErr w:type="gramEnd"/>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云南变压器电气股份有限公司</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黔南望江</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黔南望江变压器有限公司</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惠泽电器</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重庆惠泽电器有限公司</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能投售电</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重庆能投长寿经开区售电有限公司</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电工钢</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是一种含碳极低的硅铁软磁合金，一般含硅量为</w:t>
            </w:r>
            <w:r>
              <w:rPr>
                <w:rFonts w:ascii="Times New Roman" w:hAnsi="Times New Roman"/>
              </w:rPr>
              <w:t>0.5%</w:t>
            </w:r>
            <w:r>
              <w:rPr>
                <w:rFonts w:ascii="Times New Roman" w:hAnsi="Times New Roman"/>
              </w:rPr>
              <w:t>～</w:t>
            </w:r>
            <w:r>
              <w:rPr>
                <w:rFonts w:ascii="Times New Roman" w:hAnsi="Times New Roman"/>
              </w:rPr>
              <w:t>4.5%</w:t>
            </w:r>
            <w:r>
              <w:rPr>
                <w:rFonts w:ascii="Times New Roman" w:hAnsi="Times New Roman"/>
              </w:rPr>
              <w:t>，亦称硅钢片</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取向硅钢、取向电工钢</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一种晶粒基本朝同一方向排列的极低碳硅铁合金材料，主要应用于变压器（铁心）制造行业</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HiB</w:t>
            </w:r>
            <w:r>
              <w:rPr>
                <w:rFonts w:ascii="Times New Roman" w:hAnsi="Times New Roman"/>
              </w:rPr>
              <w:t>、高磁感取向硅钢</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磁感强度</w:t>
            </w:r>
            <w:r>
              <w:rPr>
                <w:rFonts w:ascii="Times New Roman" w:hAnsi="Times New Roman"/>
              </w:rPr>
              <w:t>≥1.88T</w:t>
            </w:r>
            <w:r>
              <w:rPr>
                <w:rFonts w:ascii="Times New Roman" w:hAnsi="Times New Roman"/>
              </w:rPr>
              <w:t>的取向硅钢，与一般取向硅钢相比具有铁损低、磁感应强度高、磁致伸缩小等优点</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CGO</w:t>
            </w:r>
            <w:r>
              <w:rPr>
                <w:rFonts w:ascii="Times New Roman" w:hAnsi="Times New Roman"/>
              </w:rPr>
              <w:t>、一般取向硅钢</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磁感强度＜</w:t>
            </w:r>
            <w:r>
              <w:rPr>
                <w:rFonts w:ascii="Times New Roman" w:hAnsi="Times New Roman"/>
              </w:rPr>
              <w:t>1.88T</w:t>
            </w:r>
            <w:r>
              <w:rPr>
                <w:rFonts w:ascii="Times New Roman" w:hAnsi="Times New Roman"/>
              </w:rPr>
              <w:t>的取向硅钢</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变压器、电力变压器</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利用电磁感应原理制成的传输交流电能并改变交流电压的装置，主要构件是绕组、铁心、绝缘系统和散热装置</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牌号</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一般取向硅钢按</w:t>
            </w:r>
            <w:r>
              <w:rPr>
                <w:rFonts w:ascii="Times New Roman" w:hAnsi="Times New Roman"/>
              </w:rPr>
              <w:t>120</w:t>
            </w:r>
            <w:r>
              <w:rPr>
                <w:rFonts w:ascii="Times New Roman" w:hAnsi="Times New Roman"/>
              </w:rPr>
              <w:t>、</w:t>
            </w:r>
            <w:r>
              <w:rPr>
                <w:rFonts w:ascii="Times New Roman" w:hAnsi="Times New Roman"/>
              </w:rPr>
              <w:t>110</w:t>
            </w:r>
            <w:r>
              <w:rPr>
                <w:rFonts w:ascii="Times New Roman" w:hAnsi="Times New Roman"/>
              </w:rPr>
              <w:t>、</w:t>
            </w:r>
            <w:r>
              <w:rPr>
                <w:rFonts w:ascii="Times New Roman" w:hAnsi="Times New Roman"/>
              </w:rPr>
              <w:t>100</w:t>
            </w:r>
            <w:r>
              <w:rPr>
                <w:rFonts w:ascii="Times New Roman" w:hAnsi="Times New Roman"/>
              </w:rPr>
              <w:t>的数字命名牌号，数字越小牌号越高；高磁感取向硅钢按</w:t>
            </w:r>
            <w:r>
              <w:rPr>
                <w:rFonts w:ascii="Times New Roman" w:hAnsi="Times New Roman"/>
              </w:rPr>
              <w:t>100</w:t>
            </w:r>
            <w:r>
              <w:rPr>
                <w:rFonts w:ascii="Times New Roman" w:hAnsi="Times New Roman"/>
              </w:rPr>
              <w:t>、</w:t>
            </w:r>
            <w:r>
              <w:rPr>
                <w:rFonts w:ascii="Times New Roman" w:hAnsi="Times New Roman"/>
              </w:rPr>
              <w:t>095</w:t>
            </w:r>
            <w:r>
              <w:rPr>
                <w:rFonts w:ascii="Times New Roman" w:hAnsi="Times New Roman"/>
              </w:rPr>
              <w:t>、</w:t>
            </w:r>
            <w:r>
              <w:rPr>
                <w:rFonts w:ascii="Times New Roman" w:hAnsi="Times New Roman"/>
              </w:rPr>
              <w:t>090</w:t>
            </w:r>
            <w:r>
              <w:rPr>
                <w:rFonts w:ascii="Times New Roman" w:hAnsi="Times New Roman"/>
              </w:rPr>
              <w:t>、</w:t>
            </w:r>
            <w:r>
              <w:rPr>
                <w:rFonts w:ascii="Times New Roman" w:hAnsi="Times New Roman"/>
              </w:rPr>
              <w:t>085</w:t>
            </w:r>
            <w:r>
              <w:rPr>
                <w:rFonts w:ascii="Times New Roman" w:hAnsi="Times New Roman"/>
              </w:rPr>
              <w:t>、</w:t>
            </w:r>
            <w:r>
              <w:rPr>
                <w:rFonts w:ascii="Times New Roman" w:hAnsi="Times New Roman"/>
              </w:rPr>
              <w:t>080</w:t>
            </w:r>
            <w:r>
              <w:rPr>
                <w:rFonts w:ascii="Times New Roman" w:hAnsi="Times New Roman"/>
              </w:rPr>
              <w:t>以此类推的数字命名牌号，数字越小牌号越高</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080</w:t>
            </w:r>
            <w:r>
              <w:rPr>
                <w:rFonts w:ascii="Times New Roman" w:hAnsi="Times New Roman" w:hint="eastAsia"/>
              </w:rPr>
              <w:t>牌号</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牌号为</w:t>
            </w:r>
            <w:r>
              <w:rPr>
                <w:rFonts w:ascii="Times New Roman" w:hAnsi="Times New Roman"/>
              </w:rPr>
              <w:t>080</w:t>
            </w:r>
            <w:r>
              <w:rPr>
                <w:rFonts w:ascii="Times New Roman" w:hAnsi="Times New Roman"/>
              </w:rPr>
              <w:t>的高磁感取向硅钢</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0</w:t>
            </w:r>
            <w:r>
              <w:rPr>
                <w:rFonts w:ascii="Times New Roman" w:hAnsi="Times New Roman"/>
              </w:rPr>
              <w:t>95</w:t>
            </w:r>
            <w:r>
              <w:rPr>
                <w:rFonts w:ascii="Times New Roman" w:hAnsi="Times New Roman" w:hint="eastAsia"/>
              </w:rPr>
              <w:t>牌号</w:t>
            </w:r>
          </w:p>
        </w:tc>
        <w:tc>
          <w:tcPr>
            <w:tcW w:w="567" w:type="dxa"/>
            <w:vAlign w:val="center"/>
          </w:tcPr>
          <w:p w:rsidR="00597370" w:rsidRDefault="003C2EEE">
            <w:pPr>
              <w:jc w:val="center"/>
              <w:rPr>
                <w:rFonts w:ascii="Times New Roman" w:hAnsi="Times New Roman"/>
              </w:rPr>
            </w:pPr>
            <w:r>
              <w:rPr>
                <w:rFonts w:ascii="Times New Roman" w:hAnsi="Times New Roman" w:hint="eastAsia"/>
              </w:rPr>
              <w:t>指</w:t>
            </w:r>
          </w:p>
        </w:tc>
        <w:tc>
          <w:tcPr>
            <w:tcW w:w="5567" w:type="dxa"/>
            <w:vAlign w:val="center"/>
          </w:tcPr>
          <w:p w:rsidR="00597370" w:rsidRDefault="003C2EEE">
            <w:pPr>
              <w:pStyle w:val="Style106"/>
              <w:rPr>
                <w:rFonts w:ascii="Times New Roman" w:hAnsi="Times New Roman"/>
              </w:rPr>
            </w:pPr>
            <w:r>
              <w:rPr>
                <w:rFonts w:ascii="Times New Roman" w:hAnsi="Times New Roman" w:hint="eastAsia"/>
              </w:rPr>
              <w:t>牌号为</w:t>
            </w:r>
            <w:r>
              <w:rPr>
                <w:rFonts w:ascii="Times New Roman" w:hAnsi="Times New Roman" w:hint="eastAsia"/>
              </w:rPr>
              <w:t>0</w:t>
            </w:r>
            <w:r>
              <w:rPr>
                <w:rFonts w:ascii="Times New Roman" w:hAnsi="Times New Roman"/>
              </w:rPr>
              <w:t>95</w:t>
            </w:r>
            <w:r>
              <w:rPr>
                <w:rFonts w:ascii="Times New Roman" w:hAnsi="Times New Roman" w:hint="eastAsia"/>
              </w:rPr>
              <w:t>的高磁感取向硅钢</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箱式变电站、箱变</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一种高压开关设备、电力变压器和低压配电装置，按一定接线方案排成一体的工厂预制户内、户外紧凑式配电设备</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成套电气设备</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由壳体、母线、一二次元件、辅材等组成的完整电力设备，它运行在电网中主要起着接受和分配电能的作用，同时对电力设备起着控制以及保护的作用</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电气化铁路牵引变压器</w:t>
            </w:r>
          </w:p>
        </w:tc>
        <w:tc>
          <w:tcPr>
            <w:tcW w:w="567" w:type="dxa"/>
            <w:vAlign w:val="center"/>
          </w:tcPr>
          <w:p w:rsidR="00597370" w:rsidRDefault="003C2EEE">
            <w:pPr>
              <w:jc w:val="center"/>
              <w:rPr>
                <w:rFonts w:ascii="Times New Roman" w:hAnsi="Times New Roman"/>
              </w:rPr>
            </w:pPr>
            <w:r>
              <w:rPr>
                <w:rFonts w:ascii="Times New Roman" w:hAnsi="Times New Roman" w:hint="eastAsia"/>
              </w:rPr>
              <w:t>指</w:t>
            </w:r>
          </w:p>
        </w:tc>
        <w:tc>
          <w:tcPr>
            <w:tcW w:w="5567" w:type="dxa"/>
            <w:vAlign w:val="center"/>
          </w:tcPr>
          <w:p w:rsidR="00597370" w:rsidRDefault="003C2EEE">
            <w:pPr>
              <w:pStyle w:val="Style106"/>
              <w:rPr>
                <w:rFonts w:ascii="Times New Roman" w:hAnsi="Times New Roman"/>
              </w:rPr>
            </w:pPr>
            <w:r>
              <w:rPr>
                <w:rFonts w:ascii="Times New Roman" w:hAnsi="Times New Roman"/>
              </w:rPr>
              <w:t>是安装在电气化铁路牵引变电所，将</w:t>
            </w:r>
            <w:r>
              <w:rPr>
                <w:rFonts w:ascii="Times New Roman" w:hAnsi="Times New Roman"/>
              </w:rPr>
              <w:t>110</w:t>
            </w:r>
            <w:r>
              <w:rPr>
                <w:rFonts w:ascii="Times New Roman" w:hAnsi="Times New Roman"/>
              </w:rPr>
              <w:t>、</w:t>
            </w:r>
            <w:r>
              <w:rPr>
                <w:rFonts w:ascii="Times New Roman" w:hAnsi="Times New Roman"/>
              </w:rPr>
              <w:t>220</w:t>
            </w:r>
            <w:r>
              <w:rPr>
                <w:rFonts w:ascii="Times New Roman" w:hAnsi="Times New Roman"/>
              </w:rPr>
              <w:t>、</w:t>
            </w:r>
            <w:r>
              <w:rPr>
                <w:rFonts w:ascii="Times New Roman" w:hAnsi="Times New Roman"/>
              </w:rPr>
              <w:t>330kV</w:t>
            </w:r>
            <w:r>
              <w:rPr>
                <w:rFonts w:ascii="Times New Roman" w:hAnsi="Times New Roman"/>
              </w:rPr>
              <w:t>三相电力系统电压转换为单相或两相</w:t>
            </w:r>
            <w:r>
              <w:rPr>
                <w:rFonts w:ascii="Times New Roman" w:hAnsi="Times New Roman"/>
              </w:rPr>
              <w:t>27.5</w:t>
            </w:r>
            <w:r>
              <w:rPr>
                <w:rFonts w:ascii="Times New Roman" w:hAnsi="Times New Roman"/>
              </w:rPr>
              <w:t>、</w:t>
            </w:r>
            <w:r>
              <w:rPr>
                <w:rFonts w:ascii="Times New Roman" w:hAnsi="Times New Roman"/>
              </w:rPr>
              <w:t>2×27.5kV</w:t>
            </w:r>
            <w:r>
              <w:rPr>
                <w:rFonts w:ascii="Times New Roman" w:hAnsi="Times New Roman"/>
              </w:rPr>
              <w:t>馈线电压，对电力机车供电的变压器</w:t>
            </w:r>
            <w:r>
              <w:rPr>
                <w:rFonts w:ascii="Times New Roman" w:hAnsi="Times New Roman" w:hint="eastAsia"/>
              </w:rPr>
              <w:t>。</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高原型电力变压器</w:t>
            </w:r>
          </w:p>
        </w:tc>
        <w:tc>
          <w:tcPr>
            <w:tcW w:w="567" w:type="dxa"/>
            <w:vAlign w:val="center"/>
          </w:tcPr>
          <w:p w:rsidR="00597370" w:rsidRDefault="003C2EEE">
            <w:pPr>
              <w:jc w:val="center"/>
              <w:rPr>
                <w:rFonts w:ascii="Times New Roman" w:hAnsi="Times New Roman"/>
              </w:rPr>
            </w:pPr>
            <w:r>
              <w:rPr>
                <w:rFonts w:ascii="Times New Roman" w:hAnsi="Times New Roman" w:hint="eastAsia"/>
              </w:rPr>
              <w:t>指</w:t>
            </w:r>
          </w:p>
        </w:tc>
        <w:tc>
          <w:tcPr>
            <w:tcW w:w="5567" w:type="dxa"/>
            <w:vAlign w:val="center"/>
          </w:tcPr>
          <w:p w:rsidR="00597370" w:rsidRDefault="003C2EEE">
            <w:pPr>
              <w:pStyle w:val="Style106"/>
              <w:rPr>
                <w:rFonts w:ascii="Times New Roman" w:hAnsi="Times New Roman"/>
              </w:rPr>
            </w:pPr>
            <w:r>
              <w:rPr>
                <w:rFonts w:ascii="Times New Roman" w:hAnsi="Times New Roman" w:hint="eastAsia"/>
              </w:rPr>
              <w:t>一般用于</w:t>
            </w:r>
            <w:r>
              <w:rPr>
                <w:rFonts w:ascii="Times New Roman" w:hAnsi="Times New Roman"/>
              </w:rPr>
              <w:t>2000</w:t>
            </w:r>
            <w:r>
              <w:rPr>
                <w:rFonts w:ascii="Times New Roman" w:hAnsi="Times New Roman" w:hint="eastAsia"/>
              </w:rPr>
              <w:t>米</w:t>
            </w:r>
            <w:r>
              <w:rPr>
                <w:rFonts w:ascii="Times New Roman" w:hAnsi="Times New Roman"/>
              </w:rPr>
              <w:t>以上海拔地区的电力变压器</w:t>
            </w:r>
            <w:r>
              <w:rPr>
                <w:rFonts w:ascii="Times New Roman" w:hAnsi="Times New Roman" w:hint="eastAsia"/>
              </w:rPr>
              <w:t>。</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FeSi</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硅含量在</w:t>
            </w:r>
            <w:r>
              <w:rPr>
                <w:rFonts w:ascii="Times New Roman" w:hAnsi="Times New Roman"/>
              </w:rPr>
              <w:t>5.5%</w:t>
            </w:r>
            <w:r>
              <w:rPr>
                <w:rFonts w:ascii="Times New Roman" w:hAnsi="Times New Roman"/>
              </w:rPr>
              <w:t>～</w:t>
            </w:r>
            <w:r>
              <w:rPr>
                <w:rFonts w:ascii="Times New Roman" w:hAnsi="Times New Roman"/>
              </w:rPr>
              <w:t>7.0%</w:t>
            </w:r>
            <w:r>
              <w:rPr>
                <w:rFonts w:ascii="Times New Roman" w:hAnsi="Times New Roman"/>
              </w:rPr>
              <w:t>的磁粉铁硅</w:t>
            </w:r>
            <w:r>
              <w:rPr>
                <w:rFonts w:ascii="Times New Roman" w:hAnsi="Times New Roman" w:hint="eastAsia"/>
              </w:rPr>
              <w:t>。</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lastRenderedPageBreak/>
              <w:t>FeSiAl</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铁硅铝</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FeSiCr</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铁硅铬</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FeSiBCuNb</w:t>
            </w:r>
          </w:p>
        </w:tc>
        <w:tc>
          <w:tcPr>
            <w:tcW w:w="567" w:type="dxa"/>
            <w:vAlign w:val="center"/>
          </w:tcPr>
          <w:p w:rsidR="00597370" w:rsidRDefault="003C2EEE">
            <w:pPr>
              <w:jc w:val="center"/>
              <w:rPr>
                <w:rFonts w:ascii="Times New Roman" w:hAnsi="Times New Roman"/>
                <w:color w:val="000000" w:themeColor="text1"/>
                <w:highlight w:val="lightGray"/>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铁硅</w:t>
            </w:r>
            <w:proofErr w:type="gramStart"/>
            <w:r>
              <w:rPr>
                <w:rFonts w:ascii="Times New Roman" w:hAnsi="Times New Roman"/>
              </w:rPr>
              <w:t>硼铜铌</w:t>
            </w:r>
            <w:proofErr w:type="gramEnd"/>
            <w:r>
              <w:rPr>
                <w:rFonts w:ascii="Times New Roman" w:hAnsi="Times New Roman"/>
              </w:rPr>
              <w:t>，是纳米</w:t>
            </w:r>
            <w:proofErr w:type="gramStart"/>
            <w:r>
              <w:rPr>
                <w:rFonts w:ascii="Times New Roman" w:hAnsi="Times New Roman"/>
              </w:rPr>
              <w:t>晶</w:t>
            </w:r>
            <w:proofErr w:type="gramEnd"/>
            <w:r>
              <w:rPr>
                <w:rFonts w:ascii="Times New Roman" w:hAnsi="Times New Roman"/>
              </w:rPr>
              <w:t>极薄带的化学成分。</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工业互联网平台</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将工业机理、工艺模型、工业运营技术与物联网、大数据、云计算、人工智能等新兴技术充分融合，依托多源异构设备连接、数据采集和边缘计算能力，对接工业生产设施、智能装备和管理信息系统，并提供工业技术、经验、知识的模型化、软件化封装能力，助力打造生产力持续提升的数字底座，并以数据为纽带建立产业协同生态圈，打造万物互联、跨行业跨领域的工业世界，推动工业企业转型升级。</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IOT</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全称为</w:t>
            </w:r>
            <w:r>
              <w:rPr>
                <w:rFonts w:ascii="Times New Roman" w:hAnsi="Times New Roman"/>
              </w:rPr>
              <w:t>Internet of Things,</w:t>
            </w:r>
            <w:r>
              <w:rPr>
                <w:rFonts w:ascii="Times New Roman" w:hAnsi="Times New Roman"/>
              </w:rPr>
              <w:t>即物联网，是将各种信息传感设备，如射频识别装置、红外感应器、全球定位系统、激光扫描器等种种装置与互联网结合起来而形成的一个巨大网络。其目的是让所有的物品都与网络连接在一起，方便识别和管理。</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MES</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全称为</w:t>
            </w:r>
            <w:r>
              <w:rPr>
                <w:rFonts w:ascii="Times New Roman" w:hAnsi="Times New Roman"/>
              </w:rPr>
              <w:t>Manufacturing Execution System</w:t>
            </w:r>
            <w:r>
              <w:rPr>
                <w:rFonts w:ascii="Times New Roman" w:hAnsi="Times New Roman"/>
              </w:rPr>
              <w:t>，即制造执行系统</w:t>
            </w:r>
            <w:r>
              <w:rPr>
                <w:rFonts w:ascii="Times New Roman" w:hAnsi="Times New Roman"/>
              </w:rPr>
              <w:t>,</w:t>
            </w:r>
            <w:r>
              <w:rPr>
                <w:rFonts w:ascii="Times New Roman" w:hAnsi="Times New Roman"/>
              </w:rPr>
              <w:t>是一种面向制造企业车间执行层的生产信息化管理系统。</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rPr>
              <w:t>WMS</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全称为</w:t>
            </w:r>
            <w:r>
              <w:rPr>
                <w:rFonts w:ascii="Times New Roman" w:hAnsi="Times New Roman"/>
              </w:rPr>
              <w:t>Warehouse Management System</w:t>
            </w:r>
            <w:r>
              <w:rPr>
                <w:rFonts w:ascii="Times New Roman" w:hAnsi="Times New Roman"/>
              </w:rPr>
              <w:t>，即仓库管理系统，是一种用于管理和控制仓库操作的软件系统。</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中电联</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r>
              <w:rPr>
                <w:rFonts w:ascii="Times New Roman" w:hAnsi="Times New Roman"/>
              </w:rPr>
              <w:t>中国电力企业联合会</w:t>
            </w:r>
          </w:p>
        </w:tc>
      </w:tr>
      <w:tr w:rsidR="00597370">
        <w:trPr>
          <w:trHeight w:val="397"/>
          <w:jc w:val="center"/>
        </w:trPr>
        <w:tc>
          <w:tcPr>
            <w:tcW w:w="2689" w:type="dxa"/>
            <w:vAlign w:val="center"/>
          </w:tcPr>
          <w:p w:rsidR="00597370" w:rsidRDefault="003C2EEE">
            <w:pPr>
              <w:pStyle w:val="Style106"/>
              <w:rPr>
                <w:rFonts w:ascii="Times New Roman" w:hAnsi="Times New Roman"/>
              </w:rPr>
            </w:pPr>
            <w:r>
              <w:rPr>
                <w:rFonts w:ascii="Times New Roman" w:hAnsi="Times New Roman" w:hint="eastAsia"/>
              </w:rPr>
              <w:t>望变人</w:t>
            </w:r>
          </w:p>
        </w:tc>
        <w:tc>
          <w:tcPr>
            <w:tcW w:w="567" w:type="dxa"/>
            <w:vAlign w:val="center"/>
          </w:tcPr>
          <w:p w:rsidR="00597370" w:rsidRDefault="003C2EEE">
            <w:pPr>
              <w:jc w:val="center"/>
              <w:rPr>
                <w:rFonts w:ascii="Times New Roman" w:hAnsi="Times New Roman"/>
                <w:color w:val="000000" w:themeColor="text1"/>
              </w:rPr>
            </w:pPr>
            <w:r>
              <w:rPr>
                <w:rFonts w:ascii="Times New Roman" w:hAnsi="Times New Roman"/>
              </w:rPr>
              <w:t>指</w:t>
            </w:r>
          </w:p>
        </w:tc>
        <w:tc>
          <w:tcPr>
            <w:tcW w:w="5567" w:type="dxa"/>
            <w:vAlign w:val="center"/>
          </w:tcPr>
          <w:p w:rsidR="00597370" w:rsidRDefault="003C2EEE">
            <w:pPr>
              <w:rPr>
                <w:rFonts w:ascii="Times New Roman" w:hAnsi="Times New Roman"/>
                <w:color w:val="000000" w:themeColor="text1"/>
              </w:rPr>
            </w:pPr>
            <w:proofErr w:type="gramStart"/>
            <w:r>
              <w:rPr>
                <w:rFonts w:ascii="Times New Roman" w:hAnsi="Times New Roman"/>
              </w:rPr>
              <w:t>重庆望变电气</w:t>
            </w:r>
            <w:proofErr w:type="gramEnd"/>
            <w:r>
              <w:rPr>
                <w:rFonts w:ascii="Times New Roman" w:hAnsi="Times New Roman"/>
              </w:rPr>
              <w:t>（集团）股份有限公司职工</w:t>
            </w:r>
          </w:p>
        </w:tc>
      </w:tr>
      <w:tr w:rsidR="00597370">
        <w:trPr>
          <w:trHeight w:val="397"/>
          <w:jc w:val="center"/>
        </w:trPr>
        <w:tc>
          <w:tcPr>
            <w:tcW w:w="2689" w:type="dxa"/>
            <w:vAlign w:val="center"/>
          </w:tcPr>
          <w:p w:rsidR="00597370" w:rsidRDefault="003C2EEE">
            <w:pPr>
              <w:rPr>
                <w:rFonts w:ascii="Times New Roman" w:hAnsi="Times New Roman"/>
              </w:rPr>
            </w:pPr>
            <w:r>
              <w:rPr>
                <w:rFonts w:ascii="Times New Roman" w:hAnsi="Times New Roman" w:hint="eastAsia"/>
              </w:rPr>
              <w:t>中老铁路</w:t>
            </w:r>
          </w:p>
        </w:tc>
        <w:tc>
          <w:tcPr>
            <w:tcW w:w="567" w:type="dxa"/>
            <w:vAlign w:val="center"/>
          </w:tcPr>
          <w:p w:rsidR="00597370" w:rsidRDefault="003C2EEE">
            <w:pPr>
              <w:jc w:val="center"/>
              <w:rPr>
                <w:rFonts w:ascii="Times New Roman" w:hAnsi="Times New Roman"/>
              </w:rPr>
            </w:pPr>
            <w:r>
              <w:rPr>
                <w:rFonts w:ascii="Times New Roman" w:hAnsi="Times New Roman" w:hint="eastAsia"/>
              </w:rPr>
              <w:t>指</w:t>
            </w:r>
          </w:p>
        </w:tc>
        <w:tc>
          <w:tcPr>
            <w:tcW w:w="5567" w:type="dxa"/>
            <w:vAlign w:val="center"/>
          </w:tcPr>
          <w:p w:rsidR="00597370" w:rsidRDefault="003C2EEE">
            <w:pPr>
              <w:pStyle w:val="Style106"/>
              <w:rPr>
                <w:rFonts w:ascii="Times New Roman" w:hAnsi="Times New Roman"/>
              </w:rPr>
            </w:pPr>
            <w:proofErr w:type="gramStart"/>
            <w:r>
              <w:rPr>
                <w:rFonts w:ascii="Times New Roman" w:hAnsi="Times New Roman" w:hint="eastAsia"/>
              </w:rPr>
              <w:t>中老昆万铁路</w:t>
            </w:r>
            <w:proofErr w:type="gramEnd"/>
            <w:r>
              <w:rPr>
                <w:rFonts w:ascii="Times New Roman" w:hAnsi="Times New Roman" w:hint="eastAsia"/>
              </w:rPr>
              <w:t>，即“中老国际铁路通道”，简称“中老铁路（</w:t>
            </w:r>
            <w:r>
              <w:rPr>
                <w:rFonts w:ascii="Times New Roman" w:hAnsi="Times New Roman"/>
              </w:rPr>
              <w:t>China–Laos Railway</w:t>
            </w:r>
            <w:r>
              <w:rPr>
                <w:rFonts w:ascii="Times New Roman" w:hAnsi="Times New Roman"/>
              </w:rPr>
              <w:t>）</w:t>
            </w:r>
            <w:r>
              <w:rPr>
                <w:rFonts w:ascii="Times New Roman" w:hAnsi="Times New Roman"/>
              </w:rPr>
              <w:t>”</w:t>
            </w:r>
            <w:r>
              <w:rPr>
                <w:rFonts w:ascii="Times New Roman" w:hAnsi="Times New Roman"/>
              </w:rPr>
              <w:t>，是一条连接中国云南省昆明市与老挝万象市的电气化铁路，由中国按国铁</w:t>
            </w:r>
            <w:r>
              <w:rPr>
                <w:rFonts w:ascii="Times New Roman" w:hAnsi="Times New Roman"/>
              </w:rPr>
              <w:t>Ⅰ</w:t>
            </w:r>
            <w:r>
              <w:rPr>
                <w:rFonts w:ascii="Times New Roman" w:hAnsi="Times New Roman"/>
              </w:rPr>
              <w:t>级标准建设，是第一个以中方为主投资建设、共同运营并与中国铁路网直接连通的跨国铁路</w:t>
            </w:r>
          </w:p>
        </w:tc>
      </w:tr>
    </w:tbl>
    <w:p w:rsidR="00597370" w:rsidRDefault="003C2EEE">
      <w:pPr>
        <w:rPr>
          <w:color w:val="000000" w:themeColor="text1"/>
        </w:rPr>
      </w:pPr>
      <w:r>
        <w:rPr>
          <w:rFonts w:hint="eastAsia"/>
          <w:color w:val="000000" w:themeColor="text1"/>
        </w:rPr>
        <w:t>注：本报告书中除特别说明外所有数值保留两位小数，若出现总数与各分项数值之和尾数不符的情况，均为四舍五入原因造成。</w:t>
      </w:r>
    </w:p>
    <w:p w:rsidR="00597370" w:rsidRDefault="00597370">
      <w:pPr>
        <w:rPr>
          <w:color w:val="000000" w:themeColor="text1"/>
        </w:rPr>
      </w:pPr>
    </w:p>
    <w:p w:rsidR="00597370" w:rsidRDefault="00597370">
      <w:pPr>
        <w:rPr>
          <w:color w:val="000000" w:themeColor="text1"/>
        </w:rPr>
      </w:pPr>
    </w:p>
    <w:p w:rsidR="00597370" w:rsidRDefault="003C2EEE">
      <w:pPr>
        <w:pStyle w:val="1"/>
        <w:numPr>
          <w:ilvl w:val="0"/>
          <w:numId w:val="2"/>
        </w:numPr>
        <w:rPr>
          <w:rFonts w:ascii="黑体" w:hAnsi="黑体"/>
          <w:color w:val="000000" w:themeColor="text1"/>
        </w:rPr>
      </w:pPr>
      <w:bookmarkStart w:id="7" w:name="_Toc142578256"/>
      <w:bookmarkStart w:id="8" w:name="_Toc76114273"/>
      <w:r>
        <w:rPr>
          <w:rFonts w:ascii="黑体" w:hAnsi="黑体" w:hint="eastAsia"/>
          <w:color w:val="000000" w:themeColor="text1"/>
        </w:rPr>
        <w:t>公司简介和主要财务指标</w:t>
      </w:r>
      <w:bookmarkEnd w:id="7"/>
      <w:bookmarkEnd w:id="8"/>
    </w:p>
    <w:p w:rsidR="00597370" w:rsidRDefault="003C2EEE">
      <w:pPr>
        <w:pStyle w:val="2"/>
        <w:numPr>
          <w:ilvl w:val="0"/>
          <w:numId w:val="3"/>
        </w:numPr>
        <w:ind w:firstLineChars="0"/>
        <w:rPr>
          <w:color w:val="000000" w:themeColor="text1"/>
        </w:rPr>
      </w:pPr>
      <w:bookmarkStart w:id="9" w:name="_Toc342565881"/>
      <w:bookmarkStart w:id="10" w:name="_Toc342051041"/>
      <w:r>
        <w:rPr>
          <w:rFonts w:hint="eastAsia"/>
          <w:color w:val="000000" w:themeColor="text1"/>
        </w:rPr>
        <w:t>公司信息</w:t>
      </w:r>
      <w:bookmarkEnd w:id="9"/>
      <w:bookmarkEnd w:id="10"/>
    </w:p>
    <w:tbl>
      <w:tblPr>
        <w:tblStyle w:val="g9"/>
        <w:tblW w:w="5000" w:type="pct"/>
        <w:tblInd w:w="0" w:type="dxa"/>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597370">
        <w:trPr>
          <w:trHeight w:val="293"/>
        </w:trPr>
        <w:sdt>
          <w:sdtPr>
            <w:rPr>
              <w:color w:val="000000" w:themeColor="text1"/>
            </w:rPr>
            <w:tag w:val="_PLD_372cd7a5ecc1420488735479d42bf939"/>
            <w:id w:val="1208221350"/>
          </w:sdtPr>
          <w:sdtEndPr/>
          <w:sdtContent>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rFonts w:hint="eastAsia"/>
                    <w:color w:val="000000" w:themeColor="text1"/>
                  </w:rPr>
                  <w:t>公司的中文名称</w:t>
                </w:r>
              </w:p>
            </w:tc>
          </w:sdtContent>
        </w:sdt>
        <w:sdt>
          <w:sdtPr>
            <w:rPr>
              <w:rFonts w:hint="eastAsia"/>
              <w:color w:val="000000" w:themeColor="text1"/>
            </w:rPr>
            <w:alias w:val="公司法定中文名称"/>
            <w:tag w:val="_GBC_6f7f4fb261c84402a309f1371502ca4f"/>
            <w:id w:val="-2004503046"/>
            <w:dataBinding w:prefixMappings="xmlns:clcid-cgi='clcid-cgi'" w:xpath="/*/clcid-cgi:GongSiFaDingZhongWenMingCheng[not(@periodRef)]" w:storeItemID="{89EBAB94-44A0-46A2-B712-30D997D04A6D}"/>
            <w:text/>
          </w:sdtPr>
          <w:sdtEndPr/>
          <w:sdtContent>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rPr>
                    <w:color w:val="000000" w:themeColor="text1"/>
                  </w:rPr>
                </w:pPr>
                <w:proofErr w:type="gramStart"/>
                <w:r>
                  <w:rPr>
                    <w:rFonts w:hint="eastAsia"/>
                    <w:color w:val="000000" w:themeColor="text1"/>
                  </w:rPr>
                  <w:t>重庆望变电气</w:t>
                </w:r>
                <w:proofErr w:type="gramEnd"/>
                <w:r>
                  <w:rPr>
                    <w:rFonts w:hint="eastAsia"/>
                    <w:color w:val="000000" w:themeColor="text1"/>
                  </w:rPr>
                  <w:t>（集团）股份有限公司</w:t>
                </w:r>
              </w:p>
            </w:tc>
          </w:sdtContent>
        </w:sdt>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rFonts w:hint="eastAsia"/>
                <w:color w:val="000000" w:themeColor="text1"/>
              </w:rPr>
              <w:t>公司的中文简称</w:t>
            </w:r>
          </w:p>
        </w:tc>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proofErr w:type="gramStart"/>
            <w:r>
              <w:rPr>
                <w:rFonts w:hint="eastAsia"/>
              </w:rPr>
              <w:t>望变电气</w:t>
            </w:r>
            <w:proofErr w:type="gramEnd"/>
          </w:p>
        </w:tc>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公司的外文名称</w:t>
            </w:r>
          </w:p>
        </w:tc>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t>ChongqingWangbianElectric（Group）Corp.,Ltd.</w:t>
            </w:r>
          </w:p>
        </w:tc>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公司的外文名称缩写</w:t>
            </w:r>
          </w:p>
        </w:tc>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t>WangbianElectric</w:t>
            </w:r>
          </w:p>
        </w:tc>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公司的</w:t>
            </w:r>
            <w:r>
              <w:rPr>
                <w:rFonts w:hint="eastAsia"/>
                <w:color w:val="000000" w:themeColor="text1"/>
              </w:rPr>
              <w:t>法定代表人</w:t>
            </w:r>
          </w:p>
        </w:tc>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rPr>
                <w:color w:val="000000" w:themeColor="text1"/>
              </w:rPr>
            </w:pPr>
            <w:r>
              <w:rPr>
                <w:rFonts w:hint="eastAsia"/>
              </w:rPr>
              <w:t>杨泽民</w:t>
            </w:r>
          </w:p>
        </w:tc>
      </w:tr>
    </w:tbl>
    <w:p w:rsidR="00597370" w:rsidRDefault="00597370">
      <w:pPr>
        <w:rPr>
          <w:color w:val="000000" w:themeColor="text1"/>
        </w:rPr>
      </w:pPr>
    </w:p>
    <w:p w:rsidR="00597370" w:rsidRDefault="003C2EEE">
      <w:pPr>
        <w:pStyle w:val="2"/>
        <w:numPr>
          <w:ilvl w:val="0"/>
          <w:numId w:val="3"/>
        </w:numPr>
        <w:ind w:firstLineChars="0"/>
        <w:rPr>
          <w:color w:val="000000" w:themeColor="text1"/>
        </w:rPr>
      </w:pPr>
      <w:bookmarkStart w:id="11" w:name="_Toc342565882"/>
      <w:bookmarkStart w:id="12" w:name="_Toc342051042"/>
      <w:r>
        <w:rPr>
          <w:rFonts w:hint="eastAsia"/>
          <w:color w:val="000000" w:themeColor="text1"/>
        </w:rPr>
        <w:t>联系人和联系方式</w:t>
      </w:r>
      <w:bookmarkEnd w:id="11"/>
      <w:bookmarkEnd w:id="12"/>
    </w:p>
    <w:tbl>
      <w:tblPr>
        <w:tblStyle w:val="g9"/>
        <w:tblW w:w="5000" w:type="pct"/>
        <w:tblInd w:w="0"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2939"/>
        <w:gridCol w:w="2942"/>
        <w:gridCol w:w="2942"/>
      </w:tblGrid>
      <w:tr w:rsidR="00597370">
        <w:tc>
          <w:tcPr>
            <w:tcW w:w="1666" w:type="pct"/>
            <w:tcBorders>
              <w:top w:val="single" w:sz="4" w:space="0" w:color="auto"/>
              <w:bottom w:val="single" w:sz="4" w:space="0" w:color="auto"/>
              <w:right w:val="single" w:sz="4" w:space="0" w:color="auto"/>
            </w:tcBorders>
            <w:shd w:val="clear" w:color="auto" w:fill="auto"/>
          </w:tcPr>
          <w:p w:rsidR="00597370" w:rsidRDefault="00597370">
            <w:pPr>
              <w:kinsoku w:val="0"/>
              <w:overflowPunct w:val="0"/>
              <w:autoSpaceDE w:val="0"/>
              <w:autoSpaceDN w:val="0"/>
              <w:adjustRightInd w:val="0"/>
              <w:snapToGrid w:val="0"/>
              <w:rPr>
                <w:color w:val="000000" w:themeColor="text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597370" w:rsidRDefault="006840ED">
            <w:pPr>
              <w:pStyle w:val="ab"/>
              <w:kinsoku w:val="0"/>
              <w:overflowPunct w:val="0"/>
              <w:autoSpaceDE w:val="0"/>
              <w:autoSpaceDN w:val="0"/>
              <w:adjustRightInd w:val="0"/>
              <w:snapToGrid w:val="0"/>
              <w:jc w:val="center"/>
              <w:rPr>
                <w:rFonts w:ascii="宋体" w:hAnsi="宋体"/>
                <w:color w:val="000000" w:themeColor="text1"/>
              </w:rPr>
            </w:pPr>
            <w:sdt>
              <w:sdtPr>
                <w:rPr>
                  <w:rFonts w:ascii="宋体" w:hAnsi="宋体"/>
                  <w:color w:val="000000" w:themeColor="text1"/>
                </w:rPr>
                <w:tag w:val="_PLD_d0432012a3f249c3b4fdd759ff340e86"/>
                <w:id w:val="-1684047934"/>
              </w:sdtPr>
              <w:sdtEndPr/>
              <w:sdtContent>
                <w:r w:rsidR="003C2EEE">
                  <w:rPr>
                    <w:rFonts w:ascii="宋体" w:hAnsi="宋体" w:cs="宋体" w:hint="eastAsia"/>
                    <w:color w:val="000000" w:themeColor="text1"/>
                  </w:rPr>
                  <w:t>董事会秘书</w:t>
                </w:r>
              </w:sdtContent>
            </w:sdt>
            <w:r w:rsidR="003C2EEE">
              <w:rPr>
                <w:rFonts w:ascii="宋体" w:hAnsi="宋体"/>
                <w:color w:val="000000" w:themeColor="text1"/>
              </w:rPr>
              <w:t xml:space="preserve"> </w:t>
            </w:r>
          </w:p>
        </w:tc>
        <w:sdt>
          <w:sdtPr>
            <w:rPr>
              <w:rFonts w:ascii="宋体" w:hAnsi="宋体"/>
              <w:color w:val="000000" w:themeColor="text1"/>
            </w:rPr>
            <w:tag w:val="_PLD_3a25396416c14d2cb0688ae0ac8a1d4d"/>
            <w:id w:val="-1336761764"/>
          </w:sdtPr>
          <w:sdtEndPr/>
          <w:sdtContent>
            <w:tc>
              <w:tcPr>
                <w:tcW w:w="1667" w:type="pct"/>
                <w:tcBorders>
                  <w:top w:val="single" w:sz="4" w:space="0" w:color="auto"/>
                  <w:left w:val="single" w:sz="4" w:space="0" w:color="auto"/>
                  <w:bottom w:val="single" w:sz="4" w:space="0" w:color="auto"/>
                </w:tcBorders>
                <w:shd w:val="clear" w:color="auto" w:fill="auto"/>
              </w:tcPr>
              <w:p w:rsidR="00597370" w:rsidRDefault="003C2EEE">
                <w:pPr>
                  <w:pStyle w:val="ab"/>
                  <w:kinsoku w:val="0"/>
                  <w:overflowPunct w:val="0"/>
                  <w:autoSpaceDE w:val="0"/>
                  <w:autoSpaceDN w:val="0"/>
                  <w:adjustRightInd w:val="0"/>
                  <w:snapToGrid w:val="0"/>
                  <w:jc w:val="center"/>
                  <w:rPr>
                    <w:rFonts w:ascii="宋体" w:hAnsi="宋体" w:cs="宋体"/>
                    <w:color w:val="000000" w:themeColor="text1"/>
                  </w:rPr>
                </w:pPr>
                <w:r>
                  <w:rPr>
                    <w:rFonts w:ascii="宋体" w:hAnsi="宋体" w:cs="宋体" w:hint="eastAsia"/>
                    <w:color w:val="000000" w:themeColor="text1"/>
                  </w:rPr>
                  <w:t>证券事务代表</w:t>
                </w:r>
              </w:p>
            </w:tc>
          </w:sdtContent>
        </w:sdt>
      </w:tr>
      <w:tr w:rsidR="00597370">
        <w:tc>
          <w:tcPr>
            <w:tcW w:w="1666"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rFonts w:hint="eastAsia"/>
                <w:color w:val="000000" w:themeColor="text1"/>
              </w:rPr>
              <w:t>姓名</w:t>
            </w:r>
          </w:p>
        </w:tc>
        <w:tc>
          <w:tcPr>
            <w:tcW w:w="1667" w:type="pct"/>
            <w:tcBorders>
              <w:top w:val="single" w:sz="4" w:space="0" w:color="auto"/>
              <w:left w:val="single" w:sz="4" w:space="0" w:color="auto"/>
              <w:bottom w:val="single" w:sz="4" w:space="0" w:color="auto"/>
              <w:right w:val="single" w:sz="4" w:space="0" w:color="auto"/>
            </w:tcBorders>
          </w:tcPr>
          <w:p w:rsidR="00597370" w:rsidRDefault="003C2EEE">
            <w:pPr>
              <w:kinsoku w:val="0"/>
              <w:overflowPunct w:val="0"/>
              <w:autoSpaceDE w:val="0"/>
              <w:autoSpaceDN w:val="0"/>
              <w:adjustRightInd w:val="0"/>
              <w:snapToGrid w:val="0"/>
            </w:pPr>
            <w:proofErr w:type="gramStart"/>
            <w:r>
              <w:rPr>
                <w:rFonts w:hint="eastAsia"/>
              </w:rPr>
              <w:t>李代萍</w:t>
            </w:r>
            <w:proofErr w:type="gramEnd"/>
          </w:p>
        </w:tc>
        <w:tc>
          <w:tcPr>
            <w:tcW w:w="1667"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t>雷雯亦</w:t>
            </w:r>
          </w:p>
        </w:tc>
      </w:tr>
      <w:tr w:rsidR="00597370">
        <w:tc>
          <w:tcPr>
            <w:tcW w:w="1666"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rFonts w:hint="eastAsia"/>
                <w:color w:val="000000" w:themeColor="text1"/>
              </w:rPr>
              <w:t>联系地址</w:t>
            </w:r>
          </w:p>
        </w:tc>
        <w:tc>
          <w:tcPr>
            <w:tcW w:w="1667" w:type="pct"/>
            <w:tcBorders>
              <w:top w:val="single" w:sz="4" w:space="0" w:color="auto"/>
              <w:left w:val="single" w:sz="4" w:space="0" w:color="auto"/>
              <w:bottom w:val="single" w:sz="4" w:space="0" w:color="auto"/>
              <w:right w:val="single" w:sz="4" w:space="0" w:color="auto"/>
            </w:tcBorders>
          </w:tcPr>
          <w:p w:rsidR="00597370" w:rsidRDefault="003C2EEE">
            <w:pPr>
              <w:kinsoku w:val="0"/>
              <w:overflowPunct w:val="0"/>
              <w:autoSpaceDE w:val="0"/>
              <w:autoSpaceDN w:val="0"/>
              <w:adjustRightInd w:val="0"/>
              <w:snapToGrid w:val="0"/>
            </w:pPr>
            <w:r>
              <w:rPr>
                <w:rFonts w:hint="eastAsia"/>
              </w:rPr>
              <w:t>重庆市江北区江北城街道江北城西大街</w:t>
            </w:r>
            <w:r>
              <w:t>3号交通银行大厦12楼</w:t>
            </w:r>
          </w:p>
        </w:tc>
        <w:tc>
          <w:tcPr>
            <w:tcW w:w="1667"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t>重庆市江北区江北城街道江北城西大街3号交通银行大厦12楼</w:t>
            </w:r>
          </w:p>
        </w:tc>
      </w:tr>
      <w:tr w:rsidR="00597370">
        <w:tc>
          <w:tcPr>
            <w:tcW w:w="1666"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电话</w:t>
            </w:r>
          </w:p>
        </w:tc>
        <w:tc>
          <w:tcPr>
            <w:tcW w:w="1667" w:type="pct"/>
            <w:tcBorders>
              <w:top w:val="single" w:sz="4" w:space="0" w:color="auto"/>
              <w:left w:val="single" w:sz="4" w:space="0" w:color="auto"/>
              <w:bottom w:val="single" w:sz="4" w:space="0" w:color="auto"/>
              <w:right w:val="single" w:sz="4" w:space="0" w:color="auto"/>
            </w:tcBorders>
          </w:tcPr>
          <w:p w:rsidR="00597370" w:rsidRDefault="003C2EEE">
            <w:pPr>
              <w:kinsoku w:val="0"/>
              <w:overflowPunct w:val="0"/>
              <w:autoSpaceDE w:val="0"/>
              <w:autoSpaceDN w:val="0"/>
              <w:adjustRightInd w:val="0"/>
              <w:snapToGrid w:val="0"/>
            </w:pPr>
            <w:r>
              <w:t>023-40615383</w:t>
            </w:r>
          </w:p>
        </w:tc>
        <w:tc>
          <w:tcPr>
            <w:tcW w:w="1667"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t>023-67538525</w:t>
            </w:r>
          </w:p>
        </w:tc>
      </w:tr>
      <w:tr w:rsidR="00597370">
        <w:tc>
          <w:tcPr>
            <w:tcW w:w="1666"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传真</w:t>
            </w:r>
          </w:p>
        </w:tc>
        <w:tc>
          <w:tcPr>
            <w:tcW w:w="1667" w:type="pct"/>
            <w:tcBorders>
              <w:top w:val="single" w:sz="4" w:space="0" w:color="auto"/>
              <w:left w:val="single" w:sz="4" w:space="0" w:color="auto"/>
              <w:bottom w:val="single" w:sz="4" w:space="0" w:color="auto"/>
              <w:right w:val="single" w:sz="4" w:space="0" w:color="auto"/>
            </w:tcBorders>
          </w:tcPr>
          <w:p w:rsidR="00597370" w:rsidRDefault="003C2EEE">
            <w:pPr>
              <w:kinsoku w:val="0"/>
              <w:overflowPunct w:val="0"/>
              <w:autoSpaceDE w:val="0"/>
              <w:autoSpaceDN w:val="0"/>
              <w:adjustRightInd w:val="0"/>
              <w:snapToGrid w:val="0"/>
            </w:pPr>
            <w:r>
              <w:t>023-40615383</w:t>
            </w:r>
          </w:p>
        </w:tc>
        <w:tc>
          <w:tcPr>
            <w:tcW w:w="1667"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t>023-40510621</w:t>
            </w:r>
          </w:p>
        </w:tc>
      </w:tr>
      <w:tr w:rsidR="00597370">
        <w:tc>
          <w:tcPr>
            <w:tcW w:w="1666"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电子信箱</w:t>
            </w:r>
          </w:p>
        </w:tc>
        <w:tc>
          <w:tcPr>
            <w:tcW w:w="1667" w:type="pct"/>
            <w:tcBorders>
              <w:top w:val="single" w:sz="4" w:space="0" w:color="auto"/>
              <w:left w:val="single" w:sz="4" w:space="0" w:color="auto"/>
              <w:bottom w:val="single" w:sz="4" w:space="0" w:color="auto"/>
              <w:right w:val="single" w:sz="4" w:space="0" w:color="auto"/>
            </w:tcBorders>
          </w:tcPr>
          <w:p w:rsidR="00597370" w:rsidRDefault="003C2EEE">
            <w:pPr>
              <w:kinsoku w:val="0"/>
              <w:overflowPunct w:val="0"/>
              <w:autoSpaceDE w:val="0"/>
              <w:autoSpaceDN w:val="0"/>
              <w:adjustRightInd w:val="0"/>
              <w:snapToGrid w:val="0"/>
            </w:pPr>
            <w:r>
              <w:t>lidaiping@cqwbdq.com</w:t>
            </w:r>
          </w:p>
        </w:tc>
        <w:tc>
          <w:tcPr>
            <w:tcW w:w="1667"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t>leiwenyi@cqwbdq.com</w:t>
            </w:r>
          </w:p>
        </w:tc>
      </w:tr>
    </w:tbl>
    <w:p w:rsidR="00597370" w:rsidRDefault="00597370">
      <w:pPr>
        <w:rPr>
          <w:color w:val="000000" w:themeColor="text1"/>
        </w:rPr>
      </w:pPr>
    </w:p>
    <w:p w:rsidR="00597370" w:rsidRDefault="003C2EEE">
      <w:pPr>
        <w:pStyle w:val="2"/>
        <w:numPr>
          <w:ilvl w:val="0"/>
          <w:numId w:val="3"/>
        </w:numPr>
        <w:ind w:firstLineChars="0"/>
        <w:rPr>
          <w:color w:val="000000" w:themeColor="text1"/>
        </w:rPr>
      </w:pPr>
      <w:r>
        <w:rPr>
          <w:rFonts w:hint="eastAsia"/>
          <w:color w:val="000000" w:themeColor="text1"/>
        </w:rPr>
        <w:t>基本情况变更简介</w:t>
      </w:r>
    </w:p>
    <w:tbl>
      <w:tblPr>
        <w:tblStyle w:val="g9"/>
        <w:tblW w:w="5000" w:type="pct"/>
        <w:tblInd w:w="0" w:type="dxa"/>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597370">
        <w:trPr>
          <w:trHeight w:val="293"/>
        </w:trPr>
        <w:sdt>
          <w:sdtPr>
            <w:rPr>
              <w:color w:val="000000" w:themeColor="text1"/>
            </w:rPr>
            <w:tag w:val="_PLD_85d89a4aa7974727a1dc32c53cb7ca26"/>
            <w:id w:val="-224220785"/>
          </w:sdtPr>
          <w:sdtEndPr/>
          <w:sdtContent>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公司注册地址</w:t>
                </w:r>
              </w:p>
            </w:tc>
          </w:sdtContent>
        </w:sdt>
        <w:sdt>
          <w:sdtPr>
            <w:rPr>
              <w:color w:val="000000" w:themeColor="text1"/>
            </w:rPr>
            <w:alias w:val="公司注册地址"/>
            <w:tag w:val="_GBC_176149bee7bf41819b29097eb854f331"/>
            <w:id w:val="976341226"/>
          </w:sdtPr>
          <w:sdtEndPr/>
          <w:sdtContent>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rPr>
                    <w:color w:val="000000" w:themeColor="text1"/>
                  </w:rPr>
                </w:pPr>
                <w:r>
                  <w:rPr>
                    <w:rFonts w:hint="eastAsia"/>
                    <w:color w:val="000000" w:themeColor="text1"/>
                  </w:rPr>
                  <w:t>重庆市长寿区晏家街道齐心东路</w:t>
                </w:r>
                <w:r>
                  <w:rPr>
                    <w:color w:val="000000" w:themeColor="text1"/>
                  </w:rPr>
                  <w:t>10号</w:t>
                </w:r>
              </w:p>
            </w:tc>
          </w:sdtContent>
        </w:sdt>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rFonts w:hint="eastAsia"/>
                <w:color w:val="000000" w:themeColor="text1"/>
              </w:rPr>
              <w:t>公司注册地址的历史变更情况</w:t>
            </w:r>
          </w:p>
        </w:tc>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rPr>
                <w:color w:val="000000" w:themeColor="text1"/>
              </w:rPr>
            </w:pPr>
            <w:r>
              <w:rPr>
                <w:rStyle w:val="affa"/>
                <w:rFonts w:hint="eastAsia"/>
                <w:color w:val="000000" w:themeColor="text1"/>
              </w:rPr>
              <w:t>无</w:t>
            </w:r>
          </w:p>
        </w:tc>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公司办公地址</w:t>
            </w:r>
          </w:p>
        </w:tc>
        <w:tc>
          <w:tcPr>
            <w:tcW w:w="2831" w:type="pct"/>
            <w:tcBorders>
              <w:top w:val="single" w:sz="4" w:space="0" w:color="auto"/>
              <w:left w:val="single" w:sz="4" w:space="0" w:color="auto"/>
              <w:bottom w:val="single" w:sz="4" w:space="0" w:color="auto"/>
            </w:tcBorders>
            <w:vAlign w:val="center"/>
          </w:tcPr>
          <w:p w:rsidR="00597370" w:rsidRDefault="003C2EEE">
            <w:pPr>
              <w:kinsoku w:val="0"/>
              <w:overflowPunct w:val="0"/>
              <w:autoSpaceDE w:val="0"/>
              <w:autoSpaceDN w:val="0"/>
              <w:adjustRightInd w:val="0"/>
              <w:snapToGrid w:val="0"/>
              <w:rPr>
                <w:color w:val="000000" w:themeColor="text1"/>
              </w:rPr>
            </w:pPr>
            <w:r>
              <w:rPr>
                <w:rFonts w:cs="Times New Roman" w:hint="eastAsia"/>
              </w:rPr>
              <w:t>重庆市江北区江北城街道江北城西大街3号交通银行大厦12楼</w:t>
            </w:r>
          </w:p>
        </w:tc>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公司办公地址的邮政编码</w:t>
            </w:r>
          </w:p>
        </w:tc>
        <w:tc>
          <w:tcPr>
            <w:tcW w:w="2831" w:type="pct"/>
            <w:tcBorders>
              <w:top w:val="single" w:sz="4" w:space="0" w:color="auto"/>
              <w:left w:val="single" w:sz="4" w:space="0" w:color="auto"/>
              <w:bottom w:val="single" w:sz="4" w:space="0" w:color="auto"/>
            </w:tcBorders>
            <w:vAlign w:val="center"/>
          </w:tcPr>
          <w:p w:rsidR="00597370" w:rsidRDefault="003C2EEE">
            <w:pPr>
              <w:kinsoku w:val="0"/>
              <w:overflowPunct w:val="0"/>
              <w:autoSpaceDE w:val="0"/>
              <w:autoSpaceDN w:val="0"/>
              <w:adjustRightInd w:val="0"/>
              <w:snapToGrid w:val="0"/>
              <w:rPr>
                <w:color w:val="000000" w:themeColor="text1"/>
              </w:rPr>
            </w:pPr>
            <w:r>
              <w:rPr>
                <w:rFonts w:cs="Times New Roman" w:hint="eastAsia"/>
              </w:rPr>
              <w:t>400020</w:t>
            </w:r>
          </w:p>
        </w:tc>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公司网址</w:t>
            </w:r>
          </w:p>
        </w:tc>
        <w:tc>
          <w:tcPr>
            <w:tcW w:w="2831" w:type="pct"/>
            <w:tcBorders>
              <w:top w:val="single" w:sz="4" w:space="0" w:color="auto"/>
              <w:left w:val="single" w:sz="4" w:space="0" w:color="auto"/>
              <w:bottom w:val="single" w:sz="4" w:space="0" w:color="auto"/>
            </w:tcBorders>
            <w:vAlign w:val="center"/>
          </w:tcPr>
          <w:p w:rsidR="00597370" w:rsidRDefault="003C2EEE">
            <w:pPr>
              <w:kinsoku w:val="0"/>
              <w:overflowPunct w:val="0"/>
              <w:autoSpaceDE w:val="0"/>
              <w:autoSpaceDN w:val="0"/>
              <w:adjustRightInd w:val="0"/>
              <w:snapToGrid w:val="0"/>
              <w:rPr>
                <w:color w:val="000000" w:themeColor="text1"/>
              </w:rPr>
            </w:pPr>
            <w:r>
              <w:rPr>
                <w:rFonts w:cs="Times New Roman" w:hint="eastAsia"/>
              </w:rPr>
              <w:t>www.cqwbdq.com</w:t>
            </w:r>
          </w:p>
        </w:tc>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电子信箱</w:t>
            </w:r>
          </w:p>
        </w:tc>
        <w:tc>
          <w:tcPr>
            <w:tcW w:w="2831" w:type="pct"/>
            <w:tcBorders>
              <w:top w:val="single" w:sz="4" w:space="0" w:color="auto"/>
              <w:left w:val="single" w:sz="4" w:space="0" w:color="auto"/>
              <w:bottom w:val="single" w:sz="4" w:space="0" w:color="auto"/>
            </w:tcBorders>
            <w:vAlign w:val="center"/>
          </w:tcPr>
          <w:p w:rsidR="00597370" w:rsidRDefault="003C2EEE">
            <w:pPr>
              <w:kinsoku w:val="0"/>
              <w:overflowPunct w:val="0"/>
              <w:autoSpaceDE w:val="0"/>
              <w:autoSpaceDN w:val="0"/>
              <w:adjustRightInd w:val="0"/>
              <w:snapToGrid w:val="0"/>
              <w:rPr>
                <w:color w:val="000000" w:themeColor="text1"/>
              </w:rPr>
            </w:pPr>
            <w:r>
              <w:rPr>
                <w:rFonts w:cs="Times New Roman" w:hint="eastAsia"/>
              </w:rPr>
              <w:t>wbdq_ir@cqwbdq.com</w:t>
            </w:r>
          </w:p>
        </w:tc>
      </w:tr>
    </w:tbl>
    <w:p w:rsidR="00597370" w:rsidRDefault="00597370">
      <w:pPr>
        <w:rPr>
          <w:color w:val="000000" w:themeColor="text1"/>
        </w:rPr>
      </w:pPr>
    </w:p>
    <w:p w:rsidR="00597370" w:rsidRDefault="003C2EEE">
      <w:pPr>
        <w:pStyle w:val="2"/>
        <w:numPr>
          <w:ilvl w:val="0"/>
          <w:numId w:val="3"/>
        </w:numPr>
        <w:ind w:firstLineChars="0"/>
        <w:rPr>
          <w:color w:val="000000" w:themeColor="text1"/>
        </w:rPr>
      </w:pPr>
      <w:r>
        <w:rPr>
          <w:rFonts w:hint="eastAsia"/>
          <w:color w:val="000000" w:themeColor="text1"/>
        </w:rPr>
        <w:t>信息披露及备置地点变更情况简介</w:t>
      </w:r>
    </w:p>
    <w:tbl>
      <w:tblPr>
        <w:tblStyle w:val="g9"/>
        <w:tblW w:w="5000" w:type="pct"/>
        <w:tblInd w:w="0" w:type="dxa"/>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597370">
        <w:trPr>
          <w:trHeight w:val="293"/>
        </w:trPr>
        <w:sdt>
          <w:sdtPr>
            <w:rPr>
              <w:color w:val="000000" w:themeColor="text1"/>
            </w:rPr>
            <w:tag w:val="_PLD_5a9e1277ac2b48eb8d7aa1b69c532d31"/>
            <w:id w:val="591514988"/>
          </w:sdtPr>
          <w:sdtEndPr/>
          <w:sdtContent>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公司选定的信息披露报纸名称</w:t>
                </w:r>
              </w:p>
            </w:tc>
          </w:sdtContent>
        </w:sdt>
        <w:sdt>
          <w:sdtPr>
            <w:rPr>
              <w:color w:val="000000" w:themeColor="text1"/>
            </w:rPr>
            <w:alias w:val="公司选定的信息披露报纸名称"/>
            <w:tag w:val="_GBC_ea25303a54e24033a0a9a380e9688e98"/>
            <w:id w:val="-16013612"/>
          </w:sdtPr>
          <w:sdtEndPr/>
          <w:sdtContent>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rPr>
                    <w:color w:val="000000" w:themeColor="text1"/>
                  </w:rPr>
                </w:pPr>
                <w:r>
                  <w:rPr>
                    <w:rFonts w:hint="eastAsia"/>
                    <w:color w:val="000000" w:themeColor="text1"/>
                  </w:rPr>
                  <w:t>《上海证券报》《中国证券报》《证券时报》《证券日报》和《经济参考报》</w:t>
                </w:r>
              </w:p>
            </w:tc>
          </w:sdtContent>
        </w:sdt>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登载半年度报告的</w:t>
            </w:r>
            <w:r>
              <w:rPr>
                <w:rFonts w:hint="eastAsia"/>
                <w:color w:val="000000" w:themeColor="text1"/>
              </w:rPr>
              <w:t>网站地</w:t>
            </w:r>
            <w:r>
              <w:rPr>
                <w:color w:val="000000" w:themeColor="text1"/>
              </w:rPr>
              <w:t>址</w:t>
            </w:r>
          </w:p>
        </w:tc>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t>www.sse.com.cn</w:t>
            </w:r>
          </w:p>
        </w:tc>
      </w:tr>
      <w:tr w:rsidR="00597370">
        <w:trPr>
          <w:trHeight w:val="293"/>
        </w:trPr>
        <w:tc>
          <w:tcPr>
            <w:tcW w:w="2169"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rPr>
                <w:color w:val="000000" w:themeColor="text1"/>
              </w:rPr>
            </w:pPr>
            <w:r>
              <w:rPr>
                <w:color w:val="000000" w:themeColor="text1"/>
              </w:rPr>
              <w:t>公司半年度报告备置地点</w:t>
            </w:r>
          </w:p>
        </w:tc>
        <w:tc>
          <w:tcPr>
            <w:tcW w:w="2831" w:type="pct"/>
            <w:tcBorders>
              <w:top w:val="single" w:sz="4" w:space="0" w:color="auto"/>
              <w:left w:val="single" w:sz="4" w:space="0" w:color="auto"/>
              <w:bottom w:val="single" w:sz="4" w:space="0" w:color="auto"/>
            </w:tcBorders>
          </w:tcPr>
          <w:p w:rsidR="00597370" w:rsidRDefault="003C2EEE">
            <w:pPr>
              <w:kinsoku w:val="0"/>
              <w:overflowPunct w:val="0"/>
              <w:autoSpaceDE w:val="0"/>
              <w:autoSpaceDN w:val="0"/>
              <w:adjustRightInd w:val="0"/>
              <w:snapToGrid w:val="0"/>
            </w:pPr>
            <w:r>
              <w:rPr>
                <w:rFonts w:hint="eastAsia"/>
              </w:rPr>
              <w:t>重庆市江北区江北城街道江北城西大街</w:t>
            </w:r>
            <w:r>
              <w:t>3号交通银行大厦12楼</w:t>
            </w:r>
          </w:p>
        </w:tc>
      </w:tr>
    </w:tbl>
    <w:p w:rsidR="00597370" w:rsidRDefault="00597370">
      <w:pPr>
        <w:rPr>
          <w:color w:val="000000" w:themeColor="text1"/>
        </w:rPr>
      </w:pPr>
    </w:p>
    <w:p w:rsidR="00597370" w:rsidRDefault="003C2EEE">
      <w:pPr>
        <w:pStyle w:val="2"/>
        <w:numPr>
          <w:ilvl w:val="0"/>
          <w:numId w:val="3"/>
        </w:numPr>
        <w:ind w:firstLineChars="0"/>
        <w:rPr>
          <w:color w:val="000000" w:themeColor="text1"/>
        </w:rPr>
      </w:pPr>
      <w:bookmarkStart w:id="13" w:name="_Toc342565885"/>
      <w:bookmarkStart w:id="14" w:name="_Toc342051045"/>
      <w:r>
        <w:rPr>
          <w:rFonts w:hint="eastAsia"/>
          <w:color w:val="000000" w:themeColor="text1"/>
        </w:rPr>
        <w:t>公司股票简况</w:t>
      </w:r>
      <w:bookmarkEnd w:id="13"/>
      <w:bookmarkEnd w:id="14"/>
    </w:p>
    <w:tbl>
      <w:tblPr>
        <w:tblStyle w:val="g9"/>
        <w:tblW w:w="5000" w:type="pct"/>
        <w:tblInd w:w="0"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1764"/>
        <w:gridCol w:w="1764"/>
        <w:gridCol w:w="1765"/>
        <w:gridCol w:w="1765"/>
        <w:gridCol w:w="1765"/>
      </w:tblGrid>
      <w:tr w:rsidR="00597370">
        <w:trPr>
          <w:trHeight w:val="293"/>
        </w:trPr>
        <w:sdt>
          <w:sdtPr>
            <w:rPr>
              <w:color w:val="000000" w:themeColor="text1"/>
            </w:rPr>
            <w:tag w:val="_PLD_136d907086394f5eaee0ec7d22ac5510"/>
            <w:id w:val="1663900086"/>
          </w:sdtPr>
          <w:sdtEndPr/>
          <w:sdtContent>
            <w:tc>
              <w:tcPr>
                <w:tcW w:w="1000"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jc w:val="center"/>
                  <w:rPr>
                    <w:color w:val="000000" w:themeColor="text1"/>
                  </w:rPr>
                </w:pPr>
                <w:r>
                  <w:rPr>
                    <w:rFonts w:hint="eastAsia"/>
                    <w:color w:val="000000" w:themeColor="text1"/>
                  </w:rPr>
                  <w:t>股票种类</w:t>
                </w:r>
              </w:p>
            </w:tc>
          </w:sdtContent>
        </w:sdt>
        <w:sdt>
          <w:sdtPr>
            <w:rPr>
              <w:color w:val="000000" w:themeColor="text1"/>
            </w:rPr>
            <w:tag w:val="_PLD_6a843bcbb5a24c0aa6b5fa899c00d11d"/>
            <w:id w:val="-1196003209"/>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jc w:val="center"/>
                  <w:rPr>
                    <w:color w:val="000000" w:themeColor="text1"/>
                  </w:rPr>
                </w:pPr>
                <w:r>
                  <w:rPr>
                    <w:rFonts w:hint="eastAsia"/>
                    <w:color w:val="000000" w:themeColor="text1"/>
                  </w:rPr>
                  <w:t>股票上市交易所</w:t>
                </w:r>
              </w:p>
            </w:tc>
          </w:sdtContent>
        </w:sdt>
        <w:sdt>
          <w:sdtPr>
            <w:rPr>
              <w:color w:val="000000" w:themeColor="text1"/>
            </w:rPr>
            <w:tag w:val="_PLD_c012a58bb3cc4bbd9a7de1f52bd17553"/>
            <w:id w:val="-738783570"/>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jc w:val="center"/>
                  <w:rPr>
                    <w:color w:val="000000" w:themeColor="text1"/>
                  </w:rPr>
                </w:pPr>
                <w:r>
                  <w:rPr>
                    <w:rFonts w:hint="eastAsia"/>
                    <w:color w:val="000000" w:themeColor="text1"/>
                  </w:rPr>
                  <w:t>股票简称</w:t>
                </w:r>
              </w:p>
            </w:tc>
          </w:sdtContent>
        </w:sdt>
        <w:sdt>
          <w:sdtPr>
            <w:rPr>
              <w:color w:val="000000" w:themeColor="text1"/>
            </w:rPr>
            <w:tag w:val="_PLD_9fa1e8781b094b29b21027138e9f63e8"/>
            <w:id w:val="-2028859975"/>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jc w:val="center"/>
                  <w:rPr>
                    <w:color w:val="000000" w:themeColor="text1"/>
                  </w:rPr>
                </w:pPr>
                <w:r>
                  <w:rPr>
                    <w:rFonts w:hint="eastAsia"/>
                    <w:color w:val="000000" w:themeColor="text1"/>
                  </w:rPr>
                  <w:t>股票代码</w:t>
                </w:r>
              </w:p>
            </w:tc>
          </w:sdtContent>
        </w:sdt>
        <w:sdt>
          <w:sdtPr>
            <w:rPr>
              <w:color w:val="000000" w:themeColor="text1"/>
            </w:rPr>
            <w:tag w:val="_PLD_38293dc771ef4460bd5252827867d07d"/>
            <w:id w:val="-1231848292"/>
          </w:sdtPr>
          <w:sdtEndPr/>
          <w:sdtContent>
            <w:tc>
              <w:tcPr>
                <w:tcW w:w="1000" w:type="pct"/>
                <w:tcBorders>
                  <w:top w:val="single" w:sz="4" w:space="0" w:color="auto"/>
                  <w:left w:val="single" w:sz="4" w:space="0" w:color="auto"/>
                  <w:bottom w:val="single" w:sz="4" w:space="0" w:color="auto"/>
                </w:tcBorders>
                <w:shd w:val="clear" w:color="auto" w:fill="auto"/>
              </w:tcPr>
              <w:p w:rsidR="00597370" w:rsidRDefault="003C2EEE">
                <w:pPr>
                  <w:kinsoku w:val="0"/>
                  <w:overflowPunct w:val="0"/>
                  <w:autoSpaceDE w:val="0"/>
                  <w:autoSpaceDN w:val="0"/>
                  <w:adjustRightInd w:val="0"/>
                  <w:snapToGrid w:val="0"/>
                  <w:jc w:val="center"/>
                  <w:rPr>
                    <w:color w:val="000000" w:themeColor="text1"/>
                  </w:rPr>
                </w:pPr>
                <w:r>
                  <w:rPr>
                    <w:rFonts w:hint="eastAsia"/>
                    <w:color w:val="000000" w:themeColor="text1"/>
                  </w:rPr>
                  <w:t>变更</w:t>
                </w:r>
                <w:proofErr w:type="gramStart"/>
                <w:r>
                  <w:rPr>
                    <w:rFonts w:hint="eastAsia"/>
                    <w:color w:val="000000" w:themeColor="text1"/>
                  </w:rPr>
                  <w:t>前股票</w:t>
                </w:r>
                <w:proofErr w:type="gramEnd"/>
                <w:r>
                  <w:rPr>
                    <w:rFonts w:hint="eastAsia"/>
                    <w:color w:val="000000" w:themeColor="text1"/>
                  </w:rPr>
                  <w:t>简称</w:t>
                </w:r>
              </w:p>
            </w:tc>
          </w:sdtContent>
        </w:sdt>
      </w:tr>
      <w:tr w:rsidR="00597370">
        <w:trPr>
          <w:trHeight w:val="293"/>
        </w:trPr>
        <w:tc>
          <w:tcPr>
            <w:tcW w:w="1000" w:type="pct"/>
            <w:tcBorders>
              <w:top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jc w:val="center"/>
            </w:pPr>
            <w:r>
              <w:rPr>
                <w:rFonts w:hint="eastAsia"/>
              </w:rPr>
              <w:t>人民币普通股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jc w:val="cente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jc w:val="center"/>
            </w:pPr>
            <w:proofErr w:type="gramStart"/>
            <w:r>
              <w:t>望变电气</w:t>
            </w:r>
            <w:proofErr w:type="gramEnd"/>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kinsoku w:val="0"/>
              <w:overflowPunct w:val="0"/>
              <w:autoSpaceDE w:val="0"/>
              <w:autoSpaceDN w:val="0"/>
              <w:adjustRightInd w:val="0"/>
              <w:snapToGrid w:val="0"/>
              <w:jc w:val="center"/>
            </w:pPr>
            <w:r>
              <w:t>603191</w:t>
            </w:r>
          </w:p>
        </w:tc>
        <w:tc>
          <w:tcPr>
            <w:tcW w:w="1000" w:type="pct"/>
            <w:tcBorders>
              <w:top w:val="single" w:sz="4" w:space="0" w:color="auto"/>
              <w:left w:val="single" w:sz="4" w:space="0" w:color="auto"/>
              <w:bottom w:val="single" w:sz="4" w:space="0" w:color="auto"/>
            </w:tcBorders>
            <w:shd w:val="clear" w:color="auto" w:fill="auto"/>
          </w:tcPr>
          <w:p w:rsidR="00597370" w:rsidRDefault="003C2EEE">
            <w:pPr>
              <w:kinsoku w:val="0"/>
              <w:overflowPunct w:val="0"/>
              <w:autoSpaceDE w:val="0"/>
              <w:autoSpaceDN w:val="0"/>
              <w:adjustRightInd w:val="0"/>
              <w:snapToGrid w:val="0"/>
              <w:jc w:val="center"/>
            </w:pPr>
            <w:r>
              <w:t>无</w:t>
            </w:r>
          </w:p>
        </w:tc>
      </w:tr>
    </w:tbl>
    <w:p w:rsidR="00597370" w:rsidRDefault="00597370">
      <w:pPr>
        <w:kinsoku w:val="0"/>
        <w:overflowPunct w:val="0"/>
        <w:autoSpaceDE w:val="0"/>
        <w:autoSpaceDN w:val="0"/>
        <w:adjustRightInd w:val="0"/>
        <w:snapToGrid w:val="0"/>
        <w:rPr>
          <w:color w:val="000000" w:themeColor="text1"/>
        </w:rPr>
      </w:pPr>
    </w:p>
    <w:p w:rsidR="00597370" w:rsidRDefault="003C2EEE">
      <w:pPr>
        <w:pStyle w:val="2"/>
        <w:numPr>
          <w:ilvl w:val="0"/>
          <w:numId w:val="3"/>
        </w:numPr>
        <w:ind w:firstLineChars="0"/>
        <w:rPr>
          <w:color w:val="000000" w:themeColor="text1"/>
        </w:rPr>
      </w:pPr>
      <w:r>
        <w:rPr>
          <w:rFonts w:hint="eastAsia"/>
          <w:color w:val="000000" w:themeColor="text1"/>
        </w:rPr>
        <w:t>其他有关资料</w:t>
      </w:r>
    </w:p>
    <w:sdt>
      <w:sdtPr>
        <w:rPr>
          <w:color w:val="000000" w:themeColor="text1"/>
        </w:rPr>
        <w:alias w:val="是否适用：其他有关资料[双击切换]"/>
        <w:tag w:val="_GBC_78c3cc115c0d4dd3bf5e7c57142e5e68"/>
        <w:id w:val="-66224470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3"/>
        </w:numPr>
        <w:ind w:firstLineChars="0"/>
        <w:rPr>
          <w:color w:val="000000" w:themeColor="text1"/>
        </w:rPr>
      </w:pPr>
      <w:bookmarkStart w:id="15" w:name="_Toc342565889"/>
      <w:bookmarkStart w:id="16" w:name="_Toc342056397"/>
      <w:r>
        <w:rPr>
          <w:rFonts w:hint="eastAsia"/>
          <w:color w:val="000000" w:themeColor="text1"/>
        </w:rPr>
        <w:t>公司主要会计数据和财务指标</w:t>
      </w:r>
      <w:bookmarkEnd w:id="15"/>
      <w:bookmarkEnd w:id="16"/>
    </w:p>
    <w:p w:rsidR="00597370" w:rsidRDefault="003C2EEE">
      <w:pPr>
        <w:pStyle w:val="Style109"/>
        <w:numPr>
          <w:ilvl w:val="1"/>
          <w:numId w:val="4"/>
        </w:numPr>
        <w:rPr>
          <w:rFonts w:ascii="宋体" w:hAnsi="宋体"/>
          <w:color w:val="000000" w:themeColor="text1"/>
        </w:rPr>
      </w:pPr>
      <w:r>
        <w:rPr>
          <w:rFonts w:ascii="宋体" w:hAnsi="宋体" w:hint="eastAsia"/>
          <w:color w:val="000000" w:themeColor="text1"/>
        </w:rPr>
        <w:t>主要会计数据</w:t>
      </w:r>
    </w:p>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报告期末公司前三年主要会计数据和财务指标"/>
          <w:tag w:val="_GBC_c7cd0dd826b247dbba8cc8b1a811aefb"/>
          <w:id w:val="-20889870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报告期末公司前三年主要会计数据和财务指标"/>
          <w:tag w:val="_GBC_2df6a5d441324c13bcf6c4c54ac41eb0"/>
          <w:id w:val="20686843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3"/>
        <w:tblW w:w="5000" w:type="pct"/>
        <w:tblLook w:val="04A0" w:firstRow="1" w:lastRow="0" w:firstColumn="1" w:lastColumn="0" w:noHBand="0" w:noVBand="1"/>
      </w:tblPr>
      <w:tblGrid>
        <w:gridCol w:w="3586"/>
        <w:gridCol w:w="1775"/>
        <w:gridCol w:w="1747"/>
        <w:gridCol w:w="1715"/>
      </w:tblGrid>
      <w:tr w:rsidR="00597370">
        <w:trPr>
          <w:trHeight w:val="596"/>
        </w:trPr>
        <w:bookmarkStart w:id="17" w:name="_Hlk72769913" w:displacedByCustomXml="next"/>
        <w:sdt>
          <w:sdtPr>
            <w:rPr>
              <w:rFonts w:ascii="Times New Roman" w:hAnsi="Times New Roman" w:hint="eastAsia"/>
              <w:color w:val="000000" w:themeColor="text1"/>
            </w:rPr>
            <w:tag w:val="_PLD_e63d02b963714237aa4678b1878c888d"/>
            <w:id w:val="1924143395"/>
          </w:sdtPr>
          <w:sdtEndPr>
            <w:rPr>
              <w:rFonts w:hint="default"/>
            </w:rPr>
          </w:sdtEndPr>
          <w:sdtContent>
            <w:tc>
              <w:tcPr>
                <w:tcW w:w="2032" w:type="pct"/>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hint="eastAsia"/>
                    <w:color w:val="000000" w:themeColor="text1"/>
                  </w:rPr>
                  <w:t>主要会计数据</w:t>
                </w:r>
              </w:p>
            </w:tc>
          </w:sdtContent>
        </w:sdt>
        <w:sdt>
          <w:sdtPr>
            <w:rPr>
              <w:rFonts w:ascii="Times New Roman" w:hAnsi="Times New Roman"/>
              <w:color w:val="000000" w:themeColor="text1"/>
            </w:rPr>
            <w:tag w:val="_PLD_913ae157f7e74eee947ea98d96be3599"/>
            <w:id w:val="-1749958429"/>
          </w:sdtPr>
          <w:sdtEndPr/>
          <w:sdtContent>
            <w:tc>
              <w:tcPr>
                <w:tcW w:w="1006" w:type="pct"/>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hint="eastAsia"/>
                    <w:color w:val="000000" w:themeColor="text1"/>
                  </w:rPr>
                  <w:t>本</w:t>
                </w:r>
                <w:r>
                  <w:rPr>
                    <w:rFonts w:ascii="Times New Roman" w:hAnsi="Times New Roman"/>
                    <w:color w:val="000000" w:themeColor="text1"/>
                  </w:rPr>
                  <w:t>报告期</w:t>
                </w:r>
              </w:p>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1</w:t>
                </w:r>
                <w:r>
                  <w:rPr>
                    <w:rFonts w:ascii="Times New Roman" w:hAnsi="Times New Roman"/>
                    <w:color w:val="000000" w:themeColor="text1"/>
                  </w:rPr>
                  <w:t>－</w:t>
                </w:r>
                <w:r>
                  <w:rPr>
                    <w:rFonts w:ascii="Times New Roman" w:hAnsi="Times New Roman"/>
                    <w:color w:val="000000" w:themeColor="text1"/>
                  </w:rPr>
                  <w:t>6</w:t>
                </w:r>
                <w:r>
                  <w:rPr>
                    <w:rFonts w:ascii="Times New Roman" w:hAnsi="Times New Roman"/>
                    <w:color w:val="000000" w:themeColor="text1"/>
                  </w:rPr>
                  <w:t>月）</w:t>
                </w:r>
              </w:p>
            </w:tc>
          </w:sdtContent>
        </w:sdt>
        <w:sdt>
          <w:sdtPr>
            <w:rPr>
              <w:rFonts w:ascii="Times New Roman" w:hAnsi="Times New Roman"/>
              <w:color w:val="000000" w:themeColor="text1"/>
            </w:rPr>
            <w:tag w:val="_PLD_0f32665f64034720b1ecd674058f4d8b"/>
            <w:id w:val="471325210"/>
          </w:sdtPr>
          <w:sdtEndPr/>
          <w:sdtContent>
            <w:tc>
              <w:tcPr>
                <w:tcW w:w="990" w:type="pct"/>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上年同期</w:t>
                </w:r>
              </w:p>
            </w:tc>
          </w:sdtContent>
        </w:sdt>
        <w:sdt>
          <w:sdtPr>
            <w:rPr>
              <w:rFonts w:ascii="Times New Roman" w:hAnsi="Times New Roman"/>
              <w:color w:val="000000" w:themeColor="text1"/>
            </w:rPr>
            <w:tag w:val="_PLD_e634aa67fe8c44038b152224d8a245d6"/>
            <w:id w:val="2092507955"/>
          </w:sdtPr>
          <w:sdtEndPr/>
          <w:sdtContent>
            <w:tc>
              <w:tcPr>
                <w:tcW w:w="972" w:type="pct"/>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本报告期比上年同期增减</w:t>
                </w:r>
                <w:r>
                  <w:rPr>
                    <w:rFonts w:ascii="Times New Roman" w:hAnsi="Times New Roman"/>
                    <w:color w:val="000000" w:themeColor="text1"/>
                  </w:rPr>
                  <w:t>(%)</w:t>
                </w:r>
              </w:p>
            </w:tc>
          </w:sdtContent>
        </w:sdt>
      </w:tr>
      <w:tr w:rsidR="00597370">
        <w:trPr>
          <w:trHeight w:val="285"/>
        </w:trPr>
        <w:tc>
          <w:tcPr>
            <w:tcW w:w="2032" w:type="pct"/>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hint="eastAsia"/>
                <w:color w:val="000000" w:themeColor="text1"/>
              </w:rPr>
              <w:t>营业收入</w:t>
            </w:r>
          </w:p>
        </w:tc>
        <w:tc>
          <w:tcPr>
            <w:tcW w:w="1006"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 xml:space="preserve"> 142,539.54 </w:t>
            </w:r>
          </w:p>
        </w:tc>
        <w:tc>
          <w:tcPr>
            <w:tcW w:w="990"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 xml:space="preserve"> 123,488.14 </w:t>
            </w:r>
          </w:p>
        </w:tc>
        <w:tc>
          <w:tcPr>
            <w:tcW w:w="972"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 xml:space="preserve"> 15.43 </w:t>
            </w:r>
          </w:p>
        </w:tc>
      </w:tr>
      <w:tr w:rsidR="00597370">
        <w:trPr>
          <w:trHeight w:val="285"/>
        </w:trPr>
        <w:tc>
          <w:tcPr>
            <w:tcW w:w="2032" w:type="pct"/>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hint="eastAsia"/>
                <w:color w:val="000000" w:themeColor="text1"/>
              </w:rPr>
              <w:t>归属于上市公司股东的净利润</w:t>
            </w:r>
          </w:p>
        </w:tc>
        <w:tc>
          <w:tcPr>
            <w:tcW w:w="1006" w:type="pct"/>
            <w:vAlign w:val="bottom"/>
          </w:tcPr>
          <w:p w:rsidR="00597370" w:rsidRDefault="003C2EEE">
            <w:pPr>
              <w:jc w:val="right"/>
              <w:rPr>
                <w:rFonts w:cs="Times New Roman"/>
                <w:bCs w:val="0"/>
                <w:color w:val="000000"/>
              </w:rPr>
            </w:pPr>
            <w:r>
              <w:rPr>
                <w:rFonts w:cs="Times New Roman"/>
                <w:color w:val="000000"/>
              </w:rPr>
              <w:t xml:space="preserve"> 3,479.32 </w:t>
            </w:r>
          </w:p>
        </w:tc>
        <w:tc>
          <w:tcPr>
            <w:tcW w:w="990" w:type="pct"/>
            <w:vAlign w:val="bottom"/>
          </w:tcPr>
          <w:p w:rsidR="00597370" w:rsidRDefault="003C2EEE">
            <w:pPr>
              <w:jc w:val="right"/>
              <w:rPr>
                <w:rFonts w:cs="Times New Roman"/>
                <w:color w:val="000000"/>
              </w:rPr>
            </w:pPr>
            <w:r>
              <w:rPr>
                <w:rFonts w:cs="Times New Roman"/>
                <w:color w:val="000000"/>
              </w:rPr>
              <w:t xml:space="preserve"> 15,408.03 </w:t>
            </w:r>
          </w:p>
        </w:tc>
        <w:tc>
          <w:tcPr>
            <w:tcW w:w="972" w:type="pct"/>
            <w:vAlign w:val="bottom"/>
          </w:tcPr>
          <w:p w:rsidR="00597370" w:rsidRDefault="003C2EEE">
            <w:pPr>
              <w:jc w:val="right"/>
              <w:rPr>
                <w:rFonts w:cs="Times New Roman"/>
                <w:color w:val="000000"/>
              </w:rPr>
            </w:pPr>
            <w:r>
              <w:rPr>
                <w:rFonts w:cs="Times New Roman"/>
                <w:color w:val="000000"/>
              </w:rPr>
              <w:t xml:space="preserve"> -77.42 </w:t>
            </w:r>
          </w:p>
        </w:tc>
      </w:tr>
      <w:tr w:rsidR="00597370">
        <w:trPr>
          <w:trHeight w:val="285"/>
        </w:trPr>
        <w:tc>
          <w:tcPr>
            <w:tcW w:w="2032" w:type="pct"/>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hint="eastAsia"/>
                <w:color w:val="000000" w:themeColor="text1"/>
              </w:rPr>
              <w:t>归属于上市公司股东的扣除非经常性损益的净利润</w:t>
            </w:r>
          </w:p>
        </w:tc>
        <w:tc>
          <w:tcPr>
            <w:tcW w:w="1006" w:type="pct"/>
            <w:vAlign w:val="bottom"/>
          </w:tcPr>
          <w:p w:rsidR="00597370" w:rsidRDefault="003C2EEE">
            <w:pPr>
              <w:jc w:val="right"/>
              <w:rPr>
                <w:rFonts w:cs="Times New Roman"/>
                <w:bCs w:val="0"/>
                <w:color w:val="000000"/>
              </w:rPr>
            </w:pPr>
            <w:r>
              <w:rPr>
                <w:rFonts w:cs="Times New Roman"/>
                <w:color w:val="000000"/>
              </w:rPr>
              <w:t xml:space="preserve"> 1,654.89 </w:t>
            </w:r>
          </w:p>
        </w:tc>
        <w:tc>
          <w:tcPr>
            <w:tcW w:w="990" w:type="pct"/>
            <w:vAlign w:val="bottom"/>
          </w:tcPr>
          <w:p w:rsidR="00597370" w:rsidRDefault="003C2EEE">
            <w:pPr>
              <w:jc w:val="right"/>
              <w:rPr>
                <w:rFonts w:cs="Times New Roman"/>
                <w:color w:val="000000"/>
              </w:rPr>
            </w:pPr>
            <w:r>
              <w:rPr>
                <w:rFonts w:cs="Times New Roman"/>
                <w:color w:val="000000"/>
              </w:rPr>
              <w:t xml:space="preserve"> 15,218.59 </w:t>
            </w:r>
          </w:p>
        </w:tc>
        <w:tc>
          <w:tcPr>
            <w:tcW w:w="972" w:type="pct"/>
            <w:vAlign w:val="bottom"/>
          </w:tcPr>
          <w:p w:rsidR="00597370" w:rsidRDefault="003C2EEE">
            <w:pPr>
              <w:jc w:val="right"/>
              <w:rPr>
                <w:rFonts w:cs="Times New Roman"/>
                <w:color w:val="000000"/>
              </w:rPr>
            </w:pPr>
            <w:r>
              <w:rPr>
                <w:rFonts w:cs="Times New Roman"/>
                <w:color w:val="000000"/>
              </w:rPr>
              <w:t xml:space="preserve"> -89.13 </w:t>
            </w:r>
          </w:p>
        </w:tc>
      </w:tr>
      <w:tr w:rsidR="00597370">
        <w:trPr>
          <w:trHeight w:val="285"/>
        </w:trPr>
        <w:tc>
          <w:tcPr>
            <w:tcW w:w="2032" w:type="pct"/>
          </w:tcPr>
          <w:p w:rsidR="00597370" w:rsidRDefault="003C2EEE">
            <w:pPr>
              <w:kinsoku w:val="0"/>
              <w:overflowPunct w:val="0"/>
              <w:autoSpaceDE w:val="0"/>
              <w:autoSpaceDN w:val="0"/>
              <w:adjustRightInd w:val="0"/>
              <w:snapToGrid w:val="0"/>
              <w:rPr>
                <w:rFonts w:ascii="Times New Roman" w:hAnsi="Times New Roman"/>
                <w:color w:val="000000" w:themeColor="text1"/>
                <w:highlight w:val="magenta"/>
              </w:rPr>
            </w:pPr>
            <w:r>
              <w:rPr>
                <w:rFonts w:ascii="Times New Roman" w:hAnsi="Times New Roman" w:hint="eastAsia"/>
                <w:color w:val="000000" w:themeColor="text1"/>
              </w:rPr>
              <w:t>经营活动产生的现金流量净额</w:t>
            </w:r>
          </w:p>
        </w:tc>
        <w:tc>
          <w:tcPr>
            <w:tcW w:w="1006" w:type="pct"/>
            <w:vAlign w:val="bottom"/>
          </w:tcPr>
          <w:p w:rsidR="00597370" w:rsidRDefault="003C2EEE">
            <w:pPr>
              <w:kinsoku w:val="0"/>
              <w:overflowPunct w:val="0"/>
              <w:autoSpaceDE w:val="0"/>
              <w:autoSpaceDN w:val="0"/>
              <w:adjustRightInd w:val="0"/>
              <w:snapToGrid w:val="0"/>
              <w:jc w:val="right"/>
            </w:pPr>
            <w:r>
              <w:rPr>
                <w:rFonts w:cs="Times New Roman"/>
                <w:color w:val="000000"/>
              </w:rPr>
              <w:t xml:space="preserve"> -29,537.17 </w:t>
            </w:r>
          </w:p>
        </w:tc>
        <w:tc>
          <w:tcPr>
            <w:tcW w:w="990" w:type="pct"/>
            <w:vAlign w:val="bottom"/>
          </w:tcPr>
          <w:p w:rsidR="00597370" w:rsidRDefault="003C2EEE">
            <w:pPr>
              <w:kinsoku w:val="0"/>
              <w:overflowPunct w:val="0"/>
              <w:autoSpaceDE w:val="0"/>
              <w:autoSpaceDN w:val="0"/>
              <w:adjustRightInd w:val="0"/>
              <w:snapToGrid w:val="0"/>
              <w:jc w:val="right"/>
            </w:pPr>
            <w:r>
              <w:rPr>
                <w:rFonts w:cs="Times New Roman"/>
                <w:color w:val="000000"/>
              </w:rPr>
              <w:t xml:space="preserve"> -4,828.26 </w:t>
            </w:r>
          </w:p>
        </w:tc>
        <w:tc>
          <w:tcPr>
            <w:tcW w:w="972" w:type="pct"/>
            <w:vAlign w:val="bottom"/>
          </w:tcPr>
          <w:p w:rsidR="00597370" w:rsidRDefault="003C2EEE">
            <w:pPr>
              <w:kinsoku w:val="0"/>
              <w:overflowPunct w:val="0"/>
              <w:autoSpaceDE w:val="0"/>
              <w:autoSpaceDN w:val="0"/>
              <w:adjustRightInd w:val="0"/>
              <w:snapToGrid w:val="0"/>
              <w:jc w:val="right"/>
            </w:pPr>
            <w:r>
              <w:rPr>
                <w:rFonts w:cs="Times New Roman" w:hint="eastAsia"/>
                <w:color w:val="000000"/>
              </w:rPr>
              <w:t>不适用</w:t>
            </w:r>
            <w:r>
              <w:rPr>
                <w:rFonts w:cs="Times New Roman"/>
                <w:color w:val="000000"/>
              </w:rPr>
              <w:t xml:space="preserve"> </w:t>
            </w:r>
          </w:p>
        </w:tc>
      </w:tr>
      <w:tr w:rsidR="00597370">
        <w:trPr>
          <w:trHeight w:val="533"/>
        </w:trPr>
        <w:tc>
          <w:tcPr>
            <w:tcW w:w="2032" w:type="pct"/>
            <w:vAlign w:val="center"/>
          </w:tcPr>
          <w:p w:rsidR="00597370" w:rsidRDefault="00597370">
            <w:pPr>
              <w:kinsoku w:val="0"/>
              <w:overflowPunct w:val="0"/>
              <w:autoSpaceDE w:val="0"/>
              <w:autoSpaceDN w:val="0"/>
              <w:adjustRightInd w:val="0"/>
              <w:snapToGrid w:val="0"/>
              <w:jc w:val="center"/>
              <w:rPr>
                <w:rFonts w:ascii="Times New Roman" w:hAnsi="Times New Roman"/>
                <w:color w:val="000000" w:themeColor="text1"/>
              </w:rPr>
            </w:pPr>
          </w:p>
        </w:tc>
        <w:sdt>
          <w:sdtPr>
            <w:rPr>
              <w:rFonts w:ascii="Times New Roman" w:hAnsi="Times New Roman"/>
              <w:color w:val="000000" w:themeColor="text1"/>
            </w:rPr>
            <w:tag w:val="_PLD_b75e9aa554cc48539ab9de572d244f45"/>
            <w:id w:val="-1313251455"/>
          </w:sdtPr>
          <w:sdtEndPr/>
          <w:sdtContent>
            <w:tc>
              <w:tcPr>
                <w:tcW w:w="1006" w:type="pct"/>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本报告期末</w:t>
                </w:r>
              </w:p>
            </w:tc>
          </w:sdtContent>
        </w:sdt>
        <w:sdt>
          <w:sdtPr>
            <w:rPr>
              <w:rFonts w:ascii="Times New Roman" w:hAnsi="Times New Roman"/>
              <w:color w:val="000000" w:themeColor="text1"/>
            </w:rPr>
            <w:tag w:val="_PLD_7425b2bc6a39452296814978a781ba72"/>
            <w:id w:val="951672247"/>
          </w:sdtPr>
          <w:sdtEndPr/>
          <w:sdtContent>
            <w:tc>
              <w:tcPr>
                <w:tcW w:w="990" w:type="pct"/>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上年度末</w:t>
                </w:r>
              </w:p>
            </w:tc>
          </w:sdtContent>
        </w:sdt>
        <w:sdt>
          <w:sdtPr>
            <w:rPr>
              <w:rFonts w:ascii="Times New Roman" w:hAnsi="Times New Roman"/>
              <w:color w:val="000000" w:themeColor="text1"/>
            </w:rPr>
            <w:tag w:val="_PLD_7a1ba9a6d9b54e51bd320f47b6233184"/>
            <w:id w:val="-1703083408"/>
          </w:sdtPr>
          <w:sdtEndPr/>
          <w:sdtContent>
            <w:tc>
              <w:tcPr>
                <w:tcW w:w="972" w:type="pct"/>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本报告期末比上年度末增减</w:t>
                </w:r>
                <w:r>
                  <w:rPr>
                    <w:rFonts w:ascii="Times New Roman" w:hAnsi="Times New Roman"/>
                    <w:color w:val="000000" w:themeColor="text1"/>
                  </w:rPr>
                  <w:t>(%)</w:t>
                </w:r>
              </w:p>
            </w:tc>
          </w:sdtContent>
        </w:sdt>
      </w:tr>
      <w:tr w:rsidR="00597370">
        <w:trPr>
          <w:trHeight w:val="285"/>
        </w:trPr>
        <w:tc>
          <w:tcPr>
            <w:tcW w:w="2032" w:type="pct"/>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hint="eastAsia"/>
                <w:color w:val="000000" w:themeColor="text1"/>
              </w:rPr>
              <w:t>归属于上市公司股东的净资产</w:t>
            </w:r>
          </w:p>
        </w:tc>
        <w:tc>
          <w:tcPr>
            <w:tcW w:w="1006"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 xml:space="preserve"> 238,495.36 </w:t>
            </w:r>
          </w:p>
        </w:tc>
        <w:tc>
          <w:tcPr>
            <w:tcW w:w="990"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 xml:space="preserve"> 239,080.85 </w:t>
            </w:r>
          </w:p>
        </w:tc>
        <w:tc>
          <w:tcPr>
            <w:tcW w:w="972"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 xml:space="preserve"> -0.24 </w:t>
            </w:r>
          </w:p>
        </w:tc>
      </w:tr>
      <w:tr w:rsidR="00597370">
        <w:trPr>
          <w:trHeight w:val="285"/>
        </w:trPr>
        <w:tc>
          <w:tcPr>
            <w:tcW w:w="2032" w:type="pct"/>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hint="eastAsia"/>
                <w:color w:val="000000" w:themeColor="text1"/>
              </w:rPr>
              <w:t>总资产</w:t>
            </w:r>
          </w:p>
        </w:tc>
        <w:tc>
          <w:tcPr>
            <w:tcW w:w="1006"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640,872.95</w:t>
            </w:r>
          </w:p>
        </w:tc>
        <w:tc>
          <w:tcPr>
            <w:tcW w:w="990"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 xml:space="preserve"> 487,524.19 </w:t>
            </w:r>
          </w:p>
        </w:tc>
        <w:tc>
          <w:tcPr>
            <w:tcW w:w="972" w:type="pct"/>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31.45</w:t>
            </w:r>
          </w:p>
        </w:tc>
      </w:tr>
    </w:tbl>
    <w:p w:rsidR="00597370" w:rsidRDefault="00597370">
      <w:pPr>
        <w:rPr>
          <w:color w:val="000000" w:themeColor="text1"/>
        </w:rPr>
      </w:pPr>
    </w:p>
    <w:bookmarkEnd w:id="17"/>
    <w:p w:rsidR="00597370" w:rsidRDefault="003C2EEE">
      <w:pPr>
        <w:pStyle w:val="Style109"/>
        <w:numPr>
          <w:ilvl w:val="1"/>
          <w:numId w:val="4"/>
        </w:numPr>
        <w:rPr>
          <w:rFonts w:ascii="宋体" w:hAnsi="宋体"/>
          <w:color w:val="000000" w:themeColor="text1"/>
        </w:rPr>
      </w:pPr>
      <w:r>
        <w:rPr>
          <w:rFonts w:ascii="宋体" w:hAnsi="宋体" w:hint="eastAsia"/>
          <w:color w:val="000000" w:themeColor="text1"/>
        </w:rPr>
        <w:t>主要财务指标</w:t>
      </w:r>
    </w:p>
    <w:tbl>
      <w:tblPr>
        <w:tblStyle w:val="g3"/>
        <w:tblW w:w="0" w:type="auto"/>
        <w:tblLook w:val="04A0" w:firstRow="1" w:lastRow="0" w:firstColumn="1" w:lastColumn="0" w:noHBand="0" w:noVBand="1"/>
      </w:tblPr>
      <w:tblGrid>
        <w:gridCol w:w="3552"/>
        <w:gridCol w:w="1661"/>
        <w:gridCol w:w="1799"/>
        <w:gridCol w:w="1811"/>
      </w:tblGrid>
      <w:tr w:rsidR="00597370">
        <w:sdt>
          <w:sdtPr>
            <w:rPr>
              <w:rFonts w:ascii="Times New Roman" w:hAnsi="Times New Roman"/>
              <w:color w:val="000000" w:themeColor="text1"/>
            </w:rPr>
            <w:tag w:val="_PLD_b12e929543994adfbc7a21fe743cd125"/>
            <w:id w:val="-980692199"/>
          </w:sdtPr>
          <w:sdtEndPr/>
          <w:sdtContent>
            <w:tc>
              <w:tcPr>
                <w:tcW w:w="3552" w:type="dxa"/>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主要财务指标</w:t>
                </w:r>
              </w:p>
            </w:tc>
          </w:sdtContent>
        </w:sdt>
        <w:sdt>
          <w:sdtPr>
            <w:rPr>
              <w:rFonts w:ascii="Times New Roman" w:hAnsi="Times New Roman"/>
              <w:color w:val="000000" w:themeColor="text1"/>
            </w:rPr>
            <w:tag w:val="_PLD_d04f89449ff14c5fa39e871117b7e9e2"/>
            <w:id w:val="-964192389"/>
          </w:sdtPr>
          <w:sdtEndPr/>
          <w:sdtContent>
            <w:tc>
              <w:tcPr>
                <w:tcW w:w="1661" w:type="dxa"/>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本报告期</w:t>
                </w:r>
              </w:p>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1</w:t>
                </w:r>
                <w:r>
                  <w:rPr>
                    <w:rFonts w:ascii="Times New Roman" w:hAnsi="Times New Roman"/>
                    <w:color w:val="000000" w:themeColor="text1"/>
                  </w:rPr>
                  <w:t>－</w:t>
                </w:r>
                <w:r>
                  <w:rPr>
                    <w:rFonts w:ascii="Times New Roman" w:hAnsi="Times New Roman"/>
                    <w:color w:val="000000" w:themeColor="text1"/>
                  </w:rPr>
                  <w:t>6</w:t>
                </w:r>
                <w:r>
                  <w:rPr>
                    <w:rFonts w:ascii="Times New Roman" w:hAnsi="Times New Roman"/>
                    <w:color w:val="000000" w:themeColor="text1"/>
                  </w:rPr>
                  <w:t>月）</w:t>
                </w:r>
              </w:p>
            </w:tc>
          </w:sdtContent>
        </w:sdt>
        <w:sdt>
          <w:sdtPr>
            <w:rPr>
              <w:rFonts w:ascii="Times New Roman" w:hAnsi="Times New Roman"/>
              <w:color w:val="000000" w:themeColor="text1"/>
            </w:rPr>
            <w:tag w:val="_PLD_bdb91a2a58254a0e945eecc5aef91521"/>
            <w:id w:val="-1570721556"/>
          </w:sdtPr>
          <w:sdtEndPr/>
          <w:sdtContent>
            <w:tc>
              <w:tcPr>
                <w:tcW w:w="1799" w:type="dxa"/>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上年同期</w:t>
                </w:r>
              </w:p>
            </w:tc>
          </w:sdtContent>
        </w:sdt>
        <w:sdt>
          <w:sdtPr>
            <w:rPr>
              <w:rFonts w:ascii="Times New Roman" w:hAnsi="Times New Roman"/>
              <w:color w:val="000000" w:themeColor="text1"/>
            </w:rPr>
            <w:tag w:val="_PLD_08306889e5b040aa83784b3f6db386f1"/>
            <w:id w:val="-1278564289"/>
          </w:sdtPr>
          <w:sdtEndPr/>
          <w:sdtContent>
            <w:tc>
              <w:tcPr>
                <w:tcW w:w="1811" w:type="dxa"/>
                <w:vAlign w:val="center"/>
              </w:tcPr>
              <w:p w:rsidR="00597370" w:rsidRDefault="003C2EEE">
                <w:pPr>
                  <w:kinsoku w:val="0"/>
                  <w:overflowPunct w:val="0"/>
                  <w:autoSpaceDE w:val="0"/>
                  <w:autoSpaceDN w:val="0"/>
                  <w:adjustRightInd w:val="0"/>
                  <w:snapToGrid w:val="0"/>
                  <w:jc w:val="center"/>
                  <w:rPr>
                    <w:rFonts w:ascii="Times New Roman" w:hAnsi="Times New Roman"/>
                    <w:color w:val="000000" w:themeColor="text1"/>
                  </w:rPr>
                </w:pPr>
                <w:r>
                  <w:rPr>
                    <w:rFonts w:ascii="Times New Roman" w:hAnsi="Times New Roman"/>
                    <w:color w:val="000000" w:themeColor="text1"/>
                  </w:rPr>
                  <w:t>本报告期比上年同期增减</w:t>
                </w:r>
                <w:r>
                  <w:rPr>
                    <w:rFonts w:ascii="Times New Roman" w:hAnsi="Times New Roman"/>
                    <w:color w:val="000000" w:themeColor="text1"/>
                  </w:rPr>
                  <w:t>(%)</w:t>
                </w:r>
              </w:p>
            </w:tc>
          </w:sdtContent>
        </w:sdt>
      </w:tr>
      <w:tr w:rsidR="00597370">
        <w:tc>
          <w:tcPr>
            <w:tcW w:w="3552" w:type="dxa"/>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color w:val="000000" w:themeColor="text1"/>
              </w:rPr>
              <w:t>基本每股收益（元／股）</w:t>
            </w:r>
          </w:p>
        </w:tc>
        <w:tc>
          <w:tcPr>
            <w:tcW w:w="1661"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cs="Times New Roman"/>
                <w:color w:val="000000"/>
              </w:rPr>
              <w:t xml:space="preserve"> 0.11 </w:t>
            </w:r>
          </w:p>
        </w:tc>
        <w:tc>
          <w:tcPr>
            <w:tcW w:w="1799"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hint="eastAsia"/>
                <w:color w:val="000000"/>
              </w:rPr>
              <w:t>0.46</w:t>
            </w:r>
          </w:p>
        </w:tc>
        <w:tc>
          <w:tcPr>
            <w:tcW w:w="1811" w:type="dxa"/>
            <w:vAlign w:val="bottom"/>
          </w:tcPr>
          <w:p w:rsidR="00597370" w:rsidRDefault="003C2EEE">
            <w:pPr>
              <w:widowControl/>
              <w:jc w:val="right"/>
              <w:textAlignment w:val="bottom"/>
              <w:rPr>
                <w:highlight w:val="yellow"/>
              </w:rPr>
            </w:pPr>
            <w:r>
              <w:rPr>
                <w:rFonts w:hint="eastAsia"/>
                <w:color w:val="000000"/>
                <w:sz w:val="22"/>
                <w:szCs w:val="22"/>
                <w:lang w:bidi="ar"/>
              </w:rPr>
              <w:t xml:space="preserve"> -76.09 </w:t>
            </w:r>
          </w:p>
        </w:tc>
      </w:tr>
      <w:tr w:rsidR="00597370">
        <w:tc>
          <w:tcPr>
            <w:tcW w:w="3552" w:type="dxa"/>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color w:val="000000" w:themeColor="text1"/>
              </w:rPr>
              <w:t>稀释每股收益（元／股）</w:t>
            </w:r>
          </w:p>
        </w:tc>
        <w:tc>
          <w:tcPr>
            <w:tcW w:w="1661"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cs="Times New Roman"/>
                <w:color w:val="000000"/>
              </w:rPr>
              <w:t xml:space="preserve"> 0.11 </w:t>
            </w:r>
          </w:p>
        </w:tc>
        <w:tc>
          <w:tcPr>
            <w:tcW w:w="1799"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hint="eastAsia"/>
                <w:color w:val="000000"/>
              </w:rPr>
              <w:t>0.46</w:t>
            </w:r>
          </w:p>
        </w:tc>
        <w:tc>
          <w:tcPr>
            <w:tcW w:w="1811" w:type="dxa"/>
            <w:vAlign w:val="bottom"/>
          </w:tcPr>
          <w:p w:rsidR="00597370" w:rsidRDefault="003C2EEE">
            <w:pPr>
              <w:widowControl/>
              <w:jc w:val="right"/>
              <w:textAlignment w:val="bottom"/>
              <w:rPr>
                <w:highlight w:val="yellow"/>
              </w:rPr>
            </w:pPr>
            <w:r>
              <w:rPr>
                <w:rFonts w:hint="eastAsia"/>
                <w:color w:val="000000"/>
                <w:sz w:val="22"/>
                <w:szCs w:val="22"/>
                <w:lang w:bidi="ar"/>
              </w:rPr>
              <w:t xml:space="preserve"> -76.09 </w:t>
            </w:r>
          </w:p>
        </w:tc>
      </w:tr>
      <w:tr w:rsidR="00597370">
        <w:tc>
          <w:tcPr>
            <w:tcW w:w="3552" w:type="dxa"/>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color w:val="000000" w:themeColor="text1"/>
              </w:rPr>
              <w:t>扣除非经常性损益后的基本每股收益（元／股）</w:t>
            </w:r>
          </w:p>
        </w:tc>
        <w:tc>
          <w:tcPr>
            <w:tcW w:w="1661"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cs="Times New Roman"/>
                <w:color w:val="000000"/>
              </w:rPr>
              <w:t xml:space="preserve"> 0.05 </w:t>
            </w:r>
          </w:p>
        </w:tc>
        <w:tc>
          <w:tcPr>
            <w:tcW w:w="1799"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hint="eastAsia"/>
                <w:color w:val="000000"/>
              </w:rPr>
              <w:t>0.46</w:t>
            </w:r>
          </w:p>
        </w:tc>
        <w:tc>
          <w:tcPr>
            <w:tcW w:w="1811" w:type="dxa"/>
            <w:shd w:val="clear" w:color="auto" w:fill="auto"/>
            <w:vAlign w:val="bottom"/>
          </w:tcPr>
          <w:p w:rsidR="00597370" w:rsidRDefault="003C2EEE">
            <w:pPr>
              <w:widowControl/>
              <w:jc w:val="right"/>
              <w:textAlignment w:val="bottom"/>
              <w:rPr>
                <w:color w:val="000000"/>
              </w:rPr>
            </w:pPr>
            <w:r>
              <w:rPr>
                <w:rFonts w:hint="eastAsia"/>
                <w:color w:val="000000"/>
                <w:sz w:val="22"/>
                <w:szCs w:val="22"/>
                <w:lang w:bidi="ar"/>
              </w:rPr>
              <w:t xml:space="preserve"> -89.13 </w:t>
            </w:r>
          </w:p>
        </w:tc>
      </w:tr>
      <w:tr w:rsidR="00597370">
        <w:tc>
          <w:tcPr>
            <w:tcW w:w="3552" w:type="dxa"/>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color w:val="000000" w:themeColor="text1"/>
              </w:rPr>
              <w:lastRenderedPageBreak/>
              <w:t>加权平均净资产收益率（</w:t>
            </w:r>
            <w:r>
              <w:rPr>
                <w:rFonts w:ascii="Times New Roman" w:hAnsi="Times New Roman"/>
                <w:color w:val="000000" w:themeColor="text1"/>
              </w:rPr>
              <w:t>%</w:t>
            </w:r>
            <w:r>
              <w:rPr>
                <w:rFonts w:ascii="Times New Roman" w:hAnsi="Times New Roman"/>
                <w:color w:val="000000" w:themeColor="text1"/>
              </w:rPr>
              <w:t>）</w:t>
            </w:r>
          </w:p>
        </w:tc>
        <w:tc>
          <w:tcPr>
            <w:tcW w:w="1661"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cs="Times New Roman"/>
                <w:color w:val="000000"/>
              </w:rPr>
              <w:t xml:space="preserve"> 1.44 </w:t>
            </w:r>
          </w:p>
        </w:tc>
        <w:tc>
          <w:tcPr>
            <w:tcW w:w="1799"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hint="eastAsia"/>
                <w:color w:val="000000"/>
              </w:rPr>
              <w:t>6.57</w:t>
            </w:r>
          </w:p>
        </w:tc>
        <w:tc>
          <w:tcPr>
            <w:tcW w:w="1811" w:type="dxa"/>
            <w:vAlign w:val="center"/>
          </w:tcPr>
          <w:p w:rsidR="00597370" w:rsidRDefault="003C2EEE">
            <w:pPr>
              <w:rPr>
                <w:bCs w:val="0"/>
                <w:sz w:val="24"/>
                <w:szCs w:val="24"/>
              </w:rPr>
            </w:pPr>
            <w:r>
              <w:rPr>
                <w:rFonts w:hint="eastAsia"/>
              </w:rPr>
              <w:t>减少</w:t>
            </w:r>
            <w:r>
              <w:t>5.13个百分点</w:t>
            </w:r>
          </w:p>
        </w:tc>
      </w:tr>
      <w:tr w:rsidR="00597370">
        <w:tc>
          <w:tcPr>
            <w:tcW w:w="3552" w:type="dxa"/>
          </w:tcPr>
          <w:p w:rsidR="00597370" w:rsidRDefault="003C2EEE">
            <w:pPr>
              <w:kinsoku w:val="0"/>
              <w:overflowPunct w:val="0"/>
              <w:autoSpaceDE w:val="0"/>
              <w:autoSpaceDN w:val="0"/>
              <w:adjustRightInd w:val="0"/>
              <w:snapToGrid w:val="0"/>
              <w:rPr>
                <w:rFonts w:ascii="Times New Roman" w:hAnsi="Times New Roman"/>
                <w:color w:val="000000" w:themeColor="text1"/>
              </w:rPr>
            </w:pPr>
            <w:r>
              <w:rPr>
                <w:rFonts w:ascii="Times New Roman" w:hAnsi="Times New Roman"/>
                <w:color w:val="000000" w:themeColor="text1"/>
              </w:rPr>
              <w:t>扣除非经常性损益后的加权平均净资产收益率（</w:t>
            </w:r>
            <w:r>
              <w:rPr>
                <w:rFonts w:ascii="Times New Roman" w:hAnsi="Times New Roman"/>
                <w:color w:val="000000" w:themeColor="text1"/>
              </w:rPr>
              <w:t>%</w:t>
            </w:r>
            <w:r>
              <w:rPr>
                <w:rFonts w:ascii="Times New Roman" w:hAnsi="Times New Roman"/>
                <w:color w:val="000000" w:themeColor="text1"/>
              </w:rPr>
              <w:t>）</w:t>
            </w:r>
          </w:p>
        </w:tc>
        <w:tc>
          <w:tcPr>
            <w:tcW w:w="1661"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cs="Times New Roman"/>
                <w:color w:val="000000"/>
              </w:rPr>
              <w:t xml:space="preserve"> 0.69 </w:t>
            </w:r>
          </w:p>
        </w:tc>
        <w:tc>
          <w:tcPr>
            <w:tcW w:w="1799" w:type="dxa"/>
            <w:vAlign w:val="bottom"/>
          </w:tcPr>
          <w:p w:rsidR="00597370" w:rsidRDefault="003C2EEE">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hint="eastAsia"/>
                <w:color w:val="000000"/>
              </w:rPr>
              <w:t>6.49</w:t>
            </w:r>
          </w:p>
        </w:tc>
        <w:tc>
          <w:tcPr>
            <w:tcW w:w="1811" w:type="dxa"/>
            <w:vAlign w:val="center"/>
          </w:tcPr>
          <w:p w:rsidR="00597370" w:rsidRDefault="003C2EEE">
            <w:r>
              <w:rPr>
                <w:rFonts w:hint="eastAsia"/>
              </w:rPr>
              <w:t>减少</w:t>
            </w:r>
            <w:r>
              <w:t>5.80个百分点</w:t>
            </w:r>
          </w:p>
        </w:tc>
      </w:tr>
    </w:tbl>
    <w:p w:rsidR="00597370" w:rsidRDefault="00597370">
      <w:pPr>
        <w:rPr>
          <w:color w:val="000000" w:themeColor="text1"/>
        </w:rPr>
      </w:pPr>
    </w:p>
    <w:p w:rsidR="00597370" w:rsidRDefault="003C2EEE">
      <w:pPr>
        <w:rPr>
          <w:color w:val="000000" w:themeColor="text1"/>
        </w:rPr>
      </w:pPr>
      <w:bookmarkStart w:id="18" w:name="_Toc342056398"/>
      <w:bookmarkStart w:id="19" w:name="_Toc342565890"/>
      <w:r>
        <w:rPr>
          <w:color w:val="000000" w:themeColor="text1"/>
        </w:rPr>
        <w:t>公司主要会计数据和财务指标的说明</w:t>
      </w:r>
    </w:p>
    <w:sdt>
      <w:sdtPr>
        <w:rPr>
          <w:color w:val="000000" w:themeColor="text1"/>
        </w:rPr>
        <w:alias w:val="是否适用：公司主要会计数据和财务指标的说明[双击切换]"/>
        <w:tag w:val="_GBC_cfe99dae5f804f6f8f02eb429483f98a"/>
        <w:id w:val="-5816049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公司主要会计数据和财务指标的说明"/>
        <w:tag w:val="_GBC_97608ceee0dd4babbeaf5daeb2216ce1"/>
        <w:id w:val="1055591216"/>
        <w:placeholder>
          <w:docPart w:val="DEF3AC890E794134934294B92F558EDA"/>
        </w:placeholder>
      </w:sdtPr>
      <w:sdtEndPr/>
      <w:sdtContent>
        <w:p w:rsidR="00597370" w:rsidRDefault="003C2EEE">
          <w:pPr>
            <w:spacing w:line="360" w:lineRule="auto"/>
            <w:ind w:firstLine="420"/>
            <w:rPr>
              <w:b/>
              <w:color w:val="000000" w:themeColor="text1"/>
            </w:rPr>
          </w:pPr>
          <w:r>
            <w:rPr>
              <w:rFonts w:hint="eastAsia"/>
              <w:b/>
              <w:color w:val="000000" w:themeColor="text1"/>
            </w:rPr>
            <w:t>一、营业收入同比变动说明：</w:t>
          </w:r>
        </w:p>
        <w:p w:rsidR="00597370" w:rsidRDefault="003C2EEE">
          <w:pPr>
            <w:pStyle w:val="aff8"/>
            <w:numPr>
              <w:ilvl w:val="0"/>
              <w:numId w:val="5"/>
            </w:numPr>
            <w:spacing w:line="360" w:lineRule="auto"/>
            <w:ind w:left="0" w:firstLineChars="0" w:firstLine="357"/>
            <w:jc w:val="left"/>
            <w:rPr>
              <w:color w:val="000000" w:themeColor="text1"/>
              <w:szCs w:val="21"/>
            </w:rPr>
          </w:pPr>
          <w:r>
            <w:rPr>
              <w:rFonts w:hint="eastAsia"/>
              <w:color w:val="000000" w:themeColor="text1"/>
              <w:szCs w:val="21"/>
            </w:rPr>
            <w:t>报告期营业收入同比增长</w:t>
          </w:r>
          <w:r>
            <w:rPr>
              <w:color w:val="000000" w:themeColor="text1"/>
              <w:szCs w:val="21"/>
            </w:rPr>
            <w:t>15.43%</w:t>
          </w:r>
          <w:r>
            <w:rPr>
              <w:color w:val="000000" w:themeColor="text1"/>
              <w:szCs w:val="21"/>
            </w:rPr>
            <w:t>，</w:t>
          </w:r>
          <w:proofErr w:type="gramStart"/>
          <w:r>
            <w:rPr>
              <w:color w:val="000000" w:themeColor="text1"/>
              <w:szCs w:val="21"/>
            </w:rPr>
            <w:t>主要系输配电</w:t>
          </w:r>
          <w:proofErr w:type="gramEnd"/>
          <w:r>
            <w:rPr>
              <w:color w:val="000000" w:themeColor="text1"/>
              <w:szCs w:val="21"/>
            </w:rPr>
            <w:t>及控制设备业务同比增长</w:t>
          </w:r>
          <w:r>
            <w:rPr>
              <w:color w:val="000000" w:themeColor="text1"/>
              <w:szCs w:val="21"/>
            </w:rPr>
            <w:t>34.85%</w:t>
          </w:r>
          <w:r>
            <w:rPr>
              <w:rFonts w:hint="eastAsia"/>
              <w:color w:val="000000" w:themeColor="text1"/>
              <w:szCs w:val="21"/>
            </w:rPr>
            <w:t>；</w:t>
          </w:r>
        </w:p>
        <w:p w:rsidR="00597370" w:rsidRDefault="003C2EEE">
          <w:pPr>
            <w:pStyle w:val="aff8"/>
            <w:spacing w:line="360" w:lineRule="auto"/>
            <w:ind w:firstLineChars="0" w:firstLine="0"/>
            <w:jc w:val="left"/>
            <w:rPr>
              <w:color w:val="000000" w:themeColor="text1"/>
              <w:szCs w:val="21"/>
            </w:rPr>
          </w:pPr>
          <w:r>
            <w:rPr>
              <w:rFonts w:hint="eastAsia"/>
              <w:color w:val="000000" w:themeColor="text1"/>
              <w:szCs w:val="21"/>
            </w:rPr>
            <w:t>报告期取向硅钢业务同比下降</w:t>
          </w:r>
          <w:r>
            <w:rPr>
              <w:rFonts w:hint="eastAsia"/>
              <w:color w:val="000000" w:themeColor="text1"/>
              <w:szCs w:val="21"/>
            </w:rPr>
            <w:t>3.37%</w:t>
          </w:r>
          <w:r>
            <w:rPr>
              <w:rFonts w:hint="eastAsia"/>
              <w:color w:val="000000" w:themeColor="text1"/>
              <w:szCs w:val="21"/>
            </w:rPr>
            <w:t>；</w:t>
          </w:r>
        </w:p>
        <w:p w:rsidR="00597370" w:rsidRDefault="003C2EEE">
          <w:pPr>
            <w:pStyle w:val="aff8"/>
            <w:numPr>
              <w:ilvl w:val="0"/>
              <w:numId w:val="5"/>
            </w:numPr>
            <w:spacing w:line="360" w:lineRule="auto"/>
            <w:ind w:left="0" w:firstLineChars="0" w:firstLine="357"/>
            <w:rPr>
              <w:color w:val="000000" w:themeColor="text1"/>
              <w:szCs w:val="21"/>
            </w:rPr>
          </w:pPr>
          <w:proofErr w:type="gramStart"/>
          <w:r>
            <w:rPr>
              <w:rFonts w:hint="eastAsia"/>
              <w:color w:val="000000" w:themeColor="text1"/>
              <w:szCs w:val="21"/>
            </w:rPr>
            <w:t>报告期输配电</w:t>
          </w:r>
          <w:proofErr w:type="gramEnd"/>
          <w:r>
            <w:rPr>
              <w:rFonts w:hint="eastAsia"/>
              <w:color w:val="000000" w:themeColor="text1"/>
              <w:szCs w:val="21"/>
            </w:rPr>
            <w:t>及控制设备业务营业收入同比增长</w:t>
          </w:r>
          <w:r>
            <w:rPr>
              <w:rFonts w:hint="eastAsia"/>
              <w:color w:val="000000" w:themeColor="text1"/>
              <w:szCs w:val="21"/>
            </w:rPr>
            <w:t>39.41%</w:t>
          </w:r>
          <w:r>
            <w:rPr>
              <w:rFonts w:hint="eastAsia"/>
              <w:color w:val="000000" w:themeColor="text1"/>
              <w:szCs w:val="21"/>
            </w:rPr>
            <w:t>，增加幅度较大的原因主要</w:t>
          </w:r>
          <w:proofErr w:type="gramStart"/>
          <w:r>
            <w:rPr>
              <w:rFonts w:hint="eastAsia"/>
              <w:color w:val="000000" w:themeColor="text1"/>
              <w:szCs w:val="21"/>
            </w:rPr>
            <w:t>系报告期云变</w:t>
          </w:r>
          <w:proofErr w:type="gramEnd"/>
          <w:r>
            <w:rPr>
              <w:rFonts w:hint="eastAsia"/>
              <w:color w:val="000000" w:themeColor="text1"/>
              <w:szCs w:val="21"/>
            </w:rPr>
            <w:t>电气从</w:t>
          </w:r>
          <w:r>
            <w:rPr>
              <w:rFonts w:hint="eastAsia"/>
              <w:color w:val="000000" w:themeColor="text1"/>
              <w:szCs w:val="21"/>
            </w:rPr>
            <w:t>2024</w:t>
          </w:r>
          <w:r>
            <w:rPr>
              <w:rFonts w:hint="eastAsia"/>
              <w:color w:val="000000" w:themeColor="text1"/>
              <w:szCs w:val="21"/>
            </w:rPr>
            <w:t>年</w:t>
          </w:r>
          <w:r>
            <w:rPr>
              <w:rFonts w:hint="eastAsia"/>
              <w:color w:val="000000" w:themeColor="text1"/>
              <w:szCs w:val="21"/>
            </w:rPr>
            <w:t>4</w:t>
          </w:r>
          <w:r>
            <w:rPr>
              <w:rFonts w:hint="eastAsia"/>
              <w:color w:val="000000" w:themeColor="text1"/>
              <w:szCs w:val="21"/>
            </w:rPr>
            <w:t>月</w:t>
          </w:r>
          <w:r>
            <w:rPr>
              <w:rFonts w:hint="eastAsia"/>
              <w:color w:val="000000" w:themeColor="text1"/>
              <w:szCs w:val="21"/>
            </w:rPr>
            <w:t>1</w:t>
          </w:r>
          <w:r>
            <w:rPr>
              <w:rFonts w:hint="eastAsia"/>
              <w:color w:val="000000" w:themeColor="text1"/>
              <w:szCs w:val="21"/>
            </w:rPr>
            <w:t>日起纳入合并范围，并入营业收入</w:t>
          </w:r>
          <w:r>
            <w:rPr>
              <w:rFonts w:hint="eastAsia"/>
              <w:color w:val="000000" w:themeColor="text1"/>
              <w:szCs w:val="21"/>
            </w:rPr>
            <w:t>2.28</w:t>
          </w:r>
          <w:r>
            <w:rPr>
              <w:rFonts w:hint="eastAsia"/>
              <w:color w:val="000000" w:themeColor="text1"/>
              <w:szCs w:val="21"/>
            </w:rPr>
            <w:t>亿元；</w:t>
          </w:r>
          <w:r>
            <w:rPr>
              <w:rFonts w:hint="eastAsia"/>
              <w:color w:val="000000" w:themeColor="text1"/>
              <w:szCs w:val="21"/>
            </w:rPr>
            <w:t xml:space="preserve"> </w:t>
          </w:r>
          <w:proofErr w:type="gramStart"/>
          <w:r>
            <w:rPr>
              <w:rFonts w:hint="eastAsia"/>
              <w:color w:val="000000" w:themeColor="text1"/>
              <w:szCs w:val="21"/>
            </w:rPr>
            <w:t>剔除云变电气</w:t>
          </w:r>
          <w:proofErr w:type="gramEnd"/>
          <w:r>
            <w:rPr>
              <w:rFonts w:hint="eastAsia"/>
              <w:color w:val="000000" w:themeColor="text1"/>
              <w:szCs w:val="21"/>
            </w:rPr>
            <w:t>增量，输配电及控制设备业务同比小幅下降</w:t>
          </w:r>
          <w:r>
            <w:rPr>
              <w:rFonts w:hint="eastAsia"/>
              <w:color w:val="000000" w:themeColor="text1"/>
              <w:szCs w:val="21"/>
            </w:rPr>
            <w:t>4.55%</w:t>
          </w:r>
          <w:r>
            <w:rPr>
              <w:rFonts w:hint="eastAsia"/>
              <w:color w:val="000000" w:themeColor="text1"/>
              <w:szCs w:val="21"/>
            </w:rPr>
            <w:t>，主要原因系</w:t>
          </w:r>
          <w:r>
            <w:rPr>
              <w:rFonts w:hint="eastAsia"/>
              <w:color w:val="000000" w:themeColor="text1"/>
              <w:szCs w:val="21"/>
            </w:rPr>
            <w:t>110kV</w:t>
          </w:r>
          <w:r>
            <w:rPr>
              <w:rFonts w:hint="eastAsia"/>
              <w:color w:val="000000" w:themeColor="text1"/>
              <w:szCs w:val="21"/>
            </w:rPr>
            <w:t>及以下节能型变压器智能化工厂技改项目、智能成套电气设备产业基地建设项目进入设备交验和调试期，产能处于爬坡阶段。</w:t>
          </w:r>
        </w:p>
        <w:p w:rsidR="00597370" w:rsidRDefault="003C2EEE">
          <w:pPr>
            <w:spacing w:line="360" w:lineRule="auto"/>
            <w:ind w:firstLineChars="200" w:firstLine="422"/>
            <w:rPr>
              <w:b/>
              <w:color w:val="000000" w:themeColor="text1"/>
            </w:rPr>
          </w:pPr>
          <w:r>
            <w:rPr>
              <w:rFonts w:hint="eastAsia"/>
              <w:b/>
              <w:color w:val="000000" w:themeColor="text1"/>
            </w:rPr>
            <w:t>二、归属于上市公司股东的净利润变动说明：</w:t>
          </w:r>
        </w:p>
        <w:p w:rsidR="00597370" w:rsidRDefault="003C2EEE">
          <w:pPr>
            <w:spacing w:line="360" w:lineRule="auto"/>
            <w:ind w:firstLineChars="200" w:firstLine="420"/>
            <w:rPr>
              <w:color w:val="000000" w:themeColor="text1"/>
            </w:rPr>
          </w:pPr>
          <w:r>
            <w:rPr>
              <w:rFonts w:hint="eastAsia"/>
              <w:color w:val="000000" w:themeColor="text1"/>
            </w:rPr>
            <w:t>1、</w:t>
          </w:r>
          <w:proofErr w:type="gramStart"/>
          <w:r>
            <w:rPr>
              <w:rFonts w:hint="eastAsia"/>
              <w:color w:val="000000" w:themeColor="text1"/>
            </w:rPr>
            <w:t>报告期净利润</w:t>
          </w:r>
          <w:proofErr w:type="gramEnd"/>
          <w:r>
            <w:rPr>
              <w:rFonts w:hint="eastAsia"/>
              <w:color w:val="000000" w:themeColor="text1"/>
            </w:rPr>
            <w:t>同比下降</w:t>
          </w:r>
          <w:r>
            <w:rPr>
              <w:color w:val="000000" w:themeColor="text1"/>
            </w:rPr>
            <w:t>77.42%，主要系</w:t>
          </w:r>
          <w:r>
            <w:rPr>
              <w:rFonts w:hint="eastAsia"/>
              <w:color w:val="000000" w:themeColor="text1"/>
            </w:rPr>
            <w:t>2</w:t>
          </w:r>
          <w:r>
            <w:rPr>
              <w:color w:val="000000" w:themeColor="text1"/>
            </w:rPr>
            <w:t>023</w:t>
          </w:r>
          <w:r>
            <w:rPr>
              <w:rFonts w:hint="eastAsia"/>
              <w:color w:val="000000" w:themeColor="text1"/>
            </w:rPr>
            <w:t>年</w:t>
          </w:r>
          <w:r>
            <w:rPr>
              <w:color w:val="000000" w:themeColor="text1"/>
            </w:rPr>
            <w:t>国内取向硅钢</w:t>
          </w:r>
          <w:r>
            <w:rPr>
              <w:rFonts w:hint="eastAsia"/>
              <w:color w:val="000000" w:themeColor="text1"/>
            </w:rPr>
            <w:t>新增</w:t>
          </w:r>
          <w:r>
            <w:rPr>
              <w:color w:val="000000" w:themeColor="text1"/>
            </w:rPr>
            <w:t>产能</w:t>
          </w:r>
          <w:r>
            <w:rPr>
              <w:rFonts w:hint="eastAsia"/>
              <w:color w:val="000000" w:themeColor="text1"/>
            </w:rPr>
            <w:t>投放市场的持续影响</w:t>
          </w:r>
          <w:r>
            <w:rPr>
              <w:color w:val="000000" w:themeColor="text1"/>
            </w:rPr>
            <w:t>，</w:t>
          </w:r>
          <w:r>
            <w:rPr>
              <w:rFonts w:hint="eastAsia"/>
              <w:color w:val="000000" w:themeColor="text1"/>
            </w:rPr>
            <w:t>带来取向硅钢销售价格</w:t>
          </w:r>
          <w:r>
            <w:rPr>
              <w:color w:val="000000" w:themeColor="text1"/>
            </w:rPr>
            <w:t>下行</w:t>
          </w:r>
          <w:r>
            <w:rPr>
              <w:rFonts w:hint="eastAsia"/>
              <w:color w:val="000000" w:themeColor="text1"/>
            </w:rPr>
            <w:t>，导致净利润同比大幅下降；</w:t>
          </w:r>
        </w:p>
        <w:p w:rsidR="00597370" w:rsidRDefault="003C2EEE">
          <w:pPr>
            <w:spacing w:line="360" w:lineRule="auto"/>
            <w:ind w:firstLineChars="200" w:firstLine="420"/>
            <w:rPr>
              <w:color w:val="000000" w:themeColor="text1"/>
            </w:rPr>
          </w:pPr>
          <w:r>
            <w:rPr>
              <w:color w:val="000000" w:themeColor="text1"/>
            </w:rPr>
            <w:t>2</w:t>
          </w:r>
          <w:r>
            <w:rPr>
              <w:rFonts w:hint="eastAsia"/>
              <w:color w:val="000000" w:themeColor="text1"/>
            </w:rPr>
            <w:t>、报告期取向硅钢销售单价</w:t>
          </w:r>
          <w:r>
            <w:rPr>
              <w:color w:val="000000" w:themeColor="text1"/>
            </w:rPr>
            <w:t>同比下降5761元/吨，单位销售成本下降1951元/吨</w:t>
          </w:r>
          <w:r>
            <w:rPr>
              <w:rFonts w:hint="eastAsia"/>
              <w:color w:val="000000" w:themeColor="text1"/>
            </w:rPr>
            <w:t>，</w:t>
          </w:r>
          <w:r>
            <w:rPr>
              <w:color w:val="000000" w:themeColor="text1"/>
            </w:rPr>
            <w:t>导致取向硅钢业务毛利额同比减少1.49亿元</w:t>
          </w:r>
          <w:r>
            <w:rPr>
              <w:rFonts w:hint="eastAsia"/>
              <w:color w:val="000000" w:themeColor="text1"/>
            </w:rPr>
            <w:t>；</w:t>
          </w:r>
        </w:p>
        <w:p w:rsidR="00597370" w:rsidRDefault="003C2EEE">
          <w:pPr>
            <w:spacing w:line="360" w:lineRule="auto"/>
            <w:ind w:firstLineChars="200" w:firstLine="420"/>
            <w:rPr>
              <w:color w:val="000000" w:themeColor="text1"/>
            </w:rPr>
          </w:pPr>
          <w:r>
            <w:rPr>
              <w:color w:val="000000" w:themeColor="text1"/>
            </w:rPr>
            <w:t>3</w:t>
          </w:r>
          <w:r>
            <w:rPr>
              <w:rFonts w:hint="eastAsia"/>
              <w:color w:val="000000" w:themeColor="text1"/>
            </w:rPr>
            <w:t>、报告期取向硅钢销售量同比增加2</w:t>
          </w:r>
          <w:r>
            <w:rPr>
              <w:color w:val="000000" w:themeColor="text1"/>
            </w:rPr>
            <w:t>.4</w:t>
          </w:r>
          <w:r>
            <w:rPr>
              <w:rFonts w:hint="eastAsia"/>
              <w:color w:val="000000" w:themeColor="text1"/>
            </w:rPr>
            <w:t>万吨，带来毛利增加0</w:t>
          </w:r>
          <w:r>
            <w:rPr>
              <w:color w:val="000000" w:themeColor="text1"/>
            </w:rPr>
            <w:t>.11</w:t>
          </w:r>
          <w:r>
            <w:rPr>
              <w:rFonts w:hint="eastAsia"/>
              <w:color w:val="000000" w:themeColor="text1"/>
            </w:rPr>
            <w:t>亿元</w:t>
          </w:r>
          <w:r>
            <w:rPr>
              <w:color w:val="000000" w:themeColor="text1"/>
            </w:rPr>
            <w:t>；</w:t>
          </w:r>
        </w:p>
        <w:p w:rsidR="00597370" w:rsidRDefault="003C2EEE">
          <w:pPr>
            <w:spacing w:line="360" w:lineRule="auto"/>
            <w:ind w:firstLineChars="200" w:firstLine="420"/>
            <w:rPr>
              <w:color w:val="000000" w:themeColor="text1"/>
            </w:rPr>
          </w:pPr>
          <w:r>
            <w:rPr>
              <w:color w:val="000000" w:themeColor="text1"/>
            </w:rPr>
            <w:t>4</w:t>
          </w:r>
          <w:r>
            <w:rPr>
              <w:rFonts w:hint="eastAsia"/>
              <w:color w:val="000000" w:themeColor="text1"/>
            </w:rPr>
            <w:t>、</w:t>
          </w:r>
          <w:proofErr w:type="gramStart"/>
          <w:r>
            <w:rPr>
              <w:color w:val="000000" w:themeColor="text1"/>
            </w:rPr>
            <w:t>报告期</w:t>
          </w:r>
          <w:r>
            <w:rPr>
              <w:rFonts w:hint="eastAsia"/>
              <w:color w:val="000000" w:themeColor="text1"/>
            </w:rPr>
            <w:t>输配电</w:t>
          </w:r>
          <w:proofErr w:type="gramEnd"/>
          <w:r>
            <w:rPr>
              <w:rFonts w:hint="eastAsia"/>
              <w:color w:val="000000" w:themeColor="text1"/>
            </w:rPr>
            <w:t>及控制设备业务</w:t>
          </w:r>
          <w:proofErr w:type="gramStart"/>
          <w:r>
            <w:rPr>
              <w:rFonts w:hint="eastAsia"/>
              <w:color w:val="000000" w:themeColor="text1"/>
            </w:rPr>
            <w:t>因</w:t>
          </w:r>
          <w:r>
            <w:rPr>
              <w:color w:val="000000" w:themeColor="text1"/>
            </w:rPr>
            <w:t>云变电气</w:t>
          </w:r>
          <w:proofErr w:type="gramEnd"/>
          <w:r>
            <w:rPr>
              <w:color w:val="000000" w:themeColor="text1"/>
            </w:rPr>
            <w:t>从2024年4月1日起纳入合并范围，</w:t>
          </w:r>
          <w:r>
            <w:rPr>
              <w:rFonts w:hint="eastAsia"/>
              <w:color w:val="000000" w:themeColor="text1"/>
            </w:rPr>
            <w:t>带来</w:t>
          </w:r>
          <w:r>
            <w:rPr>
              <w:color w:val="000000" w:themeColor="text1"/>
            </w:rPr>
            <w:t>输配电及控制设备业务毛利额</w:t>
          </w:r>
          <w:r>
            <w:rPr>
              <w:rFonts w:hint="eastAsia"/>
              <w:color w:val="000000" w:themeColor="text1"/>
            </w:rPr>
            <w:t>增加</w:t>
          </w:r>
          <w:r>
            <w:rPr>
              <w:color w:val="000000" w:themeColor="text1"/>
            </w:rPr>
            <w:t>0.36亿元</w:t>
          </w:r>
          <w:r>
            <w:rPr>
              <w:rFonts w:hint="eastAsia"/>
              <w:color w:val="000000" w:themeColor="text1"/>
            </w:rPr>
            <w:t>，该业务毛利率同比上期持平。</w:t>
          </w:r>
          <w:r>
            <w:rPr>
              <w:color w:val="000000" w:themeColor="text1"/>
            </w:rPr>
            <w:t xml:space="preserve"> </w:t>
          </w:r>
        </w:p>
      </w:sdtContent>
    </w:sdt>
    <w:p w:rsidR="00597370" w:rsidRDefault="003C2EEE">
      <w:pPr>
        <w:pStyle w:val="2"/>
        <w:numPr>
          <w:ilvl w:val="0"/>
          <w:numId w:val="3"/>
        </w:numPr>
        <w:ind w:firstLineChars="0"/>
        <w:rPr>
          <w:color w:val="000000" w:themeColor="text1"/>
        </w:rPr>
      </w:pPr>
      <w:r>
        <w:rPr>
          <w:rFonts w:hint="eastAsia"/>
          <w:color w:val="000000" w:themeColor="text1"/>
        </w:rPr>
        <w:t>境内外会计准则下会计数据差异</w:t>
      </w:r>
      <w:bookmarkEnd w:id="18"/>
      <w:bookmarkEnd w:id="19"/>
    </w:p>
    <w:sdt>
      <w:sdtPr>
        <w:rPr>
          <w:color w:val="000000" w:themeColor="text1"/>
        </w:rPr>
        <w:alias w:val="是否适用：境内外会计准则下会计数据差异[双击切换]"/>
        <w:tag w:val="_GBC_bdabc18d82504a7696c49b78e67b7ce4"/>
        <w:id w:val="194156407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6"/>
        </w:numPr>
        <w:rPr>
          <w:rFonts w:ascii="宋体" w:hAnsi="宋体"/>
          <w:color w:val="000000" w:themeColor="text1"/>
        </w:rPr>
      </w:pPr>
      <w:r>
        <w:rPr>
          <w:rFonts w:ascii="宋体" w:hAnsi="宋体" w:hint="eastAsia"/>
          <w:color w:val="000000" w:themeColor="text1"/>
        </w:rPr>
        <w:t>同时按照国际会计准则与按中国会计准则披露的财务</w:t>
      </w:r>
      <w:proofErr w:type="gramStart"/>
      <w:r>
        <w:rPr>
          <w:rFonts w:ascii="宋体" w:hAnsi="宋体" w:hint="eastAsia"/>
          <w:color w:val="000000" w:themeColor="text1"/>
        </w:rPr>
        <w:t>报告中净利润</w:t>
      </w:r>
      <w:proofErr w:type="gramEnd"/>
      <w:r>
        <w:rPr>
          <w:rFonts w:ascii="宋体" w:hAnsi="宋体" w:hint="eastAsia"/>
          <w:color w:val="000000" w:themeColor="text1"/>
        </w:rPr>
        <w:t>和归属于上市公司股东的净资产差异情况</w:t>
      </w:r>
    </w:p>
    <w:sdt>
      <w:sdtPr>
        <w:rPr>
          <w:color w:val="000000" w:themeColor="text1"/>
        </w:rPr>
        <w:alias w:val="是否适用：同时按照国际会计准则与按中国会计准则披露的财务报告中净利润和净资产差异情况[双击切换]"/>
        <w:tag w:val="_GBC_5b46dcc1f6b14657b59c11801ec8e4a9"/>
        <w:id w:val="-57998013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6"/>
        </w:numPr>
        <w:rPr>
          <w:rFonts w:ascii="宋体" w:hAnsi="宋体"/>
          <w:color w:val="000000" w:themeColor="text1"/>
        </w:rPr>
      </w:pPr>
      <w:r>
        <w:rPr>
          <w:rFonts w:ascii="宋体" w:hAnsi="宋体" w:hint="eastAsia"/>
          <w:color w:val="000000" w:themeColor="text1"/>
        </w:rPr>
        <w:t>同时按照境外会计准则与按中国会计准则披露的财务</w:t>
      </w:r>
      <w:proofErr w:type="gramStart"/>
      <w:r>
        <w:rPr>
          <w:rFonts w:ascii="宋体" w:hAnsi="宋体" w:hint="eastAsia"/>
          <w:color w:val="000000" w:themeColor="text1"/>
        </w:rPr>
        <w:t>报告中净利润</w:t>
      </w:r>
      <w:proofErr w:type="gramEnd"/>
      <w:r>
        <w:rPr>
          <w:rFonts w:ascii="宋体" w:hAnsi="宋体" w:hint="eastAsia"/>
          <w:color w:val="000000" w:themeColor="text1"/>
        </w:rPr>
        <w:t>和归属于上市公司股东的净资产差异情况</w:t>
      </w:r>
    </w:p>
    <w:sdt>
      <w:sdtPr>
        <w:rPr>
          <w:color w:val="000000" w:themeColor="text1"/>
        </w:rPr>
        <w:alias w:val="是否适用：同时按照境外会计准则与按中国会计准则披露的财务报告中净利润和净资产差异情况[双击切换]"/>
        <w:tag w:val="_GBC_5c3657028afa4856ae676bad317ac6b1"/>
        <w:id w:val="198611917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6"/>
        </w:numPr>
        <w:rPr>
          <w:rFonts w:ascii="宋体" w:hAnsi="宋体"/>
          <w:color w:val="000000" w:themeColor="text1"/>
        </w:rPr>
      </w:pPr>
      <w:r>
        <w:rPr>
          <w:rFonts w:ascii="宋体" w:hAnsi="宋体" w:hint="eastAsia"/>
          <w:color w:val="000000" w:themeColor="text1"/>
        </w:rPr>
        <w:t>境内外会计准则差异的说明：</w:t>
      </w:r>
    </w:p>
    <w:sdt>
      <w:sdtPr>
        <w:rPr>
          <w:color w:val="000000" w:themeColor="text1"/>
        </w:rPr>
        <w:alias w:val="是否适用：境内外会计准则差异的说明[双击切换]"/>
        <w:tag w:val="_GBC_3d955fa1dbd946d48d6214dc2ab5669f"/>
        <w:id w:val="-14582568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国内外会计准则差异的说明"/>
        <w:tag w:val="_GBC_4504a362785b41d08475c32028895cba"/>
        <w:id w:val="1761789014"/>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2"/>
        <w:numPr>
          <w:ilvl w:val="0"/>
          <w:numId w:val="3"/>
        </w:numPr>
        <w:ind w:firstLineChars="0"/>
        <w:rPr>
          <w:color w:val="000000" w:themeColor="text1"/>
        </w:rPr>
      </w:pPr>
      <w:bookmarkStart w:id="20" w:name="_Hlk24640273"/>
      <w:bookmarkStart w:id="21" w:name="_Hlk167796974"/>
      <w:bookmarkEnd w:id="20"/>
      <w:r>
        <w:rPr>
          <w:rFonts w:hint="eastAsia"/>
          <w:color w:val="000000" w:themeColor="text1"/>
        </w:rPr>
        <w:t>非经常性损益项目和金额</w:t>
      </w:r>
    </w:p>
    <w:sdt>
      <w:sdtPr>
        <w:rPr>
          <w:color w:val="000000" w:themeColor="text1"/>
        </w:rPr>
        <w:alias w:val="是否适用：扣除非经常性损益项目和金额[双击切换]"/>
        <w:tag w:val="_GBC_43f94504cb3d48cbbe81a75d50663c2d"/>
        <w:id w:val="-208444912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扣除非经常性损益项目和金额"/>
          <w:tag w:val="_GBC_f9e43a30b40946c08985f868a2ba3b74"/>
          <w:id w:val="1376890000"/>
          <w:placeholder>
            <w:docPart w:val="GBC22222222222222222222222222222"/>
          </w:placeholder>
          <w:dataBinding w:prefixMappings="xmlns:clcid-ci-ar='clcid-ci-ar'" w:xpath="/*/clcid-ci-ar:DanWeiKouChuFeiJingChangXingSunYiXiangMuHeJinE[not(@periodRef)]" w:storeItemID="{89EBAB94-44A0-46A2-B712-30D997D04A6D}"/>
          <w:comboBox w:lastValue="万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扣除非经常性损益项目和金额"/>
          <w:tag w:val="_GBC_81dc93f6f5e14511b89edb8661fa84fd"/>
          <w:id w:val="1647312061"/>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3"/>
        <w:tblW w:w="5000" w:type="pct"/>
        <w:tblLook w:val="04A0" w:firstRow="1" w:lastRow="0" w:firstColumn="1" w:lastColumn="0" w:noHBand="0" w:noVBand="1"/>
      </w:tblPr>
      <w:tblGrid>
        <w:gridCol w:w="4369"/>
        <w:gridCol w:w="2135"/>
        <w:gridCol w:w="2319"/>
      </w:tblGrid>
      <w:tr w:rsidR="00597370">
        <w:sdt>
          <w:sdtPr>
            <w:rPr>
              <w:rFonts w:ascii="Times New Roman" w:hAnsi="Times New Roman"/>
              <w:color w:val="000000" w:themeColor="text1"/>
            </w:rPr>
            <w:tag w:val="_PLD_75c3787071e446ebb752a5626cdbd723"/>
            <w:id w:val="1065911809"/>
          </w:sdtPr>
          <w:sdtEndPr/>
          <w:sdtContent>
            <w:tc>
              <w:tcPr>
                <w:tcW w:w="2476" w:type="pct"/>
                <w:vAlign w:val="center"/>
              </w:tcPr>
              <w:p w:rsidR="00597370" w:rsidRDefault="003C2EEE">
                <w:pPr>
                  <w:pStyle w:val="Style147"/>
                  <w:ind w:firstLineChars="0" w:firstLine="0"/>
                  <w:jc w:val="center"/>
                  <w:rPr>
                    <w:rFonts w:ascii="宋体" w:hAnsi="宋体"/>
                    <w:color w:val="000000" w:themeColor="text1"/>
                  </w:rPr>
                </w:pPr>
                <w:r>
                  <w:rPr>
                    <w:rFonts w:ascii="宋体" w:hAnsi="宋体" w:hint="eastAsia"/>
                    <w:color w:val="000000" w:themeColor="text1"/>
                  </w:rPr>
                  <w:t>非经常性损益项目</w:t>
                </w:r>
              </w:p>
            </w:tc>
          </w:sdtContent>
        </w:sdt>
        <w:sdt>
          <w:sdtPr>
            <w:rPr>
              <w:rFonts w:ascii="Times New Roman" w:hAnsi="Times New Roman"/>
              <w:color w:val="000000" w:themeColor="text1"/>
            </w:rPr>
            <w:tag w:val="_PLD_819237cfe12b4f9b95d296101869571d"/>
            <w:id w:val="681699514"/>
          </w:sdtPr>
          <w:sdtEndPr/>
          <w:sdtContent>
            <w:tc>
              <w:tcPr>
                <w:tcW w:w="1210" w:type="pct"/>
                <w:vAlign w:val="center"/>
              </w:tcPr>
              <w:p w:rsidR="00597370" w:rsidRDefault="003C2EEE">
                <w:pPr>
                  <w:pStyle w:val="Style147"/>
                  <w:ind w:firstLineChars="0" w:firstLine="0"/>
                  <w:jc w:val="center"/>
                  <w:rPr>
                    <w:rFonts w:ascii="宋体" w:hAnsi="宋体"/>
                    <w:color w:val="000000" w:themeColor="text1"/>
                  </w:rPr>
                </w:pPr>
                <w:r>
                  <w:rPr>
                    <w:rFonts w:ascii="宋体" w:hAnsi="宋体" w:hint="eastAsia"/>
                    <w:color w:val="000000" w:themeColor="text1"/>
                  </w:rPr>
                  <w:t>金额</w:t>
                </w:r>
              </w:p>
            </w:tc>
          </w:sdtContent>
        </w:sdt>
        <w:sdt>
          <w:sdtPr>
            <w:rPr>
              <w:rFonts w:ascii="Times New Roman" w:hAnsi="Times New Roman"/>
              <w:color w:val="000000" w:themeColor="text1"/>
            </w:rPr>
            <w:tag w:val="_PLD_271c1520daad4f06be80c7ac930ea658"/>
            <w:id w:val="-1511135901"/>
          </w:sdtPr>
          <w:sdtEndPr/>
          <w:sdtContent>
            <w:tc>
              <w:tcPr>
                <w:tcW w:w="1314" w:type="pct"/>
                <w:vAlign w:val="center"/>
              </w:tcPr>
              <w:p w:rsidR="00597370" w:rsidRDefault="003C2EEE">
                <w:pPr>
                  <w:pStyle w:val="Style147"/>
                  <w:ind w:firstLineChars="0" w:firstLine="0"/>
                  <w:jc w:val="center"/>
                  <w:rPr>
                    <w:rFonts w:ascii="宋体" w:hAnsi="宋体"/>
                    <w:color w:val="000000" w:themeColor="text1"/>
                  </w:rPr>
                </w:pPr>
                <w:r>
                  <w:rPr>
                    <w:rFonts w:ascii="宋体" w:hAnsi="宋体" w:hint="eastAsia"/>
                    <w:color w:val="000000" w:themeColor="text1"/>
                  </w:rPr>
                  <w:t>附注（如适用）</w:t>
                </w:r>
              </w:p>
            </w:tc>
          </w:sdtContent>
        </w:sdt>
      </w:tr>
      <w:tr w:rsidR="00597370">
        <w:tc>
          <w:tcPr>
            <w:tcW w:w="2476" w:type="pct"/>
          </w:tcPr>
          <w:p w:rsidR="00597370" w:rsidRDefault="003C2EEE">
            <w:pPr>
              <w:pStyle w:val="Style147"/>
              <w:ind w:firstLineChars="0" w:firstLine="0"/>
              <w:jc w:val="left"/>
              <w:rPr>
                <w:color w:val="000000" w:themeColor="text1"/>
              </w:rPr>
            </w:pPr>
            <w:r>
              <w:rPr>
                <w:color w:val="000000" w:themeColor="text1"/>
              </w:rPr>
              <w:t>非流动</w:t>
            </w:r>
            <w:r>
              <w:rPr>
                <w:rFonts w:hint="eastAsia"/>
                <w:color w:val="000000" w:themeColor="text1"/>
              </w:rPr>
              <w:t>性</w:t>
            </w:r>
            <w:r>
              <w:rPr>
                <w:color w:val="000000" w:themeColor="text1"/>
              </w:rPr>
              <w:t>资产处置损益</w:t>
            </w:r>
            <w:r>
              <w:rPr>
                <w:rFonts w:hint="eastAsia"/>
                <w:color w:val="000000" w:themeColor="text1"/>
              </w:rPr>
              <w:t>，包括已计提资产减值准备的冲销部分</w:t>
            </w:r>
          </w:p>
        </w:tc>
        <w:tc>
          <w:tcPr>
            <w:tcW w:w="1210" w:type="pct"/>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hint="eastAsia"/>
                <w:color w:val="000000"/>
              </w:rPr>
              <w:t xml:space="preserve"> -125.64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ind w:firstLineChars="0" w:firstLine="0"/>
              <w:jc w:val="left"/>
              <w:rPr>
                <w:color w:val="000000" w:themeColor="text1"/>
              </w:rPr>
            </w:pPr>
            <w:r>
              <w:rPr>
                <w:color w:val="000000" w:themeColor="text1"/>
              </w:rPr>
              <w:t>计入当期损益的政府补助</w:t>
            </w:r>
            <w:r>
              <w:rPr>
                <w:rFonts w:hint="eastAsia"/>
                <w:color w:val="000000" w:themeColor="text1"/>
              </w:rPr>
              <w:t>，但与公司正常经</w:t>
            </w:r>
            <w:r>
              <w:rPr>
                <w:rFonts w:hint="eastAsia"/>
                <w:color w:val="000000" w:themeColor="text1"/>
              </w:rPr>
              <w:lastRenderedPageBreak/>
              <w:t>营业务密切相关、符合国家政策规定、按照确定的标准享有、对公司损益产生持续影响的政府补助除外</w:t>
            </w:r>
          </w:p>
        </w:tc>
        <w:tc>
          <w:tcPr>
            <w:tcW w:w="1210" w:type="pct"/>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hint="eastAsia"/>
                <w:color w:val="000000"/>
              </w:rPr>
              <w:lastRenderedPageBreak/>
              <w:t xml:space="preserve"> 4,352.32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ind w:firstLineChars="0" w:firstLine="0"/>
              <w:jc w:val="left"/>
              <w:rPr>
                <w:color w:val="000000" w:themeColor="text1"/>
              </w:rPr>
            </w:pPr>
            <w:r>
              <w:rPr>
                <w:rFonts w:hint="eastAsia"/>
                <w:color w:val="000000" w:themeColor="text1"/>
              </w:rPr>
              <w:t>单独进行减值测试的应收款项减值准备转回</w:t>
            </w:r>
          </w:p>
        </w:tc>
        <w:tc>
          <w:tcPr>
            <w:tcW w:w="1210" w:type="pct"/>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hint="eastAsia"/>
                <w:color w:val="000000"/>
              </w:rPr>
              <w:t xml:space="preserve"> -92.58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ind w:firstLineChars="0" w:firstLine="0"/>
              <w:jc w:val="left"/>
              <w:rPr>
                <w:color w:val="000000" w:themeColor="text1"/>
              </w:rPr>
            </w:pPr>
            <w:r>
              <w:rPr>
                <w:color w:val="000000" w:themeColor="text1"/>
              </w:rPr>
              <w:t>除上述各项之外的其他营业外收入和支出</w:t>
            </w:r>
          </w:p>
        </w:tc>
        <w:tc>
          <w:tcPr>
            <w:tcW w:w="1210" w:type="pct"/>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hint="eastAsia"/>
                <w:color w:val="000000"/>
              </w:rPr>
              <w:t xml:space="preserve"> -1,973.02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ind w:firstLineChars="0" w:firstLine="0"/>
              <w:jc w:val="left"/>
              <w:rPr>
                <w:color w:val="000000" w:themeColor="text1"/>
              </w:rPr>
            </w:pPr>
            <w:r>
              <w:rPr>
                <w:rFonts w:hint="eastAsia"/>
                <w:color w:val="000000" w:themeColor="text1"/>
              </w:rPr>
              <w:t>减：</w:t>
            </w:r>
            <w:r>
              <w:rPr>
                <w:color w:val="000000" w:themeColor="text1"/>
              </w:rPr>
              <w:t>所得税影响额</w:t>
            </w:r>
          </w:p>
        </w:tc>
        <w:tc>
          <w:tcPr>
            <w:tcW w:w="1210" w:type="pct"/>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hint="eastAsia"/>
                <w:color w:val="000000"/>
              </w:rPr>
              <w:t xml:space="preserve"> 332.87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jc w:val="left"/>
              <w:rPr>
                <w:color w:val="000000" w:themeColor="text1"/>
              </w:rPr>
            </w:pPr>
            <w:r>
              <w:rPr>
                <w:color w:val="000000" w:themeColor="text1"/>
              </w:rPr>
              <w:t>少数股东权益影响额</w:t>
            </w:r>
            <w:r>
              <w:rPr>
                <w:rFonts w:hint="eastAsia"/>
                <w:color w:val="000000" w:themeColor="text1"/>
              </w:rPr>
              <w:t>（税后）</w:t>
            </w:r>
          </w:p>
        </w:tc>
        <w:tc>
          <w:tcPr>
            <w:tcW w:w="1210" w:type="pct"/>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hint="eastAsia"/>
                <w:color w:val="000000"/>
              </w:rPr>
              <w:t xml:space="preserve"> 3.78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vAlign w:val="center"/>
          </w:tcPr>
          <w:p w:rsidR="00597370" w:rsidRDefault="003C2EEE">
            <w:pPr>
              <w:pStyle w:val="Style147"/>
              <w:ind w:firstLineChars="0" w:firstLine="0"/>
              <w:jc w:val="center"/>
              <w:rPr>
                <w:color w:val="000000" w:themeColor="text1"/>
              </w:rPr>
            </w:pPr>
            <w:r>
              <w:rPr>
                <w:color w:val="000000" w:themeColor="text1"/>
              </w:rPr>
              <w:t>合计</w:t>
            </w:r>
          </w:p>
        </w:tc>
        <w:tc>
          <w:tcPr>
            <w:tcW w:w="1210" w:type="pct"/>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hint="eastAsia"/>
                <w:color w:val="000000"/>
              </w:rPr>
              <w:t xml:space="preserve"> 1,824.43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bl>
    <w:p w:rsidR="00597370" w:rsidRDefault="00597370">
      <w:pPr>
        <w:rPr>
          <w:color w:val="000000" w:themeColor="text1"/>
        </w:rPr>
      </w:pPr>
    </w:p>
    <w:p w:rsidR="00597370" w:rsidRDefault="003C2EEE">
      <w:pPr>
        <w:pStyle w:val="Style125"/>
        <w:adjustRightInd w:val="0"/>
        <w:snapToGrid w:val="0"/>
        <w:spacing w:line="200" w:lineRule="atLeast"/>
        <w:rPr>
          <w:rFonts w:hAnsi="宋体"/>
          <w:color w:val="000000" w:themeColor="text1"/>
          <w:kern w:val="0"/>
          <w:szCs w:val="21"/>
        </w:rPr>
      </w:pPr>
      <w:bookmarkStart w:id="22" w:name="_Hlk105685044"/>
      <w:bookmarkStart w:id="23" w:name="_Hlk41379873"/>
      <w:bookmarkStart w:id="24" w:name="_Hlk89096484"/>
      <w:bookmarkStart w:id="25" w:name="_Hlk137045432"/>
      <w:bookmarkEnd w:id="21"/>
      <w:r>
        <w:rPr>
          <w:rFonts w:hAnsi="宋体" w:cs="宋体" w:hint="eastAsia"/>
          <w:color w:val="000000" w:themeColor="text1"/>
          <w:kern w:val="0"/>
          <w:szCs w:val="21"/>
        </w:rPr>
        <w:t>对公司将《公开发行证券的公司信息披露解释性公告第</w:t>
      </w:r>
      <w:r>
        <w:rPr>
          <w:rFonts w:hAnsi="宋体" w:cs="宋体"/>
          <w:color w:val="000000" w:themeColor="text1"/>
          <w:kern w:val="0"/>
          <w:szCs w:val="21"/>
        </w:rPr>
        <w:t>1号——非经常性损益》未列举的项目认定为的非经常性损益项目且金额重大的，以及将《公开发行证券的公司信息披露解释性公告第1号——非经常性损益》中列举的非经常性损益项目界定为经常性损益的项目，应说明原因</w:t>
      </w:r>
      <w:r>
        <w:rPr>
          <w:rFonts w:hAnsi="宋体" w:cs="宋体" w:hint="eastAsia"/>
          <w:color w:val="000000" w:themeColor="text1"/>
          <w:kern w:val="0"/>
          <w:szCs w:val="21"/>
        </w:rPr>
        <w:t>。</w:t>
      </w:r>
    </w:p>
    <w:sdt>
      <w:sdtPr>
        <w:rPr>
          <w:color w:val="000000" w:themeColor="text1"/>
        </w:rPr>
        <w:alias w:val="是否适用：将非经常性损益项目界定为经常性损益项目[双击切换]"/>
        <w:tag w:val="_GBC_2fced4d4c7b049209a471cd2040fe574"/>
        <w:id w:val="206860673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2"/>
    <w:bookmarkEnd w:id="23"/>
    <w:bookmarkEnd w:id="24"/>
    <w:bookmarkEnd w:id="25"/>
    <w:p w:rsidR="00597370" w:rsidRDefault="003C2EEE">
      <w:pPr>
        <w:pStyle w:val="2"/>
        <w:numPr>
          <w:ilvl w:val="0"/>
          <w:numId w:val="3"/>
        </w:numPr>
        <w:ind w:firstLineChars="0"/>
        <w:rPr>
          <w:color w:val="000000" w:themeColor="text1"/>
        </w:rPr>
      </w:pPr>
      <w:r>
        <w:rPr>
          <w:rFonts w:hint="eastAsia"/>
          <w:color w:val="000000" w:themeColor="text1"/>
        </w:rPr>
        <w:t>其他</w:t>
      </w:r>
    </w:p>
    <w:sdt>
      <w:sdtPr>
        <w:rPr>
          <w:color w:val="000000" w:themeColor="text1"/>
        </w:rPr>
        <w:alias w:val="是否适用：公司简介和主要财务指标其他说明[双击切换]"/>
        <w:tag w:val="_GBC_5b4104dc5c2c4501bc2420c70be30c2a"/>
        <w:id w:val="-9816178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1"/>
        <w:numPr>
          <w:ilvl w:val="0"/>
          <w:numId w:val="2"/>
        </w:numPr>
        <w:rPr>
          <w:rFonts w:ascii="黑体" w:hAnsi="黑体"/>
          <w:color w:val="000000" w:themeColor="text1"/>
        </w:rPr>
      </w:pPr>
      <w:bookmarkStart w:id="26" w:name="_Toc76114274"/>
      <w:bookmarkStart w:id="27" w:name="_Toc142578257"/>
      <w:r>
        <w:rPr>
          <w:rFonts w:ascii="黑体" w:hAnsi="黑体" w:hint="eastAsia"/>
          <w:color w:val="000000" w:themeColor="text1"/>
        </w:rPr>
        <w:t>管理</w:t>
      </w:r>
      <w:proofErr w:type="gramStart"/>
      <w:r>
        <w:rPr>
          <w:rFonts w:ascii="黑体" w:hAnsi="黑体" w:hint="eastAsia"/>
          <w:color w:val="000000" w:themeColor="text1"/>
        </w:rPr>
        <w:t>层讨论</w:t>
      </w:r>
      <w:proofErr w:type="gramEnd"/>
      <w:r>
        <w:rPr>
          <w:rFonts w:ascii="黑体" w:hAnsi="黑体" w:hint="eastAsia"/>
          <w:color w:val="000000" w:themeColor="text1"/>
        </w:rPr>
        <w:t>与分析</w:t>
      </w:r>
      <w:bookmarkEnd w:id="26"/>
      <w:bookmarkEnd w:id="27"/>
    </w:p>
    <w:p w:rsidR="00597370" w:rsidRDefault="003C2EEE">
      <w:pPr>
        <w:pStyle w:val="2"/>
        <w:numPr>
          <w:ilvl w:val="0"/>
          <w:numId w:val="7"/>
        </w:numPr>
        <w:tabs>
          <w:tab w:val="left" w:pos="426"/>
        </w:tabs>
        <w:ind w:left="422" w:hanging="422"/>
        <w:jc w:val="left"/>
        <w:rPr>
          <w:rFonts w:ascii="宋体" w:hAnsi="宋体"/>
          <w:color w:val="000000" w:themeColor="text1"/>
        </w:rPr>
      </w:pPr>
      <w:r>
        <w:rPr>
          <w:rFonts w:ascii="宋体" w:hAnsi="宋体" w:hint="eastAsia"/>
          <w:color w:val="000000" w:themeColor="text1"/>
        </w:rPr>
        <w:t>报告期内公司所属行业及主营业务情况说明</w:t>
      </w:r>
    </w:p>
    <w:sdt>
      <w:sdtPr>
        <w:rPr>
          <w:rFonts w:hint="eastAsia"/>
          <w:color w:val="000000" w:themeColor="text1"/>
        </w:rPr>
        <w:alias w:val="报告期内公司所从事的主要业务、经营模式及行业情况说明"/>
        <w:tag w:val="_GBC_5c28d6f46eea48f892bed0c5fc99ab60"/>
        <w:id w:val="-1338071910"/>
        <w:placeholder>
          <w:docPart w:val="GBC22222222222222222222222222222"/>
        </w:placeholder>
      </w:sdtPr>
      <w:sdtEndPr/>
      <w:sdtContent>
        <w:sdt>
          <w:sdtPr>
            <w:rPr>
              <w:rFonts w:hint="eastAsia"/>
              <w:sz w:val="24"/>
              <w:szCs w:val="24"/>
            </w:rPr>
            <w:alias w:val="报告期内公司所从事的主要业务、经营模式及行业情况说明"/>
            <w:tag w:val="_GBC_5c28d6f46eea48f892bed0c5fc99ab60"/>
            <w:id w:val="1091669122"/>
            <w:lock w:val="sdtLocked"/>
          </w:sdtPr>
          <w:sdtEndPr>
            <w:rPr>
              <w:bCs/>
            </w:rPr>
          </w:sdtEndPr>
          <w:sdtContent>
            <w:p w:rsidR="00597370" w:rsidRDefault="003C2EEE">
              <w:pPr>
                <w:pStyle w:val="affc"/>
                <w:snapToGrid w:val="0"/>
                <w:spacing w:beforeLines="0" w:line="240" w:lineRule="auto"/>
                <w:ind w:firstLine="420"/>
                <w:rPr>
                  <w:rFonts w:ascii="Calibri" w:hAnsi="Calibri"/>
                </w:rPr>
              </w:pPr>
              <w:r>
                <w:rPr>
                  <w:rFonts w:hint="eastAsia"/>
                </w:rPr>
                <w:t>（一）公司主营所属行业情况</w:t>
              </w:r>
            </w:p>
            <w:p w:rsidR="00597370" w:rsidRDefault="003C2EEE">
              <w:pPr>
                <w:pStyle w:val="affc"/>
                <w:spacing w:beforeLines="0" w:after="0" w:afterAutospacing="0"/>
                <w:ind w:firstLine="420"/>
                <w:rPr>
                  <w:rFonts w:ascii="Calibri" w:hAnsi="Calibri"/>
                </w:rPr>
              </w:pPr>
              <w:r>
                <w:rPr>
                  <w:rFonts w:hint="eastAsia"/>
                  <w:bCs/>
                </w:rPr>
                <w:t>公司主营业务为研发、生产和销售输配电及控制设备和取向硅钢，分属两个行业，其中输配电及控制设备业务属于电气机械和器材制造业的输配电及控制设备制造子行业；取向硅钢业务属于黑色金属冶炼和压延加工业的钢压延加工子行业。</w:t>
              </w:r>
            </w:p>
            <w:p w:rsidR="00597370" w:rsidRDefault="003C2EEE">
              <w:pPr>
                <w:widowControl w:val="0"/>
                <w:spacing w:line="360" w:lineRule="auto"/>
                <w:ind w:firstLineChars="200" w:firstLine="420"/>
                <w:jc w:val="both"/>
                <w:outlineLvl w:val="3"/>
                <w:rPr>
                  <w:rFonts w:ascii="Calibri" w:hAnsi="Calibri"/>
                  <w:bCs w:val="0"/>
                </w:rPr>
              </w:pPr>
              <w:r>
                <w:rPr>
                  <w:rFonts w:ascii="Calibri" w:hAnsi="Calibri" w:cs="Calibri"/>
                  <w:bCs w:val="0"/>
                </w:rPr>
                <w:t>1</w:t>
              </w:r>
              <w:r>
                <w:rPr>
                  <w:rFonts w:hint="eastAsia"/>
                  <w:bCs w:val="0"/>
                </w:rPr>
                <w:t>、输配电及控制设备行业情况</w:t>
              </w:r>
            </w:p>
            <w:p w:rsidR="00597370" w:rsidRDefault="003C2EEE">
              <w:pPr>
                <w:widowControl w:val="0"/>
                <w:spacing w:line="360" w:lineRule="auto"/>
                <w:ind w:firstLineChars="200" w:firstLine="420"/>
                <w:jc w:val="both"/>
                <w:outlineLvl w:val="4"/>
                <w:rPr>
                  <w:rFonts w:ascii="Calibri" w:hAnsi="Calibri"/>
                  <w:bCs w:val="0"/>
                </w:rPr>
              </w:pPr>
              <w:r>
                <w:rPr>
                  <w:rFonts w:hint="eastAsia"/>
                  <w:bCs w:val="0"/>
                </w:rPr>
                <w:t>（</w:t>
              </w:r>
              <w:r>
                <w:rPr>
                  <w:rFonts w:ascii="Calibri" w:hAnsi="Calibri" w:cs="Calibri" w:hint="eastAsia"/>
                  <w:bCs w:val="0"/>
                </w:rPr>
                <w:t>1</w:t>
              </w:r>
              <w:r>
                <w:rPr>
                  <w:rFonts w:hint="eastAsia"/>
                  <w:bCs w:val="0"/>
                </w:rPr>
                <w:t>）基本情况</w:t>
              </w:r>
            </w:p>
            <w:p w:rsidR="00597370" w:rsidRDefault="003C2EEE">
              <w:pPr>
                <w:widowControl w:val="0"/>
                <w:spacing w:line="360" w:lineRule="auto"/>
                <w:ind w:firstLineChars="200" w:firstLine="420"/>
                <w:jc w:val="both"/>
                <w:rPr>
                  <w:rFonts w:ascii="Calibri" w:hAnsi="Calibri"/>
                  <w:bCs w:val="0"/>
                </w:rPr>
              </w:pPr>
              <w:r>
                <w:rPr>
                  <w:rFonts w:hint="eastAsia"/>
                  <w:bCs w:val="0"/>
                </w:rPr>
                <w:t>根据国家统计局《国民经济行业分类与代码》（</w:t>
              </w:r>
              <w:r>
                <w:rPr>
                  <w:rFonts w:ascii="Calibri" w:hAnsi="Calibri" w:cs="Calibri" w:hint="eastAsia"/>
                  <w:bCs w:val="0"/>
                </w:rPr>
                <w:t>GB/T4754</w:t>
              </w:r>
              <w:r>
                <w:rPr>
                  <w:rFonts w:hint="eastAsia"/>
                  <w:bCs w:val="0"/>
                </w:rPr>
                <w:t>－</w:t>
              </w:r>
              <w:r>
                <w:rPr>
                  <w:rFonts w:ascii="Calibri" w:hAnsi="Calibri" w:cs="Calibri" w:hint="eastAsia"/>
                  <w:bCs w:val="0"/>
                </w:rPr>
                <w:t>2017</w:t>
              </w:r>
              <w:r>
                <w:rPr>
                  <w:rFonts w:hint="eastAsia"/>
                  <w:bCs w:val="0"/>
                </w:rPr>
                <w:t>），公司输配电及控制设备所处行业属于“</w:t>
              </w:r>
              <w:r>
                <w:rPr>
                  <w:rFonts w:ascii="Calibri" w:hAnsi="Calibri" w:cs="Calibri" w:hint="eastAsia"/>
                  <w:bCs w:val="0"/>
                </w:rPr>
                <w:t>C</w:t>
              </w:r>
              <w:r>
                <w:rPr>
                  <w:rFonts w:hint="eastAsia"/>
                  <w:bCs w:val="0"/>
                </w:rPr>
                <w:t>制造业”的“</w:t>
              </w:r>
              <w:r>
                <w:rPr>
                  <w:rFonts w:ascii="Calibri" w:hAnsi="Calibri" w:cs="Calibri" w:hint="eastAsia"/>
                  <w:bCs w:val="0"/>
                </w:rPr>
                <w:t>C382</w:t>
              </w:r>
              <w:r>
                <w:rPr>
                  <w:rFonts w:hint="eastAsia"/>
                  <w:bCs w:val="0"/>
                </w:rPr>
                <w:t>输配电及控制设备制造”。</w:t>
              </w:r>
            </w:p>
            <w:p w:rsidR="00597370" w:rsidRDefault="003C2EEE">
              <w:pPr>
                <w:widowControl w:val="0"/>
                <w:spacing w:line="360" w:lineRule="auto"/>
                <w:ind w:firstLineChars="200" w:firstLine="420"/>
                <w:jc w:val="both"/>
                <w:rPr>
                  <w:rFonts w:ascii="Calibri" w:hAnsi="Calibri"/>
                  <w:bCs w:val="0"/>
                </w:rPr>
              </w:pPr>
              <w:r>
                <w:rPr>
                  <w:rFonts w:hint="eastAsia"/>
                  <w:bCs w:val="0"/>
                </w:rPr>
                <w:t>电力从生产到最终运用，需要经过发电、输电、配电以及用电四个过程。输配电及控制设备主要应用于电力系统和下游用电企业的电能传输和电能控制等，直接影响电网的建设、安全与可靠运行，输配电及控制设备行业属于国家重点鼓励发展的领域之一，是我国重要的战略性产业。</w:t>
              </w:r>
            </w:p>
            <w:p w:rsidR="00597370" w:rsidRDefault="003C2EEE">
              <w:pPr>
                <w:widowControl w:val="0"/>
                <w:spacing w:line="360" w:lineRule="auto"/>
                <w:ind w:firstLineChars="200" w:firstLine="420"/>
                <w:jc w:val="both"/>
                <w:outlineLvl w:val="4"/>
                <w:rPr>
                  <w:rFonts w:ascii="Calibri" w:hAnsi="Calibri"/>
                  <w:bCs w:val="0"/>
                </w:rPr>
              </w:pPr>
              <w:r>
                <w:rPr>
                  <w:rFonts w:hint="eastAsia"/>
                  <w:bCs w:val="0"/>
                </w:rPr>
                <w:t>（</w:t>
              </w:r>
              <w:r>
                <w:rPr>
                  <w:rFonts w:ascii="Calibri" w:hAnsi="Calibri" w:cs="Calibri" w:hint="eastAsia"/>
                  <w:bCs w:val="0"/>
                </w:rPr>
                <w:t>2</w:t>
              </w:r>
              <w:r>
                <w:rPr>
                  <w:rFonts w:hint="eastAsia"/>
                  <w:bCs w:val="0"/>
                </w:rPr>
                <w:t>）行业发展情况</w:t>
              </w:r>
            </w:p>
            <w:p w:rsidR="00597370" w:rsidRDefault="003C2EEE">
              <w:pPr>
                <w:widowControl w:val="0"/>
                <w:spacing w:line="360" w:lineRule="auto"/>
                <w:ind w:firstLineChars="200" w:firstLine="420"/>
                <w:jc w:val="both"/>
                <w:outlineLvl w:val="5"/>
                <w:rPr>
                  <w:rFonts w:ascii="Calibri" w:hAnsi="Calibri"/>
                  <w:bCs w:val="0"/>
                </w:rPr>
              </w:pPr>
              <w:r>
                <w:rPr>
                  <w:rFonts w:hint="eastAsia"/>
                  <w:bCs w:val="0"/>
                </w:rPr>
                <w:t>1）国家产业规划全力打造安全高效电力供应保障体系为输配电产业发展提供了有力保障</w:t>
              </w:r>
            </w:p>
            <w:p w:rsidR="00597370" w:rsidRDefault="003C2EEE">
              <w:pPr>
                <w:widowControl w:val="0"/>
                <w:spacing w:line="360" w:lineRule="auto"/>
                <w:ind w:firstLineChars="200" w:firstLine="420"/>
                <w:jc w:val="both"/>
                <w:rPr>
                  <w:rFonts w:ascii="Calibri" w:hAnsi="Calibri"/>
                  <w:bCs w:val="0"/>
                </w:rPr>
              </w:pPr>
              <w:r>
                <w:rPr>
                  <w:rFonts w:hint="eastAsia"/>
                  <w:bCs w:val="0"/>
                </w:rPr>
                <w:t>从行业规划历程来看，“八五”时期，我国政策侧重点是大力发展电力基础设施；“九五”时期，提出了积极研究和应用输变电技术；“十五”“十一五”和“十二五”时期，提出加强城乡电网建设和改造，深化电力体制改革；“十三五”和“十四五”时期，重点提到加快智能电网建设，提高电网与发电侧、需求侧交互响应能力，提高特高压输电利用率。</w:t>
              </w:r>
            </w:p>
            <w:p w:rsidR="00597370" w:rsidRDefault="003C2EEE">
              <w:pPr>
                <w:widowControl w:val="0"/>
                <w:spacing w:line="360" w:lineRule="auto"/>
                <w:ind w:firstLineChars="200" w:firstLine="420"/>
                <w:jc w:val="both"/>
                <w:rPr>
                  <w:bCs w:val="0"/>
                </w:rPr>
              </w:pPr>
              <w:r>
                <w:rPr>
                  <w:rFonts w:hint="eastAsia"/>
                  <w:bCs w:val="0"/>
                </w:rPr>
                <w:t>“十四五”时期，国家加快建设清洁低碳、安全高效的能源体系，以新能源为主体的新型电力系统快速发展，大规模风光新能源基地等项目相继获批，输变电行业需求显著增长；同时以智能化、数字化、高端化的新型输变电设备作为支撑，推动了相关产业加速升级转型。</w:t>
              </w:r>
            </w:p>
            <w:p w:rsidR="00597370" w:rsidRDefault="003C2EEE">
              <w:pPr>
                <w:widowControl w:val="0"/>
                <w:spacing w:line="360" w:lineRule="auto"/>
                <w:ind w:firstLineChars="200" w:firstLine="420"/>
                <w:jc w:val="both"/>
                <w:rPr>
                  <w:rFonts w:ascii="Calibri" w:hAnsi="Calibri"/>
                  <w:bCs w:val="0"/>
                </w:rPr>
              </w:pPr>
              <w:r>
                <w:rPr>
                  <w:rFonts w:hint="eastAsia"/>
                  <w:bCs w:val="0"/>
                </w:rPr>
                <w:t>随着我国各地特高压项目先后落地，输配电及控制设备产品市场有望迎来较快发展。</w:t>
              </w:r>
            </w:p>
            <w:p w:rsidR="00597370" w:rsidRDefault="003C2EEE">
              <w:pPr>
                <w:widowControl w:val="0"/>
                <w:spacing w:line="360" w:lineRule="auto"/>
                <w:ind w:firstLineChars="200" w:firstLine="420"/>
                <w:jc w:val="both"/>
                <w:outlineLvl w:val="5"/>
                <w:rPr>
                  <w:bCs w:val="0"/>
                </w:rPr>
              </w:pPr>
              <w:r>
                <w:rPr>
                  <w:rFonts w:ascii="Calibri" w:hAnsi="Calibri" w:cs="Calibri"/>
                  <w:bCs w:val="0"/>
                </w:rPr>
                <w:lastRenderedPageBreak/>
                <w:t>2</w:t>
              </w:r>
              <w:r>
                <w:rPr>
                  <w:rFonts w:cs="Calibri" w:hint="eastAsia"/>
                  <w:bCs w:val="0"/>
                </w:rPr>
                <w:t>）</w:t>
              </w:r>
              <w:r>
                <w:rPr>
                  <w:rFonts w:hint="eastAsia"/>
                  <w:bCs w:val="0"/>
                </w:rPr>
                <w:t>国家“双碳”政策为输配电及控制设备制造企业提供了广阔的发展空间</w:t>
              </w:r>
            </w:p>
            <w:p w:rsidR="00597370" w:rsidRDefault="003C2EEE">
              <w:pPr>
                <w:widowControl w:val="0"/>
                <w:spacing w:line="360" w:lineRule="auto"/>
                <w:ind w:firstLineChars="200" w:firstLine="420"/>
                <w:jc w:val="both"/>
                <w:rPr>
                  <w:rFonts w:ascii="Calibri" w:hAnsi="Calibri"/>
                  <w:bCs w:val="0"/>
                </w:rPr>
              </w:pPr>
              <w:r>
                <w:rPr>
                  <w:rFonts w:hint="eastAsia"/>
                  <w:bCs w:val="0"/>
                </w:rPr>
                <w:t>在国家宏观经济和行业政策的促进下，在“双碳”经济的影响下，国内电网改造带动能效产品的需求急剧增长，为输配电及控制设备制造企业提供了广阔的发展空间；同时随着技术升级及产业变革，输配电及控制设备在新能源光伏、风电、充电桩、轨道交通、数据中心、新型基础设施等新兴领域上的应用增强，具有良好的市场前景。</w:t>
              </w:r>
            </w:p>
            <w:p w:rsidR="00597370" w:rsidRDefault="003C2EEE">
              <w:pPr>
                <w:widowControl w:val="0"/>
                <w:spacing w:line="360" w:lineRule="auto"/>
                <w:ind w:firstLineChars="200" w:firstLine="420"/>
                <w:jc w:val="both"/>
                <w:rPr>
                  <w:rFonts w:ascii="Calibri" w:hAnsi="Calibri"/>
                  <w:bCs w:val="0"/>
                </w:rPr>
              </w:pPr>
              <w:r>
                <w:rPr>
                  <w:rFonts w:hint="eastAsia"/>
                  <w:bCs w:val="0"/>
                </w:rPr>
                <w:t>输配电设备行业的需求方主要是电网行业，是输配电及控制设备行业收入的主要来源。电力是能源转型的中心环节、</w:t>
              </w:r>
              <w:proofErr w:type="gramStart"/>
              <w:r>
                <w:rPr>
                  <w:rFonts w:hint="eastAsia"/>
                  <w:bCs w:val="0"/>
                </w:rPr>
                <w:t>碳减排</w:t>
              </w:r>
              <w:proofErr w:type="gramEnd"/>
              <w:r>
                <w:rPr>
                  <w:rFonts w:hint="eastAsia"/>
                  <w:bCs w:val="0"/>
                </w:rPr>
                <w:t>的关键领域，随着我国“双碳”战略的提出，我国新能源、智能电网快速发展，低碳经济逐步成为新的增长模式。“双碳”战略为大力发展发电设备、输变电设备、高压电器、低压电器以及适用于绿色低碳产业的工业电器产品带来了市场机遇。在国内总发电量保持稳定增长的情况，预示电力变压器市场的对应增长，其中风光类发电量增长最快，新增装机量也在逐步提升，瞄准风光发电的电力变压器市场有望取得更高收益。</w:t>
              </w:r>
            </w:p>
            <w:p w:rsidR="00597370" w:rsidRDefault="003C2EEE">
              <w:pPr>
                <w:widowControl w:val="0"/>
                <w:spacing w:line="360" w:lineRule="auto"/>
                <w:ind w:firstLineChars="200" w:firstLine="420"/>
                <w:jc w:val="both"/>
                <w:outlineLvl w:val="5"/>
                <w:rPr>
                  <w:rFonts w:cs="Times New Roman"/>
                  <w:bCs w:val="0"/>
                </w:rPr>
              </w:pPr>
              <w:r>
                <w:rPr>
                  <w:rFonts w:ascii="Calibri" w:hAnsi="Calibri"/>
                  <w:bCs w:val="0"/>
                </w:rPr>
                <w:t>3</w:t>
              </w:r>
              <w:r>
                <w:rPr>
                  <w:rFonts w:hint="eastAsia"/>
                  <w:bCs w:val="0"/>
                </w:rPr>
                <w:t>）行业政策的陆续发布，有力</w:t>
              </w:r>
              <w:r>
                <w:rPr>
                  <w:rFonts w:cs="Times New Roman" w:hint="eastAsia"/>
                  <w:bCs w:val="0"/>
                </w:rPr>
                <w:t>促进输配电设备行业发展</w:t>
              </w:r>
            </w:p>
            <w:p w:rsidR="00597370" w:rsidRDefault="003C2EEE">
              <w:pPr>
                <w:widowControl w:val="0"/>
                <w:spacing w:line="360" w:lineRule="auto"/>
                <w:ind w:firstLineChars="200" w:firstLine="420"/>
                <w:jc w:val="both"/>
                <w:rPr>
                  <w:bCs w:val="0"/>
                </w:rPr>
              </w:pPr>
              <w:r>
                <w:rPr>
                  <w:rFonts w:hint="eastAsia"/>
                  <w:bCs w:val="0"/>
                </w:rPr>
                <w:t>2023年，</w:t>
              </w:r>
              <w:proofErr w:type="gramStart"/>
              <w:r>
                <w:rPr>
                  <w:rFonts w:hint="eastAsia"/>
                  <w:bCs w:val="0"/>
                </w:rPr>
                <w:t>国家发改委</w:t>
              </w:r>
              <w:proofErr w:type="gramEnd"/>
              <w:r>
                <w:rPr>
                  <w:rFonts w:hint="eastAsia"/>
                  <w:bCs w:val="0"/>
                </w:rPr>
                <w:t>、能源局等部门还先后发布了《关于统筹节能降碳和回收利用加快重点领域产品设备更新改造的指导意见》《电力变压器更新改造和回收利用实施指南》《关于加快推进能源数字化智能化发展的若干意见》《新型电力系统发展蓝皮书》等系列政策措施，提出要持续提升高效节能电力变压器供给能力，有序实施在运电力变压器</w:t>
              </w:r>
              <w:proofErr w:type="gramStart"/>
              <w:r>
                <w:rPr>
                  <w:rFonts w:hint="eastAsia"/>
                  <w:bCs w:val="0"/>
                </w:rPr>
                <w:t>节能降碳改造</w:t>
              </w:r>
              <w:proofErr w:type="gramEnd"/>
              <w:r>
                <w:rPr>
                  <w:rFonts w:hint="eastAsia"/>
                  <w:bCs w:val="0"/>
                </w:rPr>
                <w:t>，逐步淘汰低效落后电力变压器，到 2025 年，在运能效达到节能水平（能效 2 级）及以上的高效节能电力变压器</w:t>
              </w:r>
              <w:proofErr w:type="gramStart"/>
              <w:r>
                <w:rPr>
                  <w:rFonts w:hint="eastAsia"/>
                  <w:bCs w:val="0"/>
                </w:rPr>
                <w:t>占比较</w:t>
              </w:r>
              <w:proofErr w:type="gramEnd"/>
              <w:r>
                <w:rPr>
                  <w:rFonts w:hint="eastAsia"/>
                  <w:bCs w:val="0"/>
                </w:rPr>
                <w:t xml:space="preserve"> 2021 </w:t>
              </w:r>
              <w:proofErr w:type="gramStart"/>
              <w:r>
                <w:rPr>
                  <w:rFonts w:hint="eastAsia"/>
                  <w:bCs w:val="0"/>
                </w:rPr>
                <w:t>年提高</w:t>
              </w:r>
              <w:proofErr w:type="gramEnd"/>
              <w:r>
                <w:rPr>
                  <w:rFonts w:hint="eastAsia"/>
                  <w:bCs w:val="0"/>
                </w:rPr>
                <w:t xml:space="preserve">超过 10 </w:t>
              </w:r>
              <w:proofErr w:type="gramStart"/>
              <w:r>
                <w:rPr>
                  <w:rFonts w:hint="eastAsia"/>
                  <w:bCs w:val="0"/>
                </w:rPr>
                <w:t>个</w:t>
              </w:r>
              <w:proofErr w:type="gramEnd"/>
              <w:r>
                <w:rPr>
                  <w:rFonts w:hint="eastAsia"/>
                  <w:bCs w:val="0"/>
                </w:rPr>
                <w:t>百分点，当年新增高效节能电力变压器占比达到80%以上。</w:t>
              </w:r>
            </w:p>
            <w:p w:rsidR="00597370" w:rsidRDefault="003C2EEE">
              <w:pPr>
                <w:widowControl w:val="0"/>
                <w:spacing w:line="360" w:lineRule="auto"/>
                <w:ind w:firstLineChars="200" w:firstLine="420"/>
                <w:jc w:val="both"/>
                <w:rPr>
                  <w:bCs w:val="0"/>
                </w:rPr>
              </w:pPr>
              <w:r>
                <w:rPr>
                  <w:rFonts w:hint="eastAsia"/>
                  <w:bCs w:val="0"/>
                </w:rPr>
                <w:t>2024年2月国家发展改革委、国家能源局发布《关于新形势下配电网高质量发展的指导意见》中明确配电网的发展目标是围绕建设新型能源体系和新型电力系统的总目标，打造安全高效、清洁低碳、柔性灵活、智慧融合的新型配电系统，在增强保供能力的基础上，推动配电网在形态上从传统的“无源”单向辐射网络向“有源”双向交互系统转变，在功能上从单一供配电服务主体</w:t>
              </w:r>
              <w:proofErr w:type="gramStart"/>
              <w:r>
                <w:rPr>
                  <w:rFonts w:hint="eastAsia"/>
                  <w:bCs w:val="0"/>
                </w:rPr>
                <w:t>向源网荷储资源</w:t>
              </w:r>
              <w:proofErr w:type="gramEnd"/>
              <w:r>
                <w:rPr>
                  <w:rFonts w:hint="eastAsia"/>
                  <w:bCs w:val="0"/>
                </w:rPr>
                <w:t>高效配置平台转变。到2025年，配电网网架结构更加坚强清晰，供配电能力合理充裕；配电网承载力和灵活性显著提升，具备5亿千瓦左右分布式新能源、1200万台左右充电桩接入能力；有源配电网与大电网兼容并蓄，配电网数字化转型全面推进，开放共享系统逐步形成，支撑多元创新发展；智慧调控运行体系加快升级，在具备条件地区推广</w:t>
              </w:r>
              <w:proofErr w:type="gramStart"/>
              <w:r>
                <w:rPr>
                  <w:rFonts w:hint="eastAsia"/>
                  <w:bCs w:val="0"/>
                </w:rPr>
                <w:t>车网协调</w:t>
              </w:r>
              <w:proofErr w:type="gramEnd"/>
              <w:r>
                <w:rPr>
                  <w:rFonts w:hint="eastAsia"/>
                  <w:bCs w:val="0"/>
                </w:rPr>
                <w:t>互动和</w:t>
              </w:r>
              <w:proofErr w:type="gramStart"/>
              <w:r>
                <w:rPr>
                  <w:rFonts w:hint="eastAsia"/>
                  <w:bCs w:val="0"/>
                </w:rPr>
                <w:t>构网型</w:t>
              </w:r>
              <w:proofErr w:type="gramEnd"/>
              <w:r>
                <w:rPr>
                  <w:rFonts w:hint="eastAsia"/>
                  <w:bCs w:val="0"/>
                </w:rPr>
                <w:t>新能源、构网型储能等新技术；电网企业全面淘汰 S7(含 S8)型和运行</w:t>
              </w:r>
              <w:proofErr w:type="gramStart"/>
              <w:r>
                <w:rPr>
                  <w:rFonts w:hint="eastAsia"/>
                  <w:bCs w:val="0"/>
                </w:rPr>
                <w:t>年限超</w:t>
              </w:r>
              <w:proofErr w:type="gramEnd"/>
              <w:r>
                <w:rPr>
                  <w:rFonts w:hint="eastAsia"/>
                  <w:bCs w:val="0"/>
                </w:rPr>
                <w:t xml:space="preserve"> 25 年且能效达不到准入水平的配电电力变压器，全社会在运能效节能水平及以上电力变压器</w:t>
              </w:r>
              <w:proofErr w:type="gramStart"/>
              <w:r>
                <w:rPr>
                  <w:rFonts w:hint="eastAsia"/>
                  <w:bCs w:val="0"/>
                </w:rPr>
                <w:t>占比较</w:t>
              </w:r>
              <w:proofErr w:type="gramEnd"/>
              <w:r>
                <w:rPr>
                  <w:rFonts w:hint="eastAsia"/>
                  <w:bCs w:val="0"/>
                </w:rPr>
                <w:t xml:space="preserve"> 2021 </w:t>
              </w:r>
              <w:proofErr w:type="gramStart"/>
              <w:r>
                <w:rPr>
                  <w:rFonts w:hint="eastAsia"/>
                  <w:bCs w:val="0"/>
                </w:rPr>
                <w:t>年提高</w:t>
              </w:r>
              <w:proofErr w:type="gramEnd"/>
              <w:r>
                <w:rPr>
                  <w:rFonts w:hint="eastAsia"/>
                  <w:bCs w:val="0"/>
                </w:rPr>
                <w:t xml:space="preserve">超过 10 </w:t>
              </w:r>
              <w:proofErr w:type="gramStart"/>
              <w:r>
                <w:rPr>
                  <w:rFonts w:hint="eastAsia"/>
                  <w:bCs w:val="0"/>
                </w:rPr>
                <w:t>个</w:t>
              </w:r>
              <w:proofErr w:type="gramEnd"/>
              <w:r>
                <w:rPr>
                  <w:rFonts w:hint="eastAsia"/>
                  <w:bCs w:val="0"/>
                </w:rPr>
                <w:t>百分点。到2030年，基本完成配电网柔性化、智能化、数字化转型，实现</w:t>
              </w:r>
              <w:proofErr w:type="gramStart"/>
              <w:r>
                <w:rPr>
                  <w:rFonts w:hint="eastAsia"/>
                  <w:bCs w:val="0"/>
                </w:rPr>
                <w:t>主配微网</w:t>
              </w:r>
              <w:proofErr w:type="gramEnd"/>
              <w:r>
                <w:rPr>
                  <w:rFonts w:hint="eastAsia"/>
                  <w:bCs w:val="0"/>
                </w:rPr>
                <w:t>多级协同、海量资源聚合互动、多元用户即插即用，有效促进分布式智能电网与大电网融合发展，较好满足分布式电源、新型储能及各类新业态发展需求，为建成覆盖广泛、规模适度、结构合理、功能完善的高质量充电基础设施体系提供有力支撑，以高水平电气化推动实现非化石能源消费目标。</w:t>
              </w:r>
            </w:p>
            <w:p w:rsidR="00597370" w:rsidRDefault="003C2EEE">
              <w:pPr>
                <w:widowControl w:val="0"/>
                <w:spacing w:line="360" w:lineRule="auto"/>
                <w:ind w:firstLineChars="200" w:firstLine="420"/>
                <w:jc w:val="both"/>
                <w:rPr>
                  <w:bCs w:val="0"/>
                </w:rPr>
              </w:pPr>
              <w:r>
                <w:rPr>
                  <w:bCs w:val="0"/>
                </w:rPr>
                <w:t>2024年4月国家标准委员会发布的GB20052—2024《电力变压器能效限定值及能效等级》</w:t>
              </w:r>
              <w:r>
                <w:rPr>
                  <w:rFonts w:hint="eastAsia"/>
                  <w:bCs w:val="0"/>
                </w:rPr>
                <w:t>，</w:t>
              </w:r>
              <w:r>
                <w:rPr>
                  <w:bCs w:val="0"/>
                </w:rPr>
                <w:lastRenderedPageBreak/>
                <w:t>主要是提高了35kV电压等级的能效标准，</w:t>
              </w:r>
              <w:r>
                <w:rPr>
                  <w:rFonts w:hint="eastAsia"/>
                  <w:bCs w:val="0"/>
                </w:rPr>
                <w:t>预计</w:t>
              </w:r>
              <w:r>
                <w:rPr>
                  <w:bCs w:val="0"/>
                </w:rPr>
                <w:t>将进一步扩大</w:t>
              </w:r>
              <w:r>
                <w:rPr>
                  <w:rFonts w:hint="eastAsia"/>
                  <w:bCs w:val="0"/>
                </w:rPr>
                <w:t>0</w:t>
              </w:r>
              <w:r>
                <w:rPr>
                  <w:bCs w:val="0"/>
                </w:rPr>
                <w:t>95</w:t>
              </w:r>
              <w:r>
                <w:rPr>
                  <w:rFonts w:hint="eastAsia"/>
                  <w:bCs w:val="0"/>
                </w:rPr>
                <w:t>牌号</w:t>
              </w:r>
              <w:r>
                <w:rPr>
                  <w:bCs w:val="0"/>
                </w:rPr>
                <w:t>及以上</w:t>
              </w:r>
              <w:r>
                <w:rPr>
                  <w:rFonts w:hint="eastAsia"/>
                  <w:bCs w:val="0"/>
                </w:rPr>
                <w:t>取向</w:t>
              </w:r>
              <w:r>
                <w:rPr>
                  <w:bCs w:val="0"/>
                </w:rPr>
                <w:t>硅钢牌号的</w:t>
              </w:r>
              <w:r>
                <w:rPr>
                  <w:rFonts w:hint="eastAsia"/>
                  <w:bCs w:val="0"/>
                </w:rPr>
                <w:t>使用。</w:t>
              </w:r>
            </w:p>
            <w:p w:rsidR="00597370" w:rsidRDefault="003C2EEE">
              <w:pPr>
                <w:widowControl w:val="0"/>
                <w:spacing w:line="360" w:lineRule="auto"/>
                <w:ind w:firstLineChars="200" w:firstLine="420"/>
                <w:jc w:val="both"/>
                <w:rPr>
                  <w:bCs w:val="0"/>
                </w:rPr>
              </w:pPr>
              <w:r>
                <w:rPr>
                  <w:rFonts w:hint="eastAsia"/>
                  <w:bCs w:val="0"/>
                </w:rPr>
                <w:t>2</w:t>
              </w:r>
              <w:r>
                <w:rPr>
                  <w:bCs w:val="0"/>
                </w:rPr>
                <w:t>024</w:t>
              </w:r>
              <w:r>
                <w:rPr>
                  <w:rFonts w:hint="eastAsia"/>
                  <w:bCs w:val="0"/>
                </w:rPr>
                <w:t>年6月国家能源局发布《关于做好新能源消纳工作保障新能源高质量发展的通知》，提出加快推进新能源配套电网项目建设、积极推进系统调节能力提升和</w:t>
              </w:r>
              <w:proofErr w:type="gramStart"/>
              <w:r>
                <w:rPr>
                  <w:rFonts w:hint="eastAsia"/>
                  <w:bCs w:val="0"/>
                </w:rPr>
                <w:t>网源协调</w:t>
              </w:r>
              <w:proofErr w:type="gramEnd"/>
              <w:r>
                <w:rPr>
                  <w:rFonts w:hint="eastAsia"/>
                  <w:bCs w:val="0"/>
                </w:rPr>
                <w:t>发展、充分发挥电网资源配置平台作用、科学优化新能源利用率目标的重要任务。</w:t>
              </w:r>
            </w:p>
            <w:p w:rsidR="00597370" w:rsidRDefault="003C2EEE">
              <w:pPr>
                <w:widowControl w:val="0"/>
                <w:spacing w:line="360" w:lineRule="auto"/>
                <w:ind w:firstLineChars="200" w:firstLine="420"/>
                <w:jc w:val="both"/>
                <w:rPr>
                  <w:rFonts w:asciiTheme="majorEastAsia" w:eastAsiaTheme="majorEastAsia" w:hAnsiTheme="majorEastAsia"/>
                </w:rPr>
              </w:pPr>
              <w:r>
                <w:rPr>
                  <w:rFonts w:asciiTheme="majorEastAsia" w:eastAsiaTheme="majorEastAsia" w:hAnsiTheme="majorEastAsia" w:hint="eastAsia"/>
                </w:rPr>
                <w:t>2024年7月中共中央国务院发布《</w:t>
              </w:r>
              <w:r>
                <w:rPr>
                  <w:rFonts w:asciiTheme="majorEastAsia" w:eastAsiaTheme="majorEastAsia" w:hAnsiTheme="majorEastAsia"/>
                </w:rPr>
                <w:t>关于加快经济社会发展全面绿色转型的意见</w:t>
              </w:r>
              <w:r>
                <w:rPr>
                  <w:rFonts w:asciiTheme="majorEastAsia" w:eastAsiaTheme="majorEastAsia" w:hAnsiTheme="majorEastAsia" w:hint="eastAsia"/>
                </w:rPr>
                <w:t>》，稳妥推进能源绿色低碳转型，加强化石能源清洁高效利用，大力发展非化石能源，加快构建新型电力系统。“十四五”时期严格合理控制煤炭消费增长，接下来</w:t>
              </w:r>
              <w:r>
                <w:rPr>
                  <w:rFonts w:asciiTheme="majorEastAsia" w:eastAsiaTheme="majorEastAsia" w:hAnsiTheme="majorEastAsia"/>
                </w:rPr>
                <w:t>5年逐步减少</w:t>
              </w:r>
              <w:r>
                <w:rPr>
                  <w:rFonts w:asciiTheme="majorEastAsia" w:eastAsiaTheme="majorEastAsia" w:hAnsiTheme="majorEastAsia" w:hint="eastAsia"/>
                </w:rPr>
                <w:t>；到</w:t>
              </w:r>
              <w:r>
                <w:rPr>
                  <w:rFonts w:asciiTheme="majorEastAsia" w:eastAsiaTheme="majorEastAsia" w:hAnsiTheme="majorEastAsia"/>
                </w:rPr>
                <w:t>2030年，非化石能源消费比重提高到25%左右</w:t>
              </w:r>
              <w:r>
                <w:rPr>
                  <w:rFonts w:asciiTheme="majorEastAsia" w:eastAsiaTheme="majorEastAsia" w:hAnsiTheme="majorEastAsia" w:hint="eastAsia"/>
                </w:rPr>
                <w:t>；到</w:t>
              </w:r>
              <w:r>
                <w:rPr>
                  <w:rFonts w:asciiTheme="majorEastAsia" w:eastAsiaTheme="majorEastAsia" w:hAnsiTheme="majorEastAsia"/>
                </w:rPr>
                <w:t>2030年，抽水蓄能装机容量超过1.2亿千瓦。</w:t>
              </w:r>
            </w:p>
            <w:p w:rsidR="00597370" w:rsidRDefault="003C2EEE">
              <w:pPr>
                <w:widowControl w:val="0"/>
                <w:spacing w:line="360" w:lineRule="auto"/>
                <w:ind w:firstLineChars="200" w:firstLine="420"/>
                <w:jc w:val="both"/>
                <w:rPr>
                  <w:bCs w:val="0"/>
                </w:rPr>
              </w:pPr>
              <w:r>
                <w:rPr>
                  <w:rFonts w:hint="eastAsia"/>
                  <w:bCs w:val="0"/>
                </w:rPr>
                <w:t>2</w:t>
              </w:r>
              <w:r>
                <w:rPr>
                  <w:bCs w:val="0"/>
                </w:rPr>
                <w:t>024</w:t>
              </w:r>
              <w:r>
                <w:rPr>
                  <w:rFonts w:hint="eastAsia"/>
                  <w:bCs w:val="0"/>
                </w:rPr>
                <w:t>年7月国家发展改革委、</w:t>
              </w:r>
              <w:r>
                <w:rPr>
                  <w:bCs w:val="0"/>
                </w:rPr>
                <w:t>国家能源局</w:t>
              </w:r>
              <w:r>
                <w:rPr>
                  <w:rFonts w:hint="eastAsia"/>
                  <w:bCs w:val="0"/>
                </w:rPr>
                <w:t>、</w:t>
              </w:r>
              <w:r>
                <w:rPr>
                  <w:bCs w:val="0"/>
                </w:rPr>
                <w:t>国家数据局</w:t>
              </w:r>
              <w:r>
                <w:rPr>
                  <w:rFonts w:hint="eastAsia"/>
                  <w:bCs w:val="0"/>
                </w:rPr>
                <w:t>印发《加快构建新型电力系统行动方案（</w:t>
              </w:r>
              <w:r>
                <w:rPr>
                  <w:bCs w:val="0"/>
                </w:rPr>
                <w:t>2024—2027年）》的通知</w:t>
              </w:r>
              <w:r>
                <w:rPr>
                  <w:rFonts w:hint="eastAsia"/>
                  <w:bCs w:val="0"/>
                </w:rPr>
                <w:t>（以下简称“行动方案”）。行动方案提出优化加强电网主网架，提升新型</w:t>
              </w:r>
              <w:proofErr w:type="gramStart"/>
              <w:r>
                <w:rPr>
                  <w:rFonts w:hint="eastAsia"/>
                  <w:bCs w:val="0"/>
                </w:rPr>
                <w:t>主体涉网性能</w:t>
              </w:r>
              <w:proofErr w:type="gramEnd"/>
              <w:r>
                <w:rPr>
                  <w:rFonts w:hint="eastAsia"/>
                  <w:bCs w:val="0"/>
                </w:rPr>
                <w:t>，推进构网型技术应用，持续提升电能质量等电力系统稳定保障行动；组织编制建设改造方案，健全配电网全过程管理等提升配电网高质量发展行动；打造一批系统友好型新能源电站，实施一批</w:t>
              </w:r>
              <w:proofErr w:type="gramStart"/>
              <w:r>
                <w:rPr>
                  <w:rFonts w:hint="eastAsia"/>
                  <w:bCs w:val="0"/>
                </w:rPr>
                <w:t>拟算力</w:t>
              </w:r>
              <w:proofErr w:type="gramEnd"/>
              <w:r>
                <w:rPr>
                  <w:rFonts w:hint="eastAsia"/>
                  <w:bCs w:val="0"/>
                </w:rPr>
                <w:t>与电力协同项目，建设一批智能微电网项目等新能源系统友好性能提升行动；建设一批共享储能电站，探索应用一批新型储能技术等电力系统调节能力优化行动；完善充电基础设施网络布局，加强电动汽车与电网融合互动等电动汽车充电设施网络拓展行动。</w:t>
              </w:r>
            </w:p>
            <w:p w:rsidR="00597370" w:rsidRDefault="003C2EEE">
              <w:pPr>
                <w:widowControl w:val="0"/>
                <w:spacing w:line="360" w:lineRule="auto"/>
                <w:ind w:firstLineChars="200" w:firstLine="420"/>
                <w:jc w:val="both"/>
                <w:rPr>
                  <w:bCs w:val="0"/>
                </w:rPr>
              </w:pPr>
              <w:r>
                <w:rPr>
                  <w:bCs w:val="0"/>
                </w:rPr>
                <w:t>2024年8月</w:t>
              </w:r>
              <w:r>
                <w:rPr>
                  <w:rFonts w:hint="eastAsia"/>
                  <w:bCs w:val="0"/>
                </w:rPr>
                <w:t>国家能源局引发</w:t>
              </w:r>
              <w:r>
                <w:rPr>
                  <w:bCs w:val="0"/>
                </w:rPr>
                <w:t>《配电网高质量发展行动实施方案（2024—2027年）》</w:t>
              </w:r>
              <w:r>
                <w:rPr>
                  <w:rFonts w:hint="eastAsia"/>
                  <w:bCs w:val="0"/>
                </w:rPr>
                <w:t>（以下简称“实施方案”），实施方案重点一是加快推动一批供电薄弱区域配电网升级改造项目。加大老旧小区、城中村配电网投资力度，着力提升非电网直供电小区的供电保障水平，结合市政改造工作同步落实配电网改造项目。系统摸排单方向、单通道、单线路县域电网，加快完成供电可靠性提升改造。二是针对性实施一批防灾抗灾能力提升项目。详细排查灾害易发、多发地区及微地形、微气象等重点区域的电力设施，差异化提高局部规划设计和灾害防范标准。三是建设一批满足新型主体接入的项目。结合分布式新能源的资源条件、开发布局和投产时序，有针对性加强配电网建设，提高配电网对分布式新能源的接纳、配置和调控能力。满足电动汽车充电基础设施的用电需求，助力构建城市面状、公路线状、乡村点状的充电基础设施布局。四是创新探索一批分布式智能电网项目。面向大电网末端、新能源富集乡村、高比例新能源供电园区等，探索建设一批分布式智能电网项目。</w:t>
              </w:r>
            </w:p>
            <w:p w:rsidR="00597370" w:rsidRDefault="003C2EEE">
              <w:pPr>
                <w:widowControl w:val="0"/>
                <w:spacing w:line="360" w:lineRule="auto"/>
                <w:ind w:firstLineChars="200" w:firstLine="420"/>
                <w:jc w:val="both"/>
                <w:rPr>
                  <w:bCs w:val="0"/>
                </w:rPr>
              </w:pPr>
              <w:r>
                <w:rPr>
                  <w:rFonts w:hint="eastAsia"/>
                  <w:bCs w:val="0"/>
                </w:rPr>
                <w:t>根据国家能源局数据，202</w:t>
              </w:r>
              <w:r>
                <w:rPr>
                  <w:bCs w:val="0"/>
                </w:rPr>
                <w:t>4</w:t>
              </w:r>
              <w:r>
                <w:rPr>
                  <w:rFonts w:hint="eastAsia"/>
                  <w:bCs w:val="0"/>
                </w:rPr>
                <w:t xml:space="preserve">年上半年，全国主要发电企业电源工程完成投资 </w:t>
              </w:r>
              <w:r>
                <w:rPr>
                  <w:bCs w:val="0"/>
                </w:rPr>
                <w:t>3,441</w:t>
              </w:r>
              <w:r>
                <w:rPr>
                  <w:rFonts w:hint="eastAsia"/>
                  <w:bCs w:val="0"/>
                </w:rPr>
                <w:t xml:space="preserve"> 亿元，同比增长</w:t>
              </w:r>
              <w:r>
                <w:rPr>
                  <w:bCs w:val="0"/>
                </w:rPr>
                <w:t>2.5</w:t>
              </w:r>
              <w:r>
                <w:rPr>
                  <w:rFonts w:hint="eastAsia"/>
                  <w:bCs w:val="0"/>
                </w:rPr>
                <w:t>%；电网工程完成投资</w:t>
              </w:r>
              <w:r>
                <w:rPr>
                  <w:bCs w:val="0"/>
                </w:rPr>
                <w:t>2,540</w:t>
              </w:r>
              <w:r>
                <w:rPr>
                  <w:rFonts w:hint="eastAsia"/>
                  <w:bCs w:val="0"/>
                </w:rPr>
                <w:t>亿元，同比增长</w:t>
              </w:r>
              <w:r>
                <w:rPr>
                  <w:bCs w:val="0"/>
                </w:rPr>
                <w:t>23.7</w:t>
              </w:r>
              <w:r>
                <w:rPr>
                  <w:rFonts w:hint="eastAsia"/>
                  <w:bCs w:val="0"/>
                </w:rPr>
                <w:t>%。根据中国电力企业联合会发布的《</w:t>
              </w:r>
              <w:r>
                <w:rPr>
                  <w:bCs w:val="0"/>
                </w:rPr>
                <w:t>2024年上半年全国电力供需形势分析预测报告》</w:t>
              </w:r>
              <w:r>
                <w:rPr>
                  <w:rFonts w:hint="eastAsia"/>
                  <w:bCs w:val="0"/>
                </w:rPr>
                <w:t>指出，2</w:t>
              </w:r>
              <w:r>
                <w:rPr>
                  <w:bCs w:val="0"/>
                </w:rPr>
                <w:t>024</w:t>
              </w:r>
              <w:r>
                <w:rPr>
                  <w:rFonts w:hint="eastAsia"/>
                  <w:bCs w:val="0"/>
                </w:rPr>
                <w:t>年上半年全国全社会用电量</w:t>
              </w:r>
              <w:r>
                <w:rPr>
                  <w:bCs w:val="0"/>
                </w:rPr>
                <w:t>4.66</w:t>
              </w:r>
              <w:proofErr w:type="gramStart"/>
              <w:r>
                <w:rPr>
                  <w:bCs w:val="0"/>
                </w:rPr>
                <w:t>万亿</w:t>
              </w:r>
              <w:proofErr w:type="gramEnd"/>
              <w:r>
                <w:rPr>
                  <w:bCs w:val="0"/>
                </w:rPr>
                <w:t>千瓦时，同比增长8.1%，增速比上年同期提高3.1个百分点</w:t>
              </w:r>
              <w:r>
                <w:rPr>
                  <w:rFonts w:hint="eastAsia"/>
                  <w:bCs w:val="0"/>
                </w:rPr>
                <w:t>；</w:t>
              </w:r>
              <w:r>
                <w:rPr>
                  <w:rFonts w:ascii="Helvetica" w:hAnsi="Helvetica"/>
                  <w:color w:val="333333"/>
                  <w:shd w:val="clear" w:color="auto" w:fill="FFFFFF"/>
                </w:rPr>
                <w:t>截至</w:t>
              </w:r>
              <w:r>
                <w:rPr>
                  <w:rFonts w:ascii="Helvetica" w:hAnsi="Helvetica"/>
                  <w:color w:val="333333"/>
                  <w:shd w:val="clear" w:color="auto" w:fill="FFFFFF"/>
                </w:rPr>
                <w:t>2024</w:t>
              </w:r>
              <w:r>
                <w:rPr>
                  <w:rFonts w:ascii="Helvetica" w:hAnsi="Helvetica"/>
                  <w:color w:val="333333"/>
                  <w:shd w:val="clear" w:color="auto" w:fill="FFFFFF"/>
                </w:rPr>
                <w:t>年</w:t>
              </w:r>
              <w:r>
                <w:rPr>
                  <w:rFonts w:ascii="Helvetica" w:hAnsi="Helvetica"/>
                  <w:color w:val="333333"/>
                  <w:shd w:val="clear" w:color="auto" w:fill="FFFFFF"/>
                </w:rPr>
                <w:t>6</w:t>
              </w:r>
              <w:r>
                <w:rPr>
                  <w:rFonts w:ascii="Helvetica" w:hAnsi="Helvetica"/>
                  <w:color w:val="333333"/>
                  <w:shd w:val="clear" w:color="auto" w:fill="FFFFFF"/>
                </w:rPr>
                <w:t>月底，全国全口径发电装机容量</w:t>
              </w:r>
              <w:r>
                <w:rPr>
                  <w:rFonts w:ascii="Helvetica" w:hAnsi="Helvetica"/>
                  <w:color w:val="333333"/>
                  <w:shd w:val="clear" w:color="auto" w:fill="FFFFFF"/>
                </w:rPr>
                <w:t>30.7</w:t>
              </w:r>
              <w:r>
                <w:rPr>
                  <w:rFonts w:ascii="Helvetica" w:hAnsi="Helvetica"/>
                  <w:color w:val="333333"/>
                  <w:shd w:val="clear" w:color="auto" w:fill="FFFFFF"/>
                </w:rPr>
                <w:t>亿千瓦，同比增长</w:t>
              </w:r>
              <w:r>
                <w:rPr>
                  <w:rFonts w:ascii="Helvetica" w:hAnsi="Helvetica"/>
                  <w:color w:val="333333"/>
                  <w:shd w:val="clear" w:color="auto" w:fill="FFFFFF"/>
                </w:rPr>
                <w:t>14.1%</w:t>
              </w:r>
              <w:r>
                <w:rPr>
                  <w:rFonts w:ascii="Helvetica" w:hAnsi="Helvetica" w:hint="eastAsia"/>
                  <w:color w:val="333333"/>
                  <w:shd w:val="clear" w:color="auto" w:fill="FFFFFF"/>
                </w:rPr>
                <w:t>，</w:t>
              </w:r>
              <w:r>
                <w:rPr>
                  <w:rFonts w:ascii="Helvetica" w:hAnsi="Helvetica"/>
                  <w:color w:val="333333"/>
                  <w:shd w:val="clear" w:color="auto" w:fill="FFFFFF"/>
                </w:rPr>
                <w:t>其中非化石能源发电装机占总装机容量比重达到</w:t>
              </w:r>
              <w:r>
                <w:rPr>
                  <w:rFonts w:ascii="Helvetica" w:hAnsi="Helvetica"/>
                  <w:color w:val="333333"/>
                  <w:shd w:val="clear" w:color="auto" w:fill="FFFFFF"/>
                </w:rPr>
                <w:t>55.7%</w:t>
              </w:r>
              <w:r>
                <w:rPr>
                  <w:rFonts w:ascii="Helvetica" w:hAnsi="Helvetica"/>
                  <w:color w:val="333333"/>
                  <w:shd w:val="clear" w:color="auto" w:fill="FFFFFF"/>
                </w:rPr>
                <w:t>。</w:t>
              </w:r>
              <w:r>
                <w:rPr>
                  <w:rFonts w:ascii="Helvetica" w:hAnsi="Helvetica" w:hint="eastAsia"/>
                  <w:color w:val="333333"/>
                  <w:shd w:val="clear" w:color="auto" w:fill="FFFFFF"/>
                </w:rPr>
                <w:t>预计</w:t>
              </w:r>
              <w:r>
                <w:rPr>
                  <w:rFonts w:ascii="Helvetica" w:hAnsi="Helvetica"/>
                  <w:color w:val="333333"/>
                  <w:shd w:val="clear" w:color="auto" w:fill="FFFFFF"/>
                </w:rPr>
                <w:t>2024</w:t>
              </w:r>
              <w:r>
                <w:rPr>
                  <w:rFonts w:ascii="Helvetica" w:hAnsi="Helvetica"/>
                  <w:color w:val="333333"/>
                  <w:shd w:val="clear" w:color="auto" w:fill="FFFFFF"/>
                </w:rPr>
                <w:t>年全年用电量同比增长</w:t>
              </w:r>
              <w:r>
                <w:rPr>
                  <w:rFonts w:ascii="Helvetica" w:hAnsi="Helvetica"/>
                  <w:color w:val="333333"/>
                  <w:shd w:val="clear" w:color="auto" w:fill="FFFFFF"/>
                </w:rPr>
                <w:t>6.5%</w:t>
              </w:r>
              <w:r>
                <w:rPr>
                  <w:rFonts w:ascii="Helvetica" w:hAnsi="Helvetica"/>
                  <w:color w:val="333333"/>
                  <w:shd w:val="clear" w:color="auto" w:fill="FFFFFF"/>
                </w:rPr>
                <w:t>左右，最高用电负荷比</w:t>
              </w:r>
              <w:r>
                <w:rPr>
                  <w:rFonts w:ascii="Helvetica" w:hAnsi="Helvetica"/>
                  <w:color w:val="333333"/>
                  <w:shd w:val="clear" w:color="auto" w:fill="FFFFFF"/>
                </w:rPr>
                <w:t>2023</w:t>
              </w:r>
              <w:r>
                <w:rPr>
                  <w:rFonts w:ascii="Helvetica" w:hAnsi="Helvetica"/>
                  <w:color w:val="333333"/>
                  <w:shd w:val="clear" w:color="auto" w:fill="FFFFFF"/>
                </w:rPr>
                <w:t>年增加</w:t>
              </w:r>
              <w:r>
                <w:rPr>
                  <w:rFonts w:ascii="Helvetica" w:hAnsi="Helvetica"/>
                  <w:color w:val="333333"/>
                  <w:shd w:val="clear" w:color="auto" w:fill="FFFFFF"/>
                </w:rPr>
                <w:t>1</w:t>
              </w:r>
              <w:r>
                <w:rPr>
                  <w:rFonts w:ascii="Helvetica" w:hAnsi="Helvetica"/>
                  <w:color w:val="333333"/>
                  <w:shd w:val="clear" w:color="auto" w:fill="FFFFFF"/>
                </w:rPr>
                <w:t>亿千瓦左右。</w:t>
              </w:r>
              <w:r>
                <w:rPr>
                  <w:bCs w:val="0"/>
                </w:rPr>
                <w:t>预计2024年并网风电和太阳能发电合计新增装机规模达到3亿千瓦左右，累计装机占比将</w:t>
              </w:r>
              <w:r>
                <w:rPr>
                  <w:bCs w:val="0"/>
                </w:rPr>
                <w:lastRenderedPageBreak/>
                <w:t>首次超过40%。</w:t>
              </w:r>
            </w:p>
            <w:p w:rsidR="00597370" w:rsidRDefault="003C2EEE">
              <w:pPr>
                <w:widowControl w:val="0"/>
                <w:spacing w:line="360" w:lineRule="auto"/>
                <w:ind w:firstLineChars="200" w:firstLine="420"/>
                <w:jc w:val="both"/>
                <w:rPr>
                  <w:bCs w:val="0"/>
                </w:rPr>
              </w:pPr>
              <w:r>
                <w:rPr>
                  <w:rFonts w:hint="eastAsia"/>
                </w:rPr>
                <w:t>根</w:t>
              </w:r>
              <w:r>
                <w:rPr>
                  <w:rFonts w:hint="eastAsia"/>
                  <w:bCs w:val="0"/>
                </w:rPr>
                <w:t>据央视报道，为加快构建新型电力系统，2024年国家电网公司全年电网投资将超过6</w:t>
              </w:r>
              <w:r>
                <w:rPr>
                  <w:bCs w:val="0"/>
                </w:rPr>
                <w:t>,</w:t>
              </w:r>
              <w:r>
                <w:rPr>
                  <w:rFonts w:hint="eastAsia"/>
                  <w:bCs w:val="0"/>
                </w:rPr>
                <w:t>000亿元，较2023年新增逾700亿元，这是电网投资首次超过6</w:t>
              </w:r>
              <w:r>
                <w:rPr>
                  <w:bCs w:val="0"/>
                </w:rPr>
                <w:t>,</w:t>
              </w:r>
              <w:r>
                <w:rPr>
                  <w:rFonts w:hint="eastAsia"/>
                  <w:bCs w:val="0"/>
                </w:rPr>
                <w:t>000亿元，新增投资将主要用于特高压交直流工程建设、电网数字化智能化升级等方向。</w:t>
              </w:r>
            </w:p>
            <w:p w:rsidR="00597370" w:rsidRDefault="003C2EEE">
              <w:pPr>
                <w:widowControl w:val="0"/>
                <w:spacing w:line="360" w:lineRule="auto"/>
                <w:ind w:firstLineChars="200" w:firstLine="420"/>
                <w:jc w:val="both"/>
              </w:pPr>
              <w:r>
                <w:rPr>
                  <w:rFonts w:hint="eastAsia"/>
                </w:rPr>
                <w:t>随着各项政策逐步落地，新型电网体系建设的加速推进，为智能配网自动化系统、智能变电自动化系统、用电信息采集系统及终端、高</w:t>
              </w:r>
              <w:proofErr w:type="gramStart"/>
              <w:r>
                <w:rPr>
                  <w:rFonts w:hint="eastAsia"/>
                </w:rPr>
                <w:t>低压费控系统</w:t>
              </w:r>
              <w:proofErr w:type="gramEnd"/>
              <w:r>
                <w:rPr>
                  <w:rFonts w:hint="eastAsia"/>
                </w:rPr>
                <w:t>、智能电能表、高低压开关及成套设备等产品提供了广阔的市场空间，成为输配电设备行业发展的主要动力。</w:t>
              </w:r>
            </w:p>
            <w:p w:rsidR="00597370" w:rsidRDefault="003C2EEE">
              <w:pPr>
                <w:widowControl w:val="0"/>
                <w:spacing w:line="360" w:lineRule="auto"/>
                <w:ind w:firstLineChars="200" w:firstLine="420"/>
                <w:jc w:val="both"/>
                <w:outlineLvl w:val="4"/>
                <w:rPr>
                  <w:rFonts w:ascii="Calibri" w:hAnsi="Calibri"/>
                  <w:bCs w:val="0"/>
                </w:rPr>
              </w:pPr>
              <w:r>
                <w:rPr>
                  <w:rFonts w:hint="eastAsia"/>
                  <w:bCs w:val="0"/>
                </w:rPr>
                <w:t>（</w:t>
              </w:r>
              <w:r>
                <w:rPr>
                  <w:rFonts w:ascii="Calibri" w:hAnsi="Calibri" w:cs="Calibri" w:hint="eastAsia"/>
                  <w:bCs w:val="0"/>
                </w:rPr>
                <w:t>3</w:t>
              </w:r>
              <w:r>
                <w:rPr>
                  <w:rFonts w:hint="eastAsia"/>
                  <w:bCs w:val="0"/>
                </w:rPr>
                <w:t>）行业地位</w:t>
              </w:r>
            </w:p>
            <w:p w:rsidR="00597370" w:rsidRDefault="003C2EEE">
              <w:pPr>
                <w:widowControl w:val="0"/>
                <w:spacing w:line="360" w:lineRule="auto"/>
                <w:ind w:firstLineChars="200" w:firstLine="420"/>
                <w:jc w:val="both"/>
                <w:rPr>
                  <w:rFonts w:ascii="Calibri" w:hAnsi="Calibri"/>
                  <w:bCs w:val="0"/>
                </w:rPr>
              </w:pPr>
              <w:r>
                <w:rPr>
                  <w:rFonts w:hint="eastAsia"/>
                  <w:bCs w:val="0"/>
                </w:rPr>
                <w:t>通过</w:t>
              </w:r>
              <w:proofErr w:type="gramStart"/>
              <w:r>
                <w:rPr>
                  <w:rFonts w:hint="eastAsia"/>
                  <w:bCs w:val="0"/>
                </w:rPr>
                <w:t>国家发改委</w:t>
              </w:r>
              <w:proofErr w:type="gramEnd"/>
              <w:r>
                <w:rPr>
                  <w:rFonts w:hint="eastAsia"/>
                  <w:bCs w:val="0"/>
                </w:rPr>
                <w:t>统计数据，2</w:t>
              </w:r>
              <w:r>
                <w:rPr>
                  <w:bCs w:val="0"/>
                </w:rPr>
                <w:t>024</w:t>
              </w:r>
              <w:r>
                <w:rPr>
                  <w:rFonts w:hint="eastAsia"/>
                  <w:bCs w:val="0"/>
                </w:rPr>
                <w:t>年</w:t>
              </w:r>
              <w:r>
                <w:rPr>
                  <w:bCs w:val="0"/>
                </w:rPr>
                <w:t>上半年</w:t>
              </w:r>
              <w:r>
                <w:rPr>
                  <w:rFonts w:hint="eastAsia"/>
                  <w:bCs w:val="0"/>
                </w:rPr>
                <w:t>全国</w:t>
              </w:r>
              <w:r>
                <w:rPr>
                  <w:bCs w:val="0"/>
                </w:rPr>
                <w:t>基础设施投资（不含电力、热力、燃气及水生产和供应业）同比增长7.2%。其中，铁路运输业投资增长20.5%</w:t>
              </w:r>
              <w:r>
                <w:rPr>
                  <w:rFonts w:hint="eastAsia"/>
                  <w:bCs w:val="0"/>
                </w:rPr>
                <w:t>；公司2</w:t>
              </w:r>
              <w:r>
                <w:rPr>
                  <w:bCs w:val="0"/>
                </w:rPr>
                <w:t>024</w:t>
              </w:r>
              <w:r>
                <w:rPr>
                  <w:rFonts w:hint="eastAsia"/>
                  <w:bCs w:val="0"/>
                </w:rPr>
                <w:t>年4月成功</w:t>
              </w:r>
              <w:proofErr w:type="gramStart"/>
              <w:r>
                <w:rPr>
                  <w:rFonts w:hint="eastAsia"/>
                  <w:bCs w:val="0"/>
                </w:rPr>
                <w:t>收购云变电气</w:t>
              </w:r>
              <w:proofErr w:type="gramEnd"/>
              <w:r>
                <w:rPr>
                  <w:rFonts w:hint="eastAsia"/>
                  <w:bCs w:val="0"/>
                </w:rPr>
                <w:t>后，公司的输配电及控制设备产品电压等级由1</w:t>
              </w:r>
              <w:r>
                <w:rPr>
                  <w:bCs w:val="0"/>
                </w:rPr>
                <w:t>10</w:t>
              </w:r>
              <w:r>
                <w:rPr>
                  <w:rFonts w:ascii="Calibri" w:hAnsi="Calibri" w:cs="Calibri" w:hint="eastAsia"/>
                  <w:bCs w:val="0"/>
                </w:rPr>
                <w:t>kV</w:t>
              </w:r>
              <w:r>
                <w:rPr>
                  <w:rFonts w:ascii="Calibri" w:hAnsi="Calibri" w:cs="Calibri" w:hint="eastAsia"/>
                  <w:bCs w:val="0"/>
                </w:rPr>
                <w:t>以下一跃提升为</w:t>
              </w:r>
              <w:r>
                <w:rPr>
                  <w:rFonts w:hint="eastAsia"/>
                  <w:bCs w:val="0"/>
                </w:rPr>
                <w:t>主要以</w:t>
              </w:r>
              <w:r>
                <w:rPr>
                  <w:bCs w:val="0"/>
                </w:rPr>
                <w:t>220</w:t>
              </w:r>
              <w:r>
                <w:rPr>
                  <w:rFonts w:ascii="Calibri" w:hAnsi="Calibri" w:cs="Calibri" w:hint="eastAsia"/>
                  <w:bCs w:val="0"/>
                </w:rPr>
                <w:t>kV</w:t>
              </w:r>
              <w:r>
                <w:rPr>
                  <w:rFonts w:hint="eastAsia"/>
                  <w:bCs w:val="0"/>
                </w:rPr>
                <w:t>及以下电力设备为主,具备生产5</w:t>
              </w:r>
              <w:r>
                <w:rPr>
                  <w:bCs w:val="0"/>
                </w:rPr>
                <w:t>00</w:t>
              </w:r>
              <w:r>
                <w:rPr>
                  <w:rFonts w:ascii="Calibri" w:hAnsi="Calibri" w:cs="Calibri" w:hint="eastAsia"/>
                  <w:bCs w:val="0"/>
                </w:rPr>
                <w:t>kV</w:t>
              </w:r>
              <w:r>
                <w:rPr>
                  <w:rFonts w:hint="eastAsia"/>
                  <w:bCs w:val="0"/>
                </w:rPr>
                <w:t>电力变压器的资质；</w:t>
              </w:r>
              <w:proofErr w:type="gramStart"/>
              <w:r>
                <w:rPr>
                  <w:rFonts w:hint="eastAsia"/>
                  <w:bCs w:val="0"/>
                </w:rPr>
                <w:t>特别是云变电气</w:t>
              </w:r>
              <w:proofErr w:type="gramEnd"/>
              <w:r>
                <w:rPr>
                  <w:rFonts w:hint="eastAsia"/>
                  <w:bCs w:val="0"/>
                </w:rPr>
                <w:t>在铁路牵引</w:t>
              </w:r>
              <w:proofErr w:type="gramStart"/>
              <w:r>
                <w:rPr>
                  <w:rFonts w:hint="eastAsia"/>
                  <w:bCs w:val="0"/>
                </w:rPr>
                <w:t>变领域</w:t>
              </w:r>
              <w:proofErr w:type="gramEnd"/>
              <w:r>
                <w:rPr>
                  <w:rFonts w:hint="eastAsia"/>
                  <w:bCs w:val="0"/>
                </w:rPr>
                <w:t>的行业地位和</w:t>
              </w:r>
              <w:proofErr w:type="gramStart"/>
              <w:r>
                <w:rPr>
                  <w:rFonts w:hint="eastAsia"/>
                  <w:bCs w:val="0"/>
                </w:rPr>
                <w:t>市占率一直</w:t>
              </w:r>
              <w:proofErr w:type="gramEnd"/>
              <w:r>
                <w:rPr>
                  <w:rFonts w:hint="eastAsia"/>
                  <w:bCs w:val="0"/>
                </w:rPr>
                <w:t>维持第一的地位，随着国家在铁路领域的投资增长，定会带来公司铁路领域的销售增长；公司输配电及控制设备业务逐步建立了以云、贵、川、渝西南地区为核心，华北、华东、华中、西北等地区快速增长区域相结合的销售区域布局，与国家电网、南方电网、中国国家铁路集团有限公司、中国电力建设集团有限公司、国家电力投资集团有限公司等优质客户建立了长期稳定的合作关系，在铁路牵引变压器领域始终处于领先地位，具有良好的品牌口碑和服务水平，市场认可度较高。</w:t>
              </w:r>
            </w:p>
            <w:p w:rsidR="00597370" w:rsidRDefault="003C2EEE">
              <w:pPr>
                <w:widowControl w:val="0"/>
                <w:spacing w:line="360" w:lineRule="auto"/>
                <w:ind w:firstLineChars="200" w:firstLine="420"/>
                <w:jc w:val="both"/>
                <w:rPr>
                  <w:bCs w:val="0"/>
                </w:rPr>
              </w:pPr>
              <w:r>
                <w:rPr>
                  <w:rFonts w:hint="eastAsia"/>
                  <w:bCs w:val="0"/>
                </w:rPr>
                <w:t>公司是铁路牵引变压器领域的行业龙头，是我国西南区域输配电及控制设备研发、生产和销售龙头企业。</w:t>
              </w:r>
            </w:p>
            <w:p w:rsidR="00597370" w:rsidRDefault="003C2EEE">
              <w:pPr>
                <w:widowControl w:val="0"/>
                <w:spacing w:line="360" w:lineRule="auto"/>
                <w:ind w:firstLineChars="200" w:firstLine="420"/>
                <w:jc w:val="both"/>
                <w:outlineLvl w:val="3"/>
                <w:rPr>
                  <w:rFonts w:ascii="Calibri" w:hAnsi="Calibri"/>
                  <w:bCs w:val="0"/>
                </w:rPr>
              </w:pPr>
              <w:r>
                <w:rPr>
                  <w:rFonts w:ascii="Calibri" w:hAnsi="Calibri" w:cs="Calibri"/>
                  <w:bCs w:val="0"/>
                </w:rPr>
                <w:t>2</w:t>
              </w:r>
              <w:r>
                <w:rPr>
                  <w:rFonts w:hint="eastAsia"/>
                  <w:bCs w:val="0"/>
                </w:rPr>
                <w:t>、取向硅钢业务行业情况</w:t>
              </w:r>
            </w:p>
            <w:p w:rsidR="00597370" w:rsidRDefault="003C2EEE">
              <w:pPr>
                <w:widowControl w:val="0"/>
                <w:spacing w:line="360" w:lineRule="auto"/>
                <w:ind w:firstLineChars="200" w:firstLine="420"/>
                <w:jc w:val="both"/>
                <w:outlineLvl w:val="4"/>
                <w:rPr>
                  <w:rFonts w:ascii="Calibri" w:hAnsi="Calibri"/>
                  <w:bCs w:val="0"/>
                </w:rPr>
              </w:pPr>
              <w:r>
                <w:rPr>
                  <w:rFonts w:hint="eastAsia"/>
                  <w:bCs w:val="0"/>
                </w:rPr>
                <w:t>（</w:t>
              </w:r>
              <w:r>
                <w:rPr>
                  <w:rFonts w:ascii="Calibri" w:hAnsi="Calibri" w:cs="Calibri" w:hint="eastAsia"/>
                  <w:bCs w:val="0"/>
                </w:rPr>
                <w:t>1</w:t>
              </w:r>
              <w:r>
                <w:rPr>
                  <w:rFonts w:hint="eastAsia"/>
                  <w:bCs w:val="0"/>
                </w:rPr>
                <w:t>）基本情况</w:t>
              </w:r>
            </w:p>
            <w:p w:rsidR="00597370" w:rsidRDefault="003C2EEE">
              <w:pPr>
                <w:widowControl w:val="0"/>
                <w:spacing w:line="360" w:lineRule="auto"/>
                <w:ind w:firstLineChars="200" w:firstLine="420"/>
                <w:jc w:val="both"/>
                <w:rPr>
                  <w:rFonts w:ascii="Calibri" w:hAnsi="Calibri"/>
                  <w:bCs w:val="0"/>
                </w:rPr>
              </w:pPr>
              <w:r>
                <w:rPr>
                  <w:rFonts w:hint="eastAsia"/>
                  <w:bCs w:val="0"/>
                </w:rPr>
                <w:t>根据国家统计局《国民经济行业分类与代码》（</w:t>
              </w:r>
              <w:r>
                <w:rPr>
                  <w:rFonts w:ascii="Calibri" w:hAnsi="Calibri" w:cs="Calibri" w:hint="eastAsia"/>
                  <w:bCs w:val="0"/>
                </w:rPr>
                <w:t>GB/T4754</w:t>
              </w:r>
              <w:r>
                <w:rPr>
                  <w:rFonts w:hint="eastAsia"/>
                  <w:bCs w:val="0"/>
                </w:rPr>
                <w:t>－</w:t>
              </w:r>
              <w:r>
                <w:rPr>
                  <w:rFonts w:ascii="Calibri" w:hAnsi="Calibri" w:cs="Calibri" w:hint="eastAsia"/>
                  <w:bCs w:val="0"/>
                </w:rPr>
                <w:t>2017</w:t>
              </w:r>
              <w:r>
                <w:rPr>
                  <w:rFonts w:hint="eastAsia"/>
                  <w:bCs w:val="0"/>
                </w:rPr>
                <w:t>），公司取向硅钢业务所处行业归属于“</w:t>
              </w:r>
              <w:r>
                <w:rPr>
                  <w:rFonts w:ascii="Calibri" w:hAnsi="Calibri" w:cs="Calibri" w:hint="eastAsia"/>
                  <w:bCs w:val="0"/>
                </w:rPr>
                <w:t>C</w:t>
              </w:r>
              <w:r>
                <w:rPr>
                  <w:rFonts w:hint="eastAsia"/>
                  <w:bCs w:val="0"/>
                </w:rPr>
                <w:t>制造业”的“</w:t>
              </w:r>
              <w:r>
                <w:rPr>
                  <w:rFonts w:ascii="Calibri" w:hAnsi="Calibri" w:cs="Calibri" w:hint="eastAsia"/>
                  <w:bCs w:val="0"/>
                </w:rPr>
                <w:t>C3130</w:t>
              </w:r>
              <w:r>
                <w:rPr>
                  <w:rFonts w:hint="eastAsia"/>
                  <w:bCs w:val="0"/>
                </w:rPr>
                <w:t>钢压延加工”；公司的高磁感取向硅钢属于国家统计局《战略性新兴产业分类（</w:t>
              </w:r>
              <w:r>
                <w:rPr>
                  <w:rFonts w:ascii="Calibri" w:hAnsi="Calibri" w:cs="Calibri" w:hint="eastAsia"/>
                  <w:bCs w:val="0"/>
                </w:rPr>
                <w:t>2018</w:t>
              </w:r>
              <w:r>
                <w:rPr>
                  <w:rFonts w:hint="eastAsia"/>
                  <w:bCs w:val="0"/>
                </w:rPr>
                <w:t>）》中第三大类“新材料产业之</w:t>
              </w:r>
              <w:r>
                <w:rPr>
                  <w:rFonts w:ascii="Calibri" w:hAnsi="Calibri" w:cs="Calibri" w:hint="eastAsia"/>
                  <w:bCs w:val="0"/>
                </w:rPr>
                <w:t>3.1.5.3</w:t>
              </w:r>
              <w:r>
                <w:rPr>
                  <w:rFonts w:hint="eastAsia"/>
                  <w:bCs w:val="0"/>
                </w:rPr>
                <w:t>高性能电工钢加工”。</w:t>
              </w:r>
            </w:p>
            <w:p w:rsidR="00597370" w:rsidRDefault="003C2EEE">
              <w:pPr>
                <w:widowControl w:val="0"/>
                <w:spacing w:line="360" w:lineRule="auto"/>
                <w:ind w:firstLineChars="200" w:firstLine="420"/>
                <w:jc w:val="both"/>
                <w:rPr>
                  <w:rFonts w:ascii="Calibri" w:hAnsi="Calibri"/>
                  <w:bCs w:val="0"/>
                </w:rPr>
              </w:pPr>
              <w:r>
                <w:rPr>
                  <w:rFonts w:hint="eastAsia"/>
                  <w:bCs w:val="0"/>
                </w:rPr>
                <w:t>电工钢是中国式现代化建设、高质量发展及人民生活不可缺少的重要原材料，是电力行业的“芯片”，取向硅钢又是电工钢金字塔尖的产品，被誉为钢铁工业“皇冠上的明珠”，特别是高等级取向硅钢更是电力传输中必备的尖端功能材料，是各类电力变压器产品的关键原材料，主要用于电力变压器（铁心）的制造，还可应用于大型电机（水电、风电、火电）铁心等领域。近年来，新能源汽车、特高压工程、高铁及轨道交通、智能家电、光伏发电、风电、数据中心等新兴领域对电工钢的需求也日益增多。</w:t>
              </w:r>
            </w:p>
            <w:p w:rsidR="00597370" w:rsidRDefault="003C2EEE">
              <w:pPr>
                <w:widowControl w:val="0"/>
                <w:spacing w:line="360" w:lineRule="auto"/>
                <w:ind w:firstLineChars="200" w:firstLine="420"/>
                <w:jc w:val="both"/>
                <w:outlineLvl w:val="4"/>
                <w:rPr>
                  <w:rFonts w:ascii="Calibri" w:hAnsi="Calibri"/>
                  <w:bCs w:val="0"/>
                </w:rPr>
              </w:pPr>
              <w:r>
                <w:rPr>
                  <w:rFonts w:hint="eastAsia"/>
                  <w:bCs w:val="0"/>
                </w:rPr>
                <w:t>（</w:t>
              </w:r>
              <w:r>
                <w:rPr>
                  <w:rFonts w:ascii="Calibri" w:hAnsi="Calibri" w:cs="Calibri" w:hint="eastAsia"/>
                  <w:bCs w:val="0"/>
                </w:rPr>
                <w:t>2</w:t>
              </w:r>
              <w:r>
                <w:rPr>
                  <w:rFonts w:hint="eastAsia"/>
                  <w:bCs w:val="0"/>
                </w:rPr>
                <w:t>）行业发展情况</w:t>
              </w:r>
            </w:p>
            <w:p w:rsidR="00597370" w:rsidRDefault="003C2EEE">
              <w:pPr>
                <w:widowControl w:val="0"/>
                <w:spacing w:line="360" w:lineRule="auto"/>
                <w:ind w:firstLineChars="200" w:firstLine="420"/>
                <w:jc w:val="both"/>
                <w:rPr>
                  <w:rFonts w:ascii="Calibri" w:hAnsi="Calibri"/>
                  <w:bCs w:val="0"/>
                </w:rPr>
              </w:pPr>
              <w:r>
                <w:rPr>
                  <w:rFonts w:hint="eastAsia"/>
                  <w:bCs w:val="0"/>
                </w:rPr>
                <w:t>建国初期，我国取向硅钢主要依赖于向日本、美国、德国等国际厂商采购，</w:t>
              </w:r>
              <w:r>
                <w:rPr>
                  <w:rFonts w:ascii="Calibri" w:hAnsi="Calibri" w:cs="Calibri" w:hint="eastAsia"/>
                  <w:bCs w:val="0"/>
                </w:rPr>
                <w:t>1974</w:t>
              </w:r>
              <w:r>
                <w:rPr>
                  <w:rFonts w:hint="eastAsia"/>
                  <w:bCs w:val="0"/>
                </w:rPr>
                <w:t>年武汉钢铁（集团）有限公司自日本引进了全套一般取向硅钢装备和技术，并于</w:t>
              </w:r>
              <w:r>
                <w:rPr>
                  <w:rFonts w:ascii="Calibri" w:hAnsi="Calibri" w:cs="Calibri" w:hint="eastAsia"/>
                  <w:bCs w:val="0"/>
                </w:rPr>
                <w:t>1978</w:t>
              </w:r>
              <w:r>
                <w:rPr>
                  <w:rFonts w:hint="eastAsia"/>
                  <w:bCs w:val="0"/>
                </w:rPr>
                <w:t>年建成投产。</w:t>
              </w:r>
              <w:r>
                <w:rPr>
                  <w:rFonts w:ascii="Calibri" w:hAnsi="Calibri" w:cs="Calibri" w:hint="eastAsia"/>
                  <w:bCs w:val="0"/>
                </w:rPr>
                <w:t>1995</w:t>
              </w:r>
              <w:r>
                <w:rPr>
                  <w:rFonts w:hint="eastAsia"/>
                  <w:bCs w:val="0"/>
                </w:rPr>
                <w:t>年，</w:t>
              </w:r>
              <w:r>
                <w:rPr>
                  <w:rFonts w:hint="eastAsia"/>
                  <w:bCs w:val="0"/>
                </w:rPr>
                <w:lastRenderedPageBreak/>
                <w:t>武汉钢铁（集团）有限公司自日本引进了高磁感取向硅钢生产设备和技术。</w:t>
              </w:r>
              <w:r>
                <w:rPr>
                  <w:rFonts w:ascii="Calibri" w:hAnsi="Calibri" w:cs="Calibri" w:hint="eastAsia"/>
                  <w:bCs w:val="0"/>
                </w:rPr>
                <w:t>2007</w:t>
              </w:r>
              <w:r>
                <w:rPr>
                  <w:rFonts w:hint="eastAsia"/>
                  <w:bCs w:val="0"/>
                </w:rPr>
                <w:t>年底，我国仅有武汉钢铁（集团）有限公司可以生产取向硅钢，国内需求一半以上依赖进口。随着国内电网大规模建设，电力变压器需求相应以较大幅度增长，取向硅钢整体供不应求的局面较大程度抑制了电力变压器及铁心制造行业的市场化发展。</w:t>
              </w:r>
              <w:r>
                <w:rPr>
                  <w:rFonts w:ascii="Calibri" w:hAnsi="Calibri" w:cs="Calibri" w:hint="eastAsia"/>
                  <w:bCs w:val="0"/>
                </w:rPr>
                <w:t>2007</w:t>
              </w:r>
              <w:r>
                <w:rPr>
                  <w:rFonts w:hint="eastAsia"/>
                  <w:bCs w:val="0"/>
                </w:rPr>
                <w:t>年以后，武汉钢铁（集团）有限公司逐步进行产能扩张，宝钢集团有限公司、首钢集团有限公司等厂商纷纷投资建设取向硅钢生产线，我国取向硅钢产能大幅提高。</w:t>
              </w:r>
            </w:p>
            <w:p w:rsidR="00597370" w:rsidRDefault="003C2EEE">
              <w:pPr>
                <w:widowControl w:val="0"/>
                <w:spacing w:line="360" w:lineRule="auto"/>
                <w:ind w:firstLineChars="200" w:firstLine="420"/>
                <w:jc w:val="both"/>
                <w:rPr>
                  <w:rFonts w:ascii="Calibri" w:hAnsi="Calibri"/>
                  <w:bCs w:val="0"/>
                </w:rPr>
              </w:pPr>
              <w:r>
                <w:rPr>
                  <w:rFonts w:hint="eastAsia"/>
                  <w:bCs w:val="0"/>
                </w:rPr>
                <w:t>目前我国已生产出多规格、多牌号、更低铁损、更高磁感的取向硅钢，满足了国家电力工业高质量发展和电力变压器能效升级的需要。在我国特高压电网建设中，高磁感取向硅钢发挥了重要的作用。在这期间，我国经历了从依赖进口高磁感取向硅钢到基本使用国产高磁感取向硅钢的巨变。</w:t>
              </w:r>
            </w:p>
            <w:p w:rsidR="00597370" w:rsidRDefault="003C2EEE">
              <w:pPr>
                <w:widowControl w:val="0"/>
                <w:spacing w:line="360" w:lineRule="auto"/>
                <w:ind w:firstLineChars="200" w:firstLine="420"/>
                <w:jc w:val="both"/>
                <w:rPr>
                  <w:rFonts w:ascii="Calibri" w:hAnsi="Calibri"/>
                  <w:bCs w:val="0"/>
                </w:rPr>
              </w:pPr>
              <w:r>
                <w:rPr>
                  <w:rFonts w:hint="eastAsia"/>
                  <w:bCs w:val="0"/>
                </w:rPr>
                <w:t>根据《中华人民共和国反倾销条例》的规定，国务院关税税则委员会决定自</w:t>
              </w:r>
              <w:r>
                <w:rPr>
                  <w:rFonts w:ascii="Calibri" w:hAnsi="Calibri" w:cs="Calibri" w:hint="eastAsia"/>
                  <w:bCs w:val="0"/>
                </w:rPr>
                <w:t>2022</w:t>
              </w:r>
              <w:r>
                <w:rPr>
                  <w:rFonts w:hint="eastAsia"/>
                  <w:bCs w:val="0"/>
                </w:rPr>
                <w:t>年</w:t>
              </w:r>
              <w:r>
                <w:rPr>
                  <w:rFonts w:ascii="Calibri" w:hAnsi="Calibri" w:cs="Calibri" w:hint="eastAsia"/>
                  <w:bCs w:val="0"/>
                </w:rPr>
                <w:t>7</w:t>
              </w:r>
              <w:r>
                <w:rPr>
                  <w:rFonts w:hint="eastAsia"/>
                  <w:bCs w:val="0"/>
                </w:rPr>
                <w:t>月</w:t>
              </w:r>
              <w:r>
                <w:rPr>
                  <w:rFonts w:ascii="Calibri" w:hAnsi="Calibri" w:cs="Calibri" w:hint="eastAsia"/>
                  <w:bCs w:val="0"/>
                </w:rPr>
                <w:t>23</w:t>
              </w:r>
              <w:r>
                <w:rPr>
                  <w:rFonts w:hint="eastAsia"/>
                  <w:bCs w:val="0"/>
                </w:rPr>
                <w:t>日起，对原产于日本、韩国和欧盟的进口取向电工钢继续征收反倾销税，实施期限为</w:t>
              </w:r>
              <w:r>
                <w:rPr>
                  <w:rFonts w:ascii="Calibri" w:hAnsi="Calibri" w:cs="Calibri" w:hint="eastAsia"/>
                  <w:bCs w:val="0"/>
                </w:rPr>
                <w:t>5</w:t>
              </w:r>
              <w:r>
                <w:rPr>
                  <w:rFonts w:hint="eastAsia"/>
                  <w:bCs w:val="0"/>
                </w:rPr>
                <w:t>年。商务部发布了</w:t>
              </w:r>
              <w:r>
                <w:rPr>
                  <w:rFonts w:ascii="Calibri" w:hAnsi="Calibri" w:cs="Calibri" w:hint="eastAsia"/>
                  <w:bCs w:val="0"/>
                </w:rPr>
                <w:t>2022</w:t>
              </w:r>
              <w:r>
                <w:rPr>
                  <w:rFonts w:hint="eastAsia"/>
                  <w:bCs w:val="0"/>
                </w:rPr>
                <w:t>年第</w:t>
              </w:r>
              <w:r>
                <w:rPr>
                  <w:rFonts w:ascii="Calibri" w:hAnsi="Calibri" w:cs="Calibri" w:hint="eastAsia"/>
                  <w:bCs w:val="0"/>
                </w:rPr>
                <w:t>22</w:t>
              </w:r>
              <w:r>
                <w:rPr>
                  <w:rFonts w:hint="eastAsia"/>
                  <w:bCs w:val="0"/>
                </w:rPr>
                <w:t>号公告，明确了实施反倾销措施产品的具体商品范围和相应的反倾销税率。</w:t>
              </w:r>
            </w:p>
            <w:p w:rsidR="00597370" w:rsidRDefault="003C2EEE">
              <w:pPr>
                <w:widowControl w:val="0"/>
                <w:spacing w:line="360" w:lineRule="auto"/>
                <w:ind w:firstLineChars="200" w:firstLine="420"/>
                <w:jc w:val="both"/>
                <w:rPr>
                  <w:bCs w:val="0"/>
                </w:rPr>
              </w:pPr>
              <w:r>
                <w:rPr>
                  <w:rFonts w:hint="eastAsia"/>
                  <w:bCs w:val="0"/>
                </w:rPr>
                <w:t>随着国家“双碳”政策和《变压器能效提升计划（</w:t>
              </w:r>
              <w:r>
                <w:rPr>
                  <w:rFonts w:ascii="Calibri" w:hAnsi="Calibri" w:cs="Calibri" w:hint="eastAsia"/>
                  <w:bCs w:val="0"/>
                </w:rPr>
                <w:t>2021</w:t>
              </w:r>
              <w:r>
                <w:rPr>
                  <w:rFonts w:hint="eastAsia"/>
                  <w:bCs w:val="0"/>
                </w:rPr>
                <w:t>年—</w:t>
              </w:r>
              <w:r>
                <w:rPr>
                  <w:rFonts w:ascii="Calibri" w:hAnsi="Calibri" w:cs="Calibri" w:hint="eastAsia"/>
                  <w:bCs w:val="0"/>
                </w:rPr>
                <w:t>2023</w:t>
              </w:r>
              <w:r>
                <w:rPr>
                  <w:rFonts w:hint="eastAsia"/>
                  <w:bCs w:val="0"/>
                </w:rPr>
                <w:t>年）》的政策发布和新能源光伏、风电、充电桩、特高压、轨道交通、数据中心、新型基础设施等新兴产业的投资以及“一带一路”倡议拉动相关行业发展，取向硅钢需求迅猛增长。</w:t>
              </w:r>
            </w:p>
            <w:p w:rsidR="00597370" w:rsidRDefault="003C2EEE">
              <w:pPr>
                <w:widowControl w:val="0"/>
                <w:spacing w:line="360" w:lineRule="auto"/>
                <w:ind w:firstLineChars="200" w:firstLine="420"/>
                <w:jc w:val="both"/>
                <w:rPr>
                  <w:bCs w:val="0"/>
                </w:rPr>
              </w:pPr>
              <w:r>
                <w:rPr>
                  <w:rFonts w:hint="eastAsia"/>
                  <w:bCs w:val="0"/>
                </w:rPr>
                <w:t>在国家政策和各类标准的带动下，近年来取向硅钢，特别是高牌号取向硅钢发展呈现新趋势，从历年取向硅钢价格走势看，价格涨跌基本形成了</w:t>
              </w:r>
              <w:r>
                <w:rPr>
                  <w:rFonts w:ascii="Calibri" w:hAnsi="Calibri" w:cs="Calibri" w:hint="eastAsia"/>
                  <w:bCs w:val="0"/>
                </w:rPr>
                <w:t>3</w:t>
              </w:r>
              <w:r>
                <w:rPr>
                  <w:rFonts w:hint="eastAsia"/>
                  <w:bCs w:val="0"/>
                </w:rPr>
                <w:t>至</w:t>
              </w:r>
              <w:r>
                <w:rPr>
                  <w:rFonts w:ascii="Calibri" w:hAnsi="Calibri" w:cs="Calibri" w:hint="eastAsia"/>
                  <w:bCs w:val="0"/>
                </w:rPr>
                <w:t>5</w:t>
              </w:r>
              <w:r>
                <w:rPr>
                  <w:rFonts w:hint="eastAsia"/>
                  <w:bCs w:val="0"/>
                </w:rPr>
                <w:t>年一次波动的规律，随着电力变压器能效升级的推进，预计未来一般取向硅钢的市场需求会继续减少，高磁感取向硅钢需求增加，取向硅钢价格在经历市场调整后将趋向稳定。</w:t>
              </w:r>
            </w:p>
            <w:p w:rsidR="00597370" w:rsidRDefault="003C2EEE">
              <w:pPr>
                <w:widowControl w:val="0"/>
                <w:spacing w:line="360" w:lineRule="auto"/>
                <w:ind w:firstLineChars="200" w:firstLine="420"/>
                <w:jc w:val="both"/>
                <w:rPr>
                  <w:bCs w:val="0"/>
                </w:rPr>
              </w:pPr>
              <w:r>
                <w:rPr>
                  <w:rFonts w:hint="eastAsia"/>
                  <w:bCs w:val="0"/>
                </w:rPr>
                <w:t>20</w:t>
              </w:r>
              <w:r>
                <w:rPr>
                  <w:bCs w:val="0"/>
                </w:rPr>
                <w:t>24</w:t>
              </w:r>
              <w:r>
                <w:rPr>
                  <w:rFonts w:hint="eastAsia"/>
                  <w:bCs w:val="0"/>
                </w:rPr>
                <w:t>年上半年，我国硅钢市场整体在产量和产能增速上均放缓。根据中国金属学会电工分会统计数据，2</w:t>
              </w:r>
              <w:r>
                <w:rPr>
                  <w:bCs w:val="0"/>
                </w:rPr>
                <w:t>024</w:t>
              </w:r>
              <w:r>
                <w:rPr>
                  <w:rFonts w:hint="eastAsia"/>
                  <w:bCs w:val="0"/>
                </w:rPr>
                <w:t>年上半年我国取向硅钢产量为1</w:t>
              </w:r>
              <w:r>
                <w:rPr>
                  <w:bCs w:val="0"/>
                </w:rPr>
                <w:t>38.5</w:t>
              </w:r>
              <w:r>
                <w:rPr>
                  <w:rFonts w:hint="eastAsia"/>
                  <w:bCs w:val="0"/>
                </w:rPr>
                <w:t>万吨，年化增量为1</w:t>
              </w:r>
              <w:r>
                <w:rPr>
                  <w:bCs w:val="0"/>
                </w:rPr>
                <w:t>3.2</w:t>
              </w:r>
              <w:r>
                <w:rPr>
                  <w:rFonts w:hint="eastAsia"/>
                  <w:bCs w:val="0"/>
                </w:rPr>
                <w:t>万吨，增幅5</w:t>
              </w:r>
              <w:r>
                <w:rPr>
                  <w:bCs w:val="0"/>
                </w:rPr>
                <w:t>%</w:t>
              </w:r>
              <w:r>
                <w:rPr>
                  <w:rFonts w:hint="eastAsia"/>
                  <w:bCs w:val="0"/>
                </w:rPr>
                <w:t>；全国产能为3</w:t>
              </w:r>
              <w:r>
                <w:rPr>
                  <w:bCs w:val="0"/>
                </w:rPr>
                <w:t>18</w:t>
              </w:r>
              <w:r>
                <w:rPr>
                  <w:rFonts w:hint="eastAsia"/>
                  <w:bCs w:val="0"/>
                </w:rPr>
                <w:t>万吨，环比增加4</w:t>
              </w:r>
              <w:r>
                <w:rPr>
                  <w:bCs w:val="0"/>
                </w:rPr>
                <w:t>3</w:t>
              </w:r>
              <w:r>
                <w:rPr>
                  <w:rFonts w:hint="eastAsia"/>
                  <w:bCs w:val="0"/>
                </w:rPr>
                <w:t>万吨，增速放缓。</w:t>
              </w:r>
            </w:p>
            <w:p w:rsidR="00597370" w:rsidRDefault="003C2EEE">
              <w:pPr>
                <w:widowControl w:val="0"/>
                <w:spacing w:line="360" w:lineRule="auto"/>
                <w:ind w:firstLineChars="200" w:firstLine="420"/>
                <w:jc w:val="both"/>
                <w:rPr>
                  <w:bCs w:val="0"/>
                  <w:color w:val="FF0000"/>
                </w:rPr>
              </w:pPr>
              <w:r>
                <w:rPr>
                  <w:rFonts w:hint="eastAsia"/>
                  <w:bCs w:val="0"/>
                </w:rPr>
                <w:t>随着新能源汽车、高能效电力变压器及工业电机、抽水蓄能大型发电机等市场处于增量通道，硅钢整体表观需求呈现增长态势，其中也存在高等级的结构性机会。然而，随着资本市场及行业投资人的关注增加，高于需求增速的产能增速正在形成，这一方面导致整个行业供需态势正在向结构性过剩演变，一方面也是为进入新赛道的中国硅钢高质量发展注入新的潜能和动能。</w:t>
              </w:r>
            </w:p>
            <w:p w:rsidR="00597370" w:rsidRDefault="003C2EEE">
              <w:pPr>
                <w:widowControl w:val="0"/>
                <w:spacing w:line="360" w:lineRule="auto"/>
                <w:ind w:firstLineChars="200" w:firstLine="420"/>
                <w:jc w:val="both"/>
                <w:outlineLvl w:val="4"/>
                <w:rPr>
                  <w:rFonts w:ascii="Calibri" w:hAnsi="Calibri"/>
                  <w:bCs w:val="0"/>
                </w:rPr>
              </w:pPr>
              <w:r>
                <w:rPr>
                  <w:rFonts w:hint="eastAsia"/>
                  <w:bCs w:val="0"/>
                </w:rPr>
                <w:t>（</w:t>
              </w:r>
              <w:r>
                <w:rPr>
                  <w:rFonts w:ascii="Calibri" w:hAnsi="Calibri" w:cs="Calibri" w:hint="eastAsia"/>
                  <w:bCs w:val="0"/>
                </w:rPr>
                <w:t>3</w:t>
              </w:r>
              <w:r>
                <w:rPr>
                  <w:rFonts w:hint="eastAsia"/>
                  <w:bCs w:val="0"/>
                </w:rPr>
                <w:t>）公司行业地位</w:t>
              </w:r>
            </w:p>
            <w:p w:rsidR="00597370" w:rsidRDefault="003C2EEE">
              <w:pPr>
                <w:widowControl w:val="0"/>
                <w:spacing w:line="360" w:lineRule="auto"/>
                <w:ind w:firstLineChars="200" w:firstLine="420"/>
                <w:jc w:val="both"/>
                <w:rPr>
                  <w:rFonts w:ascii="Calibri" w:hAnsi="Calibri"/>
                  <w:bCs w:val="0"/>
                </w:rPr>
              </w:pPr>
              <w:r>
                <w:rPr>
                  <w:rFonts w:hint="eastAsia"/>
                  <w:bCs w:val="0"/>
                </w:rPr>
                <w:t>取向硅钢，尤其是高磁感取向硅钢，因工艺窗口参数控制技术壁垒较高，国内能够生产高磁感取向硅钢的企业较少，行业内企业主要集中在大型的国有钢铁企业和较少数的民营企业。</w:t>
              </w:r>
            </w:p>
            <w:p w:rsidR="00597370" w:rsidRDefault="003C2EEE">
              <w:pPr>
                <w:widowControl w:val="0"/>
                <w:spacing w:line="360" w:lineRule="auto"/>
                <w:ind w:firstLineChars="200" w:firstLine="420"/>
                <w:jc w:val="both"/>
                <w:rPr>
                  <w:bCs w:val="0"/>
                </w:rPr>
              </w:pPr>
              <w:r>
                <w:rPr>
                  <w:rFonts w:hint="eastAsia"/>
                  <w:bCs w:val="0"/>
                </w:rPr>
                <w:t>根据电工钢分会关于《</w:t>
              </w:r>
              <w:r>
                <w:rPr>
                  <w:rFonts w:ascii="Calibri" w:hAnsi="Calibri" w:cs="Calibri"/>
                  <w:bCs w:val="0"/>
                </w:rPr>
                <w:t>2023</w:t>
              </w:r>
              <w:r>
                <w:rPr>
                  <w:rFonts w:cs="Calibri" w:hint="eastAsia"/>
                  <w:bCs w:val="0"/>
                </w:rPr>
                <w:t>年</w:t>
              </w:r>
              <w:r>
                <w:rPr>
                  <w:rFonts w:hint="eastAsia"/>
                  <w:bCs w:val="0"/>
                </w:rPr>
                <w:t>中国电工钢产业发展报告》，2023年我国取向硅钢产量263.7万吨，同比增量46.3万吨，增长21%；这是在2022年历史上第一次跨过200万吨产量里程碑后连续第二次大幅度提升；2023年我国民营取向硅钢厂合计产量 118.2万吨、产量占比44%，同比提升3个百分点。2023年取向硅钢在产企业数量27家（按生产法人口径），环比增加3家，其</w:t>
              </w:r>
              <w:r>
                <w:rPr>
                  <w:rFonts w:hint="eastAsia"/>
                  <w:bCs w:val="0"/>
                </w:rPr>
                <w:lastRenderedPageBreak/>
                <w:t>中18家产量上升。2</w:t>
              </w:r>
              <w:r>
                <w:rPr>
                  <w:bCs w:val="0"/>
                </w:rPr>
                <w:t>024</w:t>
              </w:r>
              <w:r>
                <w:rPr>
                  <w:rFonts w:hint="eastAsia"/>
                  <w:bCs w:val="0"/>
                </w:rPr>
                <w:t>年上半年公司保持民营企业头部领先企业地位。</w:t>
              </w:r>
            </w:p>
            <w:p w:rsidR="00597370" w:rsidRDefault="003C2EEE">
              <w:pPr>
                <w:spacing w:line="360" w:lineRule="auto"/>
                <w:ind w:firstLineChars="200" w:firstLine="420"/>
                <w:rPr>
                  <w:bCs w:val="0"/>
                </w:rPr>
              </w:pPr>
              <w:r>
                <w:rPr>
                  <w:rFonts w:hint="eastAsia"/>
                  <w:bCs w:val="0"/>
                </w:rPr>
                <w:t>公司取向硅钢产品被中国金属学会评审认为“性能国内领先”，在国内享有良好知名度，产品质量可与国有大型钢铁企业媲美。公司取向硅钢主要销往华东、华南和西南地区，并远销东南亚、中东、非洲、欧洲、南美洲、北美洲等市场。公司取向硅钢</w:t>
              </w:r>
              <w:proofErr w:type="gramStart"/>
              <w:r>
                <w:rPr>
                  <w:rFonts w:hint="eastAsia"/>
                  <w:bCs w:val="0"/>
                </w:rPr>
                <w:t>版块</w:t>
              </w:r>
              <w:proofErr w:type="gramEnd"/>
              <w:r>
                <w:rPr>
                  <w:rFonts w:hint="eastAsia"/>
                  <w:bCs w:val="0"/>
                </w:rPr>
                <w:t>国内客户主要有正泰电气股份有限公司、中国电气装备集团有限公司等；海外客户主要包括TROM ENERJI YATIRIMLARI A.S.（土耳其特罗姆能源投资）、MARUBENI-ITOCHU STEEL INC（伊藤忠丸红钢铁公司）、MANGAL ELECTRICAL INDUSTRIES PRIVATE LIMITED（印度曼加尔电气）、POSCO INTERNATIONAL CORPORATION（浦项国际贸易）等。</w:t>
              </w:r>
            </w:p>
            <w:p w:rsidR="00597370" w:rsidRDefault="003C2EEE">
              <w:pPr>
                <w:widowControl w:val="0"/>
                <w:spacing w:line="360" w:lineRule="auto"/>
                <w:ind w:firstLineChars="200" w:firstLine="420"/>
                <w:jc w:val="both"/>
                <w:outlineLvl w:val="2"/>
                <w:rPr>
                  <w:rFonts w:ascii="Calibri" w:hAnsi="Calibri"/>
                  <w:bCs w:val="0"/>
                </w:rPr>
              </w:pPr>
              <w:r>
                <w:rPr>
                  <w:rFonts w:hint="eastAsia"/>
                  <w:bCs w:val="0"/>
                </w:rPr>
                <w:t>（二）公司主营业务相关行业与国家及地方战略之间的关系</w:t>
              </w:r>
            </w:p>
            <w:p w:rsidR="00597370" w:rsidRDefault="003C2EEE">
              <w:pPr>
                <w:widowControl w:val="0"/>
                <w:spacing w:line="360" w:lineRule="auto"/>
                <w:ind w:firstLineChars="200" w:firstLine="420"/>
                <w:jc w:val="both"/>
                <w:outlineLvl w:val="3"/>
                <w:rPr>
                  <w:bCs w:val="0"/>
                </w:rPr>
              </w:pPr>
              <w:r>
                <w:rPr>
                  <w:rFonts w:ascii="Calibri" w:hAnsi="Calibri" w:cs="Calibri" w:hint="eastAsia"/>
                  <w:bCs w:val="0"/>
                </w:rPr>
                <w:t>1</w:t>
              </w:r>
              <w:r>
                <w:rPr>
                  <w:rFonts w:hint="eastAsia"/>
                  <w:bCs w:val="0"/>
                </w:rPr>
                <w:t>、党的“二十大”报告关于加快建设制造强国的意见，为公司两大主营业务指明了方向和路径</w:t>
              </w:r>
            </w:p>
            <w:p w:rsidR="00597370" w:rsidRDefault="003C2EEE">
              <w:pPr>
                <w:widowControl w:val="0"/>
                <w:spacing w:line="360" w:lineRule="auto"/>
                <w:ind w:firstLineChars="200" w:firstLine="420"/>
                <w:jc w:val="both"/>
                <w:rPr>
                  <w:rFonts w:ascii="Calibri" w:hAnsi="Calibri"/>
                  <w:bCs w:val="0"/>
                </w:rPr>
              </w:pPr>
              <w:r>
                <w:rPr>
                  <w:rFonts w:hint="eastAsia"/>
                  <w:bCs w:val="0"/>
                </w:rPr>
                <w:t>党的“二十大”报告指出，“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安全发展的领域加快补齐短板，提升战略性资源供应保障能力”“推动战略性新兴产业融合集群发展，构建新一代信息技术、人工智能、生物技术、新能源、新材料、高端装备、绿色环保等一批新的增长引擎”。</w:t>
              </w:r>
            </w:p>
            <w:p w:rsidR="00597370" w:rsidRDefault="003C2EEE">
              <w:pPr>
                <w:widowControl w:val="0"/>
                <w:spacing w:line="360" w:lineRule="auto"/>
                <w:ind w:firstLineChars="200" w:firstLine="420"/>
                <w:jc w:val="both"/>
                <w:rPr>
                  <w:bCs w:val="0"/>
                </w:rPr>
              </w:pPr>
              <w:r>
                <w:rPr>
                  <w:rFonts w:hint="eastAsia"/>
                  <w:bCs w:val="0"/>
                </w:rPr>
                <w:t>公司所从事的取向硅钢、输配电及控制设备行业属于上述报告关于战略性新兴产业融合集群中的“新材料”和“高端装备”，公司两大主营业务</w:t>
              </w:r>
              <w:proofErr w:type="gramStart"/>
              <w:r>
                <w:rPr>
                  <w:rFonts w:hint="eastAsia"/>
                  <w:bCs w:val="0"/>
                </w:rPr>
                <w:t>均服务</w:t>
              </w:r>
              <w:proofErr w:type="gramEnd"/>
              <w:r>
                <w:rPr>
                  <w:rFonts w:hint="eastAsia"/>
                  <w:bCs w:val="0"/>
                </w:rPr>
                <w:t>于中国制造强国战略。</w:t>
              </w:r>
            </w:p>
            <w:p w:rsidR="00597370" w:rsidRDefault="003C2EEE">
              <w:pPr>
                <w:pStyle w:val="4"/>
                <w:spacing w:before="0" w:after="0" w:line="360" w:lineRule="auto"/>
                <w:ind w:firstLineChars="200" w:firstLine="420"/>
                <w:rPr>
                  <w:rFonts w:ascii="宋体" w:hAnsi="宋体" w:cs="宋体"/>
                  <w:b w:val="0"/>
                  <w:kern w:val="0"/>
                  <w:szCs w:val="21"/>
                </w:rPr>
              </w:pPr>
              <w:r>
                <w:rPr>
                  <w:rFonts w:ascii="宋体" w:hAnsi="宋体" w:cs="宋体"/>
                  <w:b w:val="0"/>
                  <w:kern w:val="0"/>
                  <w:szCs w:val="21"/>
                </w:rPr>
                <w:t>2</w:t>
              </w:r>
              <w:r>
                <w:rPr>
                  <w:rFonts w:ascii="宋体" w:hAnsi="宋体" w:cs="宋体" w:hint="eastAsia"/>
                  <w:b w:val="0"/>
                  <w:kern w:val="0"/>
                  <w:szCs w:val="21"/>
                </w:rPr>
                <w:t>、中共中央政治局</w:t>
              </w:r>
              <w:r>
                <w:rPr>
                  <w:rFonts w:ascii="宋体" w:hAnsi="宋体" w:cs="宋体"/>
                  <w:b w:val="0"/>
                  <w:kern w:val="0"/>
                  <w:szCs w:val="21"/>
                </w:rPr>
                <w:t>2024</w:t>
              </w:r>
              <w:r>
                <w:rPr>
                  <w:rFonts w:ascii="宋体" w:hAnsi="宋体" w:cs="宋体" w:hint="eastAsia"/>
                  <w:b w:val="0"/>
                  <w:kern w:val="0"/>
                  <w:szCs w:val="21"/>
                </w:rPr>
                <w:t>年8月2</w:t>
              </w:r>
              <w:r>
                <w:rPr>
                  <w:rFonts w:ascii="宋体" w:hAnsi="宋体" w:cs="宋体"/>
                  <w:b w:val="0"/>
                  <w:kern w:val="0"/>
                  <w:szCs w:val="21"/>
                </w:rPr>
                <w:t>3</w:t>
              </w:r>
              <w:r>
                <w:rPr>
                  <w:rFonts w:ascii="宋体" w:hAnsi="宋体" w:cs="宋体" w:hint="eastAsia"/>
                  <w:b w:val="0"/>
                  <w:kern w:val="0"/>
                  <w:szCs w:val="21"/>
                </w:rPr>
                <w:t>日召开会议审议的《进一步推动西部大开发形成新格局的若干政策措施》，将持续推进公司在西部区域的业务持续增长</w:t>
              </w:r>
            </w:p>
            <w:p w:rsidR="00597370" w:rsidRDefault="003C2EEE">
              <w:pPr>
                <w:widowControl w:val="0"/>
                <w:spacing w:line="360" w:lineRule="auto"/>
                <w:ind w:firstLineChars="200" w:firstLine="420"/>
                <w:jc w:val="both"/>
                <w:outlineLvl w:val="3"/>
                <w:rPr>
                  <w:rFonts w:ascii="Arial" w:hAnsi="Arial" w:cs="Arial"/>
                  <w:color w:val="222222"/>
                  <w:shd w:val="clear" w:color="auto" w:fill="FFFFFF"/>
                </w:rPr>
              </w:pPr>
              <w:r>
                <w:rPr>
                  <w:rFonts w:ascii="Arial" w:hAnsi="Arial" w:cs="Arial" w:hint="eastAsia"/>
                  <w:color w:val="222222"/>
                  <w:shd w:val="clear" w:color="auto" w:fill="FFFFFF"/>
                </w:rPr>
                <w:t>会议强调“要坚持高水平保护，深入推进美丽西部建设，统筹推进山水林田湖草沙一体化保护和系统治理，深入开展环境污染防治，推进绿色低碳发展。要持续提升发展内生动力，提升开放型经济水平。要加强重点领域安全保障能力建设，强化能源资源保障，推进清洁能源基地建设”；</w:t>
              </w:r>
            </w:p>
            <w:p w:rsidR="00597370" w:rsidRDefault="003C2EEE">
              <w:pPr>
                <w:widowControl w:val="0"/>
                <w:spacing w:line="360" w:lineRule="auto"/>
                <w:ind w:firstLineChars="200" w:firstLine="420"/>
                <w:jc w:val="both"/>
                <w:outlineLvl w:val="3"/>
                <w:rPr>
                  <w:bCs w:val="0"/>
                </w:rPr>
              </w:pPr>
              <w:r>
                <w:rPr>
                  <w:rFonts w:ascii="Arial" w:hAnsi="Arial" w:cs="Arial" w:hint="eastAsia"/>
                  <w:color w:val="222222"/>
                  <w:shd w:val="clear" w:color="auto" w:fill="FFFFFF"/>
                </w:rPr>
                <w:t>公司输配电及控制设备在推进西部</w:t>
              </w:r>
              <w:r>
                <w:rPr>
                  <w:rFonts w:ascii="Arial" w:hAnsi="Arial" w:cs="Arial"/>
                  <w:color w:val="222222"/>
                  <w:shd w:val="clear" w:color="auto" w:fill="FFFFFF"/>
                </w:rPr>
                <w:t>绿色低碳发展</w:t>
              </w:r>
              <w:r>
                <w:rPr>
                  <w:rFonts w:ascii="Arial" w:hAnsi="Arial" w:cs="Arial" w:hint="eastAsia"/>
                  <w:color w:val="222222"/>
                  <w:shd w:val="clear" w:color="auto" w:fill="FFFFFF"/>
                </w:rPr>
                <w:t>、强化</w:t>
              </w:r>
              <w:r>
                <w:rPr>
                  <w:rFonts w:ascii="Arial" w:hAnsi="Arial" w:cs="Arial"/>
                  <w:color w:val="222222"/>
                  <w:shd w:val="clear" w:color="auto" w:fill="FFFFFF"/>
                </w:rPr>
                <w:t>能源资源保障，推进清洁能源基地建设</w:t>
              </w:r>
              <w:r>
                <w:rPr>
                  <w:rFonts w:ascii="Arial" w:hAnsi="Arial" w:cs="Arial" w:hint="eastAsia"/>
                  <w:color w:val="222222"/>
                  <w:shd w:val="clear" w:color="auto" w:fill="FFFFFF"/>
                </w:rPr>
                <w:t>等相关领域均将受益。</w:t>
              </w:r>
            </w:p>
            <w:p w:rsidR="00597370" w:rsidRDefault="003C2EEE">
              <w:pPr>
                <w:widowControl w:val="0"/>
                <w:spacing w:line="360" w:lineRule="auto"/>
                <w:ind w:firstLineChars="200" w:firstLine="420"/>
                <w:jc w:val="both"/>
                <w:outlineLvl w:val="3"/>
                <w:rPr>
                  <w:rFonts w:ascii="Calibri" w:hAnsi="Calibri"/>
                  <w:bCs w:val="0"/>
                </w:rPr>
              </w:pPr>
              <w:r>
                <w:rPr>
                  <w:rFonts w:hint="eastAsia"/>
                  <w:bCs w:val="0"/>
                </w:rPr>
                <w:t>3、公司的产业发展与地方产业发展规划高度契合，将助力公司未来持续高质量发展战略</w:t>
              </w:r>
            </w:p>
            <w:p w:rsidR="00597370" w:rsidRDefault="003C2EEE">
              <w:pPr>
                <w:widowControl w:val="0"/>
                <w:spacing w:line="360" w:lineRule="auto"/>
                <w:jc w:val="both"/>
                <w:rPr>
                  <w:bCs w:val="0"/>
                </w:rPr>
              </w:pPr>
              <w:r>
                <w:rPr>
                  <w:rFonts w:hint="eastAsia"/>
                  <w:bCs w:val="0"/>
                </w:rPr>
                <w:t>根据公司注册地重庆市长寿区委、区政府《关于印发〈长寿区“</w:t>
              </w:r>
              <w:r>
                <w:rPr>
                  <w:rFonts w:ascii="Calibri" w:hAnsi="Calibri" w:cs="Calibri" w:hint="eastAsia"/>
                  <w:bCs w:val="0"/>
                </w:rPr>
                <w:t>3113</w:t>
              </w:r>
              <w:r>
                <w:rPr>
                  <w:rFonts w:hint="eastAsia"/>
                  <w:bCs w:val="0"/>
                </w:rPr>
                <w:t>”项目攻坚行动计划实施意见〉的通知》（</w:t>
              </w:r>
              <w:proofErr w:type="gramStart"/>
              <w:r>
                <w:rPr>
                  <w:rFonts w:hint="eastAsia"/>
                  <w:bCs w:val="0"/>
                </w:rPr>
                <w:t>长寿委</w:t>
              </w:r>
              <w:proofErr w:type="gramEnd"/>
              <w:r>
                <w:rPr>
                  <w:rFonts w:hint="eastAsia"/>
                  <w:bCs w:val="0"/>
                </w:rPr>
                <w:t>发〔</w:t>
              </w:r>
              <w:r>
                <w:rPr>
                  <w:rFonts w:ascii="Calibri" w:hAnsi="Calibri" w:cs="Calibri" w:hint="eastAsia"/>
                  <w:bCs w:val="0"/>
                </w:rPr>
                <w:t>2022</w:t>
              </w:r>
              <w:r>
                <w:rPr>
                  <w:rFonts w:hint="eastAsia"/>
                  <w:bCs w:val="0"/>
                </w:rPr>
                <w:t>〕</w:t>
              </w:r>
              <w:r>
                <w:rPr>
                  <w:rFonts w:ascii="Calibri" w:hAnsi="Calibri" w:cs="Calibri" w:hint="eastAsia"/>
                  <w:bCs w:val="0"/>
                </w:rPr>
                <w:t>4</w:t>
              </w:r>
              <w:r>
                <w:rPr>
                  <w:rFonts w:hint="eastAsia"/>
                  <w:bCs w:val="0"/>
                </w:rPr>
                <w:t>号），长寿区将加快推进“具有全球影响力的新材料高地”建设工作，公司取向硅钢与输配电及控制设备业务与长寿区打造“具有全球影响力的新材料高地”规划高度契合。公司产业发展将迎来前所未有的历史机遇，公司将持续打造国际一流的高端磁性材料—电力装备制造—智能电网解决方案服务一体化产业链，提高自身企业的核心竞争力的同时，为长寿区域以及西南地区发展添砖加瓦。</w:t>
              </w:r>
            </w:p>
            <w:p w:rsidR="00597370" w:rsidRDefault="003C2EEE">
              <w:pPr>
                <w:widowControl w:val="0"/>
                <w:spacing w:line="360" w:lineRule="auto"/>
                <w:ind w:firstLine="200"/>
                <w:jc w:val="both"/>
                <w:outlineLvl w:val="2"/>
                <w:rPr>
                  <w:bCs w:val="0"/>
                </w:rPr>
              </w:pPr>
              <w:r>
                <w:rPr>
                  <w:rFonts w:hint="eastAsia"/>
                  <w:bCs w:val="0"/>
                </w:rPr>
                <w:t>（三）公司主要经营模式</w:t>
              </w:r>
            </w:p>
            <w:p w:rsidR="00597370" w:rsidRDefault="003C2EEE">
              <w:pPr>
                <w:pStyle w:val="affc"/>
                <w:spacing w:beforeLines="0" w:after="0" w:afterAutospacing="0"/>
                <w:ind w:firstLine="420"/>
                <w:outlineLvl w:val="3"/>
              </w:pPr>
              <w:r>
                <w:rPr>
                  <w:rFonts w:hint="eastAsia"/>
                </w:rPr>
                <w:lastRenderedPageBreak/>
                <w:t>1、采购模式</w:t>
              </w:r>
            </w:p>
            <w:p w:rsidR="00597370" w:rsidRDefault="003C2EEE">
              <w:pPr>
                <w:pStyle w:val="affc"/>
                <w:spacing w:beforeLines="0" w:after="0" w:afterAutospacing="0"/>
                <w:ind w:firstLine="420"/>
              </w:pPr>
              <w:r>
                <w:rPr>
                  <w:rFonts w:hint="eastAsia"/>
                </w:rPr>
                <w:t>公司主要采用“以销定采、标准产品适当库存”的采购模式。主要向供应商采购的原材料包括取向硅钢原料卷、取向硅钢成品卷及铁心、铜材、钢材、元器件和辅材等。公司严格按照相关制度规定的采购程序和“质量优先、兼顾价格”的原则，通过商务谈判等方式选择供应商。对于一些重要的原材料和零部件，公司与供应商签订框架协议，以获得稳定、可靠和优质的货源。具体采购主要分为以下三种方式：</w:t>
              </w:r>
            </w:p>
            <w:p w:rsidR="00597370" w:rsidRDefault="003C2EEE">
              <w:pPr>
                <w:pStyle w:val="affc"/>
                <w:spacing w:beforeLines="0" w:after="0" w:afterAutospacing="0"/>
                <w:ind w:firstLine="420"/>
                <w:outlineLvl w:val="4"/>
              </w:pPr>
              <w:r>
                <w:rPr>
                  <w:rFonts w:hint="eastAsia"/>
                </w:rPr>
                <w:t>（1）长期报价采购</w:t>
              </w:r>
            </w:p>
            <w:p w:rsidR="00597370" w:rsidRDefault="003C2EEE">
              <w:pPr>
                <w:pStyle w:val="affc"/>
                <w:spacing w:beforeLines="0" w:after="0" w:afterAutospacing="0"/>
                <w:ind w:firstLine="420"/>
              </w:pPr>
              <w:r>
                <w:rPr>
                  <w:rFonts w:hint="eastAsia"/>
                </w:rPr>
                <w:t>对于经常使用且使用量较为稳定的物资（如取向硅钢原料卷、铜材、钢材等），公司从合格供应商名单中选定一家或多家供应商签订供应商协议，一般期限为一年。在采购计划或请购需求得到批准后，公司直接根据对方的报价生成采购订单进行采购。</w:t>
              </w:r>
            </w:p>
            <w:p w:rsidR="00597370" w:rsidRDefault="003C2EEE">
              <w:pPr>
                <w:pStyle w:val="affc"/>
                <w:spacing w:beforeLines="0" w:after="0" w:afterAutospacing="0"/>
                <w:ind w:firstLine="420"/>
                <w:outlineLvl w:val="4"/>
              </w:pPr>
              <w:r>
                <w:rPr>
                  <w:rFonts w:hint="eastAsia"/>
                </w:rPr>
                <w:t>（2）议价采购</w:t>
              </w:r>
            </w:p>
            <w:p w:rsidR="00597370" w:rsidRDefault="003C2EEE">
              <w:pPr>
                <w:pStyle w:val="affc"/>
                <w:spacing w:beforeLines="0" w:after="0" w:afterAutospacing="0"/>
                <w:ind w:firstLine="420"/>
              </w:pPr>
              <w:r>
                <w:rPr>
                  <w:rFonts w:hint="eastAsia"/>
                </w:rPr>
                <w:t>对于生产经营中需要使用但市场竞争不充分的物资（</w:t>
              </w:r>
              <w:proofErr w:type="gramStart"/>
              <w:r>
                <w:rPr>
                  <w:rFonts w:hint="eastAsia"/>
                </w:rPr>
                <w:t>如非常</w:t>
              </w:r>
              <w:proofErr w:type="gramEnd"/>
              <w:r>
                <w:rPr>
                  <w:rFonts w:hint="eastAsia"/>
                </w:rPr>
                <w:t>用零部件及设备），公司主要采用议价采购的方式进行。</w:t>
              </w:r>
            </w:p>
            <w:p w:rsidR="00597370" w:rsidRDefault="003C2EEE">
              <w:pPr>
                <w:pStyle w:val="affc"/>
                <w:spacing w:beforeLines="0" w:after="0" w:afterAutospacing="0"/>
                <w:ind w:firstLine="420"/>
                <w:outlineLvl w:val="4"/>
              </w:pPr>
              <w:r>
                <w:rPr>
                  <w:rFonts w:hint="eastAsia"/>
                </w:rPr>
                <w:t>（3）成品采购</w:t>
              </w:r>
            </w:p>
            <w:p w:rsidR="00597370" w:rsidRDefault="003C2EEE">
              <w:pPr>
                <w:pStyle w:val="affc"/>
                <w:spacing w:beforeLines="0" w:after="0" w:afterAutospacing="0"/>
                <w:ind w:firstLine="420"/>
              </w:pPr>
              <w:r>
                <w:rPr>
                  <w:rFonts w:hint="eastAsia"/>
                </w:rPr>
                <w:t>为及时响应客户订单，维护市场份额，公司在自身生产能力无法满足订单的情况下会对外采购部分成品。同时，由于部分客户指定配套产品需采用瑞士ABB集团、施耐德电气等国际知名电气设备厂商产品，公司需要对外采购部分成品以符合合同要求。</w:t>
              </w:r>
            </w:p>
            <w:p w:rsidR="00597370" w:rsidRDefault="003C2EEE">
              <w:pPr>
                <w:pStyle w:val="affc"/>
                <w:spacing w:beforeLines="0" w:after="0" w:afterAutospacing="0"/>
                <w:ind w:firstLine="420"/>
                <w:outlineLvl w:val="4"/>
              </w:pPr>
              <w:r>
                <w:rPr>
                  <w:rFonts w:hint="eastAsia"/>
                </w:rPr>
                <w:t>（4）外协采购</w:t>
              </w:r>
            </w:p>
            <w:p w:rsidR="00597370" w:rsidRDefault="003C2EEE">
              <w:pPr>
                <w:pStyle w:val="affc"/>
                <w:spacing w:beforeLines="0" w:after="0" w:afterAutospacing="0"/>
                <w:ind w:firstLine="420"/>
              </w:pPr>
              <w:r>
                <w:rPr>
                  <w:rFonts w:hint="eastAsia"/>
                </w:rPr>
                <w:t>报告期内，公司外协采购业务为零部件加工、变压器加工组装等加工程序。公司拥有完整独立的资产、人员、技术体系和生产能力，主要采用自主生产模式，在公司产能饱和等情况下采取辅以外协加工的模式。</w:t>
              </w:r>
            </w:p>
            <w:p w:rsidR="00597370" w:rsidRDefault="003C2EEE">
              <w:pPr>
                <w:pStyle w:val="affc"/>
                <w:spacing w:beforeLines="0" w:after="0" w:afterAutospacing="0"/>
                <w:ind w:firstLine="420"/>
                <w:outlineLvl w:val="3"/>
              </w:pPr>
              <w:r>
                <w:rPr>
                  <w:rFonts w:hint="eastAsia"/>
                </w:rPr>
                <w:t>2、生产模式</w:t>
              </w:r>
            </w:p>
            <w:p w:rsidR="00597370" w:rsidRDefault="003C2EEE">
              <w:pPr>
                <w:pStyle w:val="affc"/>
                <w:spacing w:beforeLines="0" w:after="0" w:afterAutospacing="0"/>
                <w:ind w:firstLine="420"/>
              </w:pPr>
              <w:r>
                <w:rPr>
                  <w:rFonts w:hint="eastAsia"/>
                </w:rPr>
                <w:t>取向硅钢业务采取“以产定销”的生产模式。</w:t>
              </w:r>
            </w:p>
            <w:p w:rsidR="00597370" w:rsidRDefault="003C2EEE">
              <w:pPr>
                <w:pStyle w:val="affc"/>
                <w:spacing w:beforeLines="0" w:after="0" w:afterAutospacing="0"/>
                <w:ind w:firstLine="420"/>
              </w:pPr>
              <w:r>
                <w:rPr>
                  <w:rFonts w:hint="eastAsia"/>
                </w:rPr>
                <w:t>公司输配电及控制设备主要采用“以销定产、标准产品适当库存”的生产模式。</w:t>
              </w:r>
            </w:p>
            <w:p w:rsidR="00597370" w:rsidRDefault="003C2EEE">
              <w:pPr>
                <w:pStyle w:val="affc"/>
                <w:spacing w:beforeLines="0" w:after="0" w:afterAutospacing="0"/>
                <w:ind w:firstLine="420"/>
                <w:outlineLvl w:val="3"/>
              </w:pPr>
              <w:r>
                <w:rPr>
                  <w:rFonts w:hint="eastAsia"/>
                </w:rPr>
                <w:t>3、销售模式</w:t>
              </w:r>
            </w:p>
            <w:p w:rsidR="00597370" w:rsidRDefault="003C2EEE">
              <w:pPr>
                <w:pStyle w:val="affc"/>
                <w:spacing w:beforeLines="0" w:after="0" w:afterAutospacing="0"/>
                <w:ind w:firstLine="420"/>
              </w:pPr>
              <w:r>
                <w:rPr>
                  <w:rFonts w:hint="eastAsia"/>
                </w:rPr>
                <w:t>公司取向硅钢产品采取直销模式与贸易商相结合的销售模式，输配电及控制设备产品主要采取直销模式。</w:t>
              </w:r>
            </w:p>
            <w:p w:rsidR="00597370" w:rsidRDefault="003C2EEE">
              <w:pPr>
                <w:pStyle w:val="affc"/>
                <w:spacing w:beforeLines="0" w:after="0" w:afterAutospacing="0"/>
                <w:ind w:firstLine="420"/>
                <w:outlineLvl w:val="4"/>
              </w:pPr>
              <w:r>
                <w:rPr>
                  <w:rFonts w:hint="eastAsia"/>
                </w:rPr>
                <w:t>（1）取向硅钢产品</w:t>
              </w:r>
            </w:p>
            <w:p w:rsidR="00597370" w:rsidRDefault="003C2EEE">
              <w:pPr>
                <w:pStyle w:val="affc"/>
                <w:spacing w:beforeLines="0" w:after="0" w:afterAutospacing="0"/>
                <w:ind w:firstLine="420"/>
              </w:pPr>
              <w:r>
                <w:rPr>
                  <w:rFonts w:hint="eastAsia"/>
                </w:rPr>
                <w:t>公司取向硅钢产品销售采取直销模式与贸易</w:t>
              </w:r>
              <w:proofErr w:type="gramStart"/>
              <w:r>
                <w:rPr>
                  <w:rFonts w:hint="eastAsia"/>
                </w:rPr>
                <w:t>商模式相结合</w:t>
              </w:r>
              <w:proofErr w:type="gramEnd"/>
              <w:r>
                <w:rPr>
                  <w:rFonts w:hint="eastAsia"/>
                </w:rPr>
                <w:t>的销售方式。</w:t>
              </w:r>
            </w:p>
            <w:p w:rsidR="00597370" w:rsidRDefault="003C2EEE">
              <w:pPr>
                <w:pStyle w:val="affc"/>
                <w:spacing w:beforeLines="0" w:after="0" w:afterAutospacing="0"/>
                <w:ind w:firstLine="420"/>
              </w:pPr>
              <w:r>
                <w:rPr>
                  <w:rFonts w:hint="eastAsia"/>
                </w:rPr>
                <w:t>直销模式下获取的客户属于输配电及控制设备生产企业，主要通过询价、商议等方式独立获取订单；贸易</w:t>
              </w:r>
              <w:proofErr w:type="gramStart"/>
              <w:r>
                <w:rPr>
                  <w:rFonts w:hint="eastAsia"/>
                </w:rPr>
                <w:t>商模式下获取</w:t>
              </w:r>
              <w:proofErr w:type="gramEnd"/>
              <w:r>
                <w:rPr>
                  <w:rFonts w:hint="eastAsia"/>
                </w:rPr>
                <w:t>的客户是公司根据其销售渠道、客户资源、资金实力、从业经验等因素综合选择确定，公司根据贸易商指令完成交易，除产品质量问题以外，公司不参与贸易商终端客户后续管理。</w:t>
              </w:r>
            </w:p>
            <w:p w:rsidR="00597370" w:rsidRDefault="003C2EEE">
              <w:pPr>
                <w:pStyle w:val="affc"/>
                <w:spacing w:beforeLines="0" w:after="0" w:afterAutospacing="0"/>
                <w:ind w:firstLine="420"/>
                <w:outlineLvl w:val="4"/>
              </w:pPr>
              <w:r>
                <w:rPr>
                  <w:rFonts w:hint="eastAsia"/>
                </w:rPr>
                <w:t>（2）输配电及控制设备产品</w:t>
              </w:r>
            </w:p>
            <w:p w:rsidR="00597370" w:rsidRDefault="003C2EEE">
              <w:pPr>
                <w:pStyle w:val="affc"/>
                <w:spacing w:beforeLines="0" w:after="0" w:afterAutospacing="0"/>
                <w:ind w:firstLine="420"/>
              </w:pPr>
              <w:r>
                <w:rPr>
                  <w:rFonts w:hint="eastAsia"/>
                </w:rPr>
                <w:lastRenderedPageBreak/>
                <w:t>公司输配电及控制设备产品采取直销模式，公司根据产品应用领域和下游客户的特点，主要通过参与招投标、竞争性谈判等方式独立获取订单。在销售策略方面，对于国家电网公司及其附属公司、南方电网公司及其附属公司、铁路建设、地方电网及其附属企业及其他国有企业等重点国有客户，公司通过招投标及竞争性谈判的方式获得订单；除上述客户以外其他客户，公司主要通过参与询价（比价）、竞争性谈判等方式获得订单。</w:t>
              </w:r>
            </w:p>
            <w:p w:rsidR="00597370" w:rsidRDefault="003C2EEE">
              <w:pPr>
                <w:pStyle w:val="affc"/>
                <w:spacing w:beforeLines="0" w:after="0" w:afterAutospacing="0"/>
                <w:ind w:firstLine="420"/>
                <w:outlineLvl w:val="3"/>
              </w:pPr>
              <w:r>
                <w:rPr>
                  <w:rFonts w:hint="eastAsia"/>
                </w:rPr>
                <w:t>4、研发模式</w:t>
              </w:r>
            </w:p>
            <w:p w:rsidR="00597370" w:rsidRDefault="003C2EEE">
              <w:pPr>
                <w:pStyle w:val="affc"/>
                <w:spacing w:beforeLines="0" w:after="0" w:afterAutospacing="0"/>
                <w:ind w:firstLine="420"/>
              </w:pPr>
              <w:r>
                <w:rPr>
                  <w:rFonts w:hint="eastAsia"/>
                </w:rPr>
                <w:t>公司的研发模式为自主创新和联合开发相结合的方式。</w:t>
              </w:r>
            </w:p>
            <w:p w:rsidR="00597370" w:rsidRDefault="003C2EEE">
              <w:pPr>
                <w:pStyle w:val="affc"/>
                <w:spacing w:beforeLines="0" w:after="0" w:afterAutospacing="0"/>
                <w:ind w:firstLine="420"/>
              </w:pPr>
              <w:r>
                <w:rPr>
                  <w:rFonts w:hint="eastAsia"/>
                </w:rPr>
                <w:t>公司建立了完整的研发体系，成立了惠泽研究院，下设新材料研究所、成套电气研究所、变压器研究所。</w:t>
              </w:r>
            </w:p>
            <w:p w:rsidR="00597370" w:rsidRDefault="003C2EEE">
              <w:pPr>
                <w:pStyle w:val="affc"/>
                <w:spacing w:beforeLines="0" w:after="0" w:afterAutospacing="0"/>
                <w:ind w:firstLine="420"/>
              </w:pPr>
              <w:r>
                <w:rPr>
                  <w:rFonts w:hint="eastAsia"/>
                </w:rPr>
                <w:t>公司主要致力于高磁感取向硅钢、节能环保输配电及控制设备的智能化等领域的新产品、新工艺、新技术的研发。公司注重产学研合作开发，聚集了一批海内外科研工作者，建成博士后科研工作站；与中国钢</w:t>
              </w:r>
              <w:proofErr w:type="gramStart"/>
              <w:r>
                <w:rPr>
                  <w:rFonts w:hint="eastAsia"/>
                </w:rPr>
                <w:t>研</w:t>
              </w:r>
              <w:proofErr w:type="gramEnd"/>
              <w:r>
                <w:rPr>
                  <w:rFonts w:hint="eastAsia"/>
                </w:rPr>
                <w:t>科技集团连铸技术国家工程研究中心、重庆大学和重庆理工大学有联合研发。此外，公司和湖南华菱涟源钢铁有限公司联合开展高性能磁性材料的研究开发，推动技术进步和成果转化。</w:t>
              </w:r>
            </w:p>
            <w:p w:rsidR="00597370" w:rsidRDefault="003C2EEE">
              <w:pPr>
                <w:pStyle w:val="affc"/>
                <w:spacing w:beforeLines="0" w:after="0" w:afterAutospacing="0"/>
                <w:ind w:firstLine="420"/>
              </w:pPr>
              <w:r>
                <w:rPr>
                  <w:rFonts w:hint="eastAsia"/>
                </w:rPr>
                <w:t>报告期内，公司的主要经营模式未发生重大变化。</w:t>
              </w:r>
            </w:p>
          </w:sdtContent>
        </w:sdt>
      </w:sdtContent>
    </w:sdt>
    <w:p w:rsidR="00597370" w:rsidRDefault="00597370">
      <w:pPr>
        <w:rPr>
          <w:color w:val="000000" w:themeColor="text1"/>
        </w:rPr>
      </w:pPr>
    </w:p>
    <w:p w:rsidR="00597370" w:rsidRDefault="003C2EEE">
      <w:pPr>
        <w:pStyle w:val="2"/>
        <w:numPr>
          <w:ilvl w:val="0"/>
          <w:numId w:val="7"/>
        </w:numPr>
        <w:tabs>
          <w:tab w:val="left" w:pos="426"/>
        </w:tabs>
        <w:ind w:left="422" w:hanging="422"/>
        <w:jc w:val="left"/>
        <w:rPr>
          <w:rFonts w:ascii="宋体" w:hAnsi="宋体"/>
          <w:color w:val="000000" w:themeColor="text1"/>
        </w:rPr>
      </w:pPr>
      <w:r>
        <w:rPr>
          <w:rFonts w:ascii="宋体" w:hAnsi="宋体" w:hint="eastAsia"/>
          <w:color w:val="000000" w:themeColor="text1"/>
        </w:rPr>
        <w:t xml:space="preserve"> 报告期内核心竞争力分析</w:t>
      </w:r>
    </w:p>
    <w:sdt>
      <w:sdtPr>
        <w:rPr>
          <w:color w:val="000000" w:themeColor="text1"/>
        </w:rPr>
        <w:alias w:val="是否适用：报告期内核心竞争力分析[双击切换]"/>
        <w:tag w:val="_GBC_f5e4beedb06c4dedb1da9c7f429d840e"/>
        <w:id w:val="19690073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报告期内核心竞争力分析"/>
        <w:tag w:val="_GBC_2aded0644185447a9ec788ba0b35ac4f"/>
        <w:id w:val="789557851"/>
        <w:placeholder>
          <w:docPart w:val="GBC22222222222222222222222222222"/>
        </w:placeholder>
      </w:sdtPr>
      <w:sdtEndPr>
        <w:rPr>
          <w:color w:val="000000"/>
        </w:rPr>
      </w:sdtEndPr>
      <w:sdtContent>
        <w:p w:rsidR="00597370" w:rsidRDefault="003C2EEE">
          <w:pPr>
            <w:spacing w:line="360" w:lineRule="auto"/>
            <w:ind w:firstLineChars="200" w:firstLine="420"/>
            <w:jc w:val="both"/>
            <w:rPr>
              <w:color w:val="000000" w:themeColor="text1"/>
            </w:rPr>
          </w:pPr>
          <w:r>
            <w:rPr>
              <w:rFonts w:hint="eastAsia"/>
              <w:color w:val="000000" w:themeColor="text1"/>
            </w:rPr>
            <w:t>公司秉承“铸望变品牌，创行业先锋，做百年企业”愿景，深耕输配电及控制设备行业3</w:t>
          </w:r>
          <w:r>
            <w:rPr>
              <w:color w:val="000000" w:themeColor="text1"/>
            </w:rPr>
            <w:t>0</w:t>
          </w:r>
          <w:r>
            <w:rPr>
              <w:rFonts w:hint="eastAsia"/>
              <w:color w:val="000000" w:themeColor="text1"/>
            </w:rPr>
            <w:t>年，</w:t>
          </w:r>
          <w:proofErr w:type="gramStart"/>
          <w:r>
            <w:rPr>
              <w:rFonts w:hint="eastAsia"/>
              <w:color w:val="000000" w:themeColor="text1"/>
            </w:rPr>
            <w:t>云变电气</w:t>
          </w:r>
          <w:proofErr w:type="gramEnd"/>
          <w:r>
            <w:rPr>
              <w:rFonts w:hint="eastAsia"/>
              <w:color w:val="000000" w:themeColor="text1"/>
            </w:rPr>
            <w:t>深耕铁路领域牵引变压器8</w:t>
          </w:r>
          <w:r>
            <w:rPr>
              <w:color w:val="000000" w:themeColor="text1"/>
            </w:rPr>
            <w:t>8</w:t>
          </w:r>
          <w:r>
            <w:rPr>
              <w:rFonts w:hint="eastAsia"/>
              <w:color w:val="000000" w:themeColor="text1"/>
            </w:rPr>
            <w:t>年；通过长期的生产实践和技术创新，公司掌握了高磁感取向硅钢和输配电及控制设备领域关键生产工艺及多项核心技术，建立了完整的销售体系和销售网络，在电力设备需求行业和电力变压器加工制造行业积累了广泛的客户基础。</w:t>
          </w:r>
        </w:p>
        <w:p w:rsidR="00597370" w:rsidRDefault="003C2EEE">
          <w:pPr>
            <w:spacing w:line="360" w:lineRule="auto"/>
            <w:ind w:firstLineChars="200" w:firstLine="420"/>
            <w:jc w:val="both"/>
            <w:rPr>
              <w:color w:val="000000" w:themeColor="text1"/>
            </w:rPr>
          </w:pPr>
          <w:r>
            <w:rPr>
              <w:rFonts w:hint="eastAsia"/>
              <w:color w:val="000000" w:themeColor="text1"/>
            </w:rPr>
            <w:t>公司专注于取向硅钢和输配电及控制设备的研发、生产与销售。通过在技术研发、制造工艺、质量控制、营销服务和管理效率等方面的持续努力，以产业链协同发展优势满足不同客户个性化的产品需求。</w:t>
          </w:r>
        </w:p>
        <w:p w:rsidR="00597370" w:rsidRDefault="003C2EEE">
          <w:pPr>
            <w:spacing w:line="360" w:lineRule="auto"/>
            <w:ind w:firstLineChars="200" w:firstLine="420"/>
            <w:jc w:val="both"/>
            <w:rPr>
              <w:color w:val="000000" w:themeColor="text1"/>
            </w:rPr>
          </w:pPr>
          <w:r>
            <w:rPr>
              <w:rFonts w:hint="eastAsia"/>
              <w:color w:val="000000" w:themeColor="text1"/>
            </w:rPr>
            <w:t>公司输配电及控制设备产品包括铁心加工、电力变压器、成套电气设备、箱式变电站等，</w:t>
          </w:r>
          <w:r>
            <w:rPr>
              <w:color w:val="000000" w:themeColor="text1"/>
            </w:rPr>
            <w:t>2017年公司自建的电力变压器主要原材料</w:t>
          </w:r>
          <w:r>
            <w:rPr>
              <w:rFonts w:hint="eastAsia"/>
              <w:color w:val="000000" w:themeColor="text1"/>
            </w:rPr>
            <w:t>——</w:t>
          </w:r>
          <w:r>
            <w:rPr>
              <w:color w:val="000000" w:themeColor="text1"/>
            </w:rPr>
            <w:t>取向硅钢生产线实现投产，填补了西南地区取向硅钢生产空白，是国内唯一一家打通上游关键原材料研发生产的输配电企业；公司高磁感取向硅钢的最高牌号达到</w:t>
          </w:r>
          <w:r>
            <w:rPr>
              <w:rFonts w:hint="eastAsia"/>
              <w:color w:val="000000" w:themeColor="text1"/>
            </w:rPr>
            <w:t>了</w:t>
          </w:r>
          <w:r>
            <w:rPr>
              <w:color w:val="000000" w:themeColor="text1"/>
            </w:rPr>
            <w:t>080</w:t>
          </w:r>
          <w:r>
            <w:rPr>
              <w:rFonts w:hint="eastAsia"/>
              <w:color w:val="000000" w:themeColor="text1"/>
            </w:rPr>
            <w:t>牌号</w:t>
          </w:r>
          <w:r>
            <w:rPr>
              <w:color w:val="000000" w:themeColor="text1"/>
            </w:rPr>
            <w:t>，产品质量达到国内先进水平，公司为电力变压器行业供应高端取向硅钢用材的能力进一步提升；随着公司各在建项目的推进，公司产业链日趋完整，高磁感取向硅钢生产、低铁损高磁感硅钢铁心加工制造、</w:t>
          </w:r>
          <w:r>
            <w:rPr>
              <w:rFonts w:hint="eastAsia"/>
              <w:color w:val="000000" w:themeColor="text1"/>
            </w:rPr>
            <w:t>5</w:t>
          </w:r>
          <w:r>
            <w:rPr>
              <w:color w:val="000000" w:themeColor="text1"/>
            </w:rPr>
            <w:t>00</w:t>
          </w:r>
          <w:r>
            <w:rPr>
              <w:rFonts w:hint="eastAsia"/>
              <w:color w:val="000000" w:themeColor="text1"/>
            </w:rPr>
            <w:t>k</w:t>
          </w:r>
          <w:r>
            <w:rPr>
              <w:color w:val="000000" w:themeColor="text1"/>
            </w:rPr>
            <w:t>V电力变压器生产资质取得</w:t>
          </w:r>
          <w:proofErr w:type="gramStart"/>
          <w:r>
            <w:rPr>
              <w:rFonts w:hint="eastAsia"/>
              <w:color w:val="000000" w:themeColor="text1"/>
            </w:rPr>
            <w:t>等延链补链项目</w:t>
          </w:r>
          <w:proofErr w:type="gramEnd"/>
          <w:r>
            <w:rPr>
              <w:rFonts w:hint="eastAsia"/>
              <w:color w:val="000000" w:themeColor="text1"/>
            </w:rPr>
            <w:t>顺利实施，公司核心竞争力得到了有力提升。</w:t>
          </w:r>
        </w:p>
        <w:p w:rsidR="00597370" w:rsidRDefault="003C2EEE">
          <w:pPr>
            <w:spacing w:line="360" w:lineRule="auto"/>
            <w:ind w:firstLineChars="200" w:firstLine="420"/>
            <w:jc w:val="both"/>
            <w:rPr>
              <w:color w:val="000000" w:themeColor="text1"/>
            </w:rPr>
          </w:pPr>
          <w:r>
            <w:rPr>
              <w:rFonts w:hint="eastAsia"/>
              <w:color w:val="000000" w:themeColor="text1"/>
            </w:rPr>
            <w:t>取向硅钢是输配电及控制设备的主要原材料之一，输配电及控制设备产品为取向硅钢提供产品应用体验，有利于取向硅钢的质量跟踪；取向硅钢产品结构的升级同时带动输配电及控制设备</w:t>
          </w:r>
          <w:r>
            <w:rPr>
              <w:rFonts w:hint="eastAsia"/>
              <w:color w:val="000000" w:themeColor="text1"/>
            </w:rPr>
            <w:lastRenderedPageBreak/>
            <w:t>产品的性能提升。公司具备为客户提供取向硅钢和输配电及控制设备两个行业产品运用实践经验的突出特点，两个行业产品间互相促进，协同发展，使得公司拥有较强的市场竞争力，具体如下：</w:t>
          </w:r>
        </w:p>
        <w:p w:rsidR="00597370" w:rsidRDefault="003C2EEE">
          <w:pPr>
            <w:spacing w:line="360" w:lineRule="auto"/>
            <w:jc w:val="both"/>
            <w:rPr>
              <w:color w:val="000000" w:themeColor="text1"/>
            </w:rPr>
          </w:pPr>
          <w:r>
            <w:rPr>
              <w:rFonts w:hint="eastAsia"/>
              <w:color w:val="000000" w:themeColor="text1"/>
            </w:rPr>
            <w:t>（一）产业链协同发展，一体化优势突出</w:t>
          </w:r>
        </w:p>
        <w:p w:rsidR="00597370" w:rsidRDefault="003C2EEE">
          <w:pPr>
            <w:spacing w:line="360" w:lineRule="auto"/>
            <w:ind w:firstLineChars="200" w:firstLine="420"/>
            <w:jc w:val="both"/>
            <w:rPr>
              <w:color w:val="000000" w:themeColor="text1"/>
            </w:rPr>
          </w:pPr>
          <w:r>
            <w:rPr>
              <w:rFonts w:hint="eastAsia"/>
              <w:color w:val="000000" w:themeColor="text1"/>
            </w:rPr>
            <w:t>公司深耕输配电及控制设备行业3</w:t>
          </w:r>
          <w:r>
            <w:rPr>
              <w:color w:val="000000" w:themeColor="text1"/>
            </w:rPr>
            <w:t>0</w:t>
          </w:r>
          <w:r>
            <w:rPr>
              <w:rFonts w:hint="eastAsia"/>
              <w:color w:val="000000" w:themeColor="text1"/>
            </w:rPr>
            <w:t>年，</w:t>
          </w:r>
          <w:proofErr w:type="gramStart"/>
          <w:r>
            <w:rPr>
              <w:rFonts w:hint="eastAsia"/>
              <w:color w:val="000000" w:themeColor="text1"/>
            </w:rPr>
            <w:t>云变电气</w:t>
          </w:r>
          <w:proofErr w:type="gramEnd"/>
          <w:r>
            <w:rPr>
              <w:rFonts w:hint="eastAsia"/>
              <w:color w:val="000000" w:themeColor="text1"/>
            </w:rPr>
            <w:t>深耕铁路领域牵引变压器</w:t>
          </w:r>
          <w:r>
            <w:rPr>
              <w:color w:val="000000" w:themeColor="text1"/>
            </w:rPr>
            <w:t>88年</w:t>
          </w:r>
          <w:r>
            <w:rPr>
              <w:rFonts w:hint="eastAsia"/>
              <w:color w:val="000000" w:themeColor="text1"/>
            </w:rPr>
            <w:t>，掌握了行业内关键生产工艺及多项核心技术，建立了以重庆、四川等西南地区为核心，华中地区、华南地区等区域相结合的销售网络。</w:t>
          </w:r>
          <w:r>
            <w:rPr>
              <w:color w:val="000000" w:themeColor="text1"/>
            </w:rPr>
            <w:t>2017年，公司自建取向硅钢生产线实现投产，是我国民营取向硅钢国产化的先行者，成为国内唯一打通从取向硅钢到电力变压器制造全产业链流程的企业。公司取向硅钢在满足自用的基础上，主要销往华东、华南、西南地区和国际市场，客户包括</w:t>
          </w:r>
          <w:r>
            <w:rPr>
              <w:rFonts w:hint="eastAsia"/>
              <w:color w:val="000000" w:themeColor="text1"/>
            </w:rPr>
            <w:t>TROM ENERJI YATIRIMLARI A.S.（土耳其特罗姆能源投资）、MARUBENI-ITOCHU STEEL INC（伊藤忠丸红钢铁公司）、MANGAL ELECTRICAL INDUSTRIES PRIVATE LIMITED（印度曼加尔电气）、POSCO INTERNATIONAL CORPORATION（浦项国际贸易）等</w:t>
          </w:r>
          <w:r>
            <w:rPr>
              <w:color w:val="000000" w:themeColor="text1"/>
            </w:rPr>
            <w:t>公司，是全国唯一打通上游关键原材料的输配电及控制设备企业。经过多年的发展，公司已形成高磁感取向硅钢—铁心加工—节能电力变压器—智能箱式变电站、智能成套电气设备全链条的产品群。</w:t>
          </w:r>
        </w:p>
        <w:p w:rsidR="00597370" w:rsidRDefault="003C2EEE">
          <w:pPr>
            <w:spacing w:line="360" w:lineRule="auto"/>
            <w:ind w:firstLineChars="200" w:firstLine="420"/>
            <w:jc w:val="both"/>
            <w:rPr>
              <w:color w:val="000000" w:themeColor="text1"/>
            </w:rPr>
          </w:pPr>
          <w:r>
            <w:rPr>
              <w:rFonts w:hint="eastAsia"/>
              <w:color w:val="000000" w:themeColor="text1"/>
            </w:rPr>
            <w:t>公司内部输配电控制设备业务和取向硅钢业务相互促进，协同发展，具有明显的产业链协同优势。取向硅钢是电力变压器的核心原材料，高牌号取向硅钢的供给相对不饱和，公司可自行生产高牌号取向硅钢，有效减少高牌号取向硅钢市场供应不稳定和市场价格波动的不利影响，降低了公司的采购成本，同时也强化了公司输配电及控制设备的市场竞争力。</w:t>
          </w:r>
        </w:p>
        <w:p w:rsidR="00597370" w:rsidRDefault="003C2EEE">
          <w:pPr>
            <w:spacing w:line="360" w:lineRule="auto"/>
            <w:ind w:firstLineChars="200" w:firstLine="420"/>
            <w:jc w:val="both"/>
            <w:rPr>
              <w:color w:val="000000" w:themeColor="text1"/>
            </w:rPr>
          </w:pPr>
          <w:r>
            <w:rPr>
              <w:rFonts w:hint="eastAsia"/>
              <w:color w:val="000000" w:themeColor="text1"/>
            </w:rPr>
            <w:t>另一方面，公司在取向硅钢产品和输配电及控制设备产品的结合应用经验下，使得公司对两类产品的性能优化、结构改善、生产效率提升有了充足的经验。自产取向硅钢在电力变压器中的应用经验既可促进取向硅钢的生产研发，不断提高公司取向硅钢生产技艺，又可为下游客户提供解决方案，优化输配电及控制设备产品设计，提升产品生产效率、降低生产成本，进一步增强了客户黏性。</w:t>
          </w:r>
        </w:p>
        <w:p w:rsidR="00597370" w:rsidRDefault="003C2EEE">
          <w:pPr>
            <w:spacing w:line="360" w:lineRule="auto"/>
            <w:jc w:val="both"/>
            <w:rPr>
              <w:color w:val="000000" w:themeColor="text1"/>
            </w:rPr>
          </w:pPr>
          <w:r>
            <w:rPr>
              <w:rFonts w:hint="eastAsia"/>
              <w:color w:val="000000" w:themeColor="text1"/>
            </w:rPr>
            <w:t>（二）产业</w:t>
          </w:r>
          <w:proofErr w:type="gramStart"/>
          <w:r>
            <w:rPr>
              <w:rFonts w:hint="eastAsia"/>
              <w:color w:val="000000" w:themeColor="text1"/>
            </w:rPr>
            <w:t>链全产品</w:t>
          </w:r>
          <w:proofErr w:type="gramEnd"/>
          <w:r>
            <w:rPr>
              <w:rFonts w:hint="eastAsia"/>
              <w:color w:val="000000" w:themeColor="text1"/>
            </w:rPr>
            <w:t>覆盖，一站</w:t>
          </w:r>
          <w:proofErr w:type="gramStart"/>
          <w:r>
            <w:rPr>
              <w:rFonts w:hint="eastAsia"/>
              <w:color w:val="000000" w:themeColor="text1"/>
            </w:rPr>
            <w:t>式满足</w:t>
          </w:r>
          <w:proofErr w:type="gramEnd"/>
          <w:r>
            <w:rPr>
              <w:rFonts w:hint="eastAsia"/>
              <w:color w:val="000000" w:themeColor="text1"/>
            </w:rPr>
            <w:t>客户综合需求</w:t>
          </w:r>
        </w:p>
        <w:p w:rsidR="00597370" w:rsidRDefault="003C2EEE">
          <w:pPr>
            <w:spacing w:line="360" w:lineRule="auto"/>
            <w:ind w:firstLineChars="200" w:firstLine="420"/>
            <w:jc w:val="both"/>
            <w:rPr>
              <w:color w:val="000000" w:themeColor="text1"/>
            </w:rPr>
          </w:pPr>
          <w:r>
            <w:rPr>
              <w:rFonts w:hint="eastAsia"/>
              <w:color w:val="000000" w:themeColor="text1"/>
            </w:rPr>
            <w:t>公司经过多年的发展以及新项目的建设，产品已经覆盖取向硅钢、铁心加工、干式变压器、油浸式变压器、箱式变电站和成套电气设备等。</w:t>
          </w:r>
          <w:proofErr w:type="gramStart"/>
          <w:r>
            <w:rPr>
              <w:rFonts w:hint="eastAsia"/>
              <w:color w:val="000000" w:themeColor="text1"/>
            </w:rPr>
            <w:t>随着云变电气</w:t>
          </w:r>
          <w:proofErr w:type="gramEnd"/>
          <w:r>
            <w:rPr>
              <w:rFonts w:hint="eastAsia"/>
              <w:color w:val="000000" w:themeColor="text1"/>
            </w:rPr>
            <w:t>收购工作的完成，公司生产线不断延伸、产品的电压等级不断提升；公司通过自身一站式从取向硅钢—铁心加工—电力变压器—电气设备—箱式变电站的全产业链的生产运用场景，向取向硅钢用户、输配电及控制设备用户提供多维度、多业态、多产品、多规格等不同需求运用场景的解决方案，有效减少了客户关于不同产品不同运用场景的协调沟通时间成本，降低了客户的采购成本及后期运行维护成本，产品综合竞争能力突出。</w:t>
          </w:r>
        </w:p>
        <w:p w:rsidR="00597370" w:rsidRDefault="003C2EEE">
          <w:pPr>
            <w:spacing w:line="360" w:lineRule="auto"/>
            <w:ind w:firstLineChars="200" w:firstLine="420"/>
            <w:jc w:val="both"/>
            <w:rPr>
              <w:color w:val="000000" w:themeColor="text1"/>
            </w:rPr>
          </w:pPr>
          <w:r>
            <w:rPr>
              <w:rFonts w:hint="eastAsia"/>
              <w:color w:val="000000" w:themeColor="text1"/>
            </w:rPr>
            <w:t>丰富的产品线使得公司更能满足国家电网、南方电网及其省级电力公司及其各</w:t>
          </w:r>
          <w:proofErr w:type="gramStart"/>
          <w:r>
            <w:rPr>
              <w:rFonts w:hint="eastAsia"/>
              <w:color w:val="000000" w:themeColor="text1"/>
            </w:rPr>
            <w:t>大央企</w:t>
          </w:r>
          <w:proofErr w:type="gramEnd"/>
          <w:r>
            <w:rPr>
              <w:rFonts w:hint="eastAsia"/>
              <w:color w:val="000000" w:themeColor="text1"/>
            </w:rPr>
            <w:t>国企等主要客户的一体化采购招标需求，使得公司具备从不同维</w:t>
          </w:r>
          <w:proofErr w:type="gramStart"/>
          <w:r>
            <w:rPr>
              <w:rFonts w:hint="eastAsia"/>
              <w:color w:val="000000" w:themeColor="text1"/>
            </w:rPr>
            <w:t>度满足</w:t>
          </w:r>
          <w:proofErr w:type="gramEnd"/>
          <w:r>
            <w:rPr>
              <w:rFonts w:hint="eastAsia"/>
              <w:color w:val="000000" w:themeColor="text1"/>
            </w:rPr>
            <w:t>客户需求的能力。</w:t>
          </w:r>
        </w:p>
        <w:p w:rsidR="00597370" w:rsidRDefault="003C2EEE">
          <w:pPr>
            <w:spacing w:line="360" w:lineRule="auto"/>
            <w:jc w:val="both"/>
            <w:rPr>
              <w:color w:val="000000"/>
            </w:rPr>
          </w:pPr>
          <w:r>
            <w:rPr>
              <w:rFonts w:hint="eastAsia"/>
              <w:color w:val="000000"/>
            </w:rPr>
            <w:t>（三）拳头产品突出，技术及市场占有率行业领先</w:t>
          </w:r>
        </w:p>
        <w:p w:rsidR="00597370" w:rsidRDefault="003C2EEE">
          <w:pPr>
            <w:spacing w:line="360" w:lineRule="auto"/>
            <w:ind w:firstLine="432"/>
            <w:jc w:val="both"/>
            <w:rPr>
              <w:color w:val="000000"/>
            </w:rPr>
          </w:pPr>
          <w:r>
            <w:rPr>
              <w:rFonts w:hint="eastAsia"/>
              <w:color w:val="000000"/>
            </w:rPr>
            <w:lastRenderedPageBreak/>
            <w:t>2024年公司</w:t>
          </w:r>
          <w:proofErr w:type="gramStart"/>
          <w:r>
            <w:rPr>
              <w:rFonts w:hint="eastAsia"/>
              <w:color w:val="000000"/>
            </w:rPr>
            <w:t>取得云变电气</w:t>
          </w:r>
          <w:proofErr w:type="gramEnd"/>
          <w:r>
            <w:rPr>
              <w:rFonts w:hint="eastAsia"/>
              <w:color w:val="000000"/>
            </w:rPr>
            <w:t>控制权，迈入电气化铁道牵引变压器领军企业行列。</w:t>
          </w:r>
          <w:proofErr w:type="gramStart"/>
          <w:r>
            <w:rPr>
              <w:rFonts w:hint="eastAsia"/>
              <w:color w:val="000000"/>
            </w:rPr>
            <w:t>云变电气</w:t>
          </w:r>
          <w:proofErr w:type="gramEnd"/>
          <w:r>
            <w:rPr>
              <w:rFonts w:hint="eastAsia"/>
              <w:color w:val="000000"/>
            </w:rPr>
            <w:t>始建于1936年，是国家变压器重点生产企业，主导产品为电气化铁路牵引变压器、500kV级及以下电力变压器和其他各种特型变压器，具备500kV电压等级变压器生产资质，年生产能力为3,000万kVA。</w:t>
          </w:r>
          <w:proofErr w:type="gramStart"/>
          <w:r>
            <w:rPr>
              <w:rFonts w:hint="eastAsia"/>
              <w:color w:val="000000"/>
            </w:rPr>
            <w:t>云变电气</w:t>
          </w:r>
          <w:proofErr w:type="gramEnd"/>
          <w:r>
            <w:rPr>
              <w:rFonts w:hint="eastAsia"/>
              <w:color w:val="000000"/>
            </w:rPr>
            <w:t>的</w:t>
          </w:r>
          <w:r>
            <w:rPr>
              <w:rFonts w:hint="eastAsia"/>
            </w:rPr>
            <w:t>电气化铁道牵引变压器和高原型电力变压器被评</w:t>
          </w:r>
          <w:r>
            <w:rPr>
              <w:rFonts w:hint="eastAsia"/>
              <w:color w:val="000000"/>
            </w:rPr>
            <w:t>为云南省名牌产品，高原型电力变压器技术水平国内领先，牵引变压器技术水平和市场占有率全国领先。</w:t>
          </w:r>
        </w:p>
        <w:p w:rsidR="00597370" w:rsidRDefault="003C2EEE">
          <w:pPr>
            <w:spacing w:line="360" w:lineRule="auto"/>
            <w:ind w:firstLine="432"/>
            <w:jc w:val="both"/>
            <w:rPr>
              <w:color w:val="000000"/>
            </w:rPr>
          </w:pPr>
          <w:proofErr w:type="gramStart"/>
          <w:r>
            <w:rPr>
              <w:rFonts w:hint="eastAsia"/>
              <w:color w:val="000000"/>
            </w:rPr>
            <w:t>云变电气</w:t>
          </w:r>
          <w:proofErr w:type="gramEnd"/>
          <w:r>
            <w:rPr>
              <w:rFonts w:hint="eastAsia"/>
              <w:color w:val="000000"/>
            </w:rPr>
            <w:t>自1936年开始生产变压器，上世纪60年代开始制造110kV高原型电力变压器、1996年开始生产220kV高原型电力变压器，历经多年潜心研发，高原型电力变压器一直处于国内先进水平。产品适用于高原地区输变电、水电站、风电场、太阳能电站和企业供电工程，类型涵盖500kV及以下高原型组合式变压器，产品销售至云南、贵州、四川、重庆、广西、江苏、浙江、河南、陕西、西藏、缅甸、柬埔寨、老挝、越南等，广泛用于南方电网、国家电网、各大发电公司输变电工程、风电、光伏电站项目及昆明钢铁控股有限公司、云南铜业、云南铝业、云天化、通威股份、德方纳米等大型企业。</w:t>
          </w:r>
        </w:p>
        <w:p w:rsidR="00597370" w:rsidRDefault="003C2EEE">
          <w:pPr>
            <w:spacing w:line="360" w:lineRule="auto"/>
            <w:ind w:firstLine="432"/>
            <w:jc w:val="both"/>
            <w:rPr>
              <w:color w:val="000000"/>
            </w:rPr>
          </w:pPr>
          <w:proofErr w:type="gramStart"/>
          <w:r>
            <w:rPr>
              <w:rFonts w:hint="eastAsia"/>
              <w:color w:val="000000"/>
            </w:rPr>
            <w:t>云变电气</w:t>
          </w:r>
          <w:proofErr w:type="gramEnd"/>
          <w:r>
            <w:rPr>
              <w:rFonts w:hint="eastAsia"/>
              <w:color w:val="000000"/>
            </w:rPr>
            <w:t>的高原型、低损耗系列变压器与国家“西电东送”、“云电外送”、云南省“桥头堡”、云南“绿色能源牌”水电铝</w:t>
          </w:r>
          <w:proofErr w:type="gramStart"/>
          <w:r>
            <w:rPr>
              <w:rFonts w:hint="eastAsia"/>
              <w:color w:val="000000"/>
            </w:rPr>
            <w:t>硅产业</w:t>
          </w:r>
          <w:proofErr w:type="gramEnd"/>
          <w:r>
            <w:rPr>
              <w:rFonts w:hint="eastAsia"/>
              <w:color w:val="000000"/>
            </w:rPr>
            <w:t>和新一轮风电、太阳能新能源开发战略形成良好匹配，是风电、</w:t>
          </w:r>
          <w:proofErr w:type="gramStart"/>
          <w:r>
            <w:rPr>
              <w:rFonts w:hint="eastAsia"/>
              <w:color w:val="000000"/>
            </w:rPr>
            <w:t>光伏等新能源</w:t>
          </w:r>
          <w:proofErr w:type="gramEnd"/>
          <w:r>
            <w:rPr>
              <w:rFonts w:hint="eastAsia"/>
              <w:color w:val="000000"/>
            </w:rPr>
            <w:t>市场主要供货方，产品覆盖全国绝大多数省市，已成为全球海拔最高</w:t>
          </w:r>
          <w:r>
            <w:rPr>
              <w:color w:val="000000"/>
            </w:rPr>
            <w:t>5100米的三峡西藏措美</w:t>
          </w:r>
          <w:proofErr w:type="gramStart"/>
          <w:r>
            <w:rPr>
              <w:color w:val="000000"/>
            </w:rPr>
            <w:t>哲古风电</w:t>
          </w:r>
          <w:proofErr w:type="gramEnd"/>
          <w:r>
            <w:rPr>
              <w:color w:val="000000"/>
            </w:rPr>
            <w:t>以及中广核贵州关岭纳卜光伏、华能</w:t>
          </w:r>
          <w:proofErr w:type="gramStart"/>
          <w:r>
            <w:rPr>
              <w:color w:val="000000"/>
            </w:rPr>
            <w:t>保山罗明光伏</w:t>
          </w:r>
          <w:proofErr w:type="gramEnd"/>
          <w:r>
            <w:rPr>
              <w:color w:val="000000"/>
            </w:rPr>
            <w:t>新能源等项目</w:t>
          </w:r>
          <w:r>
            <w:rPr>
              <w:rFonts w:hint="eastAsia"/>
              <w:color w:val="000000"/>
            </w:rPr>
            <w:t>的电力变压器供应商</w:t>
          </w:r>
          <w:r>
            <w:rPr>
              <w:color w:val="000000"/>
            </w:rPr>
            <w:t xml:space="preserve">， </w:t>
          </w:r>
          <w:proofErr w:type="gramStart"/>
          <w:r>
            <w:rPr>
              <w:rFonts w:hint="eastAsia"/>
              <w:color w:val="000000"/>
            </w:rPr>
            <w:t>2022年云变电气</w:t>
          </w:r>
          <w:proofErr w:type="gramEnd"/>
          <w:r>
            <w:rPr>
              <w:rFonts w:hint="eastAsia"/>
              <w:color w:val="000000"/>
            </w:rPr>
            <w:t>成功为云南省最大的700MVA光伏电站华能</w:t>
          </w:r>
          <w:proofErr w:type="gramStart"/>
          <w:r>
            <w:rPr>
              <w:rFonts w:hint="eastAsia"/>
              <w:color w:val="000000"/>
            </w:rPr>
            <w:t>保山罗明光伏</w:t>
          </w:r>
          <w:proofErr w:type="gramEnd"/>
          <w:r>
            <w:rPr>
              <w:rFonts w:hint="eastAsia"/>
              <w:color w:val="000000"/>
            </w:rPr>
            <w:t>提供2台350MVA大型升压变压器。</w:t>
          </w:r>
        </w:p>
        <w:p w:rsidR="00597370" w:rsidRDefault="003C2EEE">
          <w:pPr>
            <w:spacing w:line="360" w:lineRule="auto"/>
            <w:ind w:firstLine="432"/>
            <w:jc w:val="both"/>
          </w:pPr>
          <w:proofErr w:type="gramStart"/>
          <w:r>
            <w:rPr>
              <w:rFonts w:hint="eastAsia"/>
              <w:color w:val="000000"/>
            </w:rPr>
            <w:t>2015年云变电气</w:t>
          </w:r>
          <w:proofErr w:type="gramEnd"/>
          <w:r>
            <w:rPr>
              <w:rFonts w:hint="eastAsia"/>
              <w:color w:val="000000"/>
            </w:rPr>
            <w:t>开始研发智能牵引变压器，至今已完成自</w:t>
          </w:r>
          <w:proofErr w:type="gramStart"/>
          <w:r>
            <w:rPr>
              <w:rFonts w:hint="eastAsia"/>
              <w:color w:val="000000"/>
            </w:rPr>
            <w:t>耦</w:t>
          </w:r>
          <w:proofErr w:type="gramEnd"/>
          <w:r>
            <w:rPr>
              <w:rFonts w:hint="eastAsia"/>
              <w:color w:val="000000"/>
            </w:rPr>
            <w:t>、Vv联结、</w:t>
          </w:r>
          <w:proofErr w:type="gramStart"/>
          <w:r>
            <w:rPr>
              <w:rFonts w:hint="eastAsia"/>
              <w:color w:val="000000"/>
            </w:rPr>
            <w:t>单相等</w:t>
          </w:r>
          <w:proofErr w:type="gramEnd"/>
          <w:r>
            <w:rPr>
              <w:rFonts w:hint="eastAsia"/>
              <w:color w:val="000000"/>
            </w:rPr>
            <w:t>6个系列智能牵引变压器研发，实现批量供货，先后在京张、京雄、京秦等高速铁路批量投入运行。2019年6月全球首台采用</w:t>
          </w:r>
          <w:proofErr w:type="gramStart"/>
          <w:r>
            <w:rPr>
              <w:rFonts w:hint="eastAsia"/>
              <w:color w:val="000000"/>
            </w:rPr>
            <w:t>菜籽油</w:t>
          </w:r>
          <w:proofErr w:type="gramEnd"/>
          <w:r>
            <w:rPr>
              <w:rFonts w:hint="eastAsia"/>
              <w:color w:val="000000"/>
            </w:rPr>
            <w:t>的110kV高过载节能环保型智能牵引变压器在京广线新乡变电所投入运行，2020年6月通过中国电器工业协会新产品鉴定，技术达到国际领先水平。</w:t>
          </w:r>
        </w:p>
        <w:p w:rsidR="00597370" w:rsidRDefault="003C2EEE">
          <w:pPr>
            <w:spacing w:line="360" w:lineRule="auto"/>
            <w:jc w:val="both"/>
            <w:rPr>
              <w:color w:val="000000"/>
            </w:rPr>
          </w:pPr>
          <w:r>
            <w:rPr>
              <w:rFonts w:hint="eastAsia"/>
              <w:color w:val="000000"/>
            </w:rPr>
            <w:t>（四）品牌知名度提高，市场认可度提高</w:t>
          </w:r>
        </w:p>
        <w:p w:rsidR="00597370" w:rsidRDefault="003C2EEE">
          <w:pPr>
            <w:spacing w:line="360" w:lineRule="auto"/>
            <w:ind w:firstLineChars="200" w:firstLine="420"/>
            <w:jc w:val="both"/>
            <w:rPr>
              <w:color w:val="000000"/>
            </w:rPr>
          </w:pPr>
          <w:r>
            <w:rPr>
              <w:rFonts w:hint="eastAsia"/>
              <w:color w:val="000000"/>
            </w:rPr>
            <w:t>公司秉承“铸望变品牌，创行业先锋，做百年企业”愿景，旨在将公司打造成国际一流的电工钢材料和智能电气设备研发、生产、销售和服务一体的综合型企业，以实现“打造百亿企业、跻身百强行列、建设百年望变”的奋斗目标。</w:t>
          </w:r>
        </w:p>
        <w:p w:rsidR="00597370" w:rsidRDefault="003C2EEE">
          <w:pPr>
            <w:spacing w:line="360" w:lineRule="auto"/>
            <w:ind w:firstLineChars="200" w:firstLine="420"/>
            <w:jc w:val="both"/>
            <w:rPr>
              <w:color w:val="000000"/>
            </w:rPr>
          </w:pPr>
          <w:r>
            <w:rPr>
              <w:rFonts w:hint="eastAsia"/>
              <w:color w:val="000000"/>
            </w:rPr>
            <w:t>在输配电及控制设备领域，公司深耕重庆、四川、贵州及云南等西南区域市场多年，在相关省、市、区（县）建立了成熟稳定的销售网络，得益于优秀的产品质量和及时高效的服务，公司与国家电网、南方电网及其旗下多省市的电力公司、供电局等建立了长期稳定的合作关系，在相关地区具有良好的声誉及知名度。此外公司拥有自有车队，基本实现输配电及控制设备的自主运输，较高的运输效率可满足客户产品需求的时效要求，具有配送优势，建立了较高的品牌认可度，已初步形成“立足西南，辐射全国，走向海外”的业务布局。</w:t>
          </w:r>
        </w:p>
        <w:p w:rsidR="00597370" w:rsidRDefault="003C2EEE">
          <w:pPr>
            <w:spacing w:line="360" w:lineRule="auto"/>
            <w:ind w:firstLineChars="200" w:firstLine="420"/>
            <w:jc w:val="both"/>
            <w:rPr>
              <w:color w:val="000000"/>
            </w:rPr>
          </w:pPr>
          <w:r>
            <w:rPr>
              <w:rFonts w:hint="eastAsia"/>
              <w:color w:val="000000"/>
            </w:rPr>
            <w:lastRenderedPageBreak/>
            <w:t>在取向硅钢领域，经过近几年的经营累积，结合中国西部大开发的重要战略支点、“一带一路”倡议和长江经济带的联结点优势，产品不仅在西南、华东、华南等地区取得了优质订单，同时与海外客户也建立了良好的合作基础，深得海外客户的高度认可。</w:t>
          </w:r>
        </w:p>
        <w:p w:rsidR="00597370" w:rsidRDefault="003C2EEE">
          <w:pPr>
            <w:spacing w:line="360" w:lineRule="auto"/>
            <w:ind w:firstLineChars="200" w:firstLine="420"/>
            <w:jc w:val="both"/>
            <w:rPr>
              <w:color w:val="000000"/>
            </w:rPr>
          </w:pPr>
          <w:r>
            <w:rPr>
              <w:rFonts w:hint="eastAsia"/>
              <w:color w:val="000000"/>
            </w:rPr>
            <w:t>公司以“望变电气，惠泽万家”为宗旨，围绕高磁感取向硅钢—铁心加工—电力变压器—电气设备—箱式变电站一体化产业链不断发展，深入推进集团化发展战略，构建“百年望变”。</w:t>
          </w:r>
        </w:p>
        <w:p w:rsidR="00597370" w:rsidRDefault="003C2EEE">
          <w:pPr>
            <w:spacing w:line="360" w:lineRule="auto"/>
            <w:jc w:val="both"/>
            <w:rPr>
              <w:color w:val="000000"/>
            </w:rPr>
          </w:pPr>
          <w:r>
            <w:rPr>
              <w:rFonts w:hint="eastAsia"/>
              <w:color w:val="000000"/>
            </w:rPr>
            <w:t>（五）获取客户能力稳定，国内外业务统筹发展</w:t>
          </w:r>
        </w:p>
        <w:p w:rsidR="00597370" w:rsidRDefault="003C2EEE">
          <w:pPr>
            <w:spacing w:line="360" w:lineRule="auto"/>
            <w:ind w:firstLineChars="200" w:firstLine="420"/>
            <w:jc w:val="both"/>
            <w:rPr>
              <w:color w:val="000000"/>
            </w:rPr>
          </w:pPr>
          <w:r>
            <w:rPr>
              <w:rFonts w:hint="eastAsia"/>
              <w:color w:val="000000"/>
            </w:rPr>
            <w:t>公司具备优质的客户群体，公司与国家电网、南方电网等大型电网公司以及中国电力建设集团有限公司、国家电力投资集团有限公司、中国国家铁路集团有限公司等大型央企、国企及上市公司具有长期稳定的合作关系。</w:t>
          </w:r>
        </w:p>
        <w:p w:rsidR="00597370" w:rsidRDefault="003C2EEE">
          <w:pPr>
            <w:spacing w:line="360" w:lineRule="auto"/>
            <w:ind w:firstLineChars="200" w:firstLine="420"/>
            <w:jc w:val="both"/>
            <w:rPr>
              <w:color w:val="000000"/>
            </w:rPr>
          </w:pPr>
          <w:r>
            <w:rPr>
              <w:rFonts w:hint="eastAsia"/>
              <w:color w:val="000000"/>
            </w:rPr>
            <w:t>公司以取向硅钢业务为抓手，快速推进国际业务。目前已积累了TROM ENERJI YATIRIMLARI A.S.（土耳其特罗姆能源投资）、MARUBENI-ITOCHU STEEL INC（伊藤忠丸红钢铁公司）、MANGAL ELECTRICAL INDUSTRIES PRIVATE LIMITED（印度曼加尔电气）、POSCO INTERNATIONAL CORPORATION（浦项国际贸易）等国际知名客户。截至报告期末，公司取向硅钢境外收入占该类业务的占比达</w:t>
          </w:r>
          <w:r>
            <w:rPr>
              <w:color w:val="000000"/>
            </w:rPr>
            <w:t>31.87%</w:t>
          </w:r>
          <w:r>
            <w:rPr>
              <w:rFonts w:hint="eastAsia"/>
              <w:color w:val="000000"/>
            </w:rPr>
            <w:t>。</w:t>
          </w:r>
        </w:p>
        <w:p w:rsidR="00597370" w:rsidRDefault="003C2EEE">
          <w:pPr>
            <w:spacing w:line="360" w:lineRule="auto"/>
            <w:jc w:val="both"/>
            <w:rPr>
              <w:color w:val="000000"/>
            </w:rPr>
          </w:pPr>
          <w:r>
            <w:rPr>
              <w:rFonts w:hint="eastAsia"/>
              <w:color w:val="000000"/>
            </w:rPr>
            <w:t>（六）产学研合作持续加强，技术积累不断深化</w:t>
          </w:r>
        </w:p>
        <w:p w:rsidR="00597370" w:rsidRDefault="003C2EEE">
          <w:pPr>
            <w:spacing w:line="360" w:lineRule="auto"/>
            <w:ind w:firstLineChars="200" w:firstLine="420"/>
            <w:jc w:val="both"/>
            <w:rPr>
              <w:color w:val="000000"/>
            </w:rPr>
          </w:pPr>
          <w:r>
            <w:rPr>
              <w:rFonts w:hint="eastAsia"/>
              <w:color w:val="000000"/>
            </w:rPr>
            <w:t>公司持续加大创新合作力度，与国内外知名高校、研究院所开展深度合作，取得了一系列瞩目的成果。</w:t>
          </w:r>
        </w:p>
        <w:p w:rsidR="00597370" w:rsidRDefault="003C2EEE">
          <w:pPr>
            <w:spacing w:line="360" w:lineRule="auto"/>
            <w:ind w:firstLineChars="200" w:firstLine="420"/>
            <w:jc w:val="both"/>
            <w:rPr>
              <w:color w:val="000000"/>
            </w:rPr>
          </w:pPr>
          <w:r>
            <w:rPr>
              <w:rFonts w:hint="eastAsia"/>
              <w:color w:val="000000"/>
            </w:rPr>
            <w:t>取向硅钢新材料板块：公司与重庆大学合作开展“电工钢废料绿色造渣重熔工艺研究”，开发了电工钢废料重熔用渣剂，成功应用于电工钢废料重熔铸锭工艺，并申请发明1项；与汪卫华院士团队和中国钢铁研究总院开展了“电工钢废料重熔铸锭制备非晶/纳米</w:t>
          </w:r>
          <w:proofErr w:type="gramStart"/>
          <w:r>
            <w:rPr>
              <w:rFonts w:hint="eastAsia"/>
              <w:color w:val="000000"/>
            </w:rPr>
            <w:t>晶</w:t>
          </w:r>
          <w:proofErr w:type="gramEnd"/>
          <w:r>
            <w:rPr>
              <w:rFonts w:hint="eastAsia"/>
              <w:color w:val="000000"/>
            </w:rPr>
            <w:t>极薄带工艺研究”，开发了适合于重熔铸锭制备非晶/纳米</w:t>
          </w:r>
          <w:proofErr w:type="gramStart"/>
          <w:r>
            <w:rPr>
              <w:rFonts w:hint="eastAsia"/>
              <w:color w:val="000000"/>
            </w:rPr>
            <w:t>晶</w:t>
          </w:r>
          <w:proofErr w:type="gramEnd"/>
          <w:r>
            <w:rPr>
              <w:rFonts w:hint="eastAsia"/>
              <w:color w:val="000000"/>
            </w:rPr>
            <w:t>极薄带的工艺，成功制备了FeSiBCuNb纳米</w:t>
          </w:r>
          <w:proofErr w:type="gramStart"/>
          <w:r>
            <w:rPr>
              <w:rFonts w:hint="eastAsia"/>
              <w:color w:val="000000"/>
            </w:rPr>
            <w:t>晶</w:t>
          </w:r>
          <w:proofErr w:type="gramEnd"/>
          <w:r>
            <w:rPr>
              <w:rFonts w:hint="eastAsia"/>
              <w:color w:val="000000"/>
            </w:rPr>
            <w:t>极薄带，并申请发明专利1项；与武汉科技大学合作开展“硅钢废料真空气雾化制备FeSi、FeSiAl软磁粉末技术开发及应用研究”及与天</w:t>
          </w:r>
          <w:proofErr w:type="gramStart"/>
          <w:r>
            <w:rPr>
              <w:rFonts w:hint="eastAsia"/>
              <w:color w:val="000000"/>
            </w:rPr>
            <w:t>通股份</w:t>
          </w:r>
          <w:proofErr w:type="gramEnd"/>
          <w:r>
            <w:rPr>
              <w:rFonts w:hint="eastAsia"/>
              <w:color w:val="000000"/>
            </w:rPr>
            <w:t>合作开展“FeSiAl磁粉的工业化生产试验”，掌握了硅钢重熔铸锭制备FeSi、FeSiAl软磁粉末的生产工艺，成功批量生产FeSi、FeSiAl磁粉，并申请发明专利2项，实用新型专利2项；与重庆理工大学合作开展“低噪音和低损耗高磁感取向硅钢制造关键技术研究与应用”，形成了高磁感取向硅钢制备的关键技术，成功生产了铁损小于等于0.78 W/kg、磁感大于等于1.88T的高磁感取向硅钢，该技术处于行业领先地位，并申请发明专利6项。</w:t>
          </w:r>
        </w:p>
        <w:p w:rsidR="00597370" w:rsidRDefault="003C2EEE">
          <w:pPr>
            <w:spacing w:line="360" w:lineRule="auto"/>
            <w:ind w:firstLineChars="200" w:firstLine="420"/>
            <w:jc w:val="both"/>
            <w:rPr>
              <w:color w:val="000000"/>
            </w:rPr>
          </w:pPr>
          <w:r>
            <w:rPr>
              <w:rFonts w:hint="eastAsia"/>
              <w:color w:val="000000"/>
            </w:rPr>
            <w:t>成套电气设备板块：与重庆理工大学合作开展</w:t>
          </w:r>
          <w:proofErr w:type="gramStart"/>
          <w:r>
            <w:rPr>
              <w:rFonts w:hint="eastAsia"/>
              <w:color w:val="000000"/>
            </w:rPr>
            <w:t>”</w:t>
          </w:r>
          <w:proofErr w:type="gramEnd"/>
          <w:r>
            <w:rPr>
              <w:rFonts w:hint="eastAsia"/>
              <w:color w:val="000000"/>
            </w:rPr>
            <w:t>电气开关柜涡流防治技术的技术开发与应用研究“，掌握了低压大电流开关柜涡流分布机理，以及涡流抑制措施，成功应用于大电流开关柜适用的涡流防治工艺，并形成发明专利2项，科研论文1篇。与行业专家研发充气柜新产品，成功推出了12kV-SF6型、12kV环保型以及40.5kV充气柜，并申请发明专利2项，创新技术成果获2023年度重庆市长寿区科技创新项目称号。</w:t>
          </w:r>
        </w:p>
        <w:p w:rsidR="00597370" w:rsidRDefault="003C2EEE">
          <w:pPr>
            <w:spacing w:line="360" w:lineRule="auto"/>
            <w:ind w:firstLineChars="200" w:firstLine="420"/>
            <w:rPr>
              <w:color w:val="000000"/>
            </w:rPr>
          </w:pPr>
          <w:r>
            <w:rPr>
              <w:rFonts w:hint="eastAsia"/>
              <w:color w:val="000000"/>
            </w:rPr>
            <w:lastRenderedPageBreak/>
            <w:t>截至2024年6月30日，公司已拥有237项专利，其中发明专利42项，实用新型专利193项，外观专利2项。公司科技成果转化能力强，并在主营业务中加以应用，为公司设计、生产及售后服务提供了强有力的技术保障。</w:t>
          </w:r>
        </w:p>
      </w:sdtContent>
    </w:sdt>
    <w:p w:rsidR="00597370" w:rsidRDefault="003C2EEE">
      <w:pPr>
        <w:pStyle w:val="2"/>
        <w:numPr>
          <w:ilvl w:val="0"/>
          <w:numId w:val="7"/>
        </w:numPr>
        <w:tabs>
          <w:tab w:val="left" w:pos="426"/>
        </w:tabs>
        <w:ind w:left="422" w:hanging="422"/>
        <w:jc w:val="left"/>
        <w:rPr>
          <w:rFonts w:ascii="宋体" w:hAnsi="宋体"/>
          <w:color w:val="000000" w:themeColor="text1"/>
        </w:rPr>
      </w:pPr>
      <w:r>
        <w:rPr>
          <w:rFonts w:ascii="宋体" w:hAnsi="宋体" w:hint="eastAsia"/>
          <w:color w:val="000000" w:themeColor="text1"/>
        </w:rPr>
        <w:t>经营情况的讨论与分析</w:t>
      </w:r>
    </w:p>
    <w:sdt>
      <w:sdtPr>
        <w:rPr>
          <w:rFonts w:hint="eastAsia"/>
          <w:bCs/>
          <w:color w:val="000000" w:themeColor="text1"/>
        </w:rPr>
        <w:alias w:val="管理层讨论与分析"/>
        <w:tag w:val="_GBC_886258ec69e240da99b57ac102afbda6"/>
        <w:id w:val="-1182728099"/>
        <w:placeholder>
          <w:docPart w:val="GBC22222222222222222222222222222"/>
        </w:placeholder>
      </w:sdtPr>
      <w:sdtEndPr/>
      <w:sdtContent>
        <w:p w:rsidR="00597370" w:rsidRDefault="003C2EEE">
          <w:pPr>
            <w:pStyle w:val="affc"/>
            <w:adjustRightInd w:val="0"/>
            <w:spacing w:beforeLines="0" w:after="0" w:afterAutospacing="0"/>
            <w:ind w:firstLine="420"/>
          </w:pPr>
          <w:r>
            <w:rPr>
              <w:rFonts w:hint="eastAsia"/>
            </w:rPr>
            <w:t>2024年上半年，公司在市场竞争加剧的环境下，直面各种困难，同时面临八万吨高端磁性新材料项目、智能成套电气设备产业基地项目、研发中心及信息化建设项目以及110kV及以下节能型变压器智能化工厂技改等项目进入投产、调试阶段。公司全力以赴完成现有生产装置安全稳定运行，确保各项产品保质保量按时交付的双重目标，通过全体员工的不懈努力，除净利润指标以外其余各项目包括基本建设、项目投运、生产达产等各项生产经营指标圆满完成。</w:t>
          </w:r>
        </w:p>
        <w:p w:rsidR="00597370" w:rsidRDefault="003C2EEE">
          <w:pPr>
            <w:widowControl w:val="0"/>
            <w:adjustRightInd w:val="0"/>
            <w:spacing w:line="360" w:lineRule="auto"/>
            <w:ind w:firstLineChars="200" w:firstLine="422"/>
            <w:jc w:val="both"/>
            <w:outlineLvl w:val="2"/>
            <w:rPr>
              <w:b/>
            </w:rPr>
          </w:pPr>
          <w:r>
            <w:rPr>
              <w:rFonts w:hint="eastAsia"/>
              <w:b/>
            </w:rPr>
            <w:t>（一）狠抓主营业务，兼顾产业拓展，抗风险能力进一步提升</w:t>
          </w:r>
        </w:p>
        <w:p w:rsidR="00597370" w:rsidRDefault="003C2EEE">
          <w:pPr>
            <w:widowControl w:val="0"/>
            <w:adjustRightInd w:val="0"/>
            <w:spacing w:line="360" w:lineRule="auto"/>
            <w:ind w:firstLineChars="200" w:firstLine="420"/>
            <w:jc w:val="both"/>
            <w:rPr>
              <w:bCs w:val="0"/>
            </w:rPr>
          </w:pPr>
          <w:r>
            <w:rPr>
              <w:rFonts w:hint="eastAsia"/>
              <w:bCs w:val="0"/>
            </w:rPr>
            <w:t>公司主营业务中的电力变压器、箱式变电站、其他成套设备属于输配电及控制设备业务；高磁感取向硅钢、一般取向硅钢产品属于取向硅钢业务。</w:t>
          </w:r>
        </w:p>
        <w:p w:rsidR="00597370" w:rsidRDefault="003C2EEE">
          <w:pPr>
            <w:widowControl w:val="0"/>
            <w:adjustRightInd w:val="0"/>
            <w:spacing w:line="360" w:lineRule="auto"/>
            <w:ind w:firstLineChars="200" w:firstLine="420"/>
            <w:jc w:val="both"/>
            <w:rPr>
              <w:bCs w:val="0"/>
            </w:rPr>
          </w:pPr>
          <w:r>
            <w:rPr>
              <w:rFonts w:hint="eastAsia"/>
              <w:bCs w:val="0"/>
            </w:rPr>
            <w:t>报告期内，公司两大主营业务正</w:t>
          </w:r>
          <w:proofErr w:type="gramStart"/>
          <w:r>
            <w:rPr>
              <w:rFonts w:hint="eastAsia"/>
              <w:bCs w:val="0"/>
            </w:rPr>
            <w:t>常生产</w:t>
          </w:r>
          <w:proofErr w:type="gramEnd"/>
          <w:r>
            <w:rPr>
              <w:rFonts w:hint="eastAsia"/>
              <w:bCs w:val="0"/>
            </w:rPr>
            <w:t>经营。</w:t>
          </w:r>
          <w:r>
            <w:t>取向硅钢在市场冲击下，稳住了民营</w:t>
          </w:r>
          <w:r>
            <w:rPr>
              <w:rFonts w:hint="eastAsia"/>
            </w:rPr>
            <w:t>企</w:t>
          </w:r>
          <w:r>
            <w:t>业</w:t>
          </w:r>
          <w:r>
            <w:rPr>
              <w:rFonts w:hint="eastAsia"/>
            </w:rPr>
            <w:t>行业</w:t>
          </w:r>
          <w:r>
            <w:t>头部企业的位置；八万吨高端磁性新材料项目按计划进入试生产阶段；调试结果显示095级以上牌号占比超80%，其中085牌号占比达10%，最高牌号达到080，该项目已于2024年6月顺利投产</w:t>
          </w:r>
          <w:r>
            <w:rPr>
              <w:rFonts w:hint="eastAsia"/>
              <w:bCs w:val="0"/>
            </w:rPr>
            <w:t>；预计全年实现新增产量5</w:t>
          </w:r>
          <w:r>
            <w:rPr>
              <w:bCs w:val="0"/>
            </w:rPr>
            <w:t>-6</w:t>
          </w:r>
          <w:r>
            <w:rPr>
              <w:rFonts w:hint="eastAsia"/>
              <w:bCs w:val="0"/>
            </w:rPr>
            <w:t>万吨；报告期取向硅钢产量较同期增加1.93万吨；</w:t>
          </w:r>
        </w:p>
        <w:p w:rsidR="00597370" w:rsidRDefault="003C2EEE">
          <w:pPr>
            <w:widowControl w:val="0"/>
            <w:adjustRightInd w:val="0"/>
            <w:spacing w:line="360" w:lineRule="auto"/>
            <w:ind w:firstLineChars="200" w:firstLine="420"/>
            <w:jc w:val="both"/>
            <w:rPr>
              <w:bCs w:val="0"/>
            </w:rPr>
          </w:pPr>
          <w:r>
            <w:rPr>
              <w:rFonts w:hint="eastAsia"/>
              <w:bCs w:val="0"/>
            </w:rPr>
            <w:t>报告期内，1</w:t>
          </w:r>
          <w:r>
            <w:rPr>
              <w:bCs w:val="0"/>
            </w:rPr>
            <w:t>10kV</w:t>
          </w:r>
          <w:r>
            <w:rPr>
              <w:rFonts w:hint="eastAsia"/>
              <w:bCs w:val="0"/>
            </w:rPr>
            <w:t>及以下节能型变压器智能化工厂技改项目、智能成套电气设备产业基地建设项目进入设备交验和调试期，公司在全力保障项目建设顺利交验的基础上确保生产订单的及时交付；在此情况下公司输配电及控制设备相关产品电力变压器、箱式变电站、成套电气设备等产品产量同比持平；</w:t>
          </w:r>
          <w:proofErr w:type="gramStart"/>
          <w:r>
            <w:rPr>
              <w:rFonts w:hint="eastAsia"/>
              <w:bCs w:val="0"/>
            </w:rPr>
            <w:t>新增云变电气</w:t>
          </w:r>
          <w:proofErr w:type="gramEnd"/>
          <w:r>
            <w:rPr>
              <w:rFonts w:hint="eastAsia"/>
              <w:bCs w:val="0"/>
            </w:rPr>
            <w:t>并表带来电力变压器产量同比增加602万kVA。</w:t>
          </w:r>
        </w:p>
        <w:p w:rsidR="00597370" w:rsidRDefault="003C2EEE">
          <w:pPr>
            <w:widowControl w:val="0"/>
            <w:adjustRightInd w:val="0"/>
            <w:spacing w:line="360" w:lineRule="auto"/>
            <w:ind w:firstLineChars="200" w:firstLine="420"/>
            <w:jc w:val="both"/>
            <w:rPr>
              <w:bCs w:val="0"/>
            </w:rPr>
          </w:pPr>
          <w:r>
            <w:rPr>
              <w:rFonts w:hint="eastAsia"/>
              <w:bCs w:val="0"/>
            </w:rPr>
            <w:t>报告期内，实现</w:t>
          </w:r>
          <w:r>
            <w:rPr>
              <w:bCs w:val="0"/>
            </w:rPr>
            <w:t>营业收入</w:t>
          </w:r>
          <w:r>
            <w:rPr>
              <w:rFonts w:hint="eastAsia"/>
              <w:bCs w:val="0"/>
            </w:rPr>
            <w:t>1</w:t>
          </w:r>
          <w:r>
            <w:rPr>
              <w:bCs w:val="0"/>
            </w:rPr>
            <w:t>4.3</w:t>
          </w:r>
          <w:r>
            <w:rPr>
              <w:rFonts w:hint="eastAsia"/>
              <w:bCs w:val="0"/>
            </w:rPr>
            <w:t>亿元，</w:t>
          </w:r>
          <w:r>
            <w:rPr>
              <w:bCs w:val="0"/>
            </w:rPr>
            <w:t>同比增长15.43%</w:t>
          </w:r>
          <w:r>
            <w:rPr>
              <w:rFonts w:hint="eastAsia"/>
              <w:bCs w:val="0"/>
            </w:rPr>
            <w:t>；其中取向硅钢实现营业收入6</w:t>
          </w:r>
          <w:r>
            <w:rPr>
              <w:bCs w:val="0"/>
            </w:rPr>
            <w:t>.03</w:t>
          </w:r>
          <w:r>
            <w:rPr>
              <w:rFonts w:hint="eastAsia"/>
              <w:bCs w:val="0"/>
            </w:rPr>
            <w:t>亿元，输配电及控制设备实现营业收入7</w:t>
          </w:r>
          <w:r>
            <w:rPr>
              <w:bCs w:val="0"/>
            </w:rPr>
            <w:t>.79</w:t>
          </w:r>
          <w:r>
            <w:rPr>
              <w:rFonts w:hint="eastAsia"/>
              <w:bCs w:val="0"/>
            </w:rPr>
            <w:t>亿元；</w:t>
          </w:r>
          <w:r>
            <w:rPr>
              <w:bCs w:val="0"/>
            </w:rPr>
            <w:t>输配电及控制设备业务同比增长34.85%；取向硅钢业务同比下降3.37%；</w:t>
          </w:r>
          <w:r>
            <w:rPr>
              <w:rFonts w:hint="eastAsia"/>
              <w:bCs w:val="0"/>
            </w:rPr>
            <w:t>输配电及控制设备业务</w:t>
          </w:r>
          <w:r>
            <w:rPr>
              <w:bCs w:val="0"/>
            </w:rPr>
            <w:t>增</w:t>
          </w:r>
          <w:r>
            <w:rPr>
              <w:rFonts w:hint="eastAsia"/>
              <w:bCs w:val="0"/>
            </w:rPr>
            <w:t>长</w:t>
          </w:r>
          <w:r>
            <w:rPr>
              <w:bCs w:val="0"/>
            </w:rPr>
            <w:t>幅度较大的原因主要</w:t>
          </w:r>
          <w:proofErr w:type="gramStart"/>
          <w:r>
            <w:rPr>
              <w:bCs w:val="0"/>
            </w:rPr>
            <w:t>系报告期云变</w:t>
          </w:r>
          <w:proofErr w:type="gramEnd"/>
          <w:r>
            <w:rPr>
              <w:bCs w:val="0"/>
            </w:rPr>
            <w:t>电气从2024年4月1日起纳入合并范围，并入营业收入2.28亿元</w:t>
          </w:r>
          <w:r>
            <w:rPr>
              <w:rFonts w:hint="eastAsia"/>
              <w:bCs w:val="0"/>
            </w:rPr>
            <w:t>，带来</w:t>
          </w:r>
          <w:r>
            <w:rPr>
              <w:bCs w:val="0"/>
            </w:rPr>
            <w:t>输配电及控制设备业务营业收入同比增长39.41%</w:t>
          </w:r>
          <w:r>
            <w:rPr>
              <w:rFonts w:hint="eastAsia"/>
              <w:bCs w:val="0"/>
            </w:rPr>
            <w:t>；</w:t>
          </w:r>
          <w:proofErr w:type="gramStart"/>
          <w:r>
            <w:rPr>
              <w:bCs w:val="0"/>
            </w:rPr>
            <w:t>剔除云变电气</w:t>
          </w:r>
          <w:proofErr w:type="gramEnd"/>
          <w:r>
            <w:rPr>
              <w:bCs w:val="0"/>
            </w:rPr>
            <w:t>增量，输配电及控制设备业务同比小幅下降4.55%，主要原因系110kV及以下节能型变压器智能化工厂技改项目、智能成套电气设备产业基地建设项目进入设备交验和调试期，产能处于爬坡阶段。</w:t>
          </w:r>
        </w:p>
        <w:p w:rsidR="00597370" w:rsidRDefault="003C2EEE">
          <w:pPr>
            <w:widowControl w:val="0"/>
            <w:adjustRightInd w:val="0"/>
            <w:spacing w:line="360" w:lineRule="auto"/>
            <w:ind w:firstLineChars="200" w:firstLine="420"/>
            <w:jc w:val="both"/>
            <w:rPr>
              <w:bCs w:val="0"/>
            </w:rPr>
          </w:pPr>
          <w:r>
            <w:rPr>
              <w:rFonts w:hint="eastAsia"/>
              <w:bCs w:val="0"/>
            </w:rPr>
            <w:t>报告期内，归属于上市公司股东的</w:t>
          </w:r>
          <w:r>
            <w:rPr>
              <w:bCs w:val="0"/>
            </w:rPr>
            <w:t>净利润同比下降77.42%，主要系2023年国内取向硅钢新增产能投放市场的持续影响，带来取向硅钢销售价格下行，导致净利润同比大幅下降；取向硅钢销售单价同比下降5761元/吨，单位销售成本下降1951元/吨，导致取向硅钢业务毛利额同比减少1.49亿元；取向硅钢销售量同比增加2.4万吨，带来毛利增加0.11亿元；输配电及控制设备业务</w:t>
          </w:r>
          <w:proofErr w:type="gramStart"/>
          <w:r>
            <w:rPr>
              <w:bCs w:val="0"/>
            </w:rPr>
            <w:t>因云变电气</w:t>
          </w:r>
          <w:proofErr w:type="gramEnd"/>
          <w:r>
            <w:rPr>
              <w:bCs w:val="0"/>
            </w:rPr>
            <w:t>从2024年4月1日起纳入合并范围，带来输配电及控制设备业务毛利额增加0.36亿元，该业务毛利率同比上期持平。</w:t>
          </w:r>
        </w:p>
        <w:p w:rsidR="00597370" w:rsidRDefault="003C2EEE">
          <w:pPr>
            <w:widowControl w:val="0"/>
            <w:adjustRightInd w:val="0"/>
            <w:spacing w:line="360" w:lineRule="auto"/>
            <w:ind w:firstLineChars="200" w:firstLine="420"/>
            <w:jc w:val="both"/>
            <w:rPr>
              <w:bCs w:val="0"/>
            </w:rPr>
          </w:pPr>
          <w:r>
            <w:rPr>
              <w:rFonts w:hint="eastAsia"/>
              <w:bCs w:val="0"/>
            </w:rPr>
            <w:t>报告期内，公司</w:t>
          </w:r>
          <w:proofErr w:type="gramStart"/>
          <w:r>
            <w:rPr>
              <w:rFonts w:hint="eastAsia"/>
              <w:bCs w:val="0"/>
            </w:rPr>
            <w:t>收购云变电气</w:t>
          </w:r>
          <w:proofErr w:type="gramEnd"/>
          <w:r>
            <w:rPr>
              <w:rFonts w:hint="eastAsia"/>
              <w:bCs w:val="0"/>
            </w:rPr>
            <w:t>79.97%股权，正式进入220kV电力设备供应商头部企业行列，</w:t>
          </w:r>
          <w:r>
            <w:rPr>
              <w:rFonts w:hint="eastAsia"/>
              <w:bCs w:val="0"/>
            </w:rPr>
            <w:lastRenderedPageBreak/>
            <w:t>并具备生产500kV电力变压器相关资质，极大的拓展了公司输配电及其控制设备领域产品线及产业链。公司两大主业协同发挥优势，产业</w:t>
          </w:r>
          <w:proofErr w:type="gramStart"/>
          <w:r>
            <w:rPr>
              <w:rFonts w:hint="eastAsia"/>
              <w:bCs w:val="0"/>
            </w:rPr>
            <w:t>链优势</w:t>
          </w:r>
          <w:proofErr w:type="gramEnd"/>
          <w:r>
            <w:rPr>
              <w:rFonts w:hint="eastAsia"/>
              <w:bCs w:val="0"/>
            </w:rPr>
            <w:t>进一步发挥，公司抗风险能力持续提升。</w:t>
          </w:r>
        </w:p>
        <w:p w:rsidR="00597370" w:rsidRDefault="003C2EEE">
          <w:pPr>
            <w:widowControl w:val="0"/>
            <w:snapToGrid w:val="0"/>
            <w:spacing w:line="360" w:lineRule="auto"/>
            <w:ind w:firstLineChars="200" w:firstLine="422"/>
            <w:jc w:val="both"/>
            <w:outlineLvl w:val="2"/>
            <w:rPr>
              <w:b/>
            </w:rPr>
          </w:pPr>
          <w:r>
            <w:rPr>
              <w:rFonts w:hint="eastAsia"/>
              <w:b/>
            </w:rPr>
            <w:t>（二）项目按计划投用，为公司持续发展注入新力量</w:t>
          </w:r>
        </w:p>
        <w:p w:rsidR="00597370" w:rsidRDefault="003C2EEE">
          <w:pPr>
            <w:widowControl w:val="0"/>
            <w:snapToGrid w:val="0"/>
            <w:spacing w:line="360" w:lineRule="auto"/>
            <w:ind w:firstLineChars="200" w:firstLine="420"/>
            <w:jc w:val="both"/>
            <w:rPr>
              <w:bCs w:val="0"/>
            </w:rPr>
          </w:pPr>
          <w:r>
            <w:rPr>
              <w:rFonts w:hint="eastAsia"/>
              <w:bCs w:val="0"/>
            </w:rPr>
            <w:t>1、2024年6月八万吨高端磁性新材料项目全面投产，预计2</w:t>
          </w:r>
          <w:r>
            <w:rPr>
              <w:bCs w:val="0"/>
            </w:rPr>
            <w:t>024</w:t>
          </w:r>
          <w:r>
            <w:rPr>
              <w:rFonts w:hint="eastAsia"/>
              <w:bCs w:val="0"/>
            </w:rPr>
            <w:t>年全年可新增5-6万吨产量；产量和牌号将逐步爬坡提升；</w:t>
          </w:r>
        </w:p>
        <w:p w:rsidR="00597370" w:rsidRDefault="003C2EEE">
          <w:pPr>
            <w:widowControl w:val="0"/>
            <w:snapToGrid w:val="0"/>
            <w:spacing w:line="360" w:lineRule="auto"/>
            <w:ind w:firstLineChars="200" w:firstLine="420"/>
            <w:jc w:val="both"/>
            <w:rPr>
              <w:bCs w:val="0"/>
            </w:rPr>
          </w:pPr>
          <w:r>
            <w:rPr>
              <w:rFonts w:hint="eastAsia"/>
              <w:bCs w:val="0"/>
            </w:rPr>
            <w:t>2、低铁损高磁感硅钢铁心智能制造项目已落成，在不断的产能调试后，该项目已达到预期效果。该项目建成预示着公司数字化工厂“新范本”已经建成；该项目建成将实现所有厚度规格（0.18 -0.65mm）电工钢来料剪切加工，打造了覆盖我国西南地区的智能化取向</w:t>
          </w:r>
          <w:proofErr w:type="gramStart"/>
          <w:r>
            <w:rPr>
              <w:rFonts w:hint="eastAsia"/>
              <w:bCs w:val="0"/>
            </w:rPr>
            <w:t>硅钢剪配中心</w:t>
          </w:r>
          <w:proofErr w:type="gramEnd"/>
          <w:r>
            <w:rPr>
              <w:rFonts w:hint="eastAsia"/>
              <w:bCs w:val="0"/>
            </w:rPr>
            <w:t xml:space="preserve">；   </w:t>
          </w:r>
        </w:p>
        <w:p w:rsidR="00597370" w:rsidRDefault="003C2EEE">
          <w:pPr>
            <w:widowControl w:val="0"/>
            <w:snapToGrid w:val="0"/>
            <w:spacing w:line="360" w:lineRule="auto"/>
            <w:ind w:firstLineChars="200" w:firstLine="420"/>
            <w:jc w:val="both"/>
            <w:rPr>
              <w:bCs w:val="0"/>
            </w:rPr>
          </w:pPr>
          <w:r>
            <w:rPr>
              <w:rFonts w:hint="eastAsia"/>
              <w:bCs w:val="0"/>
            </w:rPr>
            <w:t xml:space="preserve"> 3、智能成套电气设备产业基地建设项目、110kV及以下节能型变压器智能化工厂技改项目以及研发中心及信息化建设项目于2024年4月达到预定可使用状态；公司将持续加大智能成套设备和变压器智能化工厂设备的调试和工艺优化调整力度，逐步提升产能，争取早日达产；</w:t>
          </w:r>
        </w:p>
        <w:p w:rsidR="00597370" w:rsidRDefault="003C2EEE">
          <w:pPr>
            <w:widowControl w:val="0"/>
            <w:snapToGrid w:val="0"/>
            <w:spacing w:line="360" w:lineRule="auto"/>
            <w:ind w:firstLineChars="200" w:firstLine="420"/>
            <w:jc w:val="both"/>
            <w:rPr>
              <w:bCs w:val="0"/>
            </w:rPr>
          </w:pPr>
          <w:r>
            <w:rPr>
              <w:rFonts w:hint="eastAsia"/>
              <w:bCs w:val="0"/>
            </w:rPr>
            <w:t>随着各项目陆续建成投入使用，相关项目产能将逐步释放和提升，为公司的后续发展提供强力有力的支撑。</w:t>
          </w:r>
        </w:p>
        <w:p w:rsidR="00597370" w:rsidRDefault="003C2EEE">
          <w:pPr>
            <w:widowControl w:val="0"/>
            <w:snapToGrid w:val="0"/>
            <w:spacing w:line="360" w:lineRule="auto"/>
            <w:ind w:firstLineChars="200" w:firstLine="422"/>
            <w:jc w:val="both"/>
            <w:outlineLvl w:val="2"/>
            <w:rPr>
              <w:b/>
            </w:rPr>
          </w:pPr>
          <w:r>
            <w:rPr>
              <w:rFonts w:hint="eastAsia"/>
              <w:b/>
            </w:rPr>
            <w:t>（三）开拓新领域，布局国际市场，进一步增加公司市场竞争力</w:t>
          </w:r>
        </w:p>
        <w:p w:rsidR="00597370" w:rsidRDefault="003C2EEE">
          <w:pPr>
            <w:widowControl w:val="0"/>
            <w:snapToGrid w:val="0"/>
            <w:spacing w:line="360" w:lineRule="auto"/>
            <w:ind w:firstLineChars="200" w:firstLine="420"/>
            <w:jc w:val="both"/>
            <w:outlineLvl w:val="3"/>
            <w:rPr>
              <w:bCs w:val="0"/>
            </w:rPr>
          </w:pPr>
          <w:r>
            <w:rPr>
              <w:rFonts w:hint="eastAsia"/>
              <w:bCs w:val="0"/>
            </w:rPr>
            <w:t>公司销售以“立足西南、辐射全国、走向世界”的战略指引为指导开展各项工作，公司取向硅钢产品客户已经覆盖印度、土耳其、墨西哥、韩国、巴西、沙特等15个国家和地区，并与之建立了良好的合作关系，取向硅钢产品在国际上已经树立了“宝武、首、望”的良好品牌形象。报告期内，公司境外收入</w:t>
          </w:r>
          <w:r>
            <w:rPr>
              <w:bCs w:val="0"/>
            </w:rPr>
            <w:t>1.92</w:t>
          </w:r>
          <w:r>
            <w:rPr>
              <w:rFonts w:hint="eastAsia"/>
              <w:bCs w:val="0"/>
            </w:rPr>
            <w:t>亿元，营收占比为1</w:t>
          </w:r>
          <w:r>
            <w:rPr>
              <w:bCs w:val="0"/>
            </w:rPr>
            <w:t>3.51</w:t>
          </w:r>
          <w:r>
            <w:rPr>
              <w:rFonts w:hint="eastAsia"/>
              <w:bCs w:val="0"/>
            </w:rPr>
            <w:t>%。</w:t>
          </w:r>
        </w:p>
        <w:p w:rsidR="00597370" w:rsidRDefault="003C2EEE">
          <w:pPr>
            <w:widowControl w:val="0"/>
            <w:snapToGrid w:val="0"/>
            <w:spacing w:line="360" w:lineRule="auto"/>
            <w:ind w:firstLineChars="200" w:firstLine="420"/>
            <w:jc w:val="both"/>
            <w:outlineLvl w:val="3"/>
            <w:rPr>
              <w:bCs w:val="0"/>
            </w:rPr>
          </w:pPr>
          <w:r>
            <w:rPr>
              <w:rFonts w:hint="eastAsia"/>
              <w:bCs w:val="0"/>
            </w:rPr>
            <w:t>2024开年以来，公司输配电</w:t>
          </w:r>
          <w:proofErr w:type="gramStart"/>
          <w:r>
            <w:rPr>
              <w:rFonts w:hint="eastAsia"/>
              <w:bCs w:val="0"/>
            </w:rPr>
            <w:t>版块</w:t>
          </w:r>
          <w:proofErr w:type="gramEnd"/>
          <w:r>
            <w:rPr>
              <w:rFonts w:hint="eastAsia"/>
              <w:bCs w:val="0"/>
            </w:rPr>
            <w:t>已先后签订多个出口项目合同，总金额近5000万元，出口产品包括节能型干式变压器、油浸式变压器和高低压智能成套开关柜等，遍及老挝、坦桑尼亚、斯里兰卡等多个国家。报告期</w:t>
          </w:r>
          <w:proofErr w:type="gramStart"/>
          <w:r>
            <w:rPr>
              <w:rFonts w:hint="eastAsia"/>
              <w:bCs w:val="0"/>
            </w:rPr>
            <w:t>内云变电气</w:t>
          </w:r>
          <w:proofErr w:type="gramEnd"/>
          <w:r>
            <w:rPr>
              <w:rFonts w:hint="eastAsia"/>
              <w:bCs w:val="0"/>
            </w:rPr>
            <w:t>现正在履约中</w:t>
          </w:r>
          <w:proofErr w:type="gramStart"/>
          <w:r>
            <w:rPr>
              <w:rFonts w:hint="eastAsia"/>
              <w:bCs w:val="0"/>
            </w:rPr>
            <w:t>国交建</w:t>
          </w:r>
          <w:proofErr w:type="gramEnd"/>
          <w:r>
            <w:rPr>
              <w:rFonts w:hint="eastAsia"/>
              <w:bCs w:val="0"/>
            </w:rPr>
            <w:t>马来西亚东海岸铁路项目，总金额近4</w:t>
          </w:r>
          <w:r>
            <w:rPr>
              <w:bCs w:val="0"/>
            </w:rPr>
            <w:t>,</w:t>
          </w:r>
          <w:r>
            <w:rPr>
              <w:rFonts w:hint="eastAsia"/>
              <w:bCs w:val="0"/>
            </w:rPr>
            <w:t>000万元。</w:t>
          </w:r>
        </w:p>
        <w:p w:rsidR="00597370" w:rsidRDefault="003C2EEE">
          <w:pPr>
            <w:widowControl w:val="0"/>
            <w:snapToGrid w:val="0"/>
            <w:spacing w:line="360" w:lineRule="auto"/>
            <w:ind w:firstLineChars="200" w:firstLine="420"/>
            <w:jc w:val="both"/>
            <w:outlineLvl w:val="3"/>
            <w:rPr>
              <w:bCs w:val="0"/>
            </w:rPr>
          </w:pPr>
          <w:r>
            <w:rPr>
              <w:rFonts w:hint="eastAsia"/>
              <w:bCs w:val="0"/>
            </w:rPr>
            <w:t>报告期内，公司组建了国际营销中心，筹划全球化布局。取向硅钢出口继续以印度、东南亚、中东等地区为主，以土耳其和墨西哥作为洲际跳板，穿透到北美加拿大、南美哥伦比亚等区域；输配电及控制设备将</w:t>
          </w:r>
          <w:proofErr w:type="gramStart"/>
          <w:r>
            <w:rPr>
              <w:rFonts w:hint="eastAsia"/>
              <w:bCs w:val="0"/>
            </w:rPr>
            <w:t>以云变电气</w:t>
          </w:r>
          <w:proofErr w:type="gramEnd"/>
          <w:r>
            <w:rPr>
              <w:rFonts w:hint="eastAsia"/>
              <w:bCs w:val="0"/>
            </w:rPr>
            <w:t>为变压器出口基地，建立老挝、马来西亚、越南、柬埔寨和缅甸等东南亚办事处；同时设立南亚大区销售中心参与孟加拉、斯里兰卡和尼泊尔等国家的主电网投标工作，同时公司拟在埃塞俄比亚设立非洲办事处，更好地配合</w:t>
          </w:r>
          <w:proofErr w:type="gramStart"/>
          <w:r>
            <w:rPr>
              <w:rFonts w:hint="eastAsia"/>
              <w:bCs w:val="0"/>
            </w:rPr>
            <w:t>大型央企在</w:t>
          </w:r>
          <w:proofErr w:type="gramEnd"/>
          <w:r>
            <w:rPr>
              <w:rFonts w:hint="eastAsia"/>
              <w:bCs w:val="0"/>
            </w:rPr>
            <w:t>非洲市场的电力总承包投标工作。报告期在阿联酋参与调研，筹划成立迪拜销售中心参与沙特、伊拉克的主电网投标工作。</w:t>
          </w:r>
        </w:p>
        <w:p w:rsidR="00597370" w:rsidRDefault="003C2EEE">
          <w:pPr>
            <w:widowControl w:val="0"/>
            <w:snapToGrid w:val="0"/>
            <w:spacing w:line="360" w:lineRule="auto"/>
            <w:ind w:firstLineChars="200" w:firstLine="420"/>
            <w:jc w:val="both"/>
            <w:outlineLvl w:val="3"/>
            <w:rPr>
              <w:bCs w:val="0"/>
            </w:rPr>
          </w:pPr>
          <w:r>
            <w:rPr>
              <w:rFonts w:hint="eastAsia"/>
              <w:bCs w:val="0"/>
            </w:rPr>
            <w:t>另外报告期内公司就部分国家主电网投标的准入资格进行相关认证工作，结合公司的实际情况正在办理相关产品资质认证。公司正在积极布局国际市场，为公司的走出去战略规划迈出了坚实的一步。</w:t>
          </w:r>
        </w:p>
        <w:p w:rsidR="00597370" w:rsidRDefault="003C2EEE">
          <w:pPr>
            <w:widowControl w:val="0"/>
            <w:snapToGrid w:val="0"/>
            <w:spacing w:line="360" w:lineRule="auto"/>
            <w:ind w:firstLineChars="200" w:firstLine="422"/>
            <w:jc w:val="both"/>
            <w:outlineLvl w:val="2"/>
            <w:rPr>
              <w:b/>
            </w:rPr>
          </w:pPr>
          <w:r>
            <w:rPr>
              <w:rFonts w:hint="eastAsia"/>
              <w:b/>
            </w:rPr>
            <w:t>（四）持续加大研发创新，极大提升了公司的核心竞争力</w:t>
          </w:r>
        </w:p>
        <w:p w:rsidR="00597370" w:rsidRDefault="003C2EEE">
          <w:pPr>
            <w:snapToGrid w:val="0"/>
            <w:spacing w:line="360" w:lineRule="auto"/>
            <w:ind w:firstLineChars="200" w:firstLine="420"/>
            <w:rPr>
              <w:b/>
            </w:rPr>
          </w:pPr>
          <w:r>
            <w:rPr>
              <w:rFonts w:hint="eastAsia"/>
              <w:bCs w:val="0"/>
            </w:rPr>
            <w:lastRenderedPageBreak/>
            <w:t>报告期内，公司聚焦高电压等级变压器、新能源变压器、大型干式变压器、新能源箱式变电站、预制舱、</w:t>
          </w:r>
          <w:r>
            <w:rPr>
              <w:rFonts w:cs="Times New Roman" w:hint="eastAsia"/>
              <w:bCs w:val="0"/>
            </w:rPr>
            <w:t>充气柜、薄规格CGO及HIB钢研发工作，开展研发项目32个，其中新立项23个，持续研发项目9个，实现研发投入</w:t>
          </w:r>
          <w:r>
            <w:rPr>
              <w:rFonts w:cs="Times New Roman"/>
              <w:bCs w:val="0"/>
            </w:rPr>
            <w:t>6</w:t>
          </w:r>
          <w:r>
            <w:rPr>
              <w:rFonts w:cs="Times New Roman" w:hint="eastAsia"/>
              <w:bCs w:val="0"/>
            </w:rPr>
            <w:t>,</w:t>
          </w:r>
          <w:r>
            <w:rPr>
              <w:rFonts w:cs="Times New Roman"/>
              <w:bCs w:val="0"/>
            </w:rPr>
            <w:t>890.65</w:t>
          </w:r>
          <w:r>
            <w:rPr>
              <w:rFonts w:cs="Times New Roman" w:hint="eastAsia"/>
              <w:bCs w:val="0"/>
            </w:rPr>
            <w:t>万元，同比增长</w:t>
          </w:r>
          <w:r>
            <w:rPr>
              <w:rFonts w:cs="Times New Roman"/>
              <w:bCs w:val="0"/>
            </w:rPr>
            <w:t>30.25</w:t>
          </w:r>
          <w:r>
            <w:rPr>
              <w:rFonts w:cs="Times New Roman" w:hint="eastAsia"/>
              <w:bCs w:val="0"/>
            </w:rPr>
            <w:t>%，新增6个发明专利。</w:t>
          </w:r>
        </w:p>
        <w:p w:rsidR="00597370" w:rsidRDefault="003C2EEE">
          <w:pPr>
            <w:snapToGrid w:val="0"/>
            <w:spacing w:line="360" w:lineRule="auto"/>
            <w:ind w:firstLineChars="200" w:firstLine="420"/>
            <w:rPr>
              <w:rFonts w:cs="Times New Roman"/>
              <w:bCs w:val="0"/>
              <w:kern w:val="2"/>
            </w:rPr>
          </w:pPr>
          <w:r>
            <w:rPr>
              <w:rFonts w:cs="Times New Roman" w:hint="eastAsia"/>
              <w:bCs w:val="0"/>
              <w:kern w:val="2"/>
            </w:rPr>
            <w:t>报告期内，公司</w:t>
          </w:r>
          <w:r>
            <w:rPr>
              <w:rFonts w:hint="eastAsia"/>
              <w:bCs w:val="0"/>
            </w:rPr>
            <w:t>荣获重庆市科学技术局颁发的“2023年度</w:t>
          </w:r>
          <w:r>
            <w:rPr>
              <w:rFonts w:cs="Times New Roman" w:hint="eastAsia"/>
              <w:bCs w:val="0"/>
              <w:kern w:val="2"/>
            </w:rPr>
            <w:t>重庆市科学技术奖”之“企业技术创新奖”、荣获重庆市新材料产业联合会颁发的“重庆新材料研发制造先进企业”称号和“重庆新材料重点产品”称号、上榜中国品牌建设促进会发布的“2024年中国品牌价值评价信息发布电子电气组”。</w:t>
          </w:r>
        </w:p>
        <w:p w:rsidR="00597370" w:rsidRDefault="003C2EEE">
          <w:pPr>
            <w:widowControl w:val="0"/>
            <w:snapToGrid w:val="0"/>
            <w:spacing w:line="360" w:lineRule="auto"/>
            <w:ind w:firstLineChars="200" w:firstLine="422"/>
            <w:jc w:val="both"/>
            <w:outlineLvl w:val="2"/>
            <w:rPr>
              <w:b/>
            </w:rPr>
          </w:pPr>
          <w:r>
            <w:rPr>
              <w:rFonts w:hint="eastAsia"/>
              <w:b/>
            </w:rPr>
            <w:t>（五）</w:t>
          </w:r>
          <w:proofErr w:type="gramStart"/>
          <w:r>
            <w:rPr>
              <w:rFonts w:hint="eastAsia"/>
              <w:b/>
            </w:rPr>
            <w:t>数智支撑</w:t>
          </w:r>
          <w:proofErr w:type="gramEnd"/>
          <w:r>
            <w:rPr>
              <w:rFonts w:hint="eastAsia"/>
              <w:b/>
            </w:rPr>
            <w:t>落地有声，智能化智</w:t>
          </w:r>
          <w:proofErr w:type="gramStart"/>
          <w:r>
            <w:rPr>
              <w:rFonts w:hint="eastAsia"/>
              <w:b/>
            </w:rPr>
            <w:t>造目标</w:t>
          </w:r>
          <w:proofErr w:type="gramEnd"/>
          <w:r>
            <w:rPr>
              <w:rFonts w:hint="eastAsia"/>
              <w:b/>
            </w:rPr>
            <w:t>又进一步</w:t>
          </w:r>
        </w:p>
        <w:p w:rsidR="00597370" w:rsidRDefault="003C2EEE">
          <w:pPr>
            <w:snapToGrid w:val="0"/>
            <w:spacing w:line="360" w:lineRule="auto"/>
            <w:ind w:firstLineChars="200" w:firstLine="420"/>
            <w:rPr>
              <w:rFonts w:cs="Times New Roman"/>
              <w:bCs w:val="0"/>
            </w:rPr>
          </w:pPr>
          <w:r>
            <w:rPr>
              <w:rFonts w:cs="Times New Roman" w:hint="eastAsia"/>
              <w:bCs w:val="0"/>
            </w:rPr>
            <w:t>报告期内，公司</w:t>
          </w:r>
          <w:proofErr w:type="gramStart"/>
          <w:r>
            <w:rPr>
              <w:rFonts w:cs="Times New Roman" w:hint="eastAsia"/>
              <w:bCs w:val="0"/>
            </w:rPr>
            <w:t>硅钢产线</w:t>
          </w:r>
          <w:proofErr w:type="gramEnd"/>
          <w:r>
            <w:rPr>
              <w:rFonts w:cs="Times New Roman" w:hint="eastAsia"/>
              <w:bCs w:val="0"/>
            </w:rPr>
            <w:t>MES+工业互联网平台基本建成，实现了IT与OT的有效融合，对于工艺优化、质量提升、设备提效等关键工作起到了极大作用，在数字系统的加持下，关键指标优化明显；公司启动集团</w:t>
          </w:r>
          <w:proofErr w:type="gramStart"/>
          <w:r>
            <w:rPr>
              <w:rFonts w:cs="Times New Roman" w:hint="eastAsia"/>
              <w:bCs w:val="0"/>
            </w:rPr>
            <w:t>主数据</w:t>
          </w:r>
          <w:proofErr w:type="gramEnd"/>
          <w:r>
            <w:rPr>
              <w:rFonts w:cs="Times New Roman" w:hint="eastAsia"/>
              <w:bCs w:val="0"/>
            </w:rPr>
            <w:t>治理工程，建立车间级+事业部级+集团级数</w:t>
          </w:r>
          <w:proofErr w:type="gramStart"/>
          <w:r>
            <w:rPr>
              <w:rFonts w:cs="Times New Roman" w:hint="eastAsia"/>
              <w:bCs w:val="0"/>
            </w:rPr>
            <w:t>据应用</w:t>
          </w:r>
          <w:proofErr w:type="gramEnd"/>
          <w:r>
            <w:rPr>
              <w:rFonts w:cs="Times New Roman" w:hint="eastAsia"/>
              <w:bCs w:val="0"/>
            </w:rPr>
            <w:t>体系，让数据成为“资产”赋能经营管理；公司OA系统完成验收，HR系统基本实现基础模块的上线运行，覆盖11大类业务流模板220余个，有效提升了公司的运行效率；公司铁芯MES+WMS上线运行，变压器智能化改造项目按进度计划持续推进。</w:t>
          </w:r>
        </w:p>
        <w:p w:rsidR="00597370" w:rsidRDefault="003C2EEE">
          <w:pPr>
            <w:snapToGrid w:val="0"/>
            <w:spacing w:line="360" w:lineRule="auto"/>
            <w:ind w:firstLineChars="200" w:firstLine="420"/>
            <w:rPr>
              <w:rFonts w:cs="Times New Roman"/>
              <w:bCs w:val="0"/>
              <w:kern w:val="2"/>
            </w:rPr>
          </w:pPr>
          <w:r>
            <w:rPr>
              <w:rFonts w:cs="Times New Roman" w:hint="eastAsia"/>
              <w:bCs w:val="0"/>
            </w:rPr>
            <w:t>报告期内，公司围绕数字化制造、数字化管理核心领域，积极推动</w:t>
          </w:r>
          <w:proofErr w:type="gramStart"/>
          <w:r>
            <w:rPr>
              <w:rFonts w:cs="Times New Roman" w:hint="eastAsia"/>
              <w:bCs w:val="0"/>
            </w:rPr>
            <w:t>系列数智化</w:t>
          </w:r>
          <w:proofErr w:type="gramEnd"/>
          <w:r>
            <w:rPr>
              <w:rFonts w:cs="Times New Roman" w:hint="eastAsia"/>
              <w:bCs w:val="0"/>
            </w:rPr>
            <w:t>项目落地，新建项目均按照智能化工厂要求建设，通过引进先进工艺装备、搭载智能智造系统，不断注入新质生产力，为公司持续发展添活力。</w:t>
          </w:r>
        </w:p>
        <w:p w:rsidR="00597370" w:rsidRDefault="003C2EEE">
          <w:pPr>
            <w:widowControl w:val="0"/>
            <w:snapToGrid w:val="0"/>
            <w:spacing w:line="360" w:lineRule="auto"/>
            <w:ind w:firstLineChars="200" w:firstLine="422"/>
            <w:jc w:val="both"/>
            <w:outlineLvl w:val="2"/>
            <w:rPr>
              <w:rFonts w:cs="Times New Roman"/>
              <w:bCs w:val="0"/>
              <w:kern w:val="2"/>
            </w:rPr>
          </w:pPr>
          <w:r>
            <w:rPr>
              <w:rFonts w:hint="eastAsia"/>
              <w:b/>
            </w:rPr>
            <w:t xml:space="preserve">（六）加强内控建设，重视安全生产，为公司的健康稳定发展提供强有力支撑   </w:t>
          </w:r>
          <w:r>
            <w:rPr>
              <w:rFonts w:cs="Times New Roman" w:hint="eastAsia"/>
              <w:bCs w:val="0"/>
              <w:kern w:val="2"/>
            </w:rPr>
            <w:t xml:space="preserve"> </w:t>
          </w:r>
        </w:p>
        <w:p w:rsidR="00597370" w:rsidRDefault="003C2EEE">
          <w:pPr>
            <w:widowControl w:val="0"/>
            <w:snapToGrid w:val="0"/>
            <w:spacing w:line="360" w:lineRule="auto"/>
            <w:ind w:firstLineChars="200" w:firstLine="420"/>
            <w:jc w:val="both"/>
            <w:rPr>
              <w:rFonts w:cs="Times New Roman"/>
              <w:bCs w:val="0"/>
              <w:kern w:val="2"/>
            </w:rPr>
          </w:pPr>
          <w:r>
            <w:rPr>
              <w:rFonts w:cs="Times New Roman" w:hint="eastAsia"/>
              <w:bCs w:val="0"/>
              <w:kern w:val="2"/>
            </w:rPr>
            <w:t>报告期内，公司持续加强内控建设，加强内部定期审计及专项审计，加强三会及其下属专门委员会的规范运作，加强预算管理和成本控制，公司的精细化管理水平进一步提升；报告期内公司安全环保投入6</w:t>
          </w:r>
          <w:r>
            <w:rPr>
              <w:rFonts w:cs="Times New Roman"/>
              <w:bCs w:val="0"/>
              <w:kern w:val="2"/>
            </w:rPr>
            <w:t>46.35</w:t>
          </w:r>
          <w:r>
            <w:rPr>
              <w:rFonts w:cs="Times New Roman" w:hint="eastAsia"/>
              <w:bCs w:val="0"/>
              <w:kern w:val="2"/>
            </w:rPr>
            <w:t>万元，同比增长5</w:t>
          </w:r>
          <w:r>
            <w:rPr>
              <w:rFonts w:cs="Times New Roman"/>
              <w:bCs w:val="0"/>
              <w:kern w:val="2"/>
            </w:rPr>
            <w:t>2.96%</w:t>
          </w:r>
          <w:r>
            <w:rPr>
              <w:rFonts w:cs="Times New Roman" w:hint="eastAsia"/>
              <w:bCs w:val="0"/>
              <w:kern w:val="2"/>
            </w:rPr>
            <w:t>，安全、环保、职业健康、消防、应急均无行政处罚，为公司业绩稳定发展提供了有力保障；公司始终坚持</w:t>
          </w:r>
          <w:r>
            <w:rPr>
              <w:rFonts w:cs="Calibri" w:hint="eastAsia"/>
              <w:bCs w:val="0"/>
              <w:kern w:val="2"/>
            </w:rPr>
            <w:t>“</w:t>
          </w:r>
          <w:r>
            <w:rPr>
              <w:rFonts w:cs="Times New Roman" w:hint="eastAsia"/>
              <w:bCs w:val="0"/>
              <w:kern w:val="2"/>
            </w:rPr>
            <w:t>绿色、低碳、环保、可持续发展</w:t>
          </w:r>
          <w:r>
            <w:rPr>
              <w:rFonts w:cs="Calibri" w:hint="eastAsia"/>
              <w:bCs w:val="0"/>
              <w:kern w:val="2"/>
            </w:rPr>
            <w:t>”</w:t>
          </w:r>
          <w:r>
            <w:rPr>
              <w:rFonts w:cs="Times New Roman" w:hint="eastAsia"/>
              <w:bCs w:val="0"/>
              <w:kern w:val="2"/>
            </w:rPr>
            <w:t>的生产理念，积极</w:t>
          </w:r>
          <w:proofErr w:type="gramStart"/>
          <w:r>
            <w:rPr>
              <w:rFonts w:cs="Times New Roman" w:hint="eastAsia"/>
              <w:bCs w:val="0"/>
              <w:kern w:val="2"/>
            </w:rPr>
            <w:t>践行</w:t>
          </w:r>
          <w:proofErr w:type="gramEnd"/>
          <w:r>
            <w:rPr>
              <w:rFonts w:cs="Times New Roman" w:hint="eastAsia"/>
              <w:bCs w:val="0"/>
              <w:kern w:val="2"/>
            </w:rPr>
            <w:t>社会责任。</w:t>
          </w:r>
        </w:p>
      </w:sdtContent>
    </w:sdt>
    <w:p w:rsidR="00597370" w:rsidRDefault="00597370">
      <w:pPr>
        <w:rPr>
          <w:color w:val="000000" w:themeColor="text1"/>
        </w:rPr>
      </w:pPr>
    </w:p>
    <w:p w:rsidR="00597370" w:rsidRDefault="003C2EEE">
      <w:pPr>
        <w:rPr>
          <w:b/>
          <w:bCs w:val="0"/>
          <w:color w:val="000000" w:themeColor="text1"/>
        </w:rPr>
      </w:pPr>
      <w:r>
        <w:rPr>
          <w:rFonts w:hint="eastAsia"/>
          <w:b/>
          <w:color w:val="000000" w:themeColor="text1"/>
        </w:rPr>
        <w:t>报告期内公司经营情况的重大变化，以及报告期内发生的对公司经营情况有重大影响和预计未来会有重大影响的事项</w:t>
      </w:r>
    </w:p>
    <w:sdt>
      <w:sdtPr>
        <w:rPr>
          <w:rFonts w:hint="eastAsia"/>
          <w:color w:val="000000" w:themeColor="text1"/>
        </w:rPr>
        <w:alias w:val="是否适用：报告期内公司经营情况的重大变化，以及报告期内发生的对公司经营情况有重大影响和预计未来会有重大影响的事项[双击切换]"/>
        <w:tag w:val="_GBC_0f91ff55b5a9406ea662149119d7e23c"/>
        <w:id w:val="805431173"/>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7"/>
        </w:numPr>
        <w:tabs>
          <w:tab w:val="left" w:pos="426"/>
        </w:tabs>
        <w:ind w:left="422" w:hanging="422"/>
        <w:jc w:val="left"/>
        <w:rPr>
          <w:rFonts w:ascii="宋体" w:hAnsi="宋体"/>
          <w:color w:val="000000" w:themeColor="text1"/>
        </w:rPr>
      </w:pPr>
      <w:r>
        <w:rPr>
          <w:rFonts w:ascii="宋体" w:hAnsi="宋体" w:hint="eastAsia"/>
          <w:color w:val="000000" w:themeColor="text1"/>
        </w:rPr>
        <w:t>报告期内主要经营情况</w:t>
      </w:r>
    </w:p>
    <w:p w:rsidR="00597370" w:rsidRDefault="003C2EEE">
      <w:pPr>
        <w:pStyle w:val="Style109"/>
        <w:numPr>
          <w:ilvl w:val="0"/>
          <w:numId w:val="8"/>
        </w:numPr>
        <w:rPr>
          <w:rFonts w:ascii="宋体" w:hAnsi="宋体"/>
          <w:color w:val="000000" w:themeColor="text1"/>
        </w:rPr>
      </w:pPr>
      <w:bookmarkStart w:id="28" w:name="_Toc342565895"/>
      <w:bookmarkStart w:id="29" w:name="_Toc342559738"/>
      <w:r>
        <w:rPr>
          <w:rFonts w:ascii="宋体" w:hAnsi="宋体" w:hint="eastAsia"/>
          <w:color w:val="000000" w:themeColor="text1"/>
        </w:rPr>
        <w:t>主营业务分析</w:t>
      </w:r>
      <w:bookmarkEnd w:id="28"/>
      <w:bookmarkEnd w:id="29"/>
    </w:p>
    <w:p w:rsidR="00597370" w:rsidRDefault="003C2EEE">
      <w:pPr>
        <w:pStyle w:val="Style110"/>
        <w:numPr>
          <w:ilvl w:val="0"/>
          <w:numId w:val="9"/>
        </w:numPr>
        <w:rPr>
          <w:rFonts w:ascii="宋体" w:hAnsi="宋体"/>
          <w:color w:val="000000" w:themeColor="text1"/>
        </w:rPr>
      </w:pPr>
      <w:bookmarkStart w:id="30" w:name="_Toc342565896"/>
      <w:bookmarkStart w:id="31" w:name="_Toc342559739"/>
      <w:r>
        <w:rPr>
          <w:rFonts w:ascii="宋体" w:hAnsi="宋体" w:hint="eastAsia"/>
          <w:color w:val="000000" w:themeColor="text1"/>
        </w:rPr>
        <w:t>财务报表相关科目变动分析表</w:t>
      </w:r>
      <w:bookmarkEnd w:id="30"/>
      <w:bookmarkEnd w:id="31"/>
    </w:p>
    <w:p w:rsidR="00597370" w:rsidRDefault="003C2EEE">
      <w:pPr>
        <w:pStyle w:val="Style147"/>
        <w:ind w:left="360" w:firstLineChars="0" w:firstLine="0"/>
        <w:jc w:val="right"/>
        <w:rPr>
          <w:rFonts w:ascii="宋体" w:hAnsi="宋体"/>
          <w:color w:val="000000" w:themeColor="text1"/>
        </w:rPr>
      </w:pPr>
      <w:bookmarkStart w:id="32" w:name="_Hlk10208083"/>
      <w:r>
        <w:rPr>
          <w:rFonts w:ascii="宋体" w:hAnsi="宋体" w:hint="eastAsia"/>
          <w:color w:val="000000" w:themeColor="text1"/>
          <w:szCs w:val="21"/>
        </w:rPr>
        <w:t>单位</w:t>
      </w:r>
      <w:r>
        <w:rPr>
          <w:rFonts w:ascii="宋体" w:hAnsi="宋体"/>
          <w:color w:val="000000" w:themeColor="text1"/>
          <w:szCs w:val="21"/>
        </w:rPr>
        <w:t>：</w:t>
      </w:r>
      <w:sdt>
        <w:sdtPr>
          <w:rPr>
            <w:rFonts w:ascii="宋体" w:hAnsi="宋体"/>
            <w:color w:val="000000" w:themeColor="text1"/>
            <w:szCs w:val="21"/>
          </w:rPr>
          <w:alias w:val="单位：利润表及现金流量表相关科目变动分析表"/>
          <w:tag w:val="_GBC_ece1a77905b94e6db0c76206578fe2db"/>
          <w:id w:val="11208101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color w:val="000000" w:themeColor="text1"/>
              <w:szCs w:val="21"/>
            </w:rPr>
            <w:t>万元</w:t>
          </w:r>
        </w:sdtContent>
      </w:sdt>
      <w:r>
        <w:rPr>
          <w:rFonts w:ascii="宋体" w:hAnsi="宋体" w:hint="eastAsia"/>
          <w:color w:val="000000" w:themeColor="text1"/>
          <w:szCs w:val="21"/>
        </w:rPr>
        <w:t xml:space="preserve">  币种</w:t>
      </w:r>
      <w:r>
        <w:rPr>
          <w:rFonts w:ascii="宋体" w:hAnsi="宋体"/>
          <w:color w:val="000000" w:themeColor="text1"/>
          <w:szCs w:val="21"/>
        </w:rPr>
        <w:t>：</w:t>
      </w:r>
      <w:sdt>
        <w:sdtPr>
          <w:rPr>
            <w:rFonts w:ascii="宋体" w:hAnsi="宋体"/>
            <w:color w:val="000000" w:themeColor="text1"/>
            <w:szCs w:val="21"/>
          </w:rPr>
          <w:alias w:val="币种：利润表及现金流量表相关科目变动分析表"/>
          <w:tag w:val="_GBC_6c86f79f9e2349b09f37ad908cd43f73"/>
          <w:id w:val="18676454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3"/>
        <w:tblW w:w="5000" w:type="pct"/>
        <w:jc w:val="center"/>
        <w:tblLook w:val="04A0" w:firstRow="1" w:lastRow="0" w:firstColumn="1" w:lastColumn="0" w:noHBand="0" w:noVBand="1"/>
      </w:tblPr>
      <w:tblGrid>
        <w:gridCol w:w="3175"/>
        <w:gridCol w:w="1908"/>
        <w:gridCol w:w="1945"/>
        <w:gridCol w:w="1795"/>
      </w:tblGrid>
      <w:tr w:rsidR="00597370">
        <w:trPr>
          <w:trHeight w:val="397"/>
          <w:jc w:val="center"/>
        </w:trPr>
        <w:bookmarkStart w:id="33" w:name="_Hlk10208057" w:displacedByCustomXml="next"/>
        <w:sdt>
          <w:sdtPr>
            <w:rPr>
              <w:rFonts w:ascii="宋体" w:hAnsi="宋体"/>
              <w:color w:val="000000" w:themeColor="text1"/>
            </w:rPr>
            <w:tag w:val="_PLD_2e2e0d1bb8d44a278061305ea6808979"/>
            <w:id w:val="-1543058328"/>
          </w:sdtPr>
          <w:sdtEndPr/>
          <w:sdtContent>
            <w:tc>
              <w:tcPr>
                <w:tcW w:w="1800" w:type="pct"/>
                <w:vAlign w:val="center"/>
              </w:tcPr>
              <w:p w:rsidR="00597370" w:rsidRDefault="003C2EEE">
                <w:pPr>
                  <w:pStyle w:val="Style147"/>
                  <w:ind w:firstLineChars="0" w:firstLine="0"/>
                  <w:jc w:val="center"/>
                  <w:rPr>
                    <w:rFonts w:ascii="宋体" w:hAnsi="宋体"/>
                    <w:color w:val="000000" w:themeColor="text1"/>
                    <w:szCs w:val="21"/>
                  </w:rPr>
                </w:pPr>
                <w:r>
                  <w:rPr>
                    <w:rFonts w:ascii="宋体" w:hAnsi="宋体" w:hint="eastAsia"/>
                    <w:color w:val="000000" w:themeColor="text1"/>
                    <w:szCs w:val="21"/>
                  </w:rPr>
                  <w:t>科目</w:t>
                </w:r>
              </w:p>
            </w:tc>
          </w:sdtContent>
        </w:sdt>
        <w:sdt>
          <w:sdtPr>
            <w:rPr>
              <w:rFonts w:ascii="宋体" w:hAnsi="宋体"/>
              <w:color w:val="000000" w:themeColor="text1"/>
            </w:rPr>
            <w:tag w:val="_PLD_37391874ab08430b841a55f53c4d20e6"/>
            <w:id w:val="136225951"/>
          </w:sdtPr>
          <w:sdtEndPr/>
          <w:sdtContent>
            <w:tc>
              <w:tcPr>
                <w:tcW w:w="1081" w:type="pct"/>
                <w:vAlign w:val="center"/>
              </w:tcPr>
              <w:p w:rsidR="00597370" w:rsidRDefault="003C2EEE">
                <w:pPr>
                  <w:pStyle w:val="Style147"/>
                  <w:ind w:firstLineChars="0" w:firstLine="0"/>
                  <w:jc w:val="center"/>
                  <w:rPr>
                    <w:rFonts w:ascii="宋体" w:hAnsi="宋体"/>
                    <w:color w:val="000000" w:themeColor="text1"/>
                    <w:szCs w:val="21"/>
                  </w:rPr>
                </w:pPr>
                <w:r>
                  <w:rPr>
                    <w:rFonts w:ascii="宋体" w:hAnsi="宋体" w:hint="eastAsia"/>
                    <w:color w:val="000000" w:themeColor="text1"/>
                    <w:szCs w:val="21"/>
                  </w:rPr>
                  <w:t>本期数</w:t>
                </w:r>
              </w:p>
            </w:tc>
          </w:sdtContent>
        </w:sdt>
        <w:sdt>
          <w:sdtPr>
            <w:rPr>
              <w:rFonts w:ascii="宋体" w:hAnsi="宋体"/>
              <w:color w:val="000000" w:themeColor="text1"/>
            </w:rPr>
            <w:tag w:val="_PLD_d061bf6d7e824e93a5540d2e36feb15d"/>
            <w:id w:val="-700789655"/>
          </w:sdtPr>
          <w:sdtEndPr/>
          <w:sdtContent>
            <w:tc>
              <w:tcPr>
                <w:tcW w:w="1102" w:type="pct"/>
                <w:vAlign w:val="center"/>
              </w:tcPr>
              <w:p w:rsidR="00597370" w:rsidRDefault="003C2EEE">
                <w:pPr>
                  <w:pStyle w:val="Style147"/>
                  <w:ind w:firstLineChars="0" w:firstLine="0"/>
                  <w:jc w:val="center"/>
                  <w:rPr>
                    <w:rFonts w:ascii="宋体" w:hAnsi="宋体"/>
                    <w:color w:val="000000" w:themeColor="text1"/>
                    <w:szCs w:val="21"/>
                  </w:rPr>
                </w:pPr>
                <w:r>
                  <w:rPr>
                    <w:rFonts w:ascii="宋体" w:hAnsi="宋体" w:hint="eastAsia"/>
                    <w:color w:val="000000" w:themeColor="text1"/>
                    <w:szCs w:val="21"/>
                  </w:rPr>
                  <w:t>上年同期数</w:t>
                </w:r>
              </w:p>
            </w:tc>
          </w:sdtContent>
        </w:sdt>
        <w:sdt>
          <w:sdtPr>
            <w:rPr>
              <w:rFonts w:ascii="宋体" w:hAnsi="宋体"/>
              <w:color w:val="000000" w:themeColor="text1"/>
            </w:rPr>
            <w:tag w:val="_PLD_1792b71106c34c75af22292391c96e49"/>
            <w:id w:val="930095148"/>
          </w:sdtPr>
          <w:sdtEndPr/>
          <w:sdtContent>
            <w:tc>
              <w:tcPr>
                <w:tcW w:w="1017" w:type="pct"/>
                <w:vAlign w:val="center"/>
              </w:tcPr>
              <w:p w:rsidR="00597370" w:rsidRDefault="003C2EEE">
                <w:pPr>
                  <w:pStyle w:val="Style147"/>
                  <w:ind w:firstLineChars="0" w:firstLine="0"/>
                  <w:jc w:val="center"/>
                  <w:rPr>
                    <w:rFonts w:ascii="宋体" w:hAnsi="宋体"/>
                    <w:color w:val="000000" w:themeColor="text1"/>
                    <w:szCs w:val="21"/>
                  </w:rPr>
                </w:pPr>
                <w:r>
                  <w:rPr>
                    <w:rFonts w:ascii="宋体" w:hAnsi="宋体" w:hint="eastAsia"/>
                    <w:color w:val="000000" w:themeColor="text1"/>
                    <w:szCs w:val="21"/>
                  </w:rPr>
                  <w:t>变动比例（%）</w:t>
                </w:r>
              </w:p>
            </w:tc>
          </w:sdtContent>
        </w:sdt>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hint="eastAsia"/>
                <w:color w:val="000000" w:themeColor="text1"/>
                <w:szCs w:val="21"/>
              </w:rPr>
              <w:t>营业收入</w:t>
            </w:r>
          </w:p>
        </w:tc>
        <w:tc>
          <w:tcPr>
            <w:tcW w:w="1081"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142,539.54</w:t>
            </w:r>
          </w:p>
        </w:tc>
        <w:tc>
          <w:tcPr>
            <w:tcW w:w="1102"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123,488.14</w:t>
            </w:r>
          </w:p>
        </w:tc>
        <w:tc>
          <w:tcPr>
            <w:tcW w:w="1017"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 xml:space="preserve"> 15.43 </w:t>
            </w:r>
          </w:p>
        </w:tc>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color w:val="000000" w:themeColor="text1"/>
                <w:szCs w:val="21"/>
              </w:rPr>
              <w:t>营业成本</w:t>
            </w:r>
          </w:p>
        </w:tc>
        <w:tc>
          <w:tcPr>
            <w:tcW w:w="1081"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126,486.77</w:t>
            </w:r>
          </w:p>
        </w:tc>
        <w:tc>
          <w:tcPr>
            <w:tcW w:w="1102"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95,780.98</w:t>
            </w:r>
          </w:p>
        </w:tc>
        <w:tc>
          <w:tcPr>
            <w:tcW w:w="1017"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 xml:space="preserve"> 32.06 </w:t>
            </w:r>
          </w:p>
        </w:tc>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color w:val="000000" w:themeColor="text1"/>
                <w:szCs w:val="21"/>
              </w:rPr>
              <w:t>销售费用</w:t>
            </w:r>
          </w:p>
        </w:tc>
        <w:tc>
          <w:tcPr>
            <w:tcW w:w="1081"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5,901.32</w:t>
            </w:r>
          </w:p>
        </w:tc>
        <w:tc>
          <w:tcPr>
            <w:tcW w:w="1102"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4,202.40</w:t>
            </w:r>
          </w:p>
        </w:tc>
        <w:tc>
          <w:tcPr>
            <w:tcW w:w="1017"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 xml:space="preserve"> 40.43 </w:t>
            </w:r>
          </w:p>
        </w:tc>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color w:val="000000" w:themeColor="text1"/>
                <w:szCs w:val="21"/>
              </w:rPr>
              <w:t>管理费用</w:t>
            </w:r>
          </w:p>
        </w:tc>
        <w:tc>
          <w:tcPr>
            <w:tcW w:w="1081"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5,416.48</w:t>
            </w:r>
          </w:p>
        </w:tc>
        <w:tc>
          <w:tcPr>
            <w:tcW w:w="1102"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3,732.67</w:t>
            </w:r>
          </w:p>
        </w:tc>
        <w:tc>
          <w:tcPr>
            <w:tcW w:w="1017"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 xml:space="preserve"> 45.11 </w:t>
            </w:r>
          </w:p>
        </w:tc>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color w:val="000000" w:themeColor="text1"/>
                <w:szCs w:val="21"/>
              </w:rPr>
              <w:lastRenderedPageBreak/>
              <w:t>财务费用</w:t>
            </w:r>
          </w:p>
        </w:tc>
        <w:tc>
          <w:tcPr>
            <w:tcW w:w="1081"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-3.47</w:t>
            </w:r>
          </w:p>
        </w:tc>
        <w:tc>
          <w:tcPr>
            <w:tcW w:w="1102"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-856.18</w:t>
            </w:r>
          </w:p>
        </w:tc>
        <w:tc>
          <w:tcPr>
            <w:tcW w:w="1017"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 xml:space="preserve"> -99.59 </w:t>
            </w:r>
          </w:p>
        </w:tc>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hint="eastAsia"/>
                <w:color w:val="000000" w:themeColor="text1"/>
                <w:szCs w:val="21"/>
              </w:rPr>
              <w:t>研发费用</w:t>
            </w:r>
          </w:p>
        </w:tc>
        <w:tc>
          <w:tcPr>
            <w:tcW w:w="1081"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2,061.38</w:t>
            </w:r>
          </w:p>
        </w:tc>
        <w:tc>
          <w:tcPr>
            <w:tcW w:w="1102"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1,781.90</w:t>
            </w:r>
          </w:p>
        </w:tc>
        <w:tc>
          <w:tcPr>
            <w:tcW w:w="1017"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 xml:space="preserve"> 15.68 </w:t>
            </w:r>
          </w:p>
        </w:tc>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color w:val="000000" w:themeColor="text1"/>
                <w:szCs w:val="21"/>
              </w:rPr>
              <w:t>经营活动产生的现金流量净额</w:t>
            </w:r>
          </w:p>
        </w:tc>
        <w:tc>
          <w:tcPr>
            <w:tcW w:w="1081"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color w:val="000000"/>
                <w:szCs w:val="21"/>
              </w:rPr>
              <w:t xml:space="preserve"> -29,537.17 </w:t>
            </w:r>
          </w:p>
        </w:tc>
        <w:tc>
          <w:tcPr>
            <w:tcW w:w="1102"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color w:val="000000"/>
                <w:szCs w:val="21"/>
              </w:rPr>
              <w:t xml:space="preserve"> -4,828.26 </w:t>
            </w:r>
          </w:p>
        </w:tc>
        <w:tc>
          <w:tcPr>
            <w:tcW w:w="1017"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hint="eastAsia"/>
                <w:szCs w:val="21"/>
              </w:rPr>
              <w:t>不适用</w:t>
            </w:r>
          </w:p>
        </w:tc>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color w:val="000000" w:themeColor="text1"/>
                <w:szCs w:val="21"/>
              </w:rPr>
              <w:t>投资活动产生的现金流量净额</w:t>
            </w:r>
          </w:p>
        </w:tc>
        <w:tc>
          <w:tcPr>
            <w:tcW w:w="1081" w:type="pct"/>
            <w:vAlign w:val="center"/>
          </w:tcPr>
          <w:p w:rsidR="00597370" w:rsidRDefault="003C2EEE">
            <w:pPr>
              <w:jc w:val="right"/>
              <w:rPr>
                <w:rFonts w:asciiTheme="minorEastAsia" w:eastAsiaTheme="minorEastAsia" w:hAnsiTheme="minorEastAsia" w:cs="Times New Roman"/>
                <w:bCs w:val="0"/>
                <w:color w:val="000000"/>
              </w:rPr>
            </w:pPr>
            <w:r>
              <w:rPr>
                <w:rFonts w:asciiTheme="minorEastAsia" w:eastAsiaTheme="minorEastAsia" w:hAnsiTheme="minorEastAsia" w:cs="Times New Roman"/>
                <w:color w:val="000000"/>
              </w:rPr>
              <w:t xml:space="preserve"> -55,074.25 </w:t>
            </w:r>
          </w:p>
        </w:tc>
        <w:tc>
          <w:tcPr>
            <w:tcW w:w="1102" w:type="pct"/>
            <w:vAlign w:val="center"/>
          </w:tcPr>
          <w:p w:rsidR="00597370" w:rsidRDefault="003C2EEE">
            <w:pPr>
              <w:jc w:val="right"/>
              <w:rPr>
                <w:rFonts w:asciiTheme="minorEastAsia" w:eastAsiaTheme="minorEastAsia" w:hAnsiTheme="minorEastAsia" w:cs="Times New Roman"/>
                <w:color w:val="000000"/>
              </w:rPr>
            </w:pPr>
            <w:r>
              <w:rPr>
                <w:rFonts w:asciiTheme="minorEastAsia" w:eastAsiaTheme="minorEastAsia" w:hAnsiTheme="minorEastAsia" w:cs="Times New Roman"/>
                <w:color w:val="000000"/>
              </w:rPr>
              <w:t xml:space="preserve"> -19,713.71 </w:t>
            </w:r>
          </w:p>
        </w:tc>
        <w:tc>
          <w:tcPr>
            <w:tcW w:w="1017" w:type="pct"/>
            <w:vAlign w:val="center"/>
          </w:tcPr>
          <w:p w:rsidR="00597370" w:rsidRDefault="003C2EEE">
            <w:pPr>
              <w:jc w:val="right"/>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不适用</w:t>
            </w:r>
          </w:p>
        </w:tc>
      </w:tr>
      <w:tr w:rsidR="00597370">
        <w:trPr>
          <w:trHeight w:val="397"/>
          <w:jc w:val="center"/>
        </w:trPr>
        <w:tc>
          <w:tcPr>
            <w:tcW w:w="1800" w:type="pct"/>
            <w:vAlign w:val="center"/>
          </w:tcPr>
          <w:p w:rsidR="00597370" w:rsidRDefault="003C2EEE">
            <w:pPr>
              <w:pStyle w:val="Style147"/>
              <w:ind w:firstLineChars="0" w:firstLine="0"/>
              <w:rPr>
                <w:rFonts w:ascii="宋体" w:hAnsi="宋体"/>
                <w:color w:val="000000" w:themeColor="text1"/>
                <w:szCs w:val="21"/>
              </w:rPr>
            </w:pPr>
            <w:r>
              <w:rPr>
                <w:rFonts w:ascii="宋体" w:hAnsi="宋体"/>
                <w:color w:val="000000" w:themeColor="text1"/>
                <w:szCs w:val="21"/>
              </w:rPr>
              <w:t>筹资活动产生的现金流量净额</w:t>
            </w:r>
          </w:p>
        </w:tc>
        <w:tc>
          <w:tcPr>
            <w:tcW w:w="1081"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49,570.11</w:t>
            </w:r>
          </w:p>
        </w:tc>
        <w:tc>
          <w:tcPr>
            <w:tcW w:w="1102"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31,342.46</w:t>
            </w:r>
          </w:p>
        </w:tc>
        <w:tc>
          <w:tcPr>
            <w:tcW w:w="1017" w:type="pct"/>
            <w:vAlign w:val="center"/>
          </w:tcPr>
          <w:p w:rsidR="00597370" w:rsidRDefault="003C2EEE">
            <w:pPr>
              <w:pStyle w:val="Style147"/>
              <w:ind w:firstLineChars="0" w:firstLine="0"/>
              <w:jc w:val="right"/>
              <w:rPr>
                <w:rFonts w:asciiTheme="minorEastAsia" w:eastAsiaTheme="minorEastAsia" w:hAnsiTheme="minorEastAsia"/>
                <w:szCs w:val="21"/>
              </w:rPr>
            </w:pPr>
            <w:r>
              <w:rPr>
                <w:rFonts w:asciiTheme="minorEastAsia" w:eastAsiaTheme="minorEastAsia" w:hAnsiTheme="minorEastAsia"/>
                <w:szCs w:val="21"/>
              </w:rPr>
              <w:t xml:space="preserve"> 58.16 </w:t>
            </w:r>
          </w:p>
        </w:tc>
      </w:tr>
    </w:tbl>
    <w:bookmarkEnd w:id="33"/>
    <w:p w:rsidR="00597370" w:rsidRDefault="003C2EEE">
      <w:pPr>
        <w:pStyle w:val="Style147"/>
        <w:spacing w:line="360" w:lineRule="auto"/>
        <w:ind w:firstLineChars="0" w:firstLine="0"/>
        <w:jc w:val="left"/>
        <w:rPr>
          <w:rFonts w:ascii="宋体" w:hAnsi="宋体"/>
          <w:color w:val="000000" w:themeColor="text1"/>
        </w:rPr>
      </w:pPr>
      <w:r>
        <w:rPr>
          <w:rFonts w:ascii="宋体" w:hAnsi="宋体" w:hint="eastAsia"/>
          <w:color w:val="000000" w:themeColor="text1"/>
        </w:rPr>
        <w:t>营业收入变动原因说明：</w:t>
      </w:r>
      <w:sdt>
        <w:sdtPr>
          <w:rPr>
            <w:rFonts w:ascii="宋体" w:hAnsi="宋体"/>
            <w:color w:val="000000" w:themeColor="text1"/>
            <w:szCs w:val="21"/>
          </w:rPr>
          <w:alias w:val="营业收入变动原因说明"/>
          <w:tag w:val="_GBC_f42c61e6c2ef46fe886ea6ecdd4ea15b"/>
          <w:id w:val="-508451232"/>
          <w:placeholder>
            <w:docPart w:val="GBC22222222222222222222222222222"/>
          </w:placeholder>
        </w:sdtPr>
        <w:sdtEndPr/>
        <w:sdtContent>
          <w:r>
            <w:rPr>
              <w:rFonts w:ascii="宋体" w:hAnsi="宋体" w:hint="eastAsia"/>
              <w:color w:val="000000" w:themeColor="text1"/>
              <w:szCs w:val="21"/>
            </w:rPr>
            <w:t>报告期内，实现营业收入</w:t>
          </w:r>
          <w:r>
            <w:rPr>
              <w:rFonts w:ascii="宋体" w:hAnsi="宋体"/>
              <w:color w:val="000000" w:themeColor="text1"/>
              <w:szCs w:val="21"/>
            </w:rPr>
            <w:t>14.3亿元，同比增长15.43%；其中取向硅钢实现营业收入6.03亿元，输配电及控制设备实现营业收入7.79亿元；</w:t>
          </w:r>
          <w:r>
            <w:rPr>
              <w:rFonts w:ascii="宋体" w:hAnsi="宋体" w:hint="eastAsia"/>
              <w:color w:val="000000" w:themeColor="text1"/>
              <w:szCs w:val="21"/>
            </w:rPr>
            <w:t>取向硅钢销售量同比增加2</w:t>
          </w:r>
          <w:r>
            <w:rPr>
              <w:rFonts w:ascii="宋体" w:hAnsi="宋体"/>
              <w:color w:val="000000" w:themeColor="text1"/>
              <w:szCs w:val="21"/>
            </w:rPr>
            <w:t>.4</w:t>
          </w:r>
          <w:r>
            <w:rPr>
              <w:rFonts w:ascii="宋体" w:hAnsi="宋体" w:hint="eastAsia"/>
              <w:color w:val="000000" w:themeColor="text1"/>
              <w:szCs w:val="21"/>
            </w:rPr>
            <w:t>万吨，带来营业收入增加2</w:t>
          </w:r>
          <w:r>
            <w:rPr>
              <w:rFonts w:ascii="宋体" w:hAnsi="宋体"/>
              <w:color w:val="000000" w:themeColor="text1"/>
              <w:szCs w:val="21"/>
            </w:rPr>
            <w:t>.21</w:t>
          </w:r>
          <w:r>
            <w:rPr>
              <w:rFonts w:ascii="宋体" w:hAnsi="宋体" w:hint="eastAsia"/>
              <w:color w:val="000000" w:themeColor="text1"/>
              <w:szCs w:val="21"/>
            </w:rPr>
            <w:t>亿元，取向硅钢销售单价下降带来营业收入减少2</w:t>
          </w:r>
          <w:r>
            <w:rPr>
              <w:rFonts w:ascii="宋体" w:hAnsi="宋体"/>
              <w:color w:val="000000" w:themeColor="text1"/>
              <w:szCs w:val="21"/>
            </w:rPr>
            <w:t>.48</w:t>
          </w:r>
          <w:r>
            <w:rPr>
              <w:rFonts w:ascii="宋体" w:hAnsi="宋体" w:hint="eastAsia"/>
              <w:color w:val="000000" w:themeColor="text1"/>
              <w:szCs w:val="21"/>
            </w:rPr>
            <w:t>亿元；</w:t>
          </w:r>
          <w:r>
            <w:rPr>
              <w:rFonts w:ascii="宋体" w:hAnsi="宋体"/>
              <w:color w:val="000000" w:themeColor="text1"/>
              <w:szCs w:val="21"/>
            </w:rPr>
            <w:t>输配电及控制设备业务同比增长34.85%；取向硅钢业务同比下降3.37%；输配电及控制设备业务增长幅度较大的原因主要</w:t>
          </w:r>
          <w:proofErr w:type="gramStart"/>
          <w:r>
            <w:rPr>
              <w:rFonts w:ascii="宋体" w:hAnsi="宋体"/>
              <w:color w:val="000000" w:themeColor="text1"/>
              <w:szCs w:val="21"/>
            </w:rPr>
            <w:t>系报告期云变</w:t>
          </w:r>
          <w:proofErr w:type="gramEnd"/>
          <w:r>
            <w:rPr>
              <w:rFonts w:ascii="宋体" w:hAnsi="宋体"/>
              <w:color w:val="000000" w:themeColor="text1"/>
              <w:szCs w:val="21"/>
            </w:rPr>
            <w:t>电气从2024年4月1日起纳入合并范围，并入营业收入2.28亿元，带来输配电及控制设备业务营业收入同比增长39.41%；</w:t>
          </w:r>
          <w:proofErr w:type="gramStart"/>
          <w:r>
            <w:rPr>
              <w:rFonts w:ascii="宋体" w:hAnsi="宋体"/>
              <w:color w:val="000000" w:themeColor="text1"/>
              <w:szCs w:val="21"/>
            </w:rPr>
            <w:t>剔除云变电气</w:t>
          </w:r>
          <w:proofErr w:type="gramEnd"/>
          <w:r>
            <w:rPr>
              <w:rFonts w:ascii="宋体" w:hAnsi="宋体"/>
              <w:color w:val="000000" w:themeColor="text1"/>
              <w:szCs w:val="21"/>
            </w:rPr>
            <w:t>增量，输配电及控制设备业务同比小幅下降4.55%，主要原因系110kV及以下节能型变压器智能化工厂技改项目、智能成</w:t>
          </w:r>
          <w:r>
            <w:rPr>
              <w:rFonts w:ascii="宋体" w:hAnsi="宋体" w:hint="eastAsia"/>
              <w:color w:val="000000" w:themeColor="text1"/>
              <w:szCs w:val="21"/>
            </w:rPr>
            <w:t>套电气设备产业基地建设项目进入设备交验和调试期，产能处于爬坡阶段。</w:t>
          </w:r>
        </w:sdtContent>
      </w:sdt>
    </w:p>
    <w:p w:rsidR="00597370" w:rsidRDefault="003C2EEE">
      <w:pPr>
        <w:pStyle w:val="Style147"/>
        <w:spacing w:line="360" w:lineRule="auto"/>
        <w:ind w:firstLineChars="0" w:firstLine="0"/>
        <w:jc w:val="left"/>
        <w:rPr>
          <w:rFonts w:ascii="宋体" w:hAnsi="宋体"/>
          <w:color w:val="000000" w:themeColor="text1"/>
        </w:rPr>
      </w:pPr>
      <w:r>
        <w:rPr>
          <w:rFonts w:ascii="宋体" w:hAnsi="宋体" w:hint="eastAsia"/>
          <w:color w:val="000000" w:themeColor="text1"/>
        </w:rPr>
        <w:t>营业成本变动原因说明：</w:t>
      </w:r>
      <w:sdt>
        <w:sdtPr>
          <w:rPr>
            <w:rFonts w:ascii="宋体" w:hAnsi="宋体" w:hint="eastAsia"/>
            <w:color w:val="000000" w:themeColor="text1"/>
          </w:rPr>
          <w:alias w:val="营业成本变动原因说明"/>
          <w:tag w:val="_GBC_4ab47071f9844da58abe164f6bd272aa"/>
          <w:id w:val="1406421560"/>
          <w:placeholder>
            <w:docPart w:val="GBC22222222222222222222222222222"/>
          </w:placeholder>
        </w:sdtPr>
        <w:sdtEndPr/>
        <w:sdtContent>
          <w:sdt>
            <w:sdtPr>
              <w:alias w:val="营业成本变动原因说明"/>
              <w:tag w:val="_GBC_4ab47071f9844da58abe164f6bd272aa"/>
              <w:id w:val="224728616"/>
            </w:sdtPr>
            <w:sdtEndPr/>
            <w:sdtContent>
              <w:r>
                <w:rPr>
                  <w:rFonts w:hint="eastAsia"/>
                </w:rPr>
                <w:t>报告期内，发生营业成本</w:t>
              </w:r>
              <w:r>
                <w:t>12.6</w:t>
              </w:r>
              <w:r>
                <w:t>亿元，</w:t>
              </w:r>
              <w:r>
                <w:rPr>
                  <w:rFonts w:ascii="宋体" w:hAnsi="宋体" w:hint="eastAsia"/>
                  <w:color w:val="000000"/>
                </w:rPr>
                <w:t>本报告期营业成本同比增长</w:t>
              </w:r>
              <w:r>
                <w:rPr>
                  <w:rFonts w:ascii="宋体" w:hAnsi="宋体"/>
                  <w:color w:val="000000"/>
                </w:rPr>
                <w:t>32.06%，主要系取向硅钢较同期销售量增加2.4万吨 ，带来营业成本增加2.1 亿元</w:t>
              </w:r>
              <w:r>
                <w:rPr>
                  <w:rFonts w:ascii="宋体" w:hAnsi="宋体" w:hint="eastAsia"/>
                  <w:color w:val="000000"/>
                </w:rPr>
                <w:t>；取向硅钢单位销售成本同比下降带来营业成本减少0</w:t>
              </w:r>
              <w:r>
                <w:rPr>
                  <w:rFonts w:ascii="宋体" w:hAnsi="宋体"/>
                  <w:color w:val="000000"/>
                </w:rPr>
                <w:t>.82</w:t>
              </w:r>
              <w:r>
                <w:rPr>
                  <w:rFonts w:ascii="宋体" w:hAnsi="宋体" w:hint="eastAsia"/>
                  <w:color w:val="000000"/>
                </w:rPr>
                <w:t>亿元；</w:t>
              </w:r>
              <w:r>
                <w:rPr>
                  <w:rFonts w:ascii="宋体" w:hAnsi="宋体"/>
                  <w:color w:val="000000"/>
                </w:rPr>
                <w:t>报告</w:t>
              </w:r>
              <w:proofErr w:type="gramStart"/>
              <w:r>
                <w:rPr>
                  <w:rFonts w:ascii="宋体" w:hAnsi="宋体"/>
                  <w:color w:val="000000"/>
                </w:rPr>
                <w:t>期云变</w:t>
              </w:r>
              <w:proofErr w:type="gramEnd"/>
              <w:r>
                <w:rPr>
                  <w:rFonts w:ascii="宋体" w:hAnsi="宋体"/>
                  <w:color w:val="000000"/>
                </w:rPr>
                <w:t>电气从2024年4月1日起纳入合并范围，</w:t>
              </w:r>
              <w:r>
                <w:rPr>
                  <w:rFonts w:ascii="宋体" w:hAnsi="宋体" w:hint="eastAsia"/>
                  <w:color w:val="000000"/>
                </w:rPr>
                <w:t>带来输配电及控制设备业务</w:t>
              </w:r>
              <w:r>
                <w:rPr>
                  <w:rFonts w:ascii="宋体" w:hAnsi="宋体"/>
                  <w:color w:val="000000"/>
                </w:rPr>
                <w:t>营业成本</w:t>
              </w:r>
              <w:r>
                <w:rPr>
                  <w:rFonts w:ascii="宋体" w:hAnsi="宋体" w:hint="eastAsia"/>
                  <w:color w:val="000000"/>
                </w:rPr>
                <w:t>增加</w:t>
              </w:r>
              <w:r>
                <w:rPr>
                  <w:rFonts w:ascii="宋体" w:hAnsi="宋体"/>
                  <w:color w:val="000000"/>
                </w:rPr>
                <w:t>1.</w:t>
              </w:r>
              <w:r>
                <w:rPr>
                  <w:rFonts w:ascii="宋体" w:hAnsi="宋体" w:hint="eastAsia"/>
                  <w:color w:val="000000"/>
                </w:rPr>
                <w:t>92</w:t>
              </w:r>
              <w:r>
                <w:rPr>
                  <w:rFonts w:ascii="宋体" w:hAnsi="宋体"/>
                  <w:color w:val="000000"/>
                </w:rPr>
                <w:t>亿元，</w:t>
              </w:r>
              <w:proofErr w:type="gramStart"/>
              <w:r>
                <w:rPr>
                  <w:rFonts w:ascii="宋体" w:hAnsi="宋体" w:hint="eastAsia"/>
                  <w:color w:val="000000"/>
                </w:rPr>
                <w:t>剔除云变增量</w:t>
              </w:r>
              <w:proofErr w:type="gramEnd"/>
              <w:r>
                <w:rPr>
                  <w:rFonts w:ascii="宋体" w:hAnsi="宋体" w:hint="eastAsia"/>
                  <w:color w:val="000000"/>
                </w:rPr>
                <w:t>影响后，同比上期输配电及控制设备营业成本持平</w:t>
              </w:r>
              <w:r>
                <w:rPr>
                  <w:rFonts w:ascii="宋体" w:hAnsi="宋体"/>
                  <w:color w:val="000000"/>
                </w:rPr>
                <w:t>。</w:t>
              </w:r>
            </w:sdtContent>
          </w:sdt>
          <w:r>
            <w:t xml:space="preserve"> </w:t>
          </w:r>
        </w:sdtContent>
      </w:sdt>
    </w:p>
    <w:p w:rsidR="00597370" w:rsidRDefault="003C2EEE">
      <w:pPr>
        <w:pStyle w:val="Style147"/>
        <w:spacing w:line="360" w:lineRule="auto"/>
        <w:ind w:firstLineChars="0" w:firstLine="0"/>
        <w:jc w:val="left"/>
        <w:rPr>
          <w:rFonts w:ascii="宋体" w:hAnsi="宋体"/>
          <w:color w:val="000000" w:themeColor="text1"/>
        </w:rPr>
      </w:pPr>
      <w:r>
        <w:rPr>
          <w:rFonts w:ascii="宋体" w:hAnsi="宋体" w:hint="eastAsia"/>
          <w:color w:val="000000" w:themeColor="text1"/>
        </w:rPr>
        <w:t>销售费用变动原因说明：</w:t>
      </w:r>
      <w:sdt>
        <w:sdtPr>
          <w:rPr>
            <w:rFonts w:ascii="宋体" w:hAnsi="宋体" w:hint="eastAsia"/>
            <w:color w:val="000000" w:themeColor="text1"/>
          </w:rPr>
          <w:alias w:val="销售费用变动原因说明"/>
          <w:tag w:val="_GBC_d8f3d3236009445ca57b171f1c954fae"/>
          <w:id w:val="-138423933"/>
          <w:placeholder>
            <w:docPart w:val="GBC22222222222222222222222222222"/>
          </w:placeholder>
        </w:sdtPr>
        <w:sdtEndPr/>
        <w:sdtContent>
          <w:sdt>
            <w:sdtPr>
              <w:alias w:val="销售费用变动原因说明"/>
              <w:tag w:val="_GBC_d8f3d3236009445ca57b171f1c954fae"/>
              <w:id w:val="-1941134456"/>
            </w:sdtPr>
            <w:sdtEndPr/>
            <w:sdtContent>
              <w:r>
                <w:rPr>
                  <w:rFonts w:ascii="宋体" w:hAnsi="宋体" w:hint="eastAsia"/>
                  <w:color w:val="000000"/>
                </w:rPr>
                <w:t>主要</w:t>
              </w:r>
              <w:proofErr w:type="gramStart"/>
              <w:r>
                <w:rPr>
                  <w:rFonts w:ascii="宋体" w:hAnsi="宋体" w:hint="eastAsia"/>
                  <w:color w:val="000000"/>
                </w:rPr>
                <w:t>系云变电气</w:t>
              </w:r>
              <w:proofErr w:type="gramEnd"/>
              <w:r>
                <w:rPr>
                  <w:rFonts w:ascii="宋体" w:hAnsi="宋体" w:hint="eastAsia"/>
                  <w:color w:val="000000"/>
                </w:rPr>
                <w:t>纳入合并范围；同时公司拓展海内外市场带来费用增加所致。</w:t>
              </w:r>
            </w:sdtContent>
          </w:sdt>
          <w:r>
            <w:t xml:space="preserve"> </w:t>
          </w:r>
        </w:sdtContent>
      </w:sdt>
    </w:p>
    <w:p w:rsidR="00597370" w:rsidRDefault="003C2EEE">
      <w:pPr>
        <w:pStyle w:val="Style147"/>
        <w:spacing w:line="360" w:lineRule="auto"/>
        <w:ind w:firstLineChars="0" w:firstLine="0"/>
        <w:jc w:val="left"/>
        <w:rPr>
          <w:rFonts w:ascii="宋体" w:hAnsi="宋体"/>
          <w:color w:val="000000" w:themeColor="text1"/>
        </w:rPr>
      </w:pPr>
      <w:r>
        <w:rPr>
          <w:rFonts w:ascii="宋体" w:hAnsi="宋体" w:hint="eastAsia"/>
          <w:color w:val="000000" w:themeColor="text1"/>
        </w:rPr>
        <w:t>管理费用变动原因说明：</w:t>
      </w:r>
      <w:sdt>
        <w:sdtPr>
          <w:rPr>
            <w:rFonts w:ascii="宋体" w:hAnsi="宋体" w:hint="eastAsia"/>
            <w:color w:val="000000" w:themeColor="text1"/>
          </w:rPr>
          <w:alias w:val="管理费用变动原因说明"/>
          <w:tag w:val="_GBC_13103bbe23ee4770b17eecdee03d38a1"/>
          <w:id w:val="-1944367930"/>
          <w:placeholder>
            <w:docPart w:val="GBC22222222222222222222222222222"/>
          </w:placeholder>
        </w:sdtPr>
        <w:sdtEndPr/>
        <w:sdtContent>
          <w:sdt>
            <w:sdtPr>
              <w:alias w:val="管理费用变动原因说明"/>
              <w:tag w:val="_GBC_13103bbe23ee4770b17eecdee03d38a1"/>
              <w:id w:val="-50544604"/>
            </w:sdtPr>
            <w:sdtEndPr/>
            <w:sdtContent>
              <w:r>
                <w:rPr>
                  <w:rFonts w:ascii="宋体" w:hAnsi="宋体" w:hint="eastAsia"/>
                  <w:color w:val="000000"/>
                </w:rPr>
                <w:t>主要系</w:t>
              </w:r>
              <w:proofErr w:type="gramStart"/>
              <w:r>
                <w:rPr>
                  <w:rFonts w:ascii="宋体" w:hAnsi="宋体" w:hint="eastAsia"/>
                  <w:color w:val="000000"/>
                </w:rPr>
                <w:t>一方面云变电气</w:t>
              </w:r>
              <w:proofErr w:type="gramEnd"/>
              <w:r>
                <w:rPr>
                  <w:rFonts w:ascii="宋体" w:hAnsi="宋体" w:hint="eastAsia"/>
                  <w:color w:val="000000"/>
                </w:rPr>
                <w:t>纳入合并范围导致增加；二是</w:t>
              </w:r>
              <w:proofErr w:type="gramStart"/>
              <w:r>
                <w:rPr>
                  <w:rFonts w:ascii="宋体" w:hAnsi="宋体" w:hint="eastAsia"/>
                  <w:color w:val="000000"/>
                </w:rPr>
                <w:t>收购云变电气</w:t>
              </w:r>
              <w:proofErr w:type="gramEnd"/>
              <w:r>
                <w:rPr>
                  <w:rFonts w:ascii="宋体" w:hAnsi="宋体" w:hint="eastAsia"/>
                  <w:color w:val="000000"/>
                </w:rPr>
                <w:t>支付的机构中介服务费用带来管理费用增加；三是公司规模扩大集团管理费用和集团办公场所增加带来的折旧摊销增加所致。</w:t>
              </w:r>
            </w:sdtContent>
          </w:sdt>
          <w:r>
            <w:t xml:space="preserve"> </w:t>
          </w:r>
        </w:sdtContent>
      </w:sdt>
    </w:p>
    <w:p w:rsidR="00597370" w:rsidRDefault="003C2EEE">
      <w:pPr>
        <w:pStyle w:val="Style147"/>
        <w:spacing w:line="360" w:lineRule="auto"/>
        <w:ind w:firstLineChars="0" w:firstLine="0"/>
        <w:jc w:val="left"/>
        <w:rPr>
          <w:rFonts w:ascii="宋体" w:hAnsi="宋体"/>
          <w:color w:val="000000" w:themeColor="text1"/>
        </w:rPr>
      </w:pPr>
      <w:r>
        <w:rPr>
          <w:rFonts w:ascii="宋体" w:hAnsi="宋体" w:hint="eastAsia"/>
          <w:color w:val="000000" w:themeColor="text1"/>
        </w:rPr>
        <w:t>财务费用变动原因说明：</w:t>
      </w:r>
      <w:sdt>
        <w:sdtPr>
          <w:rPr>
            <w:rFonts w:ascii="宋体" w:hAnsi="宋体" w:hint="eastAsia"/>
            <w:color w:val="000000" w:themeColor="text1"/>
          </w:rPr>
          <w:alias w:val="财务费用变动原因说明"/>
          <w:tag w:val="_GBC_2876360f1d844724b6ba84d6b9756580"/>
          <w:id w:val="1797948433"/>
          <w:placeholder>
            <w:docPart w:val="GBC22222222222222222222222222222"/>
          </w:placeholder>
        </w:sdtPr>
        <w:sdtEndPr/>
        <w:sdtContent>
          <w:sdt>
            <w:sdtPr>
              <w:alias w:val="财务费用变动原因说明"/>
              <w:tag w:val="_GBC_2876360f1d844724b6ba84d6b9756580"/>
              <w:id w:val="-1520239940"/>
            </w:sdtPr>
            <w:sdtEndPr/>
            <w:sdtContent>
              <w:r>
                <w:rPr>
                  <w:rFonts w:hint="eastAsia"/>
                </w:rPr>
                <w:t>主要系</w:t>
              </w:r>
              <w:r>
                <w:rPr>
                  <w:rFonts w:ascii="宋体" w:hAnsi="宋体" w:hint="eastAsia"/>
                  <w:color w:val="000000"/>
                </w:rPr>
                <w:t>一是本期新增并购贷款带来利息支出增加；二是八万吨高端磁性新材料建设项目逐步转为固定资产导致资本化利息费用减少，计入财务费用的利息费用增加；三是随着公司经营规模扩大，公司适当增加营运资金借款带来利息支出增加；四是公司自有资金减少导致利息收入减少等几方面共同影响导致本期财务费用收益减少支出增加。</w:t>
              </w:r>
            </w:sdtContent>
          </w:sdt>
          <w:r>
            <w:t xml:space="preserve"> </w:t>
          </w:r>
        </w:sdtContent>
      </w:sdt>
    </w:p>
    <w:p w:rsidR="00597370" w:rsidRDefault="003C2EEE">
      <w:pPr>
        <w:pStyle w:val="Style147"/>
        <w:spacing w:line="360" w:lineRule="auto"/>
        <w:ind w:firstLineChars="0" w:firstLine="0"/>
        <w:jc w:val="left"/>
        <w:rPr>
          <w:rFonts w:ascii="宋体" w:hAnsi="宋体"/>
          <w:color w:val="000000" w:themeColor="text1"/>
        </w:rPr>
      </w:pPr>
      <w:r>
        <w:rPr>
          <w:rFonts w:ascii="宋体" w:hAnsi="宋体" w:hint="eastAsia"/>
          <w:color w:val="000000" w:themeColor="text1"/>
        </w:rPr>
        <w:t>研发费用变动原因说明</w:t>
      </w:r>
      <w:r>
        <w:rPr>
          <w:rFonts w:ascii="宋体" w:hAnsi="宋体"/>
          <w:color w:val="000000" w:themeColor="text1"/>
        </w:rPr>
        <w:t>：</w:t>
      </w:r>
      <w:sdt>
        <w:sdtPr>
          <w:rPr>
            <w:rFonts w:ascii="宋体" w:hAnsi="宋体"/>
            <w:color w:val="000000" w:themeColor="text1"/>
          </w:rPr>
          <w:alias w:val="研发费用变动原因说明"/>
          <w:tag w:val="_GBC_b0b71742eb3f4715afa18751ce433454"/>
          <w:id w:val="-486862983"/>
          <w:placeholder>
            <w:docPart w:val="GBC22222222222222222222222222222"/>
          </w:placeholder>
        </w:sdtPr>
        <w:sdtEndPr/>
        <w:sdtContent>
          <w:r>
            <w:rPr>
              <w:rFonts w:ascii="宋体" w:hAnsi="宋体" w:hint="eastAsia"/>
              <w:color w:val="000000" w:themeColor="text1"/>
            </w:rPr>
            <w:t>主要系公司持续加大研发投入所致。</w:t>
          </w:r>
        </w:sdtContent>
      </w:sdt>
    </w:p>
    <w:p w:rsidR="00597370" w:rsidRDefault="003C2EEE">
      <w:pPr>
        <w:pStyle w:val="Style147"/>
        <w:spacing w:line="360" w:lineRule="auto"/>
        <w:ind w:firstLineChars="0" w:firstLine="0"/>
        <w:jc w:val="left"/>
        <w:rPr>
          <w:rFonts w:ascii="宋体" w:hAnsi="宋体"/>
          <w:color w:val="000000" w:themeColor="text1"/>
        </w:rPr>
      </w:pPr>
      <w:r>
        <w:rPr>
          <w:rFonts w:ascii="宋体" w:hAnsi="宋体"/>
          <w:color w:val="000000" w:themeColor="text1"/>
          <w:szCs w:val="21"/>
        </w:rPr>
        <w:t>经营活动产生的现金流量净额</w:t>
      </w:r>
      <w:r>
        <w:rPr>
          <w:rFonts w:ascii="宋体" w:hAnsi="宋体" w:hint="eastAsia"/>
          <w:color w:val="000000" w:themeColor="text1"/>
          <w:szCs w:val="21"/>
        </w:rPr>
        <w:t>变动原因说明：</w:t>
      </w:r>
      <w:sdt>
        <w:sdtPr>
          <w:rPr>
            <w:rFonts w:ascii="宋体" w:hAnsi="宋体" w:hint="eastAsia"/>
            <w:color w:val="000000" w:themeColor="text1"/>
            <w:szCs w:val="21"/>
          </w:rPr>
          <w:alias w:val="经营活动产生的现金流量净额变动原因说明"/>
          <w:tag w:val="_GBC_309323bb8b0046e9bb6afe0231994d50"/>
          <w:id w:val="1456906264"/>
          <w:placeholder>
            <w:docPart w:val="GBC22222222222222222222222222222"/>
          </w:placeholder>
        </w:sdtPr>
        <w:sdtEndPr/>
        <w:sdtContent>
          <w:sdt>
            <w:sdtPr>
              <w:alias w:val="经营活动产生的现金流量净额变动原因说明"/>
              <w:tag w:val="_GBC_309323bb8b0046e9bb6afe0231994d50"/>
              <w:id w:val="-471751170"/>
            </w:sdtPr>
            <w:sdtEndPr/>
            <w:sdtContent>
              <w:r>
                <w:rPr>
                  <w:rFonts w:ascii="宋体" w:hAnsi="宋体" w:hint="eastAsia"/>
                  <w:color w:val="000000"/>
                </w:rPr>
                <w:t>本期经营活动现金净流出增加2</w:t>
              </w:r>
              <w:r>
                <w:rPr>
                  <w:rFonts w:ascii="宋体" w:hAnsi="宋体"/>
                  <w:color w:val="000000"/>
                </w:rPr>
                <w:t>.47</w:t>
              </w:r>
              <w:r>
                <w:rPr>
                  <w:rFonts w:ascii="宋体" w:hAnsi="宋体" w:hint="eastAsia"/>
                  <w:color w:val="000000"/>
                </w:rPr>
                <w:t>亿元，主要</w:t>
              </w:r>
              <w:proofErr w:type="gramStart"/>
              <w:r>
                <w:rPr>
                  <w:rFonts w:ascii="宋体" w:hAnsi="宋体" w:hint="eastAsia"/>
                  <w:color w:val="000000"/>
                </w:rPr>
                <w:t>系报告</w:t>
              </w:r>
              <w:proofErr w:type="gramEnd"/>
              <w:r>
                <w:rPr>
                  <w:rFonts w:ascii="宋体" w:hAnsi="宋体" w:hint="eastAsia"/>
                  <w:color w:val="000000"/>
                </w:rPr>
                <w:t>期到期银行承兑汇票同比增加2</w:t>
              </w:r>
              <w:r>
                <w:rPr>
                  <w:rFonts w:ascii="宋体" w:hAnsi="宋体"/>
                  <w:color w:val="000000"/>
                </w:rPr>
                <w:t>.1</w:t>
              </w:r>
              <w:r>
                <w:rPr>
                  <w:rFonts w:ascii="宋体" w:hAnsi="宋体" w:hint="eastAsia"/>
                  <w:color w:val="000000"/>
                </w:rPr>
                <w:t>亿元，本期存入开票保证金增加0.3亿元综合影响所致。</w:t>
              </w:r>
            </w:sdtContent>
          </w:sdt>
          <w:r>
            <w:t xml:space="preserve"> </w:t>
          </w:r>
        </w:sdtContent>
      </w:sdt>
    </w:p>
    <w:p w:rsidR="00597370" w:rsidRDefault="003C2EEE">
      <w:pPr>
        <w:pStyle w:val="Style147"/>
        <w:spacing w:line="360" w:lineRule="auto"/>
        <w:ind w:firstLineChars="0" w:firstLine="0"/>
        <w:jc w:val="left"/>
        <w:rPr>
          <w:rFonts w:ascii="宋体" w:hAnsi="宋体"/>
          <w:color w:val="000000" w:themeColor="text1"/>
        </w:rPr>
      </w:pPr>
      <w:r>
        <w:rPr>
          <w:rFonts w:ascii="宋体" w:hAnsi="宋体"/>
          <w:color w:val="000000" w:themeColor="text1"/>
          <w:szCs w:val="21"/>
        </w:rPr>
        <w:t>投资活动产生的现金流量净额</w:t>
      </w:r>
      <w:r>
        <w:rPr>
          <w:rFonts w:ascii="宋体" w:hAnsi="宋体" w:hint="eastAsia"/>
          <w:color w:val="000000" w:themeColor="text1"/>
          <w:szCs w:val="21"/>
        </w:rPr>
        <w:t>变动原因说明：</w:t>
      </w:r>
      <w:sdt>
        <w:sdtPr>
          <w:rPr>
            <w:rFonts w:ascii="宋体" w:hAnsi="宋体" w:hint="eastAsia"/>
            <w:color w:val="000000" w:themeColor="text1"/>
            <w:szCs w:val="21"/>
          </w:rPr>
          <w:alias w:val="投资活动产生的现金流量净额变动原因说明"/>
          <w:tag w:val="_GBC_981bcb9573814b8080b52fae435fb1b0"/>
          <w:id w:val="1445192205"/>
          <w:placeholder>
            <w:docPart w:val="GBC22222222222222222222222222222"/>
          </w:placeholder>
        </w:sdtPr>
        <w:sdtEndPr/>
        <w:sdtContent>
          <w:sdt>
            <w:sdtPr>
              <w:alias w:val="投资活动产生的现金流量净额变动原因说明"/>
              <w:tag w:val="_GBC_981bcb9573814b8080b52fae435fb1b0"/>
              <w:id w:val="277141620"/>
            </w:sdtPr>
            <w:sdtEndPr/>
            <w:sdtContent>
              <w:r>
                <w:rPr>
                  <w:rFonts w:ascii="宋体" w:hAnsi="宋体" w:hint="eastAsia"/>
                  <w:color w:val="000000"/>
                </w:rPr>
                <w:t>本期投资活动现金净流出增加</w:t>
              </w:r>
              <w:r>
                <w:rPr>
                  <w:rFonts w:ascii="宋体" w:hAnsi="宋体"/>
                  <w:color w:val="000000"/>
                </w:rPr>
                <w:t>3.5</w:t>
              </w:r>
              <w:r>
                <w:rPr>
                  <w:rFonts w:ascii="宋体" w:hAnsi="宋体" w:hint="eastAsia"/>
                  <w:color w:val="000000"/>
                </w:rPr>
                <w:t>亿元，主要系本期</w:t>
              </w:r>
              <w:proofErr w:type="gramStart"/>
              <w:r>
                <w:rPr>
                  <w:rFonts w:ascii="宋体" w:hAnsi="宋体" w:hint="eastAsia"/>
                  <w:color w:val="000000"/>
                </w:rPr>
                <w:t>支付云变电气</w:t>
              </w:r>
              <w:proofErr w:type="gramEnd"/>
              <w:r>
                <w:rPr>
                  <w:rFonts w:ascii="宋体" w:hAnsi="宋体" w:hint="eastAsia"/>
                  <w:color w:val="000000"/>
                </w:rPr>
                <w:t>股权收购</w:t>
              </w:r>
              <w:proofErr w:type="gramStart"/>
              <w:r>
                <w:rPr>
                  <w:rFonts w:ascii="宋体" w:hAnsi="宋体" w:hint="eastAsia"/>
                  <w:color w:val="000000"/>
                </w:rPr>
                <w:t>款导致</w:t>
              </w:r>
              <w:proofErr w:type="gramEnd"/>
              <w:r>
                <w:rPr>
                  <w:rFonts w:ascii="宋体" w:hAnsi="宋体" w:hint="eastAsia"/>
                  <w:color w:val="000000"/>
                </w:rPr>
                <w:t>支出增加</w:t>
              </w:r>
              <w:r>
                <w:rPr>
                  <w:rFonts w:ascii="宋体" w:hAnsi="宋体"/>
                  <w:color w:val="000000"/>
                </w:rPr>
                <w:t>4.3</w:t>
              </w:r>
              <w:r>
                <w:rPr>
                  <w:rFonts w:ascii="宋体" w:hAnsi="宋体" w:hint="eastAsia"/>
                  <w:color w:val="000000"/>
                </w:rPr>
                <w:t>亿元、本期购买固定资产支出同比减少</w:t>
              </w:r>
              <w:r>
                <w:rPr>
                  <w:rFonts w:ascii="宋体" w:hAnsi="宋体"/>
                  <w:color w:val="000000"/>
                </w:rPr>
                <w:t>1.2</w:t>
              </w:r>
              <w:r>
                <w:rPr>
                  <w:rFonts w:ascii="宋体" w:hAnsi="宋体" w:hint="eastAsia"/>
                  <w:color w:val="000000"/>
                </w:rPr>
                <w:t>亿元共同影响所致。</w:t>
              </w:r>
            </w:sdtContent>
          </w:sdt>
          <w:r>
            <w:t xml:space="preserve"> </w:t>
          </w:r>
        </w:sdtContent>
      </w:sdt>
    </w:p>
    <w:p w:rsidR="00597370" w:rsidRDefault="003C2EEE">
      <w:pPr>
        <w:pStyle w:val="Style147"/>
        <w:spacing w:line="360" w:lineRule="auto"/>
        <w:ind w:firstLineChars="0" w:firstLine="0"/>
        <w:jc w:val="left"/>
        <w:rPr>
          <w:rFonts w:ascii="宋体" w:hAnsi="宋体"/>
          <w:color w:val="000000" w:themeColor="text1"/>
        </w:rPr>
      </w:pPr>
      <w:r>
        <w:rPr>
          <w:rFonts w:ascii="宋体" w:hAnsi="宋体"/>
          <w:color w:val="000000" w:themeColor="text1"/>
          <w:szCs w:val="21"/>
        </w:rPr>
        <w:t>筹资活动产生的现金流量净额</w:t>
      </w:r>
      <w:r>
        <w:rPr>
          <w:rFonts w:ascii="宋体" w:hAnsi="宋体" w:hint="eastAsia"/>
          <w:color w:val="000000" w:themeColor="text1"/>
          <w:szCs w:val="21"/>
        </w:rPr>
        <w:t>变动原因说明：</w:t>
      </w:r>
      <w:sdt>
        <w:sdtPr>
          <w:rPr>
            <w:rFonts w:ascii="宋体" w:hAnsi="宋体" w:hint="eastAsia"/>
            <w:color w:val="000000" w:themeColor="text1"/>
            <w:szCs w:val="21"/>
          </w:rPr>
          <w:alias w:val="筹资活动产生的现金流量净额变动原因说明"/>
          <w:tag w:val="_GBC_900a9d8acfac4ec18a35c4034161c13e"/>
          <w:id w:val="774989546"/>
          <w:placeholder>
            <w:docPart w:val="GBC22222222222222222222222222222"/>
          </w:placeholder>
        </w:sdtPr>
        <w:sdtEndPr/>
        <w:sdtContent>
          <w:sdt>
            <w:sdtPr>
              <w:alias w:val="筹资活动产生的现金流量净额变动原因说明"/>
              <w:tag w:val="_GBC_900a9d8acfac4ec18a35c4034161c13e"/>
              <w:id w:val="-1972425962"/>
            </w:sdtPr>
            <w:sdtEndPr/>
            <w:sdtContent>
              <w:r>
                <w:rPr>
                  <w:rFonts w:ascii="宋体" w:hAnsi="宋体" w:hint="eastAsia"/>
                  <w:color w:val="000000"/>
                </w:rPr>
                <w:t>本期筹资活动现金净流入增加1</w:t>
              </w:r>
              <w:r>
                <w:rPr>
                  <w:rFonts w:ascii="宋体" w:hAnsi="宋体"/>
                  <w:color w:val="000000"/>
                </w:rPr>
                <w:t>.8</w:t>
              </w:r>
              <w:r>
                <w:rPr>
                  <w:rFonts w:ascii="宋体" w:hAnsi="宋体" w:hint="eastAsia"/>
                  <w:color w:val="000000"/>
                </w:rPr>
                <w:t>亿元，主要</w:t>
              </w:r>
              <w:proofErr w:type="gramStart"/>
              <w:r>
                <w:rPr>
                  <w:rFonts w:ascii="宋体" w:hAnsi="宋体" w:hint="eastAsia"/>
                  <w:color w:val="000000"/>
                </w:rPr>
                <w:t>系报</w:t>
              </w:r>
              <w:r>
                <w:rPr>
                  <w:rFonts w:ascii="宋体" w:hAnsi="宋体" w:hint="eastAsia"/>
                  <w:color w:val="000000"/>
                </w:rPr>
                <w:lastRenderedPageBreak/>
                <w:t>告</w:t>
              </w:r>
              <w:proofErr w:type="gramEnd"/>
              <w:r>
                <w:rPr>
                  <w:rFonts w:ascii="宋体" w:hAnsi="宋体" w:hint="eastAsia"/>
                  <w:color w:val="000000"/>
                </w:rPr>
                <w:t>期增加并购贷3</w:t>
              </w:r>
              <w:r>
                <w:rPr>
                  <w:rFonts w:ascii="宋体" w:hAnsi="宋体"/>
                  <w:color w:val="000000"/>
                </w:rPr>
                <w:t>.35</w:t>
              </w:r>
              <w:r>
                <w:rPr>
                  <w:rFonts w:ascii="宋体" w:hAnsi="宋体" w:hint="eastAsia"/>
                  <w:color w:val="000000"/>
                </w:rPr>
                <w:t>亿元,报告期公司适当增加中长期流动资金贷款导致本期流入同比增加2</w:t>
              </w:r>
              <w:r>
                <w:rPr>
                  <w:rFonts w:ascii="宋体" w:hAnsi="宋体"/>
                  <w:color w:val="000000"/>
                </w:rPr>
                <w:t>.3</w:t>
              </w:r>
              <w:r>
                <w:rPr>
                  <w:rFonts w:ascii="宋体" w:hAnsi="宋体" w:hint="eastAsia"/>
                  <w:color w:val="000000"/>
                </w:rPr>
                <w:t>亿元,本期八万吨高端磁性新材料项目增加借款0</w:t>
              </w:r>
              <w:r>
                <w:rPr>
                  <w:rFonts w:ascii="宋体" w:hAnsi="宋体"/>
                  <w:color w:val="000000"/>
                </w:rPr>
                <w:t>.5</w:t>
              </w:r>
              <w:r>
                <w:rPr>
                  <w:rFonts w:ascii="宋体" w:hAnsi="宋体" w:hint="eastAsia"/>
                  <w:color w:val="000000"/>
                </w:rPr>
                <w:t>亿元等综合影响本期筹集资金流入增加4.</w:t>
              </w:r>
              <w:r>
                <w:rPr>
                  <w:rFonts w:ascii="宋体" w:hAnsi="宋体"/>
                  <w:color w:val="000000"/>
                </w:rPr>
                <w:t>8</w:t>
              </w:r>
              <w:r>
                <w:rPr>
                  <w:rFonts w:ascii="宋体" w:hAnsi="宋体" w:hint="eastAsia"/>
                  <w:color w:val="000000"/>
                </w:rPr>
                <w:t>亿元 ，同时报告期偿还银行借款同比增加</w:t>
              </w:r>
              <w:r>
                <w:rPr>
                  <w:rFonts w:ascii="宋体" w:hAnsi="宋体"/>
                  <w:color w:val="000000"/>
                </w:rPr>
                <w:t>2.9</w:t>
              </w:r>
              <w:r>
                <w:rPr>
                  <w:rFonts w:ascii="宋体" w:hAnsi="宋体" w:hint="eastAsia"/>
                  <w:color w:val="000000"/>
                </w:rPr>
                <w:t>亿元共同影响所致。</w:t>
              </w:r>
            </w:sdtContent>
          </w:sdt>
          <w:r>
            <w:t xml:space="preserve"> </w:t>
          </w:r>
        </w:sdtContent>
      </w:sdt>
    </w:p>
    <w:p w:rsidR="00597370" w:rsidRDefault="003C2EEE">
      <w:pPr>
        <w:pStyle w:val="Style110"/>
        <w:numPr>
          <w:ilvl w:val="0"/>
          <w:numId w:val="9"/>
        </w:numPr>
        <w:rPr>
          <w:rFonts w:ascii="宋体" w:hAnsi="宋体"/>
          <w:color w:val="000000" w:themeColor="text1"/>
        </w:rPr>
      </w:pPr>
      <w:bookmarkStart w:id="34" w:name="_Toc342559755"/>
      <w:bookmarkEnd w:id="32"/>
      <w:r>
        <w:rPr>
          <w:rFonts w:ascii="宋体" w:hAnsi="宋体" w:hint="eastAsia"/>
          <w:color w:val="000000" w:themeColor="text1"/>
        </w:rPr>
        <w:t>本期公司业务类型、利润构成或利润来源发生重大变动的详细说明</w:t>
      </w:r>
    </w:p>
    <w:sdt>
      <w:sdtPr>
        <w:rPr>
          <w:color w:val="000000" w:themeColor="text1"/>
        </w:rPr>
        <w:alias w:val="是否适用：公司利润构成或利润来源发生重大变动的详细说明[双击切换]"/>
        <w:tag w:val="_GBC_cf62b49cb7b54052a77aa6c4ec7218c8"/>
        <w:id w:val="183864632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主营业务构成情况的说明"/>
        <w:tag w:val="_GBC_41b59ccce05a44b68f8d6cbcf3c41007"/>
        <w:id w:val="-1099791240"/>
        <w:placeholder>
          <w:docPart w:val="159E49BFD9874BAD80A2634732FC8ECA"/>
        </w:placeholder>
      </w:sdtPr>
      <w:sdtEndPr/>
      <w:sdtContent>
        <w:p w:rsidR="00597370" w:rsidRDefault="003C2EEE">
          <w:pPr>
            <w:spacing w:line="360" w:lineRule="auto"/>
            <w:ind w:firstLineChars="200" w:firstLine="420"/>
            <w:rPr>
              <w:b/>
              <w:color w:val="000000" w:themeColor="text1"/>
            </w:rPr>
          </w:pPr>
          <w:r>
            <w:rPr>
              <w:rFonts w:hint="eastAsia"/>
              <w:b/>
              <w:color w:val="000000" w:themeColor="text1"/>
            </w:rPr>
            <w:t>本公司主营业务类型及毛利构成情况表：</w:t>
          </w:r>
        </w:p>
        <w:tbl>
          <w:tblPr>
            <w:tblStyle w:val="g6"/>
            <w:tblW w:w="8789" w:type="dxa"/>
            <w:tblInd w:w="0" w:type="dxa"/>
            <w:tblLook w:val="04A0" w:firstRow="1" w:lastRow="0" w:firstColumn="1" w:lastColumn="0" w:noHBand="0" w:noVBand="1"/>
          </w:tblPr>
          <w:tblGrid>
            <w:gridCol w:w="1276"/>
            <w:gridCol w:w="1418"/>
            <w:gridCol w:w="1417"/>
            <w:gridCol w:w="1134"/>
            <w:gridCol w:w="1276"/>
            <w:gridCol w:w="1276"/>
            <w:gridCol w:w="992"/>
          </w:tblGrid>
          <w:tr w:rsidR="00597370">
            <w:trPr>
              <w:trHeight w:val="318"/>
            </w:trPr>
            <w:tc>
              <w:tcPr>
                <w:tcW w:w="1276" w:type="dxa"/>
                <w:tcBorders>
                  <w:top w:val="nil"/>
                  <w:left w:val="nil"/>
                  <w:bottom w:val="nil"/>
                  <w:right w:val="nil"/>
                </w:tcBorders>
                <w:shd w:val="clear" w:color="auto" w:fill="auto"/>
                <w:noWrap/>
                <w:vAlign w:val="center"/>
              </w:tcPr>
              <w:p w:rsidR="00597370" w:rsidRDefault="00597370">
                <w:pPr>
                  <w:rPr>
                    <w:rFonts w:ascii="Times New Roman" w:hAnsi="Times New Roman" w:cs="Times New Roman"/>
                    <w:sz w:val="20"/>
                    <w:szCs w:val="20"/>
                  </w:rPr>
                </w:pPr>
              </w:p>
            </w:tc>
            <w:tc>
              <w:tcPr>
                <w:tcW w:w="1418" w:type="dxa"/>
                <w:tcBorders>
                  <w:top w:val="nil"/>
                  <w:left w:val="nil"/>
                  <w:bottom w:val="nil"/>
                  <w:right w:val="nil"/>
                </w:tcBorders>
                <w:shd w:val="clear" w:color="auto" w:fill="auto"/>
                <w:noWrap/>
                <w:vAlign w:val="center"/>
              </w:tcPr>
              <w:p w:rsidR="00597370" w:rsidRDefault="00597370">
                <w:pPr>
                  <w:rPr>
                    <w:rFonts w:ascii="Times New Roman" w:eastAsia="Times New Roman" w:hAnsi="Times New Roman" w:cs="Times New Roman"/>
                    <w:bCs w:val="0"/>
                    <w:sz w:val="20"/>
                    <w:szCs w:val="20"/>
                  </w:rPr>
                </w:pPr>
              </w:p>
            </w:tc>
            <w:tc>
              <w:tcPr>
                <w:tcW w:w="1417" w:type="dxa"/>
                <w:tcBorders>
                  <w:top w:val="nil"/>
                  <w:left w:val="nil"/>
                  <w:bottom w:val="nil"/>
                  <w:right w:val="nil"/>
                </w:tcBorders>
                <w:shd w:val="clear" w:color="auto" w:fill="auto"/>
                <w:noWrap/>
                <w:vAlign w:val="center"/>
              </w:tcPr>
              <w:p w:rsidR="00597370" w:rsidRDefault="00597370">
                <w:pPr>
                  <w:rPr>
                    <w:rFonts w:ascii="Times New Roman" w:eastAsia="Times New Roman" w:hAnsi="Times New Roman" w:cs="Times New Roman"/>
                    <w:bCs w:val="0"/>
                    <w:sz w:val="20"/>
                    <w:szCs w:val="20"/>
                  </w:rPr>
                </w:pPr>
              </w:p>
            </w:tc>
            <w:tc>
              <w:tcPr>
                <w:tcW w:w="1134" w:type="dxa"/>
                <w:tcBorders>
                  <w:top w:val="nil"/>
                  <w:left w:val="nil"/>
                  <w:bottom w:val="nil"/>
                  <w:right w:val="nil"/>
                </w:tcBorders>
                <w:shd w:val="clear" w:color="auto" w:fill="auto"/>
                <w:noWrap/>
                <w:vAlign w:val="center"/>
              </w:tcPr>
              <w:p w:rsidR="00597370" w:rsidRDefault="003C2EEE">
                <w:pPr>
                  <w:rPr>
                    <w:rFonts w:ascii="Times New Roman" w:eastAsiaTheme="minorEastAsia" w:hAnsi="Times New Roman" w:cs="Times New Roman"/>
                    <w:bCs w:val="0"/>
                    <w:sz w:val="20"/>
                    <w:szCs w:val="20"/>
                  </w:rPr>
                </w:pPr>
                <w:r>
                  <w:rPr>
                    <w:rFonts w:ascii="Times New Roman" w:eastAsiaTheme="minorEastAsia" w:hAnsi="Times New Roman" w:cs="Times New Roman" w:hint="eastAsia"/>
                    <w:bCs w:val="0"/>
                    <w:sz w:val="20"/>
                    <w:szCs w:val="20"/>
                  </w:rPr>
                  <w:t xml:space="preserve"> </w:t>
                </w:r>
                <w:r>
                  <w:rPr>
                    <w:rFonts w:ascii="Times New Roman" w:eastAsiaTheme="minorEastAsia" w:hAnsi="Times New Roman" w:cs="Times New Roman"/>
                    <w:bCs w:val="0"/>
                    <w:sz w:val="20"/>
                    <w:szCs w:val="20"/>
                  </w:rPr>
                  <w:t xml:space="preserve">               </w:t>
                </w:r>
              </w:p>
            </w:tc>
            <w:tc>
              <w:tcPr>
                <w:tcW w:w="3544" w:type="dxa"/>
                <w:gridSpan w:val="3"/>
                <w:tcBorders>
                  <w:top w:val="nil"/>
                  <w:left w:val="nil"/>
                  <w:bottom w:val="nil"/>
                  <w:right w:val="nil"/>
                </w:tcBorders>
                <w:shd w:val="clear" w:color="auto" w:fill="auto"/>
                <w:noWrap/>
                <w:vAlign w:val="center"/>
              </w:tcPr>
              <w:p w:rsidR="00597370" w:rsidRDefault="003C2EEE">
                <w:pPr>
                  <w:ind w:firstLineChars="900" w:firstLine="1890"/>
                  <w:rPr>
                    <w:bCs w:val="0"/>
                    <w:color w:val="000000"/>
                  </w:rPr>
                </w:pPr>
                <w:r>
                  <w:rPr>
                    <w:rFonts w:hint="eastAsia"/>
                    <w:bCs w:val="0"/>
                  </w:rPr>
                  <w:t>单位：万元</w:t>
                </w:r>
              </w:p>
            </w:tc>
          </w:tr>
          <w:tr w:rsidR="00597370">
            <w:trPr>
              <w:trHeight w:val="640"/>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center"/>
                  <w:rPr>
                    <w:bCs w:val="0"/>
                    <w:color w:val="000000"/>
                  </w:rPr>
                </w:pPr>
                <w:r>
                  <w:rPr>
                    <w:rFonts w:hint="eastAsia"/>
                    <w:bCs w:val="0"/>
                    <w:color w:val="000000"/>
                  </w:rPr>
                  <w:t>产品大类</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center"/>
                  <w:rPr>
                    <w:bCs w:val="0"/>
                    <w:color w:val="000000"/>
                  </w:rPr>
                </w:pPr>
                <w:r>
                  <w:rPr>
                    <w:rFonts w:hint="eastAsia"/>
                    <w:bCs w:val="0"/>
                    <w:color w:val="000000"/>
                  </w:rPr>
                  <w:t>营业收入</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center"/>
                  <w:rPr>
                    <w:bCs w:val="0"/>
                    <w:color w:val="000000"/>
                  </w:rPr>
                </w:pPr>
                <w:r>
                  <w:rPr>
                    <w:rFonts w:hint="eastAsia"/>
                    <w:bCs w:val="0"/>
                    <w:color w:val="000000"/>
                  </w:rPr>
                  <w:t>营业成本</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center"/>
                  <w:rPr>
                    <w:bCs w:val="0"/>
                    <w:color w:val="000000"/>
                  </w:rPr>
                </w:pPr>
                <w:r>
                  <w:rPr>
                    <w:rFonts w:hint="eastAsia"/>
                    <w:bCs w:val="0"/>
                    <w:color w:val="000000"/>
                  </w:rPr>
                  <w:t>毛利率</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bCs w:val="0"/>
                    <w:color w:val="000000"/>
                  </w:rPr>
                </w:pPr>
                <w:r>
                  <w:rPr>
                    <w:rFonts w:hint="eastAsia"/>
                    <w:bCs w:val="0"/>
                    <w:color w:val="000000"/>
                  </w:rPr>
                  <w:t>营业收入增长比例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bCs w:val="0"/>
                    <w:color w:val="000000"/>
                  </w:rPr>
                </w:pPr>
                <w:r>
                  <w:rPr>
                    <w:rFonts w:hint="eastAsia"/>
                    <w:bCs w:val="0"/>
                    <w:color w:val="000000"/>
                  </w:rPr>
                  <w:t>营业成本增长比例</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bCs w:val="0"/>
                    <w:color w:val="000000"/>
                  </w:rPr>
                </w:pPr>
                <w:r>
                  <w:rPr>
                    <w:rFonts w:hint="eastAsia"/>
                    <w:bCs w:val="0"/>
                    <w:color w:val="000000"/>
                  </w:rPr>
                  <w:t>毛利率增加值</w:t>
                </w:r>
              </w:p>
            </w:tc>
          </w:tr>
          <w:tr w:rsidR="00597370">
            <w:trPr>
              <w:trHeight w:val="500"/>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rPr>
                    <w:bCs w:val="0"/>
                    <w:color w:val="000000"/>
                  </w:rPr>
                </w:pPr>
                <w:r>
                  <w:rPr>
                    <w:rFonts w:hint="eastAsia"/>
                    <w:bCs w:val="0"/>
                    <w:color w:val="000000"/>
                  </w:rPr>
                  <w:t>输配电及控制设备</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 xml:space="preserve"> 77,868.69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 xml:space="preserve"> 65,447.34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15.95%</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34.85%</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35.58%</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-0.45%</w:t>
                </w:r>
              </w:p>
            </w:tc>
          </w:tr>
          <w:tr w:rsidR="00597370">
            <w:trPr>
              <w:trHeight w:val="500"/>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rPr>
                    <w:bCs w:val="0"/>
                    <w:color w:val="000000"/>
                  </w:rPr>
                </w:pPr>
                <w:r>
                  <w:rPr>
                    <w:rFonts w:hint="eastAsia"/>
                    <w:bCs w:val="0"/>
                    <w:color w:val="000000"/>
                  </w:rPr>
                  <w:t>取向硅钢</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 xml:space="preserve"> 60,306.16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 xml:space="preserve"> 57,222.15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5.11%</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-3.37%</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28.83%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-23.72%</w:t>
                </w:r>
              </w:p>
            </w:tc>
          </w:tr>
          <w:tr w:rsidR="00597370">
            <w:trPr>
              <w:trHeight w:val="500"/>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rPr>
                    <w:bCs w:val="0"/>
                    <w:color w:val="000000"/>
                  </w:rPr>
                </w:pPr>
                <w:r>
                  <w:rPr>
                    <w:rFonts w:hint="eastAsia"/>
                    <w:bCs w:val="0"/>
                    <w:color w:val="000000"/>
                  </w:rPr>
                  <w:t>合计</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 xml:space="preserve">138,174.84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rFonts w:hint="eastAsia"/>
                    <w:bCs w:val="0"/>
                    <w:color w:val="000000"/>
                  </w:rPr>
                  <w:t xml:space="preserve">122,669.49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bCs w:val="0"/>
                    <w:color w:val="000000"/>
                  </w:rPr>
                </w:pPr>
                <w:r>
                  <w:rPr>
                    <w:bCs w:val="0"/>
                    <w:color w:val="000000"/>
                  </w:rPr>
                  <w:t>11.22%</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rFonts w:ascii="Times New Roman" w:eastAsia="Times New Roman" w:hAnsi="Times New Roman" w:cs="Times New Roman"/>
                    <w:bCs w:val="0"/>
                  </w:rPr>
                </w:pPr>
                <w:r>
                  <w:t>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rFonts w:ascii="Times New Roman" w:eastAsia="Times New Roman" w:hAnsi="Times New Roman" w:cs="Times New Roman"/>
                    <w:bCs w:val="0"/>
                  </w:rPr>
                </w:pPr>
                <w:r>
                  <w:t>32.35%</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7370" w:rsidRDefault="003C2EEE">
                <w:pPr>
                  <w:jc w:val="right"/>
                  <w:rPr>
                    <w:rFonts w:ascii="Times New Roman" w:eastAsia="Times New Roman" w:hAnsi="Times New Roman" w:cs="Times New Roman"/>
                    <w:bCs w:val="0"/>
                  </w:rPr>
                </w:pPr>
                <w:r>
                  <w:t>-11.64%</w:t>
                </w:r>
              </w:p>
            </w:tc>
          </w:tr>
        </w:tbl>
        <w:p w:rsidR="00597370" w:rsidRDefault="00597370">
          <w:pPr>
            <w:spacing w:line="360" w:lineRule="auto"/>
            <w:rPr>
              <w:color w:val="000000" w:themeColor="text1"/>
            </w:rPr>
          </w:pPr>
        </w:p>
        <w:p w:rsidR="00597370" w:rsidRDefault="003C2EEE">
          <w:pPr>
            <w:spacing w:line="360" w:lineRule="auto"/>
            <w:ind w:firstLineChars="200" w:firstLine="420"/>
            <w:rPr>
              <w:color w:val="000000" w:themeColor="text1"/>
            </w:rPr>
          </w:pPr>
          <w:r>
            <w:rPr>
              <w:color w:val="000000" w:themeColor="text1"/>
            </w:rPr>
            <w:t>本期公司</w:t>
          </w:r>
          <w:r>
            <w:rPr>
              <w:rFonts w:hint="eastAsia"/>
              <w:color w:val="000000" w:themeColor="text1"/>
            </w:rPr>
            <w:t>主营</w:t>
          </w:r>
          <w:r>
            <w:rPr>
              <w:color w:val="000000" w:themeColor="text1"/>
            </w:rPr>
            <w:t>业务</w:t>
          </w:r>
          <w:proofErr w:type="gramStart"/>
          <w:r>
            <w:rPr>
              <w:color w:val="000000" w:themeColor="text1"/>
            </w:rPr>
            <w:t>类型</w:t>
          </w:r>
          <w:r>
            <w:rPr>
              <w:rFonts w:hint="eastAsia"/>
              <w:color w:val="000000" w:themeColor="text1"/>
            </w:rPr>
            <w:t>由输配电</w:t>
          </w:r>
          <w:proofErr w:type="gramEnd"/>
          <w:r>
            <w:rPr>
              <w:rFonts w:hint="eastAsia"/>
              <w:color w:val="000000" w:themeColor="text1"/>
            </w:rPr>
            <w:t>及控制设备和取向硅钢业务构成，业务类型未发生重大变化。</w:t>
          </w:r>
        </w:p>
        <w:p w:rsidR="00597370" w:rsidRDefault="003C2EEE">
          <w:pPr>
            <w:spacing w:line="360" w:lineRule="auto"/>
            <w:ind w:firstLineChars="200" w:firstLine="420"/>
            <w:rPr>
              <w:color w:val="000000" w:themeColor="text1"/>
            </w:rPr>
          </w:pPr>
          <w:r>
            <w:rPr>
              <w:rFonts w:hint="eastAsia"/>
              <w:color w:val="000000" w:themeColor="text1"/>
            </w:rPr>
            <w:t>利润构成同比有较大变动，</w:t>
          </w:r>
          <w:r>
            <w:rPr>
              <w:color w:val="000000" w:themeColor="text1"/>
            </w:rPr>
            <w:t>主要系</w:t>
          </w:r>
          <w:r>
            <w:rPr>
              <w:rFonts w:hint="eastAsia"/>
              <w:color w:val="000000" w:themeColor="text1"/>
            </w:rPr>
            <w:t>取向硅钢销售毛利率的下降带来净利润的影响。</w:t>
          </w:r>
        </w:p>
        <w:p w:rsidR="00597370" w:rsidRDefault="003C2EEE">
          <w:pPr>
            <w:spacing w:line="360" w:lineRule="auto"/>
            <w:ind w:firstLineChars="200" w:firstLine="420"/>
            <w:rPr>
              <w:color w:val="000000" w:themeColor="text1"/>
            </w:rPr>
          </w:pPr>
          <w:r>
            <w:rPr>
              <w:rFonts w:hint="eastAsia"/>
              <w:color w:val="000000" w:themeColor="text1"/>
            </w:rPr>
            <w:t>受</w:t>
          </w:r>
          <w:r>
            <w:rPr>
              <w:color w:val="000000" w:themeColor="text1"/>
            </w:rPr>
            <w:t>国内取向硅钢新增产能投放市场的持续影响，</w:t>
          </w:r>
          <w:r>
            <w:rPr>
              <w:rFonts w:hint="eastAsia"/>
              <w:color w:val="000000" w:themeColor="text1"/>
            </w:rPr>
            <w:t>导致</w:t>
          </w:r>
          <w:r>
            <w:rPr>
              <w:color w:val="000000" w:themeColor="text1"/>
            </w:rPr>
            <w:t>取向硅钢销售价格下行，</w:t>
          </w:r>
          <w:r>
            <w:rPr>
              <w:rFonts w:hint="eastAsia"/>
              <w:color w:val="000000" w:themeColor="text1"/>
            </w:rPr>
            <w:t>带来毛利率</w:t>
          </w:r>
          <w:r>
            <w:rPr>
              <w:color w:val="000000" w:themeColor="text1"/>
            </w:rPr>
            <w:t>同比下降；取向硅钢销售单价同比下降5761元/吨，单位销售成本下降1951元/吨，导致取向硅钢业务毛利额同比减少1.49亿元；取向硅钢销售量同比增加2.4万吨，带来毛利增加0.11亿元；输配电及控制设备业务</w:t>
          </w:r>
          <w:proofErr w:type="gramStart"/>
          <w:r>
            <w:rPr>
              <w:color w:val="000000" w:themeColor="text1"/>
            </w:rPr>
            <w:t>因云变电气</w:t>
          </w:r>
          <w:proofErr w:type="gramEnd"/>
          <w:r>
            <w:rPr>
              <w:color w:val="000000" w:themeColor="text1"/>
            </w:rPr>
            <w:t>从2024年4月1日起纳入合并范围，带来输配电及控制设备业务毛利额增加0.36亿元，该业务毛利率同比上期持平。</w:t>
          </w:r>
        </w:p>
      </w:sdtContent>
    </w:sdt>
    <w:p w:rsidR="00597370" w:rsidRDefault="003C2EEE">
      <w:pPr>
        <w:pStyle w:val="Style109"/>
        <w:numPr>
          <w:ilvl w:val="0"/>
          <w:numId w:val="8"/>
        </w:numPr>
        <w:rPr>
          <w:rFonts w:ascii="宋体" w:hAnsi="宋体"/>
          <w:color w:val="000000" w:themeColor="text1"/>
        </w:rPr>
      </w:pPr>
      <w:r>
        <w:rPr>
          <w:rFonts w:ascii="宋体" w:hAnsi="宋体" w:hint="eastAsia"/>
          <w:color w:val="000000" w:themeColor="text1"/>
        </w:rPr>
        <w:t>非主营业务导致利润重大变化的说明</w:t>
      </w:r>
    </w:p>
    <w:sdt>
      <w:sdtPr>
        <w:rPr>
          <w:rFonts w:hint="eastAsia"/>
          <w:color w:val="000000" w:themeColor="text1"/>
        </w:rPr>
        <w:alias w:val="是否适用：非主营业务来源分析[双击切换]"/>
        <w:tag w:val="_GBC_45f0580c6f114551af0270412b25ccd0"/>
        <w:id w:val="137434440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8"/>
        </w:numPr>
        <w:rPr>
          <w:rFonts w:ascii="宋体" w:hAnsi="宋体"/>
          <w:color w:val="000000" w:themeColor="text1"/>
        </w:rPr>
      </w:pPr>
      <w:r>
        <w:rPr>
          <w:rFonts w:ascii="宋体" w:hAnsi="宋体" w:hint="eastAsia"/>
          <w:color w:val="000000" w:themeColor="text1"/>
        </w:rPr>
        <w:t>资产、负债情况分析</w:t>
      </w:r>
    </w:p>
    <w:p w:rsidR="00597370" w:rsidRDefault="006840ED">
      <w:pPr>
        <w:rPr>
          <w:color w:val="000000" w:themeColor="text1"/>
        </w:rPr>
      </w:pPr>
      <w:sdt>
        <w:sdtPr>
          <w:rPr>
            <w:rFonts w:hint="eastAsia"/>
            <w:color w:val="000000" w:themeColor="text1"/>
          </w:rPr>
          <w:alias w:val="是否适用：资产、负债情况分析[双击切换]"/>
          <w:tag w:val="_GBC_7e768f46f428417e8696bff3cfaf9902"/>
          <w:id w:val="-1583371171"/>
          <w:lock w:val="contentLocked"/>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w:instrText>
          </w:r>
          <w:r w:rsidR="003C2EEE">
            <w:rPr>
              <w:rFonts w:hint="eastAsia"/>
              <w:color w:val="000000" w:themeColor="text1"/>
            </w:rPr>
            <w:instrText>MACROBUTTON  SnrToggleCheckbox √适用</w:instrText>
          </w:r>
          <w:r w:rsidR="003C2EEE">
            <w:rPr>
              <w:color w:val="000000" w:themeColor="text1"/>
            </w:rPr>
            <w:instrText xml:space="preserve">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pStyle w:val="Style110"/>
        <w:numPr>
          <w:ilvl w:val="0"/>
          <w:numId w:val="10"/>
        </w:numPr>
        <w:rPr>
          <w:rFonts w:ascii="宋体" w:hAnsi="宋体"/>
          <w:b w:val="0"/>
          <w:color w:val="000000" w:themeColor="text1"/>
        </w:rPr>
      </w:pPr>
      <w:bookmarkStart w:id="35" w:name="_Hlk74730011"/>
      <w:r>
        <w:rPr>
          <w:rFonts w:ascii="宋体" w:hAnsi="宋体"/>
          <w:color w:val="000000" w:themeColor="text1"/>
        </w:rPr>
        <w:t>资产</w:t>
      </w:r>
      <w:r>
        <w:rPr>
          <w:rFonts w:ascii="宋体" w:hAnsi="宋体" w:hint="eastAsia"/>
          <w:color w:val="000000" w:themeColor="text1"/>
        </w:rPr>
        <w:t>及</w:t>
      </w:r>
      <w:r>
        <w:rPr>
          <w:rFonts w:ascii="宋体" w:hAnsi="宋体"/>
          <w:color w:val="000000" w:themeColor="text1"/>
        </w:rPr>
        <w:t>负债</w:t>
      </w:r>
      <w:r>
        <w:rPr>
          <w:rFonts w:ascii="宋体" w:hAnsi="宋体" w:hint="eastAsia"/>
          <w:color w:val="000000" w:themeColor="text1"/>
          <w:szCs w:val="21"/>
        </w:rPr>
        <w:t>状</w:t>
      </w:r>
      <w:r>
        <w:rPr>
          <w:rFonts w:ascii="宋体" w:hAnsi="宋体"/>
          <w:color w:val="000000" w:themeColor="text1"/>
          <w:szCs w:val="21"/>
        </w:rPr>
        <w:t>况</w:t>
      </w:r>
    </w:p>
    <w:p w:rsidR="00597370" w:rsidRDefault="003C2EEE">
      <w:pPr>
        <w:ind w:right="840"/>
        <w:jc w:val="right"/>
        <w:rPr>
          <w:color w:val="000000" w:themeColor="text1"/>
        </w:rPr>
      </w:pPr>
      <w:r>
        <w:rPr>
          <w:rFonts w:hint="eastAsia"/>
          <w:color w:val="000000" w:themeColor="text1"/>
        </w:rPr>
        <w:t>单位：</w:t>
      </w:r>
      <w:sdt>
        <w:sdtPr>
          <w:rPr>
            <w:rFonts w:hint="eastAsia"/>
            <w:color w:val="000000" w:themeColor="text1"/>
          </w:rPr>
          <w:alias w:val="单位：资产负债状况分析"/>
          <w:tag w:val="_GBC_21de4e2184d94baf8e19137a1d0d5b74"/>
          <w:id w:val="-5123814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p>
    <w:tbl>
      <w:tblPr>
        <w:tblStyle w:val="g3"/>
        <w:tblW w:w="5000" w:type="pct"/>
        <w:jc w:val="center"/>
        <w:tblLayout w:type="fixed"/>
        <w:tblCellMar>
          <w:left w:w="0" w:type="dxa"/>
          <w:right w:w="28" w:type="dxa"/>
        </w:tblCellMar>
        <w:tblLook w:val="04A0" w:firstRow="1" w:lastRow="0" w:firstColumn="1" w:lastColumn="0" w:noHBand="0" w:noVBand="1"/>
      </w:tblPr>
      <w:tblGrid>
        <w:gridCol w:w="1696"/>
        <w:gridCol w:w="1399"/>
        <w:gridCol w:w="1436"/>
        <w:gridCol w:w="1532"/>
        <w:gridCol w:w="1031"/>
        <w:gridCol w:w="990"/>
        <w:gridCol w:w="739"/>
      </w:tblGrid>
      <w:tr w:rsidR="00597370">
        <w:trPr>
          <w:trHeight w:val="397"/>
          <w:jc w:val="center"/>
        </w:trPr>
        <w:sdt>
          <w:sdtPr>
            <w:rPr>
              <w:rFonts w:asciiTheme="minorEastAsia" w:eastAsiaTheme="minorEastAsia" w:hAnsiTheme="minorEastAsia"/>
              <w:color w:val="000000" w:themeColor="text1"/>
            </w:rPr>
            <w:tag w:val="_PLD_d0f356a255cd4ad2a1d809f43b17afe4"/>
            <w:id w:val="-1045139732"/>
          </w:sdtPr>
          <w:sdtEndPr/>
          <w:sdtContent>
            <w:tc>
              <w:tcPr>
                <w:tcW w:w="961" w:type="pct"/>
                <w:vAlign w:val="center"/>
              </w:tcPr>
              <w:p w:rsidR="00597370" w:rsidRDefault="003C2EEE">
                <w:pPr>
                  <w:jc w:val="center"/>
                  <w:rPr>
                    <w:rStyle w:val="Style146"/>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项目名称</w:t>
                </w:r>
              </w:p>
            </w:tc>
          </w:sdtContent>
        </w:sdt>
        <w:sdt>
          <w:sdtPr>
            <w:rPr>
              <w:rFonts w:asciiTheme="minorEastAsia" w:eastAsiaTheme="minorEastAsia" w:hAnsiTheme="minorEastAsia"/>
              <w:color w:val="000000" w:themeColor="text1"/>
            </w:rPr>
            <w:tag w:val="_PLD_908740cf286747d79d5abbe407fef2b5"/>
            <w:id w:val="-1106957787"/>
          </w:sdtPr>
          <w:sdtEndPr/>
          <w:sdtContent>
            <w:tc>
              <w:tcPr>
                <w:tcW w:w="793" w:type="pct"/>
                <w:vAlign w:val="center"/>
              </w:tcPr>
              <w:p w:rsidR="00597370" w:rsidRDefault="003C2EEE">
                <w:pPr>
                  <w:jc w:val="center"/>
                  <w:rPr>
                    <w:rStyle w:val="Style146"/>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本期期末数</w:t>
                </w:r>
              </w:p>
            </w:tc>
          </w:sdtContent>
        </w:sdt>
        <w:sdt>
          <w:sdtPr>
            <w:rPr>
              <w:rFonts w:asciiTheme="minorEastAsia" w:eastAsiaTheme="minorEastAsia" w:hAnsiTheme="minorEastAsia"/>
              <w:color w:val="000000" w:themeColor="text1"/>
            </w:rPr>
            <w:tag w:val="_PLD_329bbbc9fa484c0990e705c4343b8bd2"/>
            <w:id w:val="750935847"/>
          </w:sdtPr>
          <w:sdtEndPr/>
          <w:sdtContent>
            <w:tc>
              <w:tcPr>
                <w:tcW w:w="814" w:type="pct"/>
                <w:vAlign w:val="center"/>
              </w:tcPr>
              <w:p w:rsidR="00597370" w:rsidRDefault="003C2EEE">
                <w:pPr>
                  <w:jc w:val="center"/>
                  <w:rPr>
                    <w:rStyle w:val="Style146"/>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本期期末数占总资产的比例（%）</w:t>
                </w:r>
              </w:p>
            </w:tc>
          </w:sdtContent>
        </w:sdt>
        <w:sdt>
          <w:sdtPr>
            <w:rPr>
              <w:rFonts w:asciiTheme="minorEastAsia" w:eastAsiaTheme="minorEastAsia" w:hAnsiTheme="minorEastAsia"/>
              <w:color w:val="000000" w:themeColor="text1"/>
            </w:rPr>
            <w:tag w:val="_PLD_56ec8d815a204f39816e77d18cf2ac7e"/>
            <w:id w:val="-1179805286"/>
          </w:sdtPr>
          <w:sdtEndPr/>
          <w:sdtContent>
            <w:tc>
              <w:tcPr>
                <w:tcW w:w="868" w:type="pct"/>
                <w:vAlign w:val="center"/>
              </w:tcPr>
              <w:p w:rsidR="00597370" w:rsidRDefault="003C2EEE">
                <w:pPr>
                  <w:jc w:val="center"/>
                  <w:rPr>
                    <w:rStyle w:val="Style146"/>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期末数</w:t>
                </w:r>
              </w:p>
            </w:tc>
          </w:sdtContent>
        </w:sdt>
        <w:sdt>
          <w:sdtPr>
            <w:rPr>
              <w:rFonts w:asciiTheme="minorEastAsia" w:eastAsiaTheme="minorEastAsia" w:hAnsiTheme="minorEastAsia"/>
              <w:color w:val="000000" w:themeColor="text1"/>
            </w:rPr>
            <w:tag w:val="_PLD_4bc2806364aa476db7b5ac96d585ad18"/>
            <w:id w:val="139857259"/>
          </w:sdtPr>
          <w:sdtEndPr/>
          <w:sdtContent>
            <w:tc>
              <w:tcPr>
                <w:tcW w:w="584" w:type="pct"/>
                <w:vAlign w:val="center"/>
              </w:tcPr>
              <w:p w:rsidR="00597370" w:rsidRDefault="003C2EEE">
                <w:pPr>
                  <w:jc w:val="center"/>
                  <w:rPr>
                    <w:rStyle w:val="Style146"/>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期末数占总资产的比例（%）</w:t>
                </w:r>
              </w:p>
            </w:tc>
          </w:sdtContent>
        </w:sdt>
        <w:sdt>
          <w:sdtPr>
            <w:rPr>
              <w:rFonts w:asciiTheme="minorEastAsia" w:eastAsiaTheme="minorEastAsia" w:hAnsiTheme="minorEastAsia"/>
              <w:color w:val="000000" w:themeColor="text1"/>
            </w:rPr>
            <w:tag w:val="_PLD_4cfcbfaae8d94f2d87cb33b122df7a82"/>
            <w:id w:val="2094206922"/>
          </w:sdtPr>
          <w:sdtEndPr/>
          <w:sdtContent>
            <w:tc>
              <w:tcPr>
                <w:tcW w:w="561" w:type="pct"/>
                <w:vAlign w:val="center"/>
              </w:tcPr>
              <w:p w:rsidR="00597370" w:rsidRDefault="003C2EEE">
                <w:pPr>
                  <w:jc w:val="center"/>
                  <w:rPr>
                    <w:rStyle w:val="Style146"/>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本期期末金额较上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期末变动比例（%）</w:t>
                </w:r>
              </w:p>
            </w:tc>
          </w:sdtContent>
        </w:sdt>
        <w:sdt>
          <w:sdtPr>
            <w:rPr>
              <w:rFonts w:asciiTheme="minorEastAsia" w:eastAsiaTheme="minorEastAsia" w:hAnsiTheme="minorEastAsia"/>
              <w:color w:val="000000" w:themeColor="text1"/>
            </w:rPr>
            <w:tag w:val="_PLD_2acc4b359fa846d5bfb9939daf2ce46b"/>
            <w:id w:val="-58781038"/>
          </w:sdtPr>
          <w:sdtEndPr/>
          <w:sdtContent>
            <w:tc>
              <w:tcPr>
                <w:tcW w:w="419" w:type="pct"/>
                <w:vAlign w:val="center"/>
              </w:tcPr>
              <w:p w:rsidR="00597370" w:rsidRDefault="003C2EEE">
                <w:pPr>
                  <w:jc w:val="center"/>
                  <w:rPr>
                    <w:rStyle w:val="Style146"/>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情况说明</w:t>
                </w:r>
              </w:p>
            </w:tc>
          </w:sdtContent>
        </w:sdt>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应收票据</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19,464.52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3.04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12,249.74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2.51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58.90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说明1</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应收账款</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155,231.73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24.22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96,678.22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19.83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60.57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说明2</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应收款项融资</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2,479.84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0.39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1,224.47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0.25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102.52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说明3</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预付款项</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13,774.77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2.15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5,781.28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1.19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138.27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说明4</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lastRenderedPageBreak/>
              <w:t>其他应收款</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15,728.41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2.45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1,241.30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0.25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1,167.09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说明5</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存货</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82,654.21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12.90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50,907.14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10.44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62.36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说明6</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固定资产</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174,611.01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27.25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111,480.87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22.87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56.63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说明7</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无形资产</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23,274.31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3.63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12,552.11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2.57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85.42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说明8</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递延所得税资产</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4,174.24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0.65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2,448.02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0.50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70.51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说明9</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其他非流动资产</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1,105.71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0.17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7,853.85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1.61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-85.92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说明10</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应付账款</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91,916.01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14.34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55,301.36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11.34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66.21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说明11</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应交税费</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1,458.94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0.23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261.54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0.05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457.83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说明12</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其他应付款</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11,039.79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1.72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1,755.76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0.36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528.78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说明13</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一年内到期的非流动负债</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38,016.61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5.93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6,900.20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1.42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450.95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说明14</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其他流动负债</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21,972.95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3.43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13,784.66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2.83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59.40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说明15</w:t>
            </w:r>
          </w:p>
        </w:tc>
      </w:tr>
      <w:tr w:rsidR="00597370">
        <w:trPr>
          <w:trHeight w:val="397"/>
          <w:jc w:val="center"/>
        </w:trPr>
        <w:tc>
          <w:tcPr>
            <w:tcW w:w="961" w:type="pct"/>
            <w:vAlign w:val="center"/>
          </w:tcPr>
          <w:p w:rsidR="00597370" w:rsidRDefault="003C2EEE">
            <w:pPr>
              <w:rPr>
                <w:rStyle w:val="Style146"/>
                <w:rFonts w:asciiTheme="minorEastAsia" w:eastAsiaTheme="minorEastAsia" w:hAnsiTheme="minorEastAsia"/>
                <w:b w:val="0"/>
                <w:szCs w:val="21"/>
              </w:rPr>
            </w:pPr>
            <w:r>
              <w:rPr>
                <w:rFonts w:asciiTheme="minorEastAsia" w:eastAsiaTheme="minorEastAsia" w:hAnsiTheme="minorEastAsia" w:hint="eastAsia"/>
              </w:rPr>
              <w:t>长期借款</w:t>
            </w:r>
          </w:p>
        </w:tc>
        <w:tc>
          <w:tcPr>
            <w:tcW w:w="793"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112,900.79 </w:t>
            </w:r>
          </w:p>
        </w:tc>
        <w:tc>
          <w:tcPr>
            <w:tcW w:w="814" w:type="pct"/>
            <w:vAlign w:val="center"/>
          </w:tcPr>
          <w:p w:rsidR="00597370" w:rsidRDefault="003C2EEE">
            <w:pPr>
              <w:jc w:val="right"/>
              <w:rPr>
                <w:rStyle w:val="Style146"/>
                <w:rFonts w:asciiTheme="minorEastAsia" w:eastAsiaTheme="minorEastAsia" w:hAnsiTheme="minorEastAsia"/>
                <w:b w:val="0"/>
                <w:szCs w:val="21"/>
              </w:rPr>
            </w:pPr>
            <w:r>
              <w:t xml:space="preserve"> 17.62 </w:t>
            </w:r>
          </w:p>
        </w:tc>
        <w:tc>
          <w:tcPr>
            <w:tcW w:w="868"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rPr>
              <w:t xml:space="preserve"> 66,511.76 </w:t>
            </w:r>
          </w:p>
        </w:tc>
        <w:tc>
          <w:tcPr>
            <w:tcW w:w="584"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13.64 </w:t>
            </w:r>
          </w:p>
        </w:tc>
        <w:tc>
          <w:tcPr>
            <w:tcW w:w="561" w:type="pct"/>
            <w:vAlign w:val="center"/>
          </w:tcPr>
          <w:p w:rsidR="00597370" w:rsidRDefault="003C2EEE">
            <w:pPr>
              <w:jc w:val="right"/>
              <w:rPr>
                <w:rStyle w:val="Style146"/>
                <w:rFonts w:asciiTheme="minorEastAsia" w:eastAsiaTheme="minorEastAsia" w:hAnsiTheme="minorEastAsia"/>
                <w:b w:val="0"/>
                <w:szCs w:val="21"/>
              </w:rPr>
            </w:pPr>
            <w:r>
              <w:rPr>
                <w:rFonts w:hint="eastAsia"/>
                <w:color w:val="000000"/>
              </w:rPr>
              <w:t xml:space="preserve"> 69.75 </w:t>
            </w:r>
          </w:p>
        </w:tc>
        <w:tc>
          <w:tcPr>
            <w:tcW w:w="419" w:type="pct"/>
            <w:vAlign w:val="center"/>
          </w:tcPr>
          <w:p w:rsidR="00597370" w:rsidRDefault="003C2EEE">
            <w:pPr>
              <w:jc w:val="right"/>
              <w:rPr>
                <w:rStyle w:val="Style146"/>
                <w:rFonts w:asciiTheme="minorEastAsia" w:eastAsiaTheme="minorEastAsia" w:hAnsiTheme="minorEastAsia"/>
                <w:b w:val="0"/>
                <w:szCs w:val="21"/>
              </w:rPr>
            </w:pPr>
            <w:r>
              <w:rPr>
                <w:rFonts w:asciiTheme="minorEastAsia" w:eastAsiaTheme="minorEastAsia" w:hAnsiTheme="minorEastAsia" w:hint="eastAsia"/>
                <w:color w:val="000000"/>
              </w:rPr>
              <w:t>说明16</w:t>
            </w:r>
          </w:p>
        </w:tc>
      </w:tr>
      <w:tr w:rsidR="00597370">
        <w:trPr>
          <w:trHeight w:val="397"/>
          <w:jc w:val="center"/>
        </w:trPr>
        <w:tc>
          <w:tcPr>
            <w:tcW w:w="961" w:type="pct"/>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hint="eastAsia"/>
              </w:rPr>
              <w:t>递延所得税负债</w:t>
            </w:r>
          </w:p>
        </w:tc>
        <w:tc>
          <w:tcPr>
            <w:tcW w:w="793" w:type="pct"/>
            <w:vAlign w:val="center"/>
          </w:tcPr>
          <w:p w:rsidR="00597370" w:rsidRDefault="003C2EEE">
            <w:pPr>
              <w:jc w:val="right"/>
              <w:rPr>
                <w:rFonts w:asciiTheme="minorEastAsia" w:eastAsiaTheme="minorEastAsia" w:hAnsiTheme="minorEastAsia"/>
                <w:color w:val="000000"/>
              </w:rPr>
            </w:pPr>
            <w:r>
              <w:rPr>
                <w:rFonts w:asciiTheme="minorEastAsia" w:eastAsiaTheme="minorEastAsia" w:hAnsiTheme="minorEastAsia"/>
              </w:rPr>
              <w:t xml:space="preserve"> 7,184.90 </w:t>
            </w:r>
          </w:p>
        </w:tc>
        <w:tc>
          <w:tcPr>
            <w:tcW w:w="814" w:type="pct"/>
            <w:vAlign w:val="center"/>
          </w:tcPr>
          <w:p w:rsidR="00597370" w:rsidRDefault="003C2EEE">
            <w:pPr>
              <w:jc w:val="right"/>
              <w:rPr>
                <w:rFonts w:asciiTheme="minorEastAsia" w:eastAsiaTheme="minorEastAsia" w:hAnsiTheme="minorEastAsia"/>
                <w:color w:val="000000"/>
              </w:rPr>
            </w:pPr>
            <w:r>
              <w:t xml:space="preserve"> 1.12 </w:t>
            </w:r>
          </w:p>
        </w:tc>
        <w:tc>
          <w:tcPr>
            <w:tcW w:w="868" w:type="pct"/>
            <w:vAlign w:val="center"/>
          </w:tcPr>
          <w:p w:rsidR="00597370" w:rsidRDefault="003C2EEE">
            <w:pPr>
              <w:jc w:val="right"/>
              <w:rPr>
                <w:rFonts w:asciiTheme="minorEastAsia" w:eastAsiaTheme="minorEastAsia" w:hAnsiTheme="minorEastAsia"/>
                <w:color w:val="000000"/>
              </w:rPr>
            </w:pPr>
            <w:r>
              <w:rPr>
                <w:rFonts w:asciiTheme="minorEastAsia" w:eastAsiaTheme="minorEastAsia" w:hAnsiTheme="minorEastAsia"/>
              </w:rPr>
              <w:t xml:space="preserve"> 4,741.59 </w:t>
            </w:r>
          </w:p>
        </w:tc>
        <w:tc>
          <w:tcPr>
            <w:tcW w:w="584" w:type="pct"/>
            <w:vAlign w:val="center"/>
          </w:tcPr>
          <w:p w:rsidR="00597370" w:rsidRDefault="003C2EEE">
            <w:pPr>
              <w:jc w:val="right"/>
              <w:rPr>
                <w:rFonts w:asciiTheme="minorEastAsia" w:eastAsiaTheme="minorEastAsia" w:hAnsiTheme="minorEastAsia"/>
                <w:color w:val="000000"/>
              </w:rPr>
            </w:pPr>
            <w:r>
              <w:rPr>
                <w:rFonts w:hint="eastAsia"/>
                <w:color w:val="000000"/>
              </w:rPr>
              <w:t xml:space="preserve"> 0.97 </w:t>
            </w:r>
          </w:p>
        </w:tc>
        <w:tc>
          <w:tcPr>
            <w:tcW w:w="561" w:type="pct"/>
            <w:vAlign w:val="center"/>
          </w:tcPr>
          <w:p w:rsidR="00597370" w:rsidRDefault="003C2EEE">
            <w:pPr>
              <w:jc w:val="right"/>
              <w:rPr>
                <w:rFonts w:asciiTheme="minorEastAsia" w:eastAsiaTheme="minorEastAsia" w:hAnsiTheme="minorEastAsia"/>
                <w:color w:val="000000"/>
              </w:rPr>
            </w:pPr>
            <w:r>
              <w:rPr>
                <w:rFonts w:hint="eastAsia"/>
                <w:color w:val="000000"/>
              </w:rPr>
              <w:t xml:space="preserve"> 51.53 </w:t>
            </w:r>
          </w:p>
        </w:tc>
        <w:tc>
          <w:tcPr>
            <w:tcW w:w="419" w:type="pct"/>
            <w:vAlign w:val="center"/>
          </w:tcPr>
          <w:p w:rsidR="00597370" w:rsidRDefault="003C2EEE">
            <w:pPr>
              <w:jc w:val="right"/>
              <w:rPr>
                <w:rFonts w:asciiTheme="minorEastAsia" w:eastAsiaTheme="minorEastAsia" w:hAnsiTheme="minorEastAsia"/>
                <w:color w:val="000000"/>
              </w:rPr>
            </w:pPr>
            <w:r>
              <w:rPr>
                <w:rFonts w:asciiTheme="minorEastAsia" w:eastAsiaTheme="minorEastAsia" w:hAnsiTheme="minorEastAsia" w:hint="eastAsia"/>
                <w:color w:val="000000"/>
              </w:rPr>
              <w:t>说明1</w:t>
            </w:r>
            <w:r>
              <w:rPr>
                <w:rFonts w:asciiTheme="minorEastAsia" w:eastAsiaTheme="minorEastAsia" w:hAnsiTheme="minorEastAsia"/>
                <w:color w:val="000000"/>
              </w:rPr>
              <w:t>7</w:t>
            </w:r>
          </w:p>
        </w:tc>
      </w:tr>
    </w:tbl>
    <w:p w:rsidR="00597370" w:rsidRDefault="00597370">
      <w:pPr>
        <w:pStyle w:val="Style106"/>
      </w:pPr>
    </w:p>
    <w:p w:rsidR="00597370" w:rsidRDefault="003C2EEE">
      <w:pPr>
        <w:rPr>
          <w:color w:val="000000" w:themeColor="text1"/>
        </w:rPr>
      </w:pPr>
      <w:r>
        <w:rPr>
          <w:rFonts w:hint="eastAsia"/>
          <w:color w:val="000000" w:themeColor="text1"/>
        </w:rPr>
        <w:t>其他说明</w:t>
      </w:r>
    </w:p>
    <w:bookmarkEnd w:id="35" w:displacedByCustomXml="next"/>
    <w:sdt>
      <w:sdtPr>
        <w:rPr>
          <w:rFonts w:hint="eastAsia"/>
          <w:color w:val="000000" w:themeColor="text1"/>
        </w:rPr>
        <w:alias w:val="资产及负债状况的其他说明"/>
        <w:tag w:val="_GBC_cb3eda90e3e24589a444c633ca113f7e"/>
        <w:id w:val="-1542429877"/>
        <w:placeholder>
          <w:docPart w:val="GBC22222222222222222222222222222"/>
        </w:placeholder>
      </w:sdtPr>
      <w:sdtEndPr>
        <w:rPr>
          <w:b/>
          <w:color w:val="FF0000"/>
        </w:rPr>
      </w:sdtEndPr>
      <w:sdtContent>
        <w:p w:rsidR="00597370" w:rsidRDefault="003C2EEE">
          <w:pPr>
            <w:spacing w:line="360" w:lineRule="auto"/>
            <w:rPr>
              <w:color w:val="000000" w:themeColor="text1"/>
            </w:rPr>
          </w:pPr>
          <w:r>
            <w:rPr>
              <w:rFonts w:hint="eastAsia"/>
              <w:color w:val="000000" w:themeColor="text1"/>
            </w:rPr>
            <w:t>说明</w:t>
          </w:r>
          <w:r>
            <w:rPr>
              <w:color w:val="000000" w:themeColor="text1"/>
            </w:rPr>
            <w:t>1：</w:t>
          </w:r>
          <w:proofErr w:type="gramStart"/>
          <w:r>
            <w:rPr>
              <w:color w:val="000000" w:themeColor="text1"/>
            </w:rPr>
            <w:t>应收票据较期初</w:t>
          </w:r>
          <w:proofErr w:type="gramEnd"/>
          <w:r>
            <w:rPr>
              <w:color w:val="000000" w:themeColor="text1"/>
            </w:rPr>
            <w:t>增加7,214.78万元，增长58.90%，主要系公司</w:t>
          </w:r>
          <w:proofErr w:type="gramStart"/>
          <w:r>
            <w:rPr>
              <w:color w:val="000000" w:themeColor="text1"/>
            </w:rPr>
            <w:t>期末已</w:t>
          </w:r>
          <w:proofErr w:type="gramEnd"/>
          <w:r>
            <w:rPr>
              <w:color w:val="000000" w:themeColor="text1"/>
            </w:rPr>
            <w:t>背书未终止确认的应收票据增加所致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t>说明</w:t>
          </w:r>
          <w:r>
            <w:rPr>
              <w:color w:val="000000" w:themeColor="text1"/>
            </w:rPr>
            <w:t>2：应收</w:t>
          </w:r>
          <w:proofErr w:type="gramStart"/>
          <w:r>
            <w:rPr>
              <w:color w:val="000000" w:themeColor="text1"/>
            </w:rPr>
            <w:t>账款较期</w:t>
          </w:r>
          <w:proofErr w:type="gramEnd"/>
          <w:r>
            <w:rPr>
              <w:color w:val="000000" w:themeColor="text1"/>
            </w:rPr>
            <w:t>初增加58,553.51万元，增长60.57%，主要</w:t>
          </w:r>
          <w:proofErr w:type="gramStart"/>
          <w:r>
            <w:rPr>
              <w:color w:val="000000" w:themeColor="text1"/>
            </w:rPr>
            <w:t>系</w:t>
          </w:r>
          <w:r>
            <w:rPr>
              <w:rFonts w:hint="eastAsia"/>
              <w:color w:val="000000" w:themeColor="text1"/>
            </w:rPr>
            <w:t>云变电气</w:t>
          </w:r>
          <w:proofErr w:type="gramEnd"/>
          <w:r>
            <w:rPr>
              <w:rFonts w:hint="eastAsia"/>
              <w:color w:val="000000" w:themeColor="text1"/>
            </w:rPr>
            <w:t>纳入合并范围导致应收账款余额增加所致。</w:t>
          </w:r>
        </w:p>
        <w:p w:rsidR="00597370" w:rsidRDefault="003C2EEE">
          <w:pPr>
            <w:spacing w:line="360" w:lineRule="auto"/>
            <w:rPr>
              <w:color w:val="000000" w:themeColor="text1"/>
            </w:rPr>
          </w:pPr>
          <w:r>
            <w:rPr>
              <w:rFonts w:hint="eastAsia"/>
              <w:color w:val="000000" w:themeColor="text1"/>
            </w:rPr>
            <w:t>说明</w:t>
          </w:r>
          <w:r>
            <w:rPr>
              <w:color w:val="000000" w:themeColor="text1"/>
            </w:rPr>
            <w:t>3：应收款项</w:t>
          </w:r>
          <w:proofErr w:type="gramStart"/>
          <w:r>
            <w:rPr>
              <w:color w:val="000000" w:themeColor="text1"/>
            </w:rPr>
            <w:t>融资较期初</w:t>
          </w:r>
          <w:proofErr w:type="gramEnd"/>
          <w:r>
            <w:rPr>
              <w:color w:val="000000" w:themeColor="text1"/>
            </w:rPr>
            <w:t>增加1,255.37万元，增长102.52%，主要</w:t>
          </w:r>
          <w:proofErr w:type="gramStart"/>
          <w:r>
            <w:rPr>
              <w:color w:val="000000" w:themeColor="text1"/>
            </w:rPr>
            <w:t>系云变电气</w:t>
          </w:r>
          <w:proofErr w:type="gramEnd"/>
          <w:r>
            <w:rPr>
              <w:color w:val="000000" w:themeColor="text1"/>
            </w:rPr>
            <w:t>纳入合并范围导致应收账款融资余额增加所致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t>说明</w:t>
          </w:r>
          <w:r>
            <w:rPr>
              <w:color w:val="000000" w:themeColor="text1"/>
            </w:rPr>
            <w:t>4：预付</w:t>
          </w:r>
          <w:proofErr w:type="gramStart"/>
          <w:r>
            <w:rPr>
              <w:color w:val="000000" w:themeColor="text1"/>
            </w:rPr>
            <w:t>账款较期</w:t>
          </w:r>
          <w:proofErr w:type="gramEnd"/>
          <w:r>
            <w:rPr>
              <w:color w:val="000000" w:themeColor="text1"/>
            </w:rPr>
            <w:t>初增加7,993.49万元，增长138.27%，主要系预付硅钢材料款增加所致；</w:t>
          </w:r>
        </w:p>
        <w:p w:rsidR="00597370" w:rsidRDefault="003C2EEE">
          <w:pPr>
            <w:spacing w:line="360" w:lineRule="auto"/>
            <w:rPr>
              <w:color w:val="000000" w:themeColor="text1"/>
            </w:rPr>
          </w:pPr>
          <w:r>
            <w:rPr>
              <w:rFonts w:hint="eastAsia"/>
              <w:color w:val="000000" w:themeColor="text1"/>
            </w:rPr>
            <w:t>说明</w:t>
          </w:r>
          <w:r>
            <w:rPr>
              <w:color w:val="000000" w:themeColor="text1"/>
            </w:rPr>
            <w:t>5：其他应收</w:t>
          </w:r>
          <w:proofErr w:type="gramStart"/>
          <w:r>
            <w:rPr>
              <w:color w:val="000000" w:themeColor="text1"/>
            </w:rPr>
            <w:t>款较期初</w:t>
          </w:r>
          <w:proofErr w:type="gramEnd"/>
          <w:r>
            <w:rPr>
              <w:color w:val="000000" w:themeColor="text1"/>
            </w:rPr>
            <w:t>增加14,487.11万元，增长1167.09%，主要系</w:t>
          </w:r>
          <w:proofErr w:type="gramStart"/>
          <w:r>
            <w:rPr>
              <w:color w:val="000000" w:themeColor="text1"/>
            </w:rPr>
            <w:t>合并云变电气</w:t>
          </w:r>
          <w:proofErr w:type="gramEnd"/>
          <w:r>
            <w:rPr>
              <w:rFonts w:hint="eastAsia"/>
              <w:color w:val="000000" w:themeColor="text1"/>
            </w:rPr>
            <w:t>增加的其应收土地</w:t>
          </w:r>
          <w:r>
            <w:rPr>
              <w:color w:val="000000" w:themeColor="text1"/>
            </w:rPr>
            <w:t>拆迁补偿款</w:t>
          </w:r>
          <w:r>
            <w:rPr>
              <w:rFonts w:hint="eastAsia"/>
              <w:color w:val="000000" w:themeColor="text1"/>
            </w:rPr>
            <w:t>和转入中国证券登记结算有限责任公司上海分公司还未实际支付的普通股股利增加所致。</w:t>
          </w:r>
        </w:p>
        <w:p w:rsidR="00597370" w:rsidRDefault="003C2EEE">
          <w:pPr>
            <w:spacing w:line="360" w:lineRule="auto"/>
            <w:rPr>
              <w:color w:val="000000" w:themeColor="text1"/>
            </w:rPr>
          </w:pPr>
          <w:r>
            <w:rPr>
              <w:rFonts w:hint="eastAsia"/>
              <w:color w:val="000000" w:themeColor="text1"/>
            </w:rPr>
            <w:t>说明</w:t>
          </w:r>
          <w:r>
            <w:rPr>
              <w:color w:val="000000" w:themeColor="text1"/>
            </w:rPr>
            <w:t>6：</w:t>
          </w:r>
          <w:proofErr w:type="gramStart"/>
          <w:r>
            <w:rPr>
              <w:color w:val="000000" w:themeColor="text1"/>
            </w:rPr>
            <w:t>存货较期初</w:t>
          </w:r>
          <w:proofErr w:type="gramEnd"/>
          <w:r>
            <w:rPr>
              <w:color w:val="000000" w:themeColor="text1"/>
            </w:rPr>
            <w:t>增加31,747.07万元，增长62.36%，主要</w:t>
          </w:r>
          <w:proofErr w:type="gramStart"/>
          <w:r>
            <w:rPr>
              <w:color w:val="000000" w:themeColor="text1"/>
            </w:rPr>
            <w:t>系云变电气</w:t>
          </w:r>
          <w:proofErr w:type="gramEnd"/>
          <w:r>
            <w:rPr>
              <w:color w:val="000000" w:themeColor="text1"/>
            </w:rPr>
            <w:t>纳入合并范围导致存货余额增加所致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t>说明</w:t>
          </w:r>
          <w:r>
            <w:rPr>
              <w:color w:val="000000" w:themeColor="text1"/>
            </w:rPr>
            <w:t>7：</w:t>
          </w:r>
          <w:proofErr w:type="gramStart"/>
          <w:r>
            <w:rPr>
              <w:color w:val="000000" w:themeColor="text1"/>
            </w:rPr>
            <w:t>固定资产较期初</w:t>
          </w:r>
          <w:proofErr w:type="gramEnd"/>
          <w:r>
            <w:rPr>
              <w:color w:val="000000" w:themeColor="text1"/>
            </w:rPr>
            <w:t>增加63,130.14万元，增长56.63%，主要</w:t>
          </w:r>
          <w:proofErr w:type="gramStart"/>
          <w:r>
            <w:rPr>
              <w:color w:val="000000" w:themeColor="text1"/>
            </w:rPr>
            <w:t>系云变电气</w:t>
          </w:r>
          <w:proofErr w:type="gramEnd"/>
          <w:r>
            <w:rPr>
              <w:color w:val="000000" w:themeColor="text1"/>
            </w:rPr>
            <w:t>纳入合并范围以及</w:t>
          </w:r>
          <w:r>
            <w:rPr>
              <w:rFonts w:hint="eastAsia"/>
              <w:color w:val="000000" w:themeColor="text1"/>
            </w:rPr>
            <w:t>公司在建</w:t>
          </w:r>
          <w:r>
            <w:rPr>
              <w:color w:val="000000" w:themeColor="text1"/>
            </w:rPr>
            <w:t>项目</w:t>
          </w:r>
          <w:r>
            <w:rPr>
              <w:rFonts w:hint="eastAsia"/>
              <w:color w:val="000000" w:themeColor="text1"/>
            </w:rPr>
            <w:t>基本全面</w:t>
          </w:r>
          <w:r>
            <w:rPr>
              <w:color w:val="000000" w:themeColor="text1"/>
            </w:rPr>
            <w:t>完工</w:t>
          </w:r>
          <w:r>
            <w:rPr>
              <w:rFonts w:hint="eastAsia"/>
              <w:color w:val="000000" w:themeColor="text1"/>
            </w:rPr>
            <w:t>逐步转入</w:t>
          </w:r>
          <w:r>
            <w:rPr>
              <w:color w:val="000000" w:themeColor="text1"/>
            </w:rPr>
            <w:t>固定资产所致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t>说明</w:t>
          </w:r>
          <w:r>
            <w:rPr>
              <w:color w:val="000000" w:themeColor="text1"/>
            </w:rPr>
            <w:t>8：</w:t>
          </w:r>
          <w:r>
            <w:rPr>
              <w:rFonts w:hint="eastAsia"/>
              <w:color w:val="000000" w:themeColor="text1"/>
            </w:rPr>
            <w:t>无形</w:t>
          </w:r>
          <w:proofErr w:type="gramStart"/>
          <w:r>
            <w:rPr>
              <w:color w:val="000000" w:themeColor="text1"/>
            </w:rPr>
            <w:t>资产较期初</w:t>
          </w:r>
          <w:proofErr w:type="gramEnd"/>
          <w:r>
            <w:rPr>
              <w:color w:val="000000" w:themeColor="text1"/>
            </w:rPr>
            <w:t>增加10,722.20万元，</w:t>
          </w:r>
          <w:r>
            <w:rPr>
              <w:rFonts w:hint="eastAsia"/>
              <w:color w:val="000000" w:themeColor="text1"/>
            </w:rPr>
            <w:t>增长</w:t>
          </w:r>
          <w:r>
            <w:rPr>
              <w:color w:val="000000" w:themeColor="text1"/>
            </w:rPr>
            <w:t>85.42%，主要</w:t>
          </w:r>
          <w:proofErr w:type="gramStart"/>
          <w:r>
            <w:rPr>
              <w:color w:val="000000" w:themeColor="text1"/>
            </w:rPr>
            <w:t>系</w:t>
          </w:r>
          <w:r>
            <w:rPr>
              <w:rFonts w:hint="eastAsia"/>
              <w:color w:val="000000" w:themeColor="text1"/>
            </w:rPr>
            <w:t>云变电气</w:t>
          </w:r>
          <w:proofErr w:type="gramEnd"/>
          <w:r>
            <w:rPr>
              <w:rFonts w:hint="eastAsia"/>
              <w:color w:val="000000" w:themeColor="text1"/>
            </w:rPr>
            <w:t>纳入合并范围导致无形资产余额增加所致。</w:t>
          </w:r>
        </w:p>
        <w:p w:rsidR="00597370" w:rsidRDefault="003C2EEE">
          <w:pPr>
            <w:spacing w:line="360" w:lineRule="auto"/>
            <w:rPr>
              <w:color w:val="000000" w:themeColor="text1"/>
            </w:rPr>
          </w:pPr>
          <w:r>
            <w:rPr>
              <w:rFonts w:hint="eastAsia"/>
              <w:color w:val="000000" w:themeColor="text1"/>
            </w:rPr>
            <w:t>说明</w:t>
          </w:r>
          <w:r>
            <w:rPr>
              <w:color w:val="000000" w:themeColor="text1"/>
            </w:rPr>
            <w:t>9：递延所得税</w:t>
          </w:r>
          <w:proofErr w:type="gramStart"/>
          <w:r>
            <w:rPr>
              <w:color w:val="000000" w:themeColor="text1"/>
            </w:rPr>
            <w:t>资产较期初</w:t>
          </w:r>
          <w:proofErr w:type="gramEnd"/>
          <w:r>
            <w:rPr>
              <w:color w:val="000000" w:themeColor="text1"/>
            </w:rPr>
            <w:t>增加1,726.22万元，增长70.51%，主要</w:t>
          </w:r>
          <w:proofErr w:type="gramStart"/>
          <w:r>
            <w:rPr>
              <w:color w:val="000000" w:themeColor="text1"/>
            </w:rPr>
            <w:t>系云变电气</w:t>
          </w:r>
          <w:proofErr w:type="gramEnd"/>
          <w:r>
            <w:rPr>
              <w:color w:val="000000" w:themeColor="text1"/>
            </w:rPr>
            <w:t>纳入合并范围导致递延所得税资产余额增加所致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lastRenderedPageBreak/>
            <w:t>说明</w:t>
          </w:r>
          <w:r>
            <w:rPr>
              <w:color w:val="000000" w:themeColor="text1"/>
            </w:rPr>
            <w:t>10：其他非</w:t>
          </w:r>
          <w:proofErr w:type="gramStart"/>
          <w:r>
            <w:rPr>
              <w:color w:val="000000" w:themeColor="text1"/>
            </w:rPr>
            <w:t>流动资产较期初</w:t>
          </w:r>
          <w:proofErr w:type="gramEnd"/>
          <w:r>
            <w:rPr>
              <w:color w:val="000000" w:themeColor="text1"/>
            </w:rPr>
            <w:t>减少6,748.14万元，降低85.92%，主要系在建项目的预付款项完成设备交付所致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t>说明</w:t>
          </w:r>
          <w:r>
            <w:rPr>
              <w:color w:val="000000" w:themeColor="text1"/>
            </w:rPr>
            <w:t>11：应付</w:t>
          </w:r>
          <w:proofErr w:type="gramStart"/>
          <w:r>
            <w:rPr>
              <w:color w:val="000000" w:themeColor="text1"/>
            </w:rPr>
            <w:t>账款较期</w:t>
          </w:r>
          <w:proofErr w:type="gramEnd"/>
          <w:r>
            <w:rPr>
              <w:color w:val="000000" w:themeColor="text1"/>
            </w:rPr>
            <w:t>初增加36,614.65万元，增长66.21%，主要</w:t>
          </w:r>
          <w:proofErr w:type="gramStart"/>
          <w:r>
            <w:rPr>
              <w:color w:val="000000" w:themeColor="text1"/>
            </w:rPr>
            <w:t>系云变电气</w:t>
          </w:r>
          <w:proofErr w:type="gramEnd"/>
          <w:r>
            <w:rPr>
              <w:color w:val="000000" w:themeColor="text1"/>
            </w:rPr>
            <w:t>纳入合并范围，应付账款余额增加所致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t>说明</w:t>
          </w:r>
          <w:r>
            <w:rPr>
              <w:color w:val="000000" w:themeColor="text1"/>
            </w:rPr>
            <w:t>12：应交税</w:t>
          </w:r>
          <w:proofErr w:type="gramStart"/>
          <w:r>
            <w:rPr>
              <w:color w:val="000000" w:themeColor="text1"/>
            </w:rPr>
            <w:t>费较期</w:t>
          </w:r>
          <w:proofErr w:type="gramEnd"/>
          <w:r>
            <w:rPr>
              <w:color w:val="000000" w:themeColor="text1"/>
            </w:rPr>
            <w:t>初增加1,197.40万元，增长457.83%，主要</w:t>
          </w:r>
          <w:proofErr w:type="gramStart"/>
          <w:r>
            <w:rPr>
              <w:color w:val="000000" w:themeColor="text1"/>
            </w:rPr>
            <w:t>系云变电气</w:t>
          </w:r>
          <w:proofErr w:type="gramEnd"/>
          <w:r>
            <w:rPr>
              <w:color w:val="000000" w:themeColor="text1"/>
            </w:rPr>
            <w:t>纳入合并范围，</w:t>
          </w:r>
          <w:r>
            <w:rPr>
              <w:rFonts w:hint="eastAsia"/>
              <w:color w:val="000000" w:themeColor="text1"/>
            </w:rPr>
            <w:t>应交</w:t>
          </w:r>
          <w:r>
            <w:rPr>
              <w:color w:val="000000" w:themeColor="text1"/>
            </w:rPr>
            <w:t>企业所得税、房产税等余额增加所致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t>说明</w:t>
          </w:r>
          <w:r>
            <w:rPr>
              <w:color w:val="000000" w:themeColor="text1"/>
            </w:rPr>
            <w:t>13：其他应付</w:t>
          </w:r>
          <w:proofErr w:type="gramStart"/>
          <w:r>
            <w:rPr>
              <w:color w:val="000000" w:themeColor="text1"/>
            </w:rPr>
            <w:t>款较期初</w:t>
          </w:r>
          <w:proofErr w:type="gramEnd"/>
          <w:r>
            <w:rPr>
              <w:color w:val="000000" w:themeColor="text1"/>
            </w:rPr>
            <w:t>增加9,284.03万元，增长</w:t>
          </w:r>
          <w:r>
            <w:rPr>
              <w:rFonts w:hint="eastAsia"/>
              <w:color w:val="000000" w:themeColor="text1"/>
            </w:rPr>
            <w:t>5</w:t>
          </w:r>
          <w:r>
            <w:rPr>
              <w:color w:val="000000" w:themeColor="text1"/>
            </w:rPr>
            <w:t>28.78%，主要</w:t>
          </w:r>
          <w:proofErr w:type="gramStart"/>
          <w:r>
            <w:rPr>
              <w:color w:val="000000" w:themeColor="text1"/>
            </w:rPr>
            <w:t>系报告期云变</w:t>
          </w:r>
          <w:proofErr w:type="gramEnd"/>
          <w:r>
            <w:rPr>
              <w:color w:val="000000" w:themeColor="text1"/>
            </w:rPr>
            <w:t>电气纳入合并范围导致其他应付款余额增加以及应付</w:t>
          </w:r>
          <w:r>
            <w:rPr>
              <w:rFonts w:hint="eastAsia"/>
              <w:color w:val="000000" w:themeColor="text1"/>
            </w:rPr>
            <w:t>未付</w:t>
          </w:r>
          <w:r>
            <w:rPr>
              <w:color w:val="000000" w:themeColor="text1"/>
            </w:rPr>
            <w:t>股利的增加所致</w:t>
          </w:r>
          <w:r>
            <w:rPr>
              <w:rFonts w:hint="eastAsia"/>
              <w:color w:val="000000" w:themeColor="text1"/>
            </w:rPr>
            <w:t>。</w:t>
          </w:r>
        </w:p>
        <w:p w:rsidR="00597370" w:rsidRDefault="003C2EEE">
          <w:pPr>
            <w:spacing w:line="360" w:lineRule="auto"/>
            <w:rPr>
              <w:color w:val="000000" w:themeColor="text1"/>
            </w:rPr>
          </w:pPr>
          <w:r>
            <w:rPr>
              <w:rFonts w:hint="eastAsia"/>
              <w:color w:val="000000" w:themeColor="text1"/>
            </w:rPr>
            <w:t>说明1</w:t>
          </w:r>
          <w:r>
            <w:rPr>
              <w:color w:val="000000" w:themeColor="text1"/>
            </w:rPr>
            <w:t>4</w:t>
          </w:r>
          <w:r>
            <w:rPr>
              <w:rFonts w:hint="eastAsia"/>
              <w:color w:val="000000" w:themeColor="text1"/>
            </w:rPr>
            <w:t>：一年内到期的非流动</w:t>
          </w:r>
          <w:proofErr w:type="gramStart"/>
          <w:r>
            <w:rPr>
              <w:rFonts w:hint="eastAsia"/>
              <w:color w:val="000000" w:themeColor="text1"/>
            </w:rPr>
            <w:t>负债较期初</w:t>
          </w:r>
          <w:proofErr w:type="gramEnd"/>
          <w:r>
            <w:rPr>
              <w:rFonts w:hint="eastAsia"/>
              <w:color w:val="000000" w:themeColor="text1"/>
            </w:rPr>
            <w:t>增加3</w:t>
          </w:r>
          <w:r>
            <w:rPr>
              <w:color w:val="000000" w:themeColor="text1"/>
            </w:rPr>
            <w:t>1,116.41</w:t>
          </w:r>
          <w:r>
            <w:rPr>
              <w:rFonts w:hint="eastAsia"/>
              <w:color w:val="000000" w:themeColor="text1"/>
            </w:rPr>
            <w:t>万元，增长4</w:t>
          </w:r>
          <w:r>
            <w:rPr>
              <w:color w:val="000000" w:themeColor="text1"/>
            </w:rPr>
            <w:t>50.95%</w:t>
          </w:r>
          <w:r>
            <w:rPr>
              <w:rFonts w:hint="eastAsia"/>
              <w:color w:val="000000" w:themeColor="text1"/>
            </w:rPr>
            <w:t>，主要系一年内到期长期借款增加所致。</w:t>
          </w:r>
        </w:p>
        <w:p w:rsidR="00597370" w:rsidRDefault="003C2EEE">
          <w:pPr>
            <w:spacing w:line="360" w:lineRule="auto"/>
            <w:rPr>
              <w:color w:val="000000" w:themeColor="text1"/>
            </w:rPr>
          </w:pPr>
          <w:r>
            <w:rPr>
              <w:rFonts w:hint="eastAsia"/>
              <w:color w:val="000000" w:themeColor="text1"/>
            </w:rPr>
            <w:t>说明1</w:t>
          </w:r>
          <w:r>
            <w:rPr>
              <w:color w:val="000000" w:themeColor="text1"/>
            </w:rPr>
            <w:t>5</w:t>
          </w:r>
          <w:r>
            <w:rPr>
              <w:rFonts w:hint="eastAsia"/>
              <w:color w:val="000000" w:themeColor="text1"/>
            </w:rPr>
            <w:t>：其他流动</w:t>
          </w:r>
          <w:proofErr w:type="gramStart"/>
          <w:r>
            <w:rPr>
              <w:rFonts w:hint="eastAsia"/>
              <w:color w:val="000000" w:themeColor="text1"/>
            </w:rPr>
            <w:t>负债较期初</w:t>
          </w:r>
          <w:proofErr w:type="gramEnd"/>
          <w:r>
            <w:rPr>
              <w:rFonts w:hint="eastAsia"/>
              <w:color w:val="000000" w:themeColor="text1"/>
            </w:rPr>
            <w:t>增加8</w:t>
          </w:r>
          <w:r>
            <w:rPr>
              <w:color w:val="000000" w:themeColor="text1"/>
            </w:rPr>
            <w:t>,188.29</w:t>
          </w:r>
          <w:r>
            <w:rPr>
              <w:rFonts w:hint="eastAsia"/>
              <w:color w:val="000000" w:themeColor="text1"/>
            </w:rPr>
            <w:t>万元，增长5</w:t>
          </w:r>
          <w:r>
            <w:rPr>
              <w:color w:val="000000" w:themeColor="text1"/>
            </w:rPr>
            <w:t>9.40%</w:t>
          </w:r>
          <w:r>
            <w:rPr>
              <w:rFonts w:hint="eastAsia"/>
              <w:color w:val="000000" w:themeColor="text1"/>
            </w:rPr>
            <w:t>，主要系公司</w:t>
          </w:r>
          <w:proofErr w:type="gramStart"/>
          <w:r>
            <w:rPr>
              <w:rFonts w:hint="eastAsia"/>
              <w:color w:val="000000" w:themeColor="text1"/>
            </w:rPr>
            <w:t>期末已</w:t>
          </w:r>
          <w:proofErr w:type="gramEnd"/>
          <w:r>
            <w:rPr>
              <w:rFonts w:hint="eastAsia"/>
              <w:color w:val="000000" w:themeColor="text1"/>
            </w:rPr>
            <w:t>背书未终止确认的应收票据增加所致。</w:t>
          </w:r>
        </w:p>
        <w:p w:rsidR="00597370" w:rsidRDefault="003C2EEE">
          <w:pPr>
            <w:spacing w:line="360" w:lineRule="auto"/>
            <w:rPr>
              <w:color w:val="000000" w:themeColor="text1"/>
            </w:rPr>
          </w:pPr>
          <w:r>
            <w:rPr>
              <w:rFonts w:hint="eastAsia"/>
              <w:color w:val="000000" w:themeColor="text1"/>
            </w:rPr>
            <w:t>说明</w:t>
          </w:r>
          <w:r>
            <w:rPr>
              <w:color w:val="000000" w:themeColor="text1"/>
            </w:rPr>
            <w:t>16：长期</w:t>
          </w:r>
          <w:proofErr w:type="gramStart"/>
          <w:r>
            <w:rPr>
              <w:color w:val="000000" w:themeColor="text1"/>
            </w:rPr>
            <w:t>借款较期初</w:t>
          </w:r>
          <w:proofErr w:type="gramEnd"/>
          <w:r>
            <w:rPr>
              <w:color w:val="000000" w:themeColor="text1"/>
            </w:rPr>
            <w:t>增加46,389.0</w:t>
          </w:r>
          <w:r>
            <w:rPr>
              <w:rFonts w:hint="eastAsia"/>
              <w:color w:val="000000" w:themeColor="text1"/>
            </w:rPr>
            <w:t>3</w:t>
          </w:r>
          <w:r>
            <w:rPr>
              <w:color w:val="000000" w:themeColor="text1"/>
            </w:rPr>
            <w:t>万元，增长69.75%，主要系</w:t>
          </w:r>
          <w:r>
            <w:rPr>
              <w:rFonts w:hint="eastAsia"/>
              <w:color w:val="000000" w:themeColor="text1"/>
            </w:rPr>
            <w:t>本期增加并购贷和中长期流动资金借款所致。</w:t>
          </w:r>
        </w:p>
        <w:p w:rsidR="00597370" w:rsidRDefault="003C2EEE">
          <w:pPr>
            <w:spacing w:line="360" w:lineRule="auto"/>
            <w:rPr>
              <w:color w:val="000000" w:themeColor="text1"/>
            </w:rPr>
          </w:pPr>
          <w:r>
            <w:rPr>
              <w:rFonts w:hint="eastAsia"/>
              <w:color w:val="000000" w:themeColor="text1"/>
            </w:rPr>
            <w:t>说明</w:t>
          </w:r>
          <w:r>
            <w:rPr>
              <w:color w:val="000000" w:themeColor="text1"/>
            </w:rPr>
            <w:t>17：递延所得税</w:t>
          </w:r>
          <w:proofErr w:type="gramStart"/>
          <w:r>
            <w:rPr>
              <w:color w:val="000000" w:themeColor="text1"/>
            </w:rPr>
            <w:t>负债较期初</w:t>
          </w:r>
          <w:proofErr w:type="gramEnd"/>
          <w:r>
            <w:rPr>
              <w:color w:val="000000" w:themeColor="text1"/>
            </w:rPr>
            <w:t>增加2,443.31万元，增长51.53%，主要</w:t>
          </w:r>
          <w:proofErr w:type="gramStart"/>
          <w:r>
            <w:rPr>
              <w:color w:val="000000" w:themeColor="text1"/>
            </w:rPr>
            <w:t>系</w:t>
          </w:r>
          <w:r>
            <w:rPr>
              <w:rFonts w:hint="eastAsia"/>
              <w:color w:val="000000" w:themeColor="text1"/>
            </w:rPr>
            <w:t>收购云变</w:t>
          </w:r>
          <w:proofErr w:type="gramEnd"/>
          <w:r>
            <w:rPr>
              <w:rFonts w:hint="eastAsia"/>
              <w:color w:val="000000" w:themeColor="text1"/>
            </w:rPr>
            <w:t>电气评估增值和</w:t>
          </w:r>
          <w:r>
            <w:rPr>
              <w:color w:val="000000" w:themeColor="text1"/>
            </w:rPr>
            <w:t>公司执行单位价值不超过500万的固定资产一次性税前扣除政策</w:t>
          </w:r>
          <w:r>
            <w:rPr>
              <w:rFonts w:hint="eastAsia"/>
              <w:color w:val="000000" w:themeColor="text1"/>
            </w:rPr>
            <w:t>共同影响</w:t>
          </w:r>
          <w:r>
            <w:rPr>
              <w:color w:val="000000" w:themeColor="text1"/>
            </w:rPr>
            <w:t>带来的递延所得税负债增加所致</w:t>
          </w:r>
          <w:r>
            <w:rPr>
              <w:rFonts w:hint="eastAsia"/>
              <w:color w:val="000000" w:themeColor="text1"/>
            </w:rPr>
            <w:t>。</w:t>
          </w:r>
        </w:p>
      </w:sdtContent>
    </w:sdt>
    <w:p w:rsidR="00597370" w:rsidRDefault="003C2EEE">
      <w:pPr>
        <w:pStyle w:val="Style110"/>
        <w:numPr>
          <w:ilvl w:val="0"/>
          <w:numId w:val="10"/>
        </w:numPr>
        <w:rPr>
          <w:rFonts w:ascii="宋体" w:hAnsi="宋体"/>
          <w:b w:val="0"/>
          <w:color w:val="000000" w:themeColor="text1"/>
        </w:rPr>
      </w:pPr>
      <w:r>
        <w:rPr>
          <w:rFonts w:ascii="宋体" w:hAnsi="宋体"/>
          <w:color w:val="000000" w:themeColor="text1"/>
        </w:rPr>
        <w:t>境外资产情况</w:t>
      </w:r>
    </w:p>
    <w:sdt>
      <w:sdtPr>
        <w:rPr>
          <w:color w:val="000000" w:themeColor="text1"/>
        </w:rPr>
        <w:alias w:val="是否适用：境外资产情况 [双击切换]"/>
        <w:tag w:val="_GBC_95d71e9a9dcd4966863ba2859a3bf0b7"/>
        <w:id w:val="-162938443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0"/>
        </w:numPr>
        <w:rPr>
          <w:rFonts w:ascii="宋体" w:hAnsi="宋体"/>
          <w:b w:val="0"/>
          <w:color w:val="000000" w:themeColor="text1"/>
        </w:rPr>
      </w:pPr>
      <w:bookmarkStart w:id="36" w:name="_Hlk105685192"/>
      <w:bookmarkEnd w:id="36"/>
      <w:r>
        <w:rPr>
          <w:rFonts w:ascii="宋体" w:hAnsi="宋体"/>
          <w:color w:val="000000" w:themeColor="text1"/>
        </w:rPr>
        <w:t>截至报告期末主要资产受限情况</w:t>
      </w:r>
    </w:p>
    <w:sdt>
      <w:sdtPr>
        <w:rPr>
          <w:rFonts w:hint="eastAsia"/>
          <w:color w:val="000000" w:themeColor="text1"/>
        </w:rPr>
        <w:alias w:val="是否适用：主要资产受限情况[双击切换]"/>
        <w:tag w:val="_GBC_e9f1a2b3f13345eaac848c40837fffbb"/>
        <w:id w:val="12050653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主要资产受限情况"/>
        <w:tag w:val="_GBC_a45de9537ca94b758cc1d9c201a60b53"/>
        <w:id w:val="1607161414"/>
        <w:placeholder>
          <w:docPart w:val="GBC22222222222222222222222222222"/>
        </w:placeholder>
      </w:sdtPr>
      <w:sdtEndPr/>
      <w:sdtContent>
        <w:p w:rsidR="00597370" w:rsidRDefault="003C2EEE">
          <w:pPr>
            <w:rPr>
              <w:color w:val="000000" w:themeColor="text1"/>
            </w:rPr>
          </w:pPr>
          <w:r>
            <w:rPr>
              <w:rFonts w:hint="eastAsia"/>
              <w:color w:val="000000" w:themeColor="text1"/>
            </w:rPr>
            <w:t>详见第十节</w:t>
          </w:r>
          <w:r>
            <w:rPr>
              <w:color w:val="000000" w:themeColor="text1"/>
            </w:rPr>
            <w:t>.七.31.“所有权或使用权受限资产”。</w:t>
          </w:r>
        </w:p>
      </w:sdtContent>
    </w:sdt>
    <w:p w:rsidR="00597370" w:rsidRDefault="003C2EEE">
      <w:pPr>
        <w:pStyle w:val="Style110"/>
        <w:numPr>
          <w:ilvl w:val="0"/>
          <w:numId w:val="10"/>
        </w:numPr>
        <w:rPr>
          <w:rFonts w:ascii="宋体" w:hAnsi="宋体"/>
          <w:b w:val="0"/>
          <w:color w:val="000000" w:themeColor="text1"/>
        </w:rPr>
      </w:pPr>
      <w:r>
        <w:rPr>
          <w:rFonts w:ascii="宋体" w:hAnsi="宋体"/>
          <w:color w:val="000000" w:themeColor="text1"/>
        </w:rPr>
        <w:t>其他说明</w:t>
      </w:r>
    </w:p>
    <w:sdt>
      <w:sdtPr>
        <w:rPr>
          <w:rFonts w:hint="eastAsia"/>
          <w:color w:val="000000" w:themeColor="text1"/>
        </w:rPr>
        <w:alias w:val="是否适用：资产及负债状况的其他说明[双击切换]"/>
        <w:tag w:val="_GBC_ba674147d80648fba521aedf33ce0b27"/>
        <w:id w:val="8258310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8"/>
        </w:numPr>
        <w:rPr>
          <w:rFonts w:ascii="宋体" w:hAnsi="宋体"/>
          <w:color w:val="000000" w:themeColor="text1"/>
        </w:rPr>
      </w:pPr>
      <w:r>
        <w:rPr>
          <w:rFonts w:ascii="宋体" w:hAnsi="宋体" w:hint="eastAsia"/>
          <w:color w:val="000000" w:themeColor="text1"/>
        </w:rPr>
        <w:t>投资状况分析</w:t>
      </w:r>
    </w:p>
    <w:p w:rsidR="00597370" w:rsidRDefault="003C2EEE">
      <w:pPr>
        <w:pStyle w:val="Style110"/>
        <w:numPr>
          <w:ilvl w:val="0"/>
          <w:numId w:val="11"/>
        </w:numPr>
        <w:rPr>
          <w:rFonts w:ascii="宋体" w:hAnsi="宋体"/>
          <w:color w:val="000000" w:themeColor="text1"/>
        </w:rPr>
      </w:pPr>
      <w:r>
        <w:rPr>
          <w:rFonts w:ascii="宋体" w:hAnsi="宋体"/>
          <w:color w:val="000000" w:themeColor="text1"/>
        </w:rPr>
        <w:t>对外股权投资总体分析</w:t>
      </w:r>
    </w:p>
    <w:p w:rsidR="00597370" w:rsidRDefault="006840ED">
      <w:sdt>
        <w:sdtPr>
          <w:rPr>
            <w:color w:val="000000" w:themeColor="text1"/>
          </w:rPr>
          <w:alias w:val="是否适用：对外股权投资总体分析[双击切换]"/>
          <w:tag w:val="_GBC_d1852fb41d2a420f9f1d78c35235341a"/>
          <w:id w:val="565222565"/>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597370">
      <w:pPr>
        <w:rPr>
          <w:color w:val="000000" w:themeColor="text1"/>
        </w:rPr>
      </w:pPr>
    </w:p>
    <w:p w:rsidR="00597370" w:rsidRDefault="00597370">
      <w:pPr>
        <w:rPr>
          <w:color w:val="000000" w:themeColor="text1"/>
        </w:rPr>
        <w:sectPr w:rsidR="00597370">
          <w:pgSz w:w="11906" w:h="16838"/>
          <w:pgMar w:top="1525" w:right="1276" w:bottom="1440" w:left="1797" w:header="851" w:footer="992" w:gutter="0"/>
          <w:cols w:space="425"/>
          <w:docGrid w:linePitch="312"/>
        </w:sectPr>
      </w:pPr>
    </w:p>
    <w:p w:rsidR="00597370" w:rsidRDefault="003C2EEE">
      <w:pPr>
        <w:pStyle w:val="Style111"/>
        <w:numPr>
          <w:ilvl w:val="0"/>
          <w:numId w:val="12"/>
        </w:numPr>
        <w:tabs>
          <w:tab w:val="left" w:pos="360"/>
        </w:tabs>
        <w:ind w:left="0" w:firstLine="0"/>
        <w:rPr>
          <w:color w:val="000000" w:themeColor="text1"/>
          <w:szCs w:val="21"/>
        </w:rPr>
      </w:pPr>
      <w:bookmarkStart w:id="37" w:name="_Hlk137045665"/>
      <w:r>
        <w:rPr>
          <w:rFonts w:hint="eastAsia"/>
          <w:color w:val="000000" w:themeColor="text1"/>
          <w:szCs w:val="21"/>
        </w:rPr>
        <w:lastRenderedPageBreak/>
        <w:t>重大的股权投资</w:t>
      </w:r>
    </w:p>
    <w:sdt>
      <w:sdtPr>
        <w:rPr>
          <w:rFonts w:hint="eastAsia"/>
          <w:color w:val="000000" w:themeColor="text1"/>
        </w:rPr>
        <w:alias w:val="是否适用：重大的股权投资[双击切换]"/>
        <w:tag w:val="_GBC_9d4d997d9f994cccbb938afa207cfaf2"/>
        <w:id w:val="-70549568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√适用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重大的股权投资"/>
          <w:tag w:val="_GBC_db44489b1cb7431aa575bc3fb192bc52"/>
          <w:id w:val="44598087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重大的股权投资"/>
          <w:tag w:val="_GBC_d362510f1d434ad7b97b38e2d32ab381"/>
          <w:id w:val="-17040862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1427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814"/>
        <w:gridCol w:w="605"/>
        <w:gridCol w:w="941"/>
        <w:gridCol w:w="1161"/>
        <w:gridCol w:w="859"/>
        <w:gridCol w:w="591"/>
        <w:gridCol w:w="839"/>
        <w:gridCol w:w="648"/>
        <w:gridCol w:w="895"/>
        <w:gridCol w:w="706"/>
        <w:gridCol w:w="977"/>
        <w:gridCol w:w="827"/>
        <w:gridCol w:w="846"/>
        <w:gridCol w:w="591"/>
        <w:gridCol w:w="1266"/>
        <w:gridCol w:w="938"/>
      </w:tblGrid>
      <w:tr w:rsidR="00597370">
        <w:sdt>
          <w:sdtPr>
            <w:rPr>
              <w:rFonts w:hint="eastAsia"/>
              <w:color w:val="000000" w:themeColor="text1"/>
            </w:rPr>
            <w:tag w:val="_PLD_860f89f13ca14d8dad4e43fe5d02f00d"/>
            <w:id w:val="1875811545"/>
          </w:sdtPr>
          <w:sdtEndPr/>
          <w:sdtContent>
            <w:tc>
              <w:tcPr>
                <w:tcW w:w="767" w:type="dxa"/>
                <w:shd w:val="clear" w:color="auto" w:fill="auto"/>
                <w:vAlign w:val="center"/>
              </w:tcPr>
              <w:p w:rsidR="00597370" w:rsidRDefault="003C2EEE">
                <w:pPr>
                  <w:widowControl w:val="0"/>
                  <w:jc w:val="center"/>
                  <w:rPr>
                    <w:color w:val="000000" w:themeColor="text1"/>
                  </w:rPr>
                </w:pPr>
                <w:r>
                  <w:rPr>
                    <w:rFonts w:hint="eastAsia"/>
                    <w:color w:val="000000" w:themeColor="text1"/>
                  </w:rPr>
                  <w:t>被投资公司名称</w:t>
                </w:r>
              </w:p>
            </w:tc>
          </w:sdtContent>
        </w:sdt>
        <w:sdt>
          <w:sdtPr>
            <w:rPr>
              <w:rFonts w:hint="eastAsia"/>
              <w:color w:val="000000" w:themeColor="text1"/>
            </w:rPr>
            <w:tag w:val="_PLD_d576a9615250479c8201e2cb390dcaaa"/>
            <w:id w:val="-1705709378"/>
          </w:sdtPr>
          <w:sdtEndPr/>
          <w:sdtContent>
            <w:tc>
              <w:tcPr>
                <w:tcW w:w="814" w:type="dxa"/>
                <w:shd w:val="clear" w:color="auto" w:fill="auto"/>
                <w:vAlign w:val="center"/>
              </w:tcPr>
              <w:p w:rsidR="00597370" w:rsidRDefault="003C2EEE">
                <w:pPr>
                  <w:widowControl w:val="0"/>
                  <w:jc w:val="center"/>
                  <w:rPr>
                    <w:color w:val="000000" w:themeColor="text1"/>
                  </w:rPr>
                </w:pPr>
                <w:r>
                  <w:rPr>
                    <w:rFonts w:hint="eastAsia"/>
                    <w:color w:val="000000" w:themeColor="text1"/>
                  </w:rPr>
                  <w:t>主要业务</w:t>
                </w:r>
              </w:p>
            </w:tc>
          </w:sdtContent>
        </w:sdt>
        <w:sdt>
          <w:sdtPr>
            <w:rPr>
              <w:rFonts w:hint="eastAsia"/>
              <w:color w:val="000000" w:themeColor="text1"/>
            </w:rPr>
            <w:tag w:val="_PLD_009359a5f4ff4955972e4f51c0ec2c75"/>
            <w:id w:val="285167693"/>
          </w:sdtPr>
          <w:sdtEndPr/>
          <w:sdtContent>
            <w:tc>
              <w:tcPr>
                <w:tcW w:w="605" w:type="dxa"/>
                <w:vAlign w:val="center"/>
              </w:tcPr>
              <w:p w:rsidR="00597370" w:rsidRDefault="003C2EEE">
                <w:pPr>
                  <w:widowControl w:val="0"/>
                  <w:jc w:val="center"/>
                  <w:rPr>
                    <w:color w:val="000000" w:themeColor="text1"/>
                  </w:rPr>
                </w:pPr>
                <w:r>
                  <w:rPr>
                    <w:rFonts w:hint="eastAsia"/>
                    <w:color w:val="000000" w:themeColor="text1"/>
                  </w:rPr>
                  <w:t>标的是否主营投资业务</w:t>
                </w:r>
              </w:p>
            </w:tc>
          </w:sdtContent>
        </w:sdt>
        <w:sdt>
          <w:sdtPr>
            <w:rPr>
              <w:rFonts w:hint="eastAsia"/>
              <w:color w:val="000000" w:themeColor="text1"/>
            </w:rPr>
            <w:tag w:val="_PLD_73182ab1a050447ab1bad40c8704b037"/>
            <w:id w:val="41179376"/>
          </w:sdtPr>
          <w:sdtEndPr/>
          <w:sdtContent>
            <w:tc>
              <w:tcPr>
                <w:tcW w:w="941" w:type="dxa"/>
                <w:shd w:val="clear" w:color="auto" w:fill="auto"/>
                <w:vAlign w:val="center"/>
              </w:tcPr>
              <w:p w:rsidR="00597370" w:rsidRDefault="003C2EEE">
                <w:pPr>
                  <w:widowControl w:val="0"/>
                  <w:jc w:val="center"/>
                  <w:rPr>
                    <w:color w:val="000000" w:themeColor="text1"/>
                  </w:rPr>
                </w:pPr>
                <w:r>
                  <w:rPr>
                    <w:rFonts w:hint="eastAsia"/>
                    <w:color w:val="000000" w:themeColor="text1"/>
                  </w:rPr>
                  <w:t>投资方式</w:t>
                </w:r>
              </w:p>
            </w:tc>
          </w:sdtContent>
        </w:sdt>
        <w:sdt>
          <w:sdtPr>
            <w:rPr>
              <w:rFonts w:hint="eastAsia"/>
              <w:color w:val="000000" w:themeColor="text1"/>
            </w:rPr>
            <w:tag w:val="_PLD_086b61df1c1e407e90e475a205072c22"/>
            <w:id w:val="1277447943"/>
          </w:sdtPr>
          <w:sdtEndPr/>
          <w:sdtContent>
            <w:tc>
              <w:tcPr>
                <w:tcW w:w="1161" w:type="dxa"/>
                <w:shd w:val="clear" w:color="auto" w:fill="auto"/>
                <w:vAlign w:val="center"/>
              </w:tcPr>
              <w:p w:rsidR="00597370" w:rsidRDefault="003C2EEE">
                <w:pPr>
                  <w:widowControl w:val="0"/>
                  <w:jc w:val="center"/>
                  <w:rPr>
                    <w:color w:val="000000" w:themeColor="text1"/>
                  </w:rPr>
                </w:pPr>
                <w:r>
                  <w:rPr>
                    <w:rFonts w:hint="eastAsia"/>
                    <w:color w:val="000000" w:themeColor="text1"/>
                  </w:rPr>
                  <w:t>投资金额</w:t>
                </w:r>
              </w:p>
            </w:tc>
          </w:sdtContent>
        </w:sdt>
        <w:sdt>
          <w:sdtPr>
            <w:rPr>
              <w:rFonts w:hint="eastAsia"/>
              <w:color w:val="000000" w:themeColor="text1"/>
            </w:rPr>
            <w:tag w:val="_PLD_fe61041bbf814cae9e7d68e3ed511786"/>
            <w:id w:val="626358094"/>
          </w:sdtPr>
          <w:sdtEndPr/>
          <w:sdtContent>
            <w:tc>
              <w:tcPr>
                <w:tcW w:w="859" w:type="dxa"/>
                <w:shd w:val="clear" w:color="auto" w:fill="auto"/>
                <w:vAlign w:val="center"/>
              </w:tcPr>
              <w:p w:rsidR="00597370" w:rsidRDefault="003C2EEE">
                <w:pPr>
                  <w:widowControl w:val="0"/>
                  <w:jc w:val="center"/>
                  <w:rPr>
                    <w:color w:val="000000" w:themeColor="text1"/>
                  </w:rPr>
                </w:pPr>
                <w:r>
                  <w:rPr>
                    <w:rFonts w:hint="eastAsia"/>
                    <w:color w:val="000000" w:themeColor="text1"/>
                  </w:rPr>
                  <w:t>持股比例</w:t>
                </w:r>
              </w:p>
            </w:tc>
          </w:sdtContent>
        </w:sdt>
        <w:sdt>
          <w:sdtPr>
            <w:rPr>
              <w:rFonts w:hint="eastAsia"/>
              <w:color w:val="000000" w:themeColor="text1"/>
            </w:rPr>
            <w:tag w:val="_PLD_5a32ea77af864b528580819f5d19c03b"/>
            <w:id w:val="1063292760"/>
          </w:sdtPr>
          <w:sdtEndPr/>
          <w:sdtContent>
            <w:tc>
              <w:tcPr>
                <w:tcW w:w="591" w:type="dxa"/>
                <w:shd w:val="clear" w:color="auto" w:fill="auto"/>
                <w:vAlign w:val="center"/>
              </w:tcPr>
              <w:p w:rsidR="00597370" w:rsidRDefault="003C2EEE">
                <w:pPr>
                  <w:widowControl w:val="0"/>
                  <w:jc w:val="center"/>
                  <w:rPr>
                    <w:color w:val="000000" w:themeColor="text1"/>
                  </w:rPr>
                </w:pPr>
                <w:r>
                  <w:rPr>
                    <w:rFonts w:hint="eastAsia"/>
                    <w:color w:val="000000" w:themeColor="text1"/>
                  </w:rPr>
                  <w:t>是否并表</w:t>
                </w:r>
              </w:p>
            </w:tc>
          </w:sdtContent>
        </w:sdt>
        <w:sdt>
          <w:sdtPr>
            <w:rPr>
              <w:rFonts w:hint="eastAsia"/>
              <w:color w:val="000000" w:themeColor="text1"/>
            </w:rPr>
            <w:tag w:val="_PLD_00176e22a0734428b14c927bc61601ca"/>
            <w:id w:val="-2027778083"/>
          </w:sdtPr>
          <w:sdtEndPr/>
          <w:sdtContent>
            <w:tc>
              <w:tcPr>
                <w:tcW w:w="839" w:type="dxa"/>
                <w:shd w:val="clear" w:color="auto" w:fill="auto"/>
                <w:vAlign w:val="center"/>
              </w:tcPr>
              <w:p w:rsidR="00597370" w:rsidRDefault="003C2EEE">
                <w:pPr>
                  <w:widowControl w:val="0"/>
                  <w:jc w:val="center"/>
                  <w:rPr>
                    <w:color w:val="000000" w:themeColor="text1"/>
                  </w:rPr>
                </w:pPr>
                <w:r>
                  <w:rPr>
                    <w:rFonts w:hint="eastAsia"/>
                    <w:color w:val="000000" w:themeColor="text1"/>
                  </w:rPr>
                  <w:t>报表科目（如适用）</w:t>
                </w:r>
              </w:p>
            </w:tc>
          </w:sdtContent>
        </w:sdt>
        <w:sdt>
          <w:sdtPr>
            <w:rPr>
              <w:rFonts w:hint="eastAsia"/>
              <w:color w:val="000000" w:themeColor="text1"/>
            </w:rPr>
            <w:tag w:val="_PLD_50791cadff914ba1b32b680747281c4b"/>
            <w:id w:val="1738896236"/>
          </w:sdtPr>
          <w:sdtEndPr/>
          <w:sdtContent>
            <w:tc>
              <w:tcPr>
                <w:tcW w:w="648" w:type="dxa"/>
                <w:shd w:val="clear" w:color="auto" w:fill="auto"/>
                <w:vAlign w:val="center"/>
              </w:tcPr>
              <w:p w:rsidR="00597370" w:rsidRDefault="003C2EEE">
                <w:pPr>
                  <w:widowControl w:val="0"/>
                  <w:jc w:val="center"/>
                  <w:rPr>
                    <w:color w:val="000000" w:themeColor="text1"/>
                  </w:rPr>
                </w:pPr>
                <w:r>
                  <w:rPr>
                    <w:rFonts w:hint="eastAsia"/>
                    <w:color w:val="000000" w:themeColor="text1"/>
                  </w:rPr>
                  <w:t>资金来源</w:t>
                </w:r>
              </w:p>
            </w:tc>
          </w:sdtContent>
        </w:sdt>
        <w:sdt>
          <w:sdtPr>
            <w:rPr>
              <w:rFonts w:hint="eastAsia"/>
              <w:color w:val="000000" w:themeColor="text1"/>
            </w:rPr>
            <w:tag w:val="_PLD_0ec31f52970847d08b84bb11a3be416d"/>
            <w:id w:val="1618789816"/>
          </w:sdtPr>
          <w:sdtEndPr/>
          <w:sdtContent>
            <w:tc>
              <w:tcPr>
                <w:tcW w:w="895" w:type="dxa"/>
                <w:shd w:val="clear" w:color="auto" w:fill="auto"/>
                <w:vAlign w:val="center"/>
              </w:tcPr>
              <w:p w:rsidR="00597370" w:rsidRDefault="003C2EEE">
                <w:pPr>
                  <w:widowControl w:val="0"/>
                  <w:jc w:val="center"/>
                  <w:rPr>
                    <w:color w:val="000000" w:themeColor="text1"/>
                  </w:rPr>
                </w:pPr>
                <w:r>
                  <w:rPr>
                    <w:rFonts w:hint="eastAsia"/>
                    <w:color w:val="000000" w:themeColor="text1"/>
                  </w:rPr>
                  <w:t>合作方（如适用）</w:t>
                </w:r>
              </w:p>
            </w:tc>
          </w:sdtContent>
        </w:sdt>
        <w:sdt>
          <w:sdtPr>
            <w:rPr>
              <w:rFonts w:hint="eastAsia"/>
              <w:color w:val="000000" w:themeColor="text1"/>
            </w:rPr>
            <w:tag w:val="_PLD_f51864525d13444198ab8553c6440398"/>
            <w:id w:val="-2146969743"/>
          </w:sdtPr>
          <w:sdtEndPr/>
          <w:sdtContent>
            <w:tc>
              <w:tcPr>
                <w:tcW w:w="706" w:type="dxa"/>
                <w:shd w:val="clear" w:color="auto" w:fill="auto"/>
                <w:vAlign w:val="center"/>
              </w:tcPr>
              <w:p w:rsidR="00597370" w:rsidRDefault="003C2EEE">
                <w:pPr>
                  <w:widowControl w:val="0"/>
                  <w:jc w:val="center"/>
                  <w:rPr>
                    <w:color w:val="000000" w:themeColor="text1"/>
                  </w:rPr>
                </w:pPr>
                <w:r>
                  <w:rPr>
                    <w:rFonts w:hint="eastAsia"/>
                    <w:color w:val="000000" w:themeColor="text1"/>
                  </w:rPr>
                  <w:t>投资期限（如有）</w:t>
                </w:r>
              </w:p>
            </w:tc>
          </w:sdtContent>
        </w:sdt>
        <w:sdt>
          <w:sdtPr>
            <w:rPr>
              <w:rFonts w:hint="eastAsia"/>
              <w:color w:val="000000" w:themeColor="text1"/>
            </w:rPr>
            <w:tag w:val="_PLD_74d23540da68472491b177a9b36ee411"/>
            <w:id w:val="1759556532"/>
          </w:sdtPr>
          <w:sdtEndPr/>
          <w:sdtContent>
            <w:tc>
              <w:tcPr>
                <w:tcW w:w="977" w:type="dxa"/>
                <w:shd w:val="clear" w:color="auto" w:fill="auto"/>
                <w:vAlign w:val="center"/>
              </w:tcPr>
              <w:p w:rsidR="00597370" w:rsidRDefault="003C2EEE">
                <w:pPr>
                  <w:widowControl w:val="0"/>
                  <w:jc w:val="center"/>
                  <w:rPr>
                    <w:color w:val="000000" w:themeColor="text1"/>
                  </w:rPr>
                </w:pPr>
                <w:r>
                  <w:rPr>
                    <w:rFonts w:hint="eastAsia"/>
                    <w:color w:val="000000" w:themeColor="text1"/>
                  </w:rPr>
                  <w:t>截至资产负债表日的进展情况</w:t>
                </w:r>
              </w:p>
            </w:tc>
          </w:sdtContent>
        </w:sdt>
        <w:sdt>
          <w:sdtPr>
            <w:rPr>
              <w:rFonts w:hint="eastAsia"/>
              <w:color w:val="000000" w:themeColor="text1"/>
            </w:rPr>
            <w:tag w:val="_PLD_2a56fe6b070d416e9bd0faf6575cba41"/>
            <w:id w:val="1619098731"/>
          </w:sdtPr>
          <w:sdtEndPr/>
          <w:sdtContent>
            <w:tc>
              <w:tcPr>
                <w:tcW w:w="827" w:type="dxa"/>
                <w:shd w:val="clear" w:color="auto" w:fill="auto"/>
                <w:vAlign w:val="center"/>
              </w:tcPr>
              <w:p w:rsidR="00597370" w:rsidRDefault="003C2EEE">
                <w:pPr>
                  <w:widowControl w:val="0"/>
                  <w:jc w:val="center"/>
                  <w:rPr>
                    <w:color w:val="000000" w:themeColor="text1"/>
                  </w:rPr>
                </w:pPr>
                <w:r>
                  <w:rPr>
                    <w:rFonts w:hint="eastAsia"/>
                    <w:color w:val="000000" w:themeColor="text1"/>
                  </w:rPr>
                  <w:t>预计收益（如有）</w:t>
                </w:r>
              </w:p>
            </w:tc>
          </w:sdtContent>
        </w:sdt>
        <w:sdt>
          <w:sdtPr>
            <w:rPr>
              <w:rFonts w:hint="eastAsia"/>
              <w:color w:val="000000" w:themeColor="text1"/>
            </w:rPr>
            <w:tag w:val="_PLD_14f2283bcc504c558015cf793f396a9f"/>
            <w:id w:val="1650942715"/>
          </w:sdtPr>
          <w:sdtEndPr/>
          <w:sdtContent>
            <w:tc>
              <w:tcPr>
                <w:tcW w:w="846" w:type="dxa"/>
                <w:shd w:val="clear" w:color="auto" w:fill="auto"/>
                <w:vAlign w:val="center"/>
              </w:tcPr>
              <w:p w:rsidR="00597370" w:rsidRDefault="003C2EEE">
                <w:pPr>
                  <w:widowControl w:val="0"/>
                  <w:jc w:val="center"/>
                  <w:rPr>
                    <w:color w:val="000000" w:themeColor="text1"/>
                  </w:rPr>
                </w:pPr>
                <w:r>
                  <w:rPr>
                    <w:rFonts w:hint="eastAsia"/>
                    <w:color w:val="000000" w:themeColor="text1"/>
                  </w:rPr>
                  <w:t>本期损益影响</w:t>
                </w:r>
              </w:p>
            </w:tc>
          </w:sdtContent>
        </w:sdt>
        <w:sdt>
          <w:sdtPr>
            <w:rPr>
              <w:rFonts w:hint="eastAsia"/>
              <w:color w:val="000000" w:themeColor="text1"/>
            </w:rPr>
            <w:tag w:val="_PLD_96ba2707000547e3a8d992c22cbe7164"/>
            <w:id w:val="-1907758863"/>
          </w:sdtPr>
          <w:sdtEndPr/>
          <w:sdtContent>
            <w:tc>
              <w:tcPr>
                <w:tcW w:w="591" w:type="dxa"/>
                <w:shd w:val="clear" w:color="auto" w:fill="auto"/>
                <w:vAlign w:val="center"/>
              </w:tcPr>
              <w:p w:rsidR="00597370" w:rsidRDefault="003C2EEE">
                <w:pPr>
                  <w:widowControl w:val="0"/>
                  <w:jc w:val="center"/>
                  <w:rPr>
                    <w:color w:val="000000" w:themeColor="text1"/>
                  </w:rPr>
                </w:pPr>
                <w:r>
                  <w:rPr>
                    <w:rFonts w:hint="eastAsia"/>
                    <w:color w:val="000000" w:themeColor="text1"/>
                  </w:rPr>
                  <w:t>是否涉诉</w:t>
                </w:r>
              </w:p>
            </w:tc>
          </w:sdtContent>
        </w:sdt>
        <w:sdt>
          <w:sdtPr>
            <w:rPr>
              <w:rFonts w:hint="eastAsia"/>
              <w:color w:val="000000" w:themeColor="text1"/>
            </w:rPr>
            <w:tag w:val="_PLD_15d628cac6d14f6fb56a9a926ea9549f"/>
            <w:id w:val="-864206167"/>
          </w:sdtPr>
          <w:sdtEndPr/>
          <w:sdtContent>
            <w:tc>
              <w:tcPr>
                <w:tcW w:w="1266" w:type="dxa"/>
                <w:shd w:val="clear" w:color="auto" w:fill="auto"/>
                <w:vAlign w:val="center"/>
              </w:tcPr>
              <w:p w:rsidR="00597370" w:rsidRDefault="003C2EEE">
                <w:pPr>
                  <w:widowControl w:val="0"/>
                  <w:jc w:val="center"/>
                  <w:rPr>
                    <w:color w:val="000000" w:themeColor="text1"/>
                  </w:rPr>
                </w:pPr>
                <w:r>
                  <w:rPr>
                    <w:rFonts w:hint="eastAsia"/>
                    <w:color w:val="000000" w:themeColor="text1"/>
                  </w:rPr>
                  <w:t>披露日期（如有）</w:t>
                </w:r>
              </w:p>
            </w:tc>
          </w:sdtContent>
        </w:sdt>
        <w:sdt>
          <w:sdtPr>
            <w:rPr>
              <w:rFonts w:hint="eastAsia"/>
              <w:color w:val="000000" w:themeColor="text1"/>
            </w:rPr>
            <w:tag w:val="_PLD_442f882f64a7466aaf49e971c9ab8062"/>
            <w:id w:val="-1322346282"/>
          </w:sdtPr>
          <w:sdtEndPr/>
          <w:sdtContent>
            <w:tc>
              <w:tcPr>
                <w:tcW w:w="938" w:type="dxa"/>
                <w:shd w:val="clear" w:color="auto" w:fill="auto"/>
                <w:vAlign w:val="center"/>
              </w:tcPr>
              <w:p w:rsidR="00597370" w:rsidRDefault="003C2EEE">
                <w:pPr>
                  <w:widowControl w:val="0"/>
                  <w:jc w:val="center"/>
                  <w:rPr>
                    <w:color w:val="000000" w:themeColor="text1"/>
                  </w:rPr>
                </w:pPr>
                <w:r>
                  <w:rPr>
                    <w:rFonts w:hint="eastAsia"/>
                    <w:color w:val="000000" w:themeColor="text1"/>
                  </w:rPr>
                  <w:t>披露索引（如有）</w:t>
                </w:r>
              </w:p>
            </w:tc>
          </w:sdtContent>
        </w:sdt>
      </w:tr>
      <w:tr w:rsidR="00597370">
        <w:tc>
          <w:tcPr>
            <w:tcW w:w="767" w:type="dxa"/>
            <w:shd w:val="clear" w:color="auto" w:fill="auto"/>
            <w:vAlign w:val="center"/>
          </w:tcPr>
          <w:p w:rsidR="00597370" w:rsidRDefault="003C2EEE">
            <w:pPr>
              <w:widowControl w:val="0"/>
              <w:jc w:val="center"/>
            </w:pPr>
            <w:r>
              <w:rPr>
                <w:rFonts w:hint="eastAsia"/>
              </w:rPr>
              <w:t>云南变压器电气股份有限公司</w:t>
            </w:r>
          </w:p>
        </w:tc>
        <w:tc>
          <w:tcPr>
            <w:tcW w:w="814" w:type="dxa"/>
            <w:shd w:val="clear" w:color="auto" w:fill="auto"/>
            <w:vAlign w:val="center"/>
          </w:tcPr>
          <w:p w:rsidR="00597370" w:rsidRDefault="003C2EEE">
            <w:pPr>
              <w:widowControl w:val="0"/>
              <w:jc w:val="center"/>
            </w:pPr>
            <w:r>
              <w:rPr>
                <w:rFonts w:hint="eastAsia"/>
                <w:sz w:val="15"/>
                <w:szCs w:val="15"/>
              </w:rPr>
              <w:t>生产及销售</w:t>
            </w:r>
            <w:r>
              <w:rPr>
                <w:sz w:val="15"/>
                <w:szCs w:val="15"/>
              </w:rPr>
              <w:t xml:space="preserve"> 220kV 级及以下电力变压器、牵引变压器等类型变压器，同时具备 500kV</w:t>
            </w:r>
            <w:r>
              <w:t xml:space="preserve"> </w:t>
            </w:r>
            <w:r>
              <w:rPr>
                <w:sz w:val="15"/>
                <w:szCs w:val="15"/>
              </w:rPr>
              <w:t>变压</w:t>
            </w:r>
            <w:r>
              <w:rPr>
                <w:rFonts w:hint="eastAsia"/>
                <w:sz w:val="15"/>
                <w:szCs w:val="15"/>
              </w:rPr>
              <w:t>器生产能力</w:t>
            </w:r>
          </w:p>
        </w:tc>
        <w:sdt>
          <w:sdtPr>
            <w:rPr>
              <w:rFonts w:hint="eastAsia"/>
              <w:color w:val="000000" w:themeColor="text1"/>
            </w:rPr>
            <w:alias w:val="重大的股权投资_投资标的是否系投资性主体 "/>
            <w:tag w:val="_GBC_7074b1f516a842289a77c38bd61ff0d7"/>
            <w:id w:val="-1664310901"/>
            <w:comboBox>
              <w:listItem w:displayText="是" w:value="是"/>
              <w:listItem w:displayText="否" w:value="否"/>
            </w:comboBox>
          </w:sdtPr>
          <w:sdtEndPr/>
          <w:sdtContent>
            <w:tc>
              <w:tcPr>
                <w:tcW w:w="605" w:type="dxa"/>
                <w:vAlign w:val="center"/>
              </w:tcPr>
              <w:p w:rsidR="00597370" w:rsidRDefault="003C2EEE">
                <w:pPr>
                  <w:widowControl w:val="0"/>
                  <w:jc w:val="center"/>
                  <w:rPr>
                    <w:color w:val="000000" w:themeColor="text1"/>
                  </w:rPr>
                </w:pPr>
                <w:r>
                  <w:rPr>
                    <w:rFonts w:hint="eastAsia"/>
                    <w:color w:val="000000" w:themeColor="text1"/>
                  </w:rPr>
                  <w:t>否</w:t>
                </w:r>
              </w:p>
            </w:tc>
          </w:sdtContent>
        </w:sdt>
        <w:sdt>
          <w:sdtPr>
            <w:rPr>
              <w:rFonts w:hint="eastAsia"/>
              <w:color w:val="000000" w:themeColor="text1"/>
            </w:rPr>
            <w:alias w:val="重大的股权投资_投资方式"/>
            <w:tag w:val="_GBC_6657ab8cd3754f68a3199dda0335449b"/>
            <w:id w:val="-1467340703"/>
            <w:comboBox>
              <w:listItem w:displayText="新设" w:value="新设"/>
              <w:listItem w:displayText="增资" w:value="增资"/>
              <w:listItem w:displayText="收购" w:value="收购"/>
              <w:listItem w:displayText="其他" w:value="其他"/>
            </w:comboBox>
          </w:sdtPr>
          <w:sdtEndPr/>
          <w:sdtContent>
            <w:tc>
              <w:tcPr>
                <w:tcW w:w="941" w:type="dxa"/>
                <w:shd w:val="clear" w:color="auto" w:fill="auto"/>
                <w:vAlign w:val="center"/>
              </w:tcPr>
              <w:p w:rsidR="00597370" w:rsidRDefault="003C2EEE">
                <w:pPr>
                  <w:widowControl w:val="0"/>
                  <w:jc w:val="center"/>
                  <w:rPr>
                    <w:color w:val="000000" w:themeColor="text1"/>
                  </w:rPr>
                </w:pPr>
                <w:r>
                  <w:rPr>
                    <w:rFonts w:hint="eastAsia"/>
                    <w:color w:val="000000" w:themeColor="text1"/>
                  </w:rPr>
                  <w:t>收购</w:t>
                </w:r>
              </w:p>
            </w:tc>
          </w:sdtContent>
        </w:sdt>
        <w:tc>
          <w:tcPr>
            <w:tcW w:w="1161" w:type="dxa"/>
            <w:shd w:val="clear" w:color="auto" w:fill="auto"/>
            <w:vAlign w:val="center"/>
          </w:tcPr>
          <w:p w:rsidR="00597370" w:rsidRDefault="003C2EEE">
            <w:pPr>
              <w:widowControl w:val="0"/>
              <w:jc w:val="center"/>
            </w:pPr>
            <w:r>
              <w:t>55,981.69</w:t>
            </w:r>
          </w:p>
        </w:tc>
        <w:tc>
          <w:tcPr>
            <w:tcW w:w="859" w:type="dxa"/>
            <w:shd w:val="clear" w:color="auto" w:fill="auto"/>
            <w:vAlign w:val="center"/>
          </w:tcPr>
          <w:p w:rsidR="00597370" w:rsidRDefault="003C2EEE">
            <w:pPr>
              <w:widowControl w:val="0"/>
              <w:jc w:val="center"/>
            </w:pPr>
            <w:r>
              <w:rPr>
                <w:rFonts w:hint="eastAsia"/>
              </w:rPr>
              <w:t>7</w:t>
            </w:r>
            <w:r>
              <w:t>9.97</w:t>
            </w:r>
            <w:r>
              <w:rPr>
                <w:rFonts w:hint="eastAsia"/>
              </w:rPr>
              <w:t>%</w:t>
            </w:r>
          </w:p>
        </w:tc>
        <w:sdt>
          <w:sdtPr>
            <w:rPr>
              <w:rFonts w:hint="eastAsia"/>
              <w:color w:val="000000" w:themeColor="text1"/>
            </w:rPr>
            <w:alias w:val="重大的股权投资_是否并表"/>
            <w:tag w:val="_GBC_b0896277ebbd444caa2c6dea05baf05e"/>
            <w:id w:val="1487285499"/>
            <w:comboBox>
              <w:listItem w:displayText="是" w:value="是"/>
              <w:listItem w:displayText="否" w:value="否"/>
            </w:comboBox>
          </w:sdtPr>
          <w:sdtEndPr/>
          <w:sdtContent>
            <w:tc>
              <w:tcPr>
                <w:tcW w:w="591" w:type="dxa"/>
                <w:shd w:val="clear" w:color="auto" w:fill="auto"/>
                <w:vAlign w:val="center"/>
              </w:tcPr>
              <w:p w:rsidR="00597370" w:rsidRDefault="003C2EEE">
                <w:pPr>
                  <w:widowControl w:val="0"/>
                  <w:jc w:val="center"/>
                  <w:rPr>
                    <w:color w:val="000000" w:themeColor="text1"/>
                  </w:rPr>
                </w:pPr>
                <w:r>
                  <w:rPr>
                    <w:rFonts w:hint="eastAsia"/>
                    <w:color w:val="000000" w:themeColor="text1"/>
                  </w:rPr>
                  <w:t>是</w:t>
                </w:r>
              </w:p>
            </w:tc>
          </w:sdtContent>
        </w:sdt>
        <w:tc>
          <w:tcPr>
            <w:tcW w:w="839" w:type="dxa"/>
            <w:shd w:val="clear" w:color="auto" w:fill="auto"/>
            <w:vAlign w:val="center"/>
          </w:tcPr>
          <w:p w:rsidR="00597370" w:rsidRDefault="003C2EEE">
            <w:pPr>
              <w:widowControl w:val="0"/>
              <w:jc w:val="center"/>
            </w:pPr>
            <w:r>
              <w:rPr>
                <w:rFonts w:hint="eastAsia"/>
              </w:rPr>
              <w:t>长期股权投资</w:t>
            </w:r>
          </w:p>
        </w:tc>
        <w:tc>
          <w:tcPr>
            <w:tcW w:w="648" w:type="dxa"/>
            <w:shd w:val="clear" w:color="auto" w:fill="auto"/>
            <w:vAlign w:val="center"/>
          </w:tcPr>
          <w:p w:rsidR="00597370" w:rsidRDefault="003C2EEE">
            <w:pPr>
              <w:widowControl w:val="0"/>
              <w:jc w:val="center"/>
            </w:pPr>
            <w:r>
              <w:rPr>
                <w:rFonts w:hint="eastAsia"/>
              </w:rPr>
              <w:t>自有资金和银行借款</w:t>
            </w:r>
          </w:p>
        </w:tc>
        <w:tc>
          <w:tcPr>
            <w:tcW w:w="895" w:type="dxa"/>
            <w:shd w:val="clear" w:color="auto" w:fill="auto"/>
            <w:vAlign w:val="center"/>
          </w:tcPr>
          <w:p w:rsidR="00597370" w:rsidRDefault="00597370">
            <w:pPr>
              <w:widowControl w:val="0"/>
              <w:jc w:val="center"/>
            </w:pPr>
          </w:p>
        </w:tc>
        <w:tc>
          <w:tcPr>
            <w:tcW w:w="706" w:type="dxa"/>
            <w:shd w:val="clear" w:color="auto" w:fill="auto"/>
            <w:vAlign w:val="center"/>
          </w:tcPr>
          <w:p w:rsidR="00597370" w:rsidRDefault="00597370">
            <w:pPr>
              <w:widowControl w:val="0"/>
              <w:jc w:val="center"/>
            </w:pPr>
          </w:p>
        </w:tc>
        <w:tc>
          <w:tcPr>
            <w:tcW w:w="977" w:type="dxa"/>
            <w:shd w:val="clear" w:color="auto" w:fill="auto"/>
            <w:vAlign w:val="center"/>
          </w:tcPr>
          <w:p w:rsidR="00597370" w:rsidRDefault="003C2EEE">
            <w:pPr>
              <w:widowControl w:val="0"/>
              <w:jc w:val="center"/>
            </w:pPr>
            <w:r>
              <w:rPr>
                <w:rFonts w:hint="eastAsia"/>
              </w:rPr>
              <w:t>已完成</w:t>
            </w:r>
          </w:p>
        </w:tc>
        <w:tc>
          <w:tcPr>
            <w:tcW w:w="827" w:type="dxa"/>
            <w:shd w:val="clear" w:color="auto" w:fill="auto"/>
            <w:vAlign w:val="center"/>
          </w:tcPr>
          <w:p w:rsidR="00597370" w:rsidRDefault="00597370">
            <w:pPr>
              <w:widowControl w:val="0"/>
              <w:jc w:val="center"/>
            </w:pPr>
          </w:p>
        </w:tc>
        <w:tc>
          <w:tcPr>
            <w:tcW w:w="846" w:type="dxa"/>
            <w:shd w:val="clear" w:color="auto" w:fill="auto"/>
            <w:vAlign w:val="center"/>
          </w:tcPr>
          <w:p w:rsidR="00597370" w:rsidRDefault="003C2EEE">
            <w:pPr>
              <w:widowControl w:val="0"/>
              <w:jc w:val="center"/>
            </w:pPr>
            <w:r>
              <w:rPr>
                <w:rFonts w:hint="eastAsia"/>
              </w:rPr>
              <w:t>9</w:t>
            </w:r>
            <w:r>
              <w:t>84.42</w:t>
            </w:r>
          </w:p>
        </w:tc>
        <w:sdt>
          <w:sdtPr>
            <w:rPr>
              <w:rFonts w:hint="eastAsia"/>
              <w:color w:val="000000" w:themeColor="text1"/>
            </w:rPr>
            <w:alias w:val="重大的股权投资_是否涉诉"/>
            <w:tag w:val="_GBC_a9dab08ee11741a4abbb5ee48e309adc"/>
            <w:id w:val="-357273628"/>
            <w:comboBox>
              <w:listItem w:displayText="是" w:value="是"/>
              <w:listItem w:displayText="否" w:value="否"/>
            </w:comboBox>
          </w:sdtPr>
          <w:sdtEndPr/>
          <w:sdtContent>
            <w:tc>
              <w:tcPr>
                <w:tcW w:w="591" w:type="dxa"/>
                <w:shd w:val="clear" w:color="auto" w:fill="auto"/>
                <w:vAlign w:val="center"/>
              </w:tcPr>
              <w:p w:rsidR="00597370" w:rsidRDefault="003C2EEE">
                <w:pPr>
                  <w:widowControl w:val="0"/>
                  <w:jc w:val="center"/>
                  <w:rPr>
                    <w:color w:val="000000" w:themeColor="text1"/>
                  </w:rPr>
                </w:pPr>
                <w:r>
                  <w:rPr>
                    <w:rFonts w:hint="eastAsia"/>
                    <w:color w:val="000000" w:themeColor="text1"/>
                  </w:rPr>
                  <w:t>否</w:t>
                </w:r>
              </w:p>
            </w:tc>
          </w:sdtContent>
        </w:sdt>
        <w:tc>
          <w:tcPr>
            <w:tcW w:w="1266" w:type="dxa"/>
            <w:shd w:val="clear" w:color="auto" w:fill="auto"/>
            <w:vAlign w:val="center"/>
          </w:tcPr>
          <w:p w:rsidR="00597370" w:rsidRDefault="003C2EEE">
            <w:pPr>
              <w:widowControl w:val="0"/>
              <w:jc w:val="center"/>
            </w:pPr>
            <w:r>
              <w:rPr>
                <w:rFonts w:hint="eastAsia"/>
              </w:rPr>
              <w:t>2</w:t>
            </w:r>
            <w:r>
              <w:t>024.04.03</w:t>
            </w:r>
          </w:p>
        </w:tc>
        <w:tc>
          <w:tcPr>
            <w:tcW w:w="938" w:type="dxa"/>
            <w:shd w:val="clear" w:color="auto" w:fill="auto"/>
            <w:vAlign w:val="center"/>
          </w:tcPr>
          <w:p w:rsidR="00597370" w:rsidRDefault="003C2EEE">
            <w:pPr>
              <w:widowControl w:val="0"/>
              <w:rPr>
                <w:sz w:val="15"/>
                <w:szCs w:val="15"/>
              </w:rPr>
            </w:pPr>
            <w:r>
              <w:rPr>
                <w:rFonts w:hint="eastAsia"/>
                <w:sz w:val="15"/>
                <w:szCs w:val="15"/>
              </w:rPr>
              <w:t>《关于通过北京产权交易所竞购上海长威与南方资产合计持有云变电气</w:t>
            </w:r>
            <w:r>
              <w:rPr>
                <w:sz w:val="15"/>
                <w:szCs w:val="15"/>
              </w:rPr>
              <w:t>79.97%股份的进展公告</w:t>
            </w:r>
            <w:r>
              <w:rPr>
                <w:rFonts w:hint="eastAsia"/>
                <w:sz w:val="15"/>
                <w:szCs w:val="15"/>
              </w:rPr>
              <w:t>》（公告编号：2</w:t>
            </w:r>
            <w:r>
              <w:rPr>
                <w:sz w:val="15"/>
                <w:szCs w:val="15"/>
              </w:rPr>
              <w:t>024-026</w:t>
            </w:r>
            <w:r>
              <w:rPr>
                <w:rFonts w:hint="eastAsia"/>
                <w:sz w:val="15"/>
                <w:szCs w:val="15"/>
              </w:rPr>
              <w:t>）</w:t>
            </w:r>
          </w:p>
        </w:tc>
      </w:tr>
      <w:tr w:rsidR="00597370">
        <w:tc>
          <w:tcPr>
            <w:tcW w:w="767" w:type="dxa"/>
            <w:shd w:val="clear" w:color="auto" w:fill="auto"/>
            <w:vAlign w:val="center"/>
          </w:tcPr>
          <w:p w:rsidR="00597370" w:rsidRDefault="003C2EEE">
            <w:pPr>
              <w:widowControl w:val="0"/>
              <w:jc w:val="center"/>
              <w:rPr>
                <w:color w:val="000000" w:themeColor="text1"/>
              </w:rPr>
            </w:pPr>
            <w:r>
              <w:rPr>
                <w:rFonts w:hint="eastAsia"/>
                <w:color w:val="000000" w:themeColor="text1"/>
              </w:rPr>
              <w:t>合计</w:t>
            </w:r>
          </w:p>
        </w:tc>
        <w:tc>
          <w:tcPr>
            <w:tcW w:w="814"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605" w:type="dxa"/>
            <w:vAlign w:val="center"/>
          </w:tcPr>
          <w:p w:rsidR="00597370" w:rsidRDefault="003C2EEE">
            <w:pPr>
              <w:widowControl w:val="0"/>
              <w:jc w:val="center"/>
              <w:rPr>
                <w:color w:val="000000" w:themeColor="text1"/>
              </w:rPr>
            </w:pPr>
            <w:r>
              <w:rPr>
                <w:rFonts w:hint="eastAsia"/>
                <w:color w:val="000000" w:themeColor="text1"/>
              </w:rPr>
              <w:t>/</w:t>
            </w:r>
          </w:p>
        </w:tc>
        <w:tc>
          <w:tcPr>
            <w:tcW w:w="941"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1161" w:type="dxa"/>
            <w:shd w:val="clear" w:color="auto" w:fill="auto"/>
            <w:vAlign w:val="center"/>
          </w:tcPr>
          <w:p w:rsidR="00597370" w:rsidRDefault="003C2EEE">
            <w:pPr>
              <w:widowControl w:val="0"/>
              <w:jc w:val="center"/>
            </w:pPr>
            <w:r>
              <w:t>55,981.69</w:t>
            </w:r>
          </w:p>
        </w:tc>
        <w:tc>
          <w:tcPr>
            <w:tcW w:w="859"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591"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839"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648"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895"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706"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977"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827" w:type="dxa"/>
            <w:shd w:val="clear" w:color="auto" w:fill="auto"/>
            <w:vAlign w:val="center"/>
          </w:tcPr>
          <w:p w:rsidR="00597370" w:rsidRDefault="00597370">
            <w:pPr>
              <w:widowControl w:val="0"/>
              <w:jc w:val="center"/>
            </w:pPr>
          </w:p>
        </w:tc>
        <w:tc>
          <w:tcPr>
            <w:tcW w:w="846" w:type="dxa"/>
            <w:shd w:val="clear" w:color="auto" w:fill="auto"/>
            <w:vAlign w:val="center"/>
          </w:tcPr>
          <w:p w:rsidR="00597370" w:rsidRDefault="003C2EEE">
            <w:pPr>
              <w:widowControl w:val="0"/>
              <w:jc w:val="center"/>
            </w:pPr>
            <w:r>
              <w:t>984.42</w:t>
            </w:r>
          </w:p>
        </w:tc>
        <w:tc>
          <w:tcPr>
            <w:tcW w:w="591"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1266"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c>
          <w:tcPr>
            <w:tcW w:w="938" w:type="dxa"/>
            <w:shd w:val="clear" w:color="auto" w:fill="auto"/>
            <w:vAlign w:val="center"/>
          </w:tcPr>
          <w:p w:rsidR="00597370" w:rsidRDefault="003C2EEE">
            <w:pPr>
              <w:widowControl w:val="0"/>
              <w:jc w:val="center"/>
              <w:rPr>
                <w:color w:val="000000" w:themeColor="text1"/>
              </w:rPr>
            </w:pPr>
            <w:r>
              <w:rPr>
                <w:rFonts w:hint="eastAsia"/>
                <w:color w:val="000000" w:themeColor="text1"/>
              </w:rPr>
              <w:t>/</w:t>
            </w:r>
          </w:p>
        </w:tc>
      </w:tr>
      <w:bookmarkEnd w:id="37"/>
    </w:tbl>
    <w:p w:rsidR="00597370" w:rsidRDefault="00597370">
      <w:pPr>
        <w:rPr>
          <w:color w:val="000000" w:themeColor="text1"/>
        </w:rPr>
      </w:pPr>
    </w:p>
    <w:p w:rsidR="00597370" w:rsidRDefault="003C2EEE">
      <w:pPr>
        <w:pStyle w:val="Style111"/>
        <w:numPr>
          <w:ilvl w:val="0"/>
          <w:numId w:val="12"/>
        </w:numPr>
        <w:tabs>
          <w:tab w:val="left" w:pos="360"/>
        </w:tabs>
        <w:ind w:left="0" w:firstLine="0"/>
        <w:rPr>
          <w:color w:val="000000" w:themeColor="text1"/>
          <w:szCs w:val="21"/>
        </w:rPr>
      </w:pPr>
      <w:r>
        <w:rPr>
          <w:rFonts w:hint="eastAsia"/>
          <w:color w:val="000000" w:themeColor="text1"/>
          <w:szCs w:val="21"/>
        </w:rPr>
        <w:t>重大的非股权投资</w:t>
      </w:r>
    </w:p>
    <w:sdt>
      <w:sdtPr>
        <w:rPr>
          <w:rFonts w:hint="eastAsia"/>
          <w:color w:val="000000" w:themeColor="text1"/>
        </w:rPr>
        <w:alias w:val="是否适用：重大的非股权投资[双击切换]"/>
        <w:tag w:val="_GBC_ea7fdcb7583549f38c0db41e73af0a8b"/>
        <w:id w:val="-69238827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1"/>
        <w:numPr>
          <w:ilvl w:val="0"/>
          <w:numId w:val="12"/>
        </w:numPr>
        <w:tabs>
          <w:tab w:val="left" w:pos="360"/>
        </w:tabs>
        <w:ind w:left="0" w:firstLine="0"/>
        <w:rPr>
          <w:color w:val="000000" w:themeColor="text1"/>
          <w:szCs w:val="21"/>
        </w:rPr>
      </w:pPr>
      <w:bookmarkStart w:id="38" w:name="_Hlk40532846"/>
      <w:bookmarkStart w:id="39" w:name="_Hlk137045755"/>
      <w:r>
        <w:rPr>
          <w:rFonts w:hint="eastAsia"/>
          <w:color w:val="000000" w:themeColor="text1"/>
          <w:szCs w:val="21"/>
        </w:rPr>
        <w:lastRenderedPageBreak/>
        <w:t>以公允价值计量的金融资产</w:t>
      </w:r>
    </w:p>
    <w:sdt>
      <w:sdtPr>
        <w:rPr>
          <w:rFonts w:hint="eastAsia"/>
          <w:color w:val="000000" w:themeColor="text1"/>
        </w:rPr>
        <w:alias w:val="是否适用：以公允价值计量的金融资产[双击切换]"/>
        <w:tag w:val="_GBC_541ff98e64424f46b08f9f3687c1ea7a"/>
        <w:id w:val="180180172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√适用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60"/>
        <w:wordWrap w:val="0"/>
        <w:ind w:left="360" w:firstLineChars="0" w:firstLine="0"/>
        <w:jc w:val="right"/>
        <w:rPr>
          <w:color w:val="000000" w:themeColor="text1"/>
        </w:rPr>
      </w:pPr>
      <w:r>
        <w:rPr>
          <w:rFonts w:hint="eastAsia"/>
          <w:color w:val="000000" w:themeColor="text1"/>
        </w:rPr>
        <w:t>单位：</w:t>
      </w:r>
      <w:sdt>
        <w:sdtPr>
          <w:rPr>
            <w:rFonts w:hint="eastAsia"/>
            <w:color w:val="000000" w:themeColor="text1"/>
          </w:rPr>
          <w:alias w:val="单位：以公允价值计量的金融资产"/>
          <w:tag w:val="_GBC_1c2aaa623bd0423791ad9edf7fcfb564"/>
          <w:id w:val="114069284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以公允价值计量的金融资产"/>
          <w:tag w:val="_GBC_7946a1d9804e4752a8d28bb04a1c1fe2"/>
          <w:id w:val="3946294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546"/>
        <w:gridCol w:w="1535"/>
        <w:gridCol w:w="1536"/>
        <w:gridCol w:w="1535"/>
        <w:gridCol w:w="1536"/>
        <w:gridCol w:w="1535"/>
        <w:gridCol w:w="1547"/>
        <w:gridCol w:w="1558"/>
      </w:tblGrid>
      <w:tr w:rsidR="00597370">
        <w:sdt>
          <w:sdtPr>
            <w:rPr>
              <w:rFonts w:cs="Times New Roman" w:hint="eastAsia"/>
              <w:color w:val="000000" w:themeColor="text1"/>
              <w:kern w:val="2"/>
              <w:szCs w:val="22"/>
            </w:rPr>
            <w:tag w:val="_PLD_b4279fe84ffd49f892f0e4236d8485e0"/>
            <w:id w:val="1177926497"/>
          </w:sdtPr>
          <w:sdtEndPr/>
          <w:sdtContent>
            <w:tc>
              <w:tcPr>
                <w:tcW w:w="1535" w:type="dxa"/>
                <w:shd w:val="clear" w:color="auto" w:fill="auto"/>
                <w:vAlign w:val="center"/>
              </w:tcPr>
              <w:p w:rsidR="00597370" w:rsidRDefault="003C2EEE">
                <w:pPr>
                  <w:widowControl w:val="0"/>
                  <w:jc w:val="center"/>
                  <w:rPr>
                    <w:color w:val="000000" w:themeColor="text1"/>
                  </w:rPr>
                </w:pPr>
                <w:r>
                  <w:rPr>
                    <w:rFonts w:cs="Times New Roman" w:hint="eastAsia"/>
                    <w:color w:val="000000" w:themeColor="text1"/>
                    <w:kern w:val="2"/>
                    <w:szCs w:val="22"/>
                  </w:rPr>
                  <w:t>资产类别</w:t>
                </w:r>
              </w:p>
            </w:tc>
          </w:sdtContent>
        </w:sdt>
        <w:sdt>
          <w:sdtPr>
            <w:rPr>
              <w:rFonts w:hint="eastAsia"/>
              <w:color w:val="000000" w:themeColor="text1"/>
            </w:rPr>
            <w:tag w:val="_PLD_8c2e4dc1bb324e79bc03b22ad26f792e"/>
            <w:id w:val="-583908989"/>
          </w:sdtPr>
          <w:sdtEndPr/>
          <w:sdtContent>
            <w:tc>
              <w:tcPr>
                <w:tcW w:w="1546" w:type="dxa"/>
                <w:shd w:val="clear" w:color="auto" w:fill="auto"/>
                <w:vAlign w:val="center"/>
              </w:tcPr>
              <w:p w:rsidR="00597370" w:rsidRDefault="003C2EEE">
                <w:pPr>
                  <w:widowControl w:val="0"/>
                  <w:jc w:val="center"/>
                  <w:rPr>
                    <w:color w:val="000000" w:themeColor="text1"/>
                  </w:rPr>
                </w:pPr>
                <w:r>
                  <w:rPr>
                    <w:rFonts w:hint="eastAsia"/>
                    <w:color w:val="000000" w:themeColor="text1"/>
                  </w:rPr>
                  <w:t>期初数</w:t>
                </w:r>
              </w:p>
            </w:tc>
          </w:sdtContent>
        </w:sdt>
        <w:sdt>
          <w:sdtPr>
            <w:rPr>
              <w:rFonts w:hint="eastAsia"/>
              <w:color w:val="000000" w:themeColor="text1"/>
            </w:rPr>
            <w:tag w:val="_PLD_7f931a153d8147eda6f368a9567bc298"/>
            <w:id w:val="-1956623505"/>
          </w:sdtPr>
          <w:sdtEndPr/>
          <w:sdtContent>
            <w:tc>
              <w:tcPr>
                <w:tcW w:w="1535" w:type="dxa"/>
                <w:shd w:val="clear" w:color="auto" w:fill="auto"/>
                <w:vAlign w:val="center"/>
              </w:tcPr>
              <w:p w:rsidR="00597370" w:rsidRDefault="003C2EEE">
                <w:pPr>
                  <w:widowControl w:val="0"/>
                  <w:jc w:val="center"/>
                  <w:rPr>
                    <w:b/>
                    <w:color w:val="000000" w:themeColor="text1"/>
                  </w:rPr>
                </w:pPr>
                <w:r>
                  <w:rPr>
                    <w:rFonts w:hint="eastAsia"/>
                    <w:color w:val="000000" w:themeColor="text1"/>
                  </w:rPr>
                  <w:t>本期公允价值变动损益</w:t>
                </w:r>
              </w:p>
            </w:tc>
          </w:sdtContent>
        </w:sdt>
        <w:sdt>
          <w:sdtPr>
            <w:rPr>
              <w:rFonts w:hint="eastAsia"/>
              <w:color w:val="000000" w:themeColor="text1"/>
            </w:rPr>
            <w:tag w:val="_PLD_27da79c178c64f67a920ab85f142ffda"/>
            <w:id w:val="1072472498"/>
          </w:sdtPr>
          <w:sdtEndPr/>
          <w:sdtContent>
            <w:tc>
              <w:tcPr>
                <w:tcW w:w="1536" w:type="dxa"/>
                <w:shd w:val="clear" w:color="auto" w:fill="auto"/>
                <w:vAlign w:val="center"/>
              </w:tcPr>
              <w:p w:rsidR="00597370" w:rsidRDefault="003C2EEE">
                <w:pPr>
                  <w:widowControl w:val="0"/>
                  <w:jc w:val="center"/>
                  <w:rPr>
                    <w:color w:val="000000" w:themeColor="text1"/>
                  </w:rPr>
                </w:pPr>
                <w:r>
                  <w:rPr>
                    <w:rFonts w:hint="eastAsia"/>
                    <w:color w:val="000000" w:themeColor="text1"/>
                  </w:rPr>
                  <w:t>计入权益的累计公允价值变动</w:t>
                </w:r>
              </w:p>
            </w:tc>
          </w:sdtContent>
        </w:sdt>
        <w:sdt>
          <w:sdtPr>
            <w:rPr>
              <w:rFonts w:hint="eastAsia"/>
              <w:color w:val="000000" w:themeColor="text1"/>
            </w:rPr>
            <w:tag w:val="_PLD_0fad7d8c41374a0d890f4c32253b8649"/>
            <w:id w:val="-1784797118"/>
          </w:sdtPr>
          <w:sdtEndPr/>
          <w:sdtContent>
            <w:tc>
              <w:tcPr>
                <w:tcW w:w="1535" w:type="dxa"/>
                <w:shd w:val="clear" w:color="auto" w:fill="auto"/>
                <w:vAlign w:val="center"/>
              </w:tcPr>
              <w:p w:rsidR="00597370" w:rsidRDefault="003C2EEE">
                <w:pPr>
                  <w:widowControl w:val="0"/>
                  <w:jc w:val="center"/>
                  <w:rPr>
                    <w:color w:val="000000" w:themeColor="text1"/>
                  </w:rPr>
                </w:pPr>
                <w:r>
                  <w:rPr>
                    <w:rFonts w:hint="eastAsia"/>
                    <w:color w:val="000000" w:themeColor="text1"/>
                  </w:rPr>
                  <w:t>本期计提的减值</w:t>
                </w:r>
              </w:p>
            </w:tc>
          </w:sdtContent>
        </w:sdt>
        <w:sdt>
          <w:sdtPr>
            <w:rPr>
              <w:rFonts w:hint="eastAsia"/>
              <w:color w:val="000000" w:themeColor="text1"/>
            </w:rPr>
            <w:tag w:val="_PLD_8ff680d02d9d41dca633590f5d9750a8"/>
            <w:id w:val="-902914117"/>
          </w:sdtPr>
          <w:sdtEndPr/>
          <w:sdtContent>
            <w:tc>
              <w:tcPr>
                <w:tcW w:w="1536" w:type="dxa"/>
                <w:shd w:val="clear" w:color="auto" w:fill="auto"/>
                <w:vAlign w:val="center"/>
              </w:tcPr>
              <w:p w:rsidR="00597370" w:rsidRDefault="003C2EEE">
                <w:pPr>
                  <w:widowControl w:val="0"/>
                  <w:jc w:val="center"/>
                  <w:rPr>
                    <w:color w:val="000000" w:themeColor="text1"/>
                  </w:rPr>
                </w:pPr>
                <w:r>
                  <w:rPr>
                    <w:rFonts w:hint="eastAsia"/>
                    <w:color w:val="000000" w:themeColor="text1"/>
                  </w:rPr>
                  <w:t>本期购买金额</w:t>
                </w:r>
              </w:p>
            </w:tc>
          </w:sdtContent>
        </w:sdt>
        <w:sdt>
          <w:sdtPr>
            <w:rPr>
              <w:rFonts w:hint="eastAsia"/>
              <w:color w:val="000000" w:themeColor="text1"/>
            </w:rPr>
            <w:tag w:val="_PLD_e83492f8af03443b91d02a1661f56291"/>
            <w:id w:val="683247546"/>
          </w:sdtPr>
          <w:sdtEndPr/>
          <w:sdtContent>
            <w:tc>
              <w:tcPr>
                <w:tcW w:w="1535" w:type="dxa"/>
                <w:shd w:val="clear" w:color="auto" w:fill="auto"/>
                <w:vAlign w:val="center"/>
              </w:tcPr>
              <w:p w:rsidR="00597370" w:rsidRDefault="003C2EEE">
                <w:pPr>
                  <w:widowControl w:val="0"/>
                  <w:jc w:val="center"/>
                  <w:rPr>
                    <w:color w:val="000000" w:themeColor="text1"/>
                  </w:rPr>
                </w:pPr>
                <w:r>
                  <w:rPr>
                    <w:rFonts w:hint="eastAsia"/>
                    <w:color w:val="000000" w:themeColor="text1"/>
                  </w:rPr>
                  <w:t>本期出售/赎回金额</w:t>
                </w:r>
              </w:p>
            </w:tc>
          </w:sdtContent>
        </w:sdt>
        <w:sdt>
          <w:sdtPr>
            <w:rPr>
              <w:rFonts w:hint="eastAsia"/>
              <w:color w:val="000000" w:themeColor="text1"/>
            </w:rPr>
            <w:tag w:val="_PLD_7aaffff291e240b5adc74b8ad3728c6e"/>
            <w:id w:val="976114178"/>
          </w:sdtPr>
          <w:sdtEndPr/>
          <w:sdtContent>
            <w:tc>
              <w:tcPr>
                <w:tcW w:w="1547" w:type="dxa"/>
                <w:shd w:val="clear" w:color="auto" w:fill="auto"/>
                <w:vAlign w:val="center"/>
              </w:tcPr>
              <w:p w:rsidR="00597370" w:rsidRDefault="003C2EEE">
                <w:pPr>
                  <w:widowControl w:val="0"/>
                  <w:jc w:val="center"/>
                  <w:rPr>
                    <w:color w:val="000000" w:themeColor="text1"/>
                  </w:rPr>
                </w:pPr>
                <w:r>
                  <w:rPr>
                    <w:rFonts w:hint="eastAsia"/>
                    <w:color w:val="000000" w:themeColor="text1"/>
                  </w:rPr>
                  <w:t>其他变动</w:t>
                </w:r>
              </w:p>
            </w:tc>
          </w:sdtContent>
        </w:sdt>
        <w:sdt>
          <w:sdtPr>
            <w:rPr>
              <w:rFonts w:hint="eastAsia"/>
              <w:color w:val="000000" w:themeColor="text1"/>
            </w:rPr>
            <w:tag w:val="_PLD_d765878830274571b732d6e366f7811e"/>
            <w:id w:val="2127418178"/>
          </w:sdtPr>
          <w:sdtEndPr/>
          <w:sdtContent>
            <w:tc>
              <w:tcPr>
                <w:tcW w:w="1558" w:type="dxa"/>
                <w:shd w:val="clear" w:color="auto" w:fill="auto"/>
                <w:vAlign w:val="center"/>
              </w:tcPr>
              <w:p w:rsidR="00597370" w:rsidRDefault="003C2EEE">
                <w:pPr>
                  <w:widowControl w:val="0"/>
                  <w:jc w:val="center"/>
                  <w:rPr>
                    <w:color w:val="000000" w:themeColor="text1"/>
                  </w:rPr>
                </w:pPr>
                <w:r>
                  <w:rPr>
                    <w:rFonts w:hint="eastAsia"/>
                    <w:color w:val="000000" w:themeColor="text1"/>
                  </w:rPr>
                  <w:t>期末数</w:t>
                </w:r>
              </w:p>
            </w:tc>
          </w:sdtContent>
        </w:sdt>
      </w:tr>
      <w:tr w:rsidR="00597370">
        <w:tc>
          <w:tcPr>
            <w:tcW w:w="1535" w:type="dxa"/>
            <w:shd w:val="clear" w:color="auto" w:fill="auto"/>
          </w:tcPr>
          <w:p w:rsidR="00597370" w:rsidRDefault="003C2EEE">
            <w:pPr>
              <w:widowControl w:val="0"/>
              <w:jc w:val="both"/>
              <w:rPr>
                <w:color w:val="000000" w:themeColor="text1"/>
              </w:rPr>
            </w:pPr>
            <w:r>
              <w:rPr>
                <w:rFonts w:hint="eastAsia"/>
                <w:color w:val="000000"/>
              </w:rPr>
              <w:t>其他权益工具投资</w:t>
            </w:r>
          </w:p>
        </w:tc>
        <w:tc>
          <w:tcPr>
            <w:tcW w:w="1546" w:type="dxa"/>
            <w:shd w:val="clear" w:color="auto" w:fill="auto"/>
            <w:vAlign w:val="center"/>
          </w:tcPr>
          <w:p w:rsidR="00597370" w:rsidRDefault="003C2EEE">
            <w:pPr>
              <w:widowControl w:val="0"/>
              <w:jc w:val="right"/>
            </w:pPr>
            <w:r>
              <w:rPr>
                <w:rFonts w:hint="eastAsia"/>
                <w:color w:val="000000"/>
              </w:rPr>
              <w:t xml:space="preserve"> -   </w:t>
            </w:r>
          </w:p>
        </w:tc>
        <w:tc>
          <w:tcPr>
            <w:tcW w:w="1535" w:type="dxa"/>
            <w:shd w:val="clear" w:color="auto" w:fill="auto"/>
            <w:vAlign w:val="center"/>
          </w:tcPr>
          <w:p w:rsidR="00597370" w:rsidRDefault="003C2EEE">
            <w:pPr>
              <w:widowControl w:val="0"/>
              <w:jc w:val="right"/>
            </w:pPr>
            <w:r>
              <w:rPr>
                <w:rFonts w:hint="eastAsia"/>
                <w:color w:val="000000"/>
              </w:rPr>
              <w:t xml:space="preserve"> 235.71 </w:t>
            </w:r>
          </w:p>
        </w:tc>
        <w:tc>
          <w:tcPr>
            <w:tcW w:w="1536" w:type="dxa"/>
            <w:shd w:val="clear" w:color="auto" w:fill="auto"/>
            <w:vAlign w:val="center"/>
          </w:tcPr>
          <w:p w:rsidR="00597370" w:rsidRDefault="003C2EEE">
            <w:pPr>
              <w:widowControl w:val="0"/>
              <w:jc w:val="right"/>
            </w:pPr>
            <w:r>
              <w:rPr>
                <w:rFonts w:hint="eastAsia"/>
                <w:color w:val="000000"/>
              </w:rPr>
              <w:t xml:space="preserve"> 235.71 </w:t>
            </w:r>
          </w:p>
        </w:tc>
        <w:tc>
          <w:tcPr>
            <w:tcW w:w="1535" w:type="dxa"/>
            <w:shd w:val="clear" w:color="auto" w:fill="auto"/>
            <w:vAlign w:val="center"/>
          </w:tcPr>
          <w:p w:rsidR="00597370" w:rsidRDefault="003C2EEE">
            <w:pPr>
              <w:widowControl w:val="0"/>
              <w:jc w:val="right"/>
            </w:pPr>
            <w:r>
              <w:rPr>
                <w:rFonts w:hint="eastAsia"/>
                <w:color w:val="000000"/>
              </w:rPr>
              <w:t xml:space="preserve"> -   </w:t>
            </w:r>
          </w:p>
        </w:tc>
        <w:tc>
          <w:tcPr>
            <w:tcW w:w="1536" w:type="dxa"/>
            <w:shd w:val="clear" w:color="auto" w:fill="auto"/>
            <w:vAlign w:val="center"/>
          </w:tcPr>
          <w:p w:rsidR="00597370" w:rsidRDefault="003C2EEE">
            <w:pPr>
              <w:widowControl w:val="0"/>
              <w:jc w:val="right"/>
            </w:pPr>
            <w:r>
              <w:rPr>
                <w:rFonts w:hint="eastAsia"/>
                <w:color w:val="000000"/>
              </w:rPr>
              <w:t xml:space="preserve"> -   </w:t>
            </w:r>
          </w:p>
        </w:tc>
        <w:tc>
          <w:tcPr>
            <w:tcW w:w="1535" w:type="dxa"/>
            <w:shd w:val="clear" w:color="auto" w:fill="auto"/>
            <w:vAlign w:val="center"/>
          </w:tcPr>
          <w:p w:rsidR="00597370" w:rsidRDefault="003C2EEE">
            <w:pPr>
              <w:widowControl w:val="0"/>
              <w:jc w:val="right"/>
            </w:pPr>
            <w:r>
              <w:rPr>
                <w:rFonts w:hint="eastAsia"/>
                <w:color w:val="000000"/>
              </w:rPr>
              <w:t xml:space="preserve"> -   </w:t>
            </w:r>
          </w:p>
        </w:tc>
        <w:tc>
          <w:tcPr>
            <w:tcW w:w="1547" w:type="dxa"/>
            <w:shd w:val="clear" w:color="auto" w:fill="auto"/>
            <w:vAlign w:val="center"/>
          </w:tcPr>
          <w:p w:rsidR="00597370" w:rsidRDefault="003C2EEE">
            <w:pPr>
              <w:widowControl w:val="0"/>
              <w:jc w:val="right"/>
            </w:pPr>
            <w:r>
              <w:t>1,322.48</w:t>
            </w:r>
          </w:p>
        </w:tc>
        <w:tc>
          <w:tcPr>
            <w:tcW w:w="1558" w:type="dxa"/>
            <w:shd w:val="clear" w:color="auto" w:fill="auto"/>
            <w:vAlign w:val="center"/>
          </w:tcPr>
          <w:p w:rsidR="00597370" w:rsidRDefault="003C2EEE">
            <w:pPr>
              <w:widowControl w:val="0"/>
              <w:jc w:val="right"/>
            </w:pPr>
            <w:r>
              <w:t>1,558.19</w:t>
            </w:r>
          </w:p>
        </w:tc>
      </w:tr>
      <w:tr w:rsidR="00597370">
        <w:tc>
          <w:tcPr>
            <w:tcW w:w="1535" w:type="dxa"/>
            <w:shd w:val="clear" w:color="auto" w:fill="auto"/>
          </w:tcPr>
          <w:p w:rsidR="00597370" w:rsidRDefault="003C2EEE">
            <w:pPr>
              <w:widowControl w:val="0"/>
              <w:jc w:val="both"/>
              <w:rPr>
                <w:color w:val="000000" w:themeColor="text1"/>
              </w:rPr>
            </w:pPr>
            <w:r>
              <w:rPr>
                <w:rFonts w:hint="eastAsia"/>
                <w:color w:val="000000"/>
              </w:rPr>
              <w:t>应收款项融资</w:t>
            </w:r>
          </w:p>
        </w:tc>
        <w:tc>
          <w:tcPr>
            <w:tcW w:w="1546" w:type="dxa"/>
            <w:shd w:val="clear" w:color="auto" w:fill="auto"/>
            <w:vAlign w:val="center"/>
          </w:tcPr>
          <w:p w:rsidR="00597370" w:rsidRDefault="003C2EEE">
            <w:pPr>
              <w:widowControl w:val="0"/>
              <w:jc w:val="right"/>
            </w:pPr>
            <w:r>
              <w:rPr>
                <w:rFonts w:hint="eastAsia"/>
                <w:color w:val="000000"/>
              </w:rPr>
              <w:t xml:space="preserve"> 1,224.47 </w:t>
            </w:r>
          </w:p>
        </w:tc>
        <w:tc>
          <w:tcPr>
            <w:tcW w:w="1535" w:type="dxa"/>
            <w:shd w:val="clear" w:color="auto" w:fill="auto"/>
            <w:vAlign w:val="center"/>
          </w:tcPr>
          <w:p w:rsidR="00597370" w:rsidRDefault="003C2EEE">
            <w:pPr>
              <w:widowControl w:val="0"/>
              <w:jc w:val="right"/>
            </w:pPr>
            <w:r>
              <w:rPr>
                <w:rFonts w:hint="eastAsia"/>
                <w:color w:val="000000"/>
              </w:rPr>
              <w:t xml:space="preserve"> -   </w:t>
            </w:r>
          </w:p>
        </w:tc>
        <w:tc>
          <w:tcPr>
            <w:tcW w:w="1536" w:type="dxa"/>
            <w:shd w:val="clear" w:color="auto" w:fill="auto"/>
            <w:vAlign w:val="center"/>
          </w:tcPr>
          <w:p w:rsidR="00597370" w:rsidRDefault="003C2EEE">
            <w:pPr>
              <w:widowControl w:val="0"/>
              <w:jc w:val="right"/>
            </w:pPr>
            <w:r>
              <w:rPr>
                <w:rFonts w:hint="eastAsia"/>
                <w:color w:val="000000"/>
              </w:rPr>
              <w:t xml:space="preserve"> -   </w:t>
            </w:r>
          </w:p>
        </w:tc>
        <w:tc>
          <w:tcPr>
            <w:tcW w:w="1535" w:type="dxa"/>
            <w:shd w:val="clear" w:color="auto" w:fill="auto"/>
            <w:vAlign w:val="center"/>
          </w:tcPr>
          <w:p w:rsidR="00597370" w:rsidRDefault="003C2EEE">
            <w:pPr>
              <w:widowControl w:val="0"/>
              <w:jc w:val="right"/>
            </w:pPr>
            <w:r>
              <w:rPr>
                <w:rFonts w:hint="eastAsia"/>
                <w:color w:val="000000"/>
              </w:rPr>
              <w:t xml:space="preserve"> -   </w:t>
            </w:r>
          </w:p>
        </w:tc>
        <w:tc>
          <w:tcPr>
            <w:tcW w:w="1536" w:type="dxa"/>
            <w:shd w:val="clear" w:color="auto" w:fill="auto"/>
            <w:vAlign w:val="center"/>
          </w:tcPr>
          <w:p w:rsidR="00597370" w:rsidRDefault="003C2EEE">
            <w:pPr>
              <w:widowControl w:val="0"/>
              <w:jc w:val="right"/>
            </w:pPr>
            <w:r>
              <w:rPr>
                <w:rFonts w:hint="eastAsia"/>
                <w:color w:val="000000"/>
              </w:rPr>
              <w:t xml:space="preserve"> -   </w:t>
            </w:r>
          </w:p>
        </w:tc>
        <w:tc>
          <w:tcPr>
            <w:tcW w:w="1535" w:type="dxa"/>
            <w:shd w:val="clear" w:color="auto" w:fill="auto"/>
            <w:vAlign w:val="center"/>
          </w:tcPr>
          <w:p w:rsidR="00597370" w:rsidRDefault="003C2EEE">
            <w:pPr>
              <w:widowControl w:val="0"/>
              <w:jc w:val="right"/>
            </w:pPr>
            <w:r>
              <w:rPr>
                <w:rFonts w:hint="eastAsia"/>
                <w:color w:val="000000"/>
              </w:rPr>
              <w:t xml:space="preserve"> -   </w:t>
            </w:r>
          </w:p>
        </w:tc>
        <w:tc>
          <w:tcPr>
            <w:tcW w:w="1547" w:type="dxa"/>
            <w:shd w:val="clear" w:color="auto" w:fill="auto"/>
            <w:vAlign w:val="center"/>
          </w:tcPr>
          <w:p w:rsidR="00597370" w:rsidRDefault="003C2EEE">
            <w:pPr>
              <w:widowControl w:val="0"/>
              <w:jc w:val="right"/>
            </w:pPr>
            <w:r>
              <w:t>1,255.37</w:t>
            </w:r>
          </w:p>
        </w:tc>
        <w:tc>
          <w:tcPr>
            <w:tcW w:w="1558" w:type="dxa"/>
            <w:shd w:val="clear" w:color="auto" w:fill="auto"/>
            <w:vAlign w:val="center"/>
          </w:tcPr>
          <w:p w:rsidR="00597370" w:rsidRDefault="003C2EEE">
            <w:pPr>
              <w:widowControl w:val="0"/>
              <w:jc w:val="right"/>
            </w:pPr>
            <w:r>
              <w:t>2,479.84</w:t>
            </w:r>
          </w:p>
        </w:tc>
      </w:tr>
      <w:tr w:rsidR="00597370">
        <w:tc>
          <w:tcPr>
            <w:tcW w:w="1535" w:type="dxa"/>
            <w:shd w:val="clear" w:color="auto" w:fill="auto"/>
          </w:tcPr>
          <w:p w:rsidR="00597370" w:rsidRDefault="003C2EEE">
            <w:pPr>
              <w:widowControl w:val="0"/>
              <w:jc w:val="center"/>
              <w:rPr>
                <w:color w:val="000000" w:themeColor="text1"/>
              </w:rPr>
            </w:pPr>
            <w:r>
              <w:rPr>
                <w:color w:val="000000" w:themeColor="text1"/>
              </w:rPr>
              <w:t>合计</w:t>
            </w:r>
          </w:p>
        </w:tc>
        <w:tc>
          <w:tcPr>
            <w:tcW w:w="1546" w:type="dxa"/>
            <w:shd w:val="clear" w:color="auto" w:fill="auto"/>
            <w:vAlign w:val="center"/>
          </w:tcPr>
          <w:p w:rsidR="00597370" w:rsidRDefault="003C2EEE">
            <w:pPr>
              <w:widowControl w:val="0"/>
              <w:jc w:val="right"/>
            </w:pPr>
            <w:r>
              <w:rPr>
                <w:rFonts w:hint="eastAsia"/>
                <w:color w:val="000000"/>
              </w:rPr>
              <w:t xml:space="preserve"> 1,224.47 </w:t>
            </w:r>
          </w:p>
        </w:tc>
        <w:tc>
          <w:tcPr>
            <w:tcW w:w="1535" w:type="dxa"/>
            <w:shd w:val="clear" w:color="auto" w:fill="auto"/>
            <w:vAlign w:val="center"/>
          </w:tcPr>
          <w:p w:rsidR="00597370" w:rsidRDefault="003C2EEE">
            <w:pPr>
              <w:widowControl w:val="0"/>
              <w:jc w:val="right"/>
            </w:pPr>
            <w:r>
              <w:rPr>
                <w:rFonts w:hint="eastAsia"/>
                <w:color w:val="000000"/>
              </w:rPr>
              <w:t xml:space="preserve"> 235.71 </w:t>
            </w:r>
          </w:p>
        </w:tc>
        <w:tc>
          <w:tcPr>
            <w:tcW w:w="1536" w:type="dxa"/>
            <w:shd w:val="clear" w:color="auto" w:fill="auto"/>
            <w:vAlign w:val="center"/>
          </w:tcPr>
          <w:p w:rsidR="00597370" w:rsidRDefault="003C2EEE">
            <w:pPr>
              <w:widowControl w:val="0"/>
              <w:jc w:val="right"/>
            </w:pPr>
            <w:r>
              <w:rPr>
                <w:rFonts w:hint="eastAsia"/>
                <w:color w:val="000000"/>
              </w:rPr>
              <w:t xml:space="preserve"> 235.71 </w:t>
            </w:r>
          </w:p>
        </w:tc>
        <w:tc>
          <w:tcPr>
            <w:tcW w:w="1535" w:type="dxa"/>
            <w:shd w:val="clear" w:color="auto" w:fill="auto"/>
            <w:vAlign w:val="center"/>
          </w:tcPr>
          <w:p w:rsidR="00597370" w:rsidRDefault="003C2EEE">
            <w:pPr>
              <w:widowControl w:val="0"/>
              <w:jc w:val="right"/>
            </w:pPr>
            <w:r>
              <w:rPr>
                <w:rFonts w:hint="eastAsia"/>
                <w:color w:val="000000"/>
              </w:rPr>
              <w:t xml:space="preserve"> -   </w:t>
            </w:r>
          </w:p>
        </w:tc>
        <w:tc>
          <w:tcPr>
            <w:tcW w:w="1536" w:type="dxa"/>
            <w:shd w:val="clear" w:color="auto" w:fill="auto"/>
            <w:vAlign w:val="center"/>
          </w:tcPr>
          <w:p w:rsidR="00597370" w:rsidRDefault="003C2EEE">
            <w:pPr>
              <w:widowControl w:val="0"/>
              <w:jc w:val="right"/>
            </w:pPr>
            <w:r>
              <w:rPr>
                <w:rFonts w:hint="eastAsia"/>
                <w:color w:val="000000"/>
              </w:rPr>
              <w:t xml:space="preserve"> -   </w:t>
            </w:r>
          </w:p>
        </w:tc>
        <w:tc>
          <w:tcPr>
            <w:tcW w:w="1535" w:type="dxa"/>
            <w:shd w:val="clear" w:color="auto" w:fill="auto"/>
            <w:vAlign w:val="center"/>
          </w:tcPr>
          <w:p w:rsidR="00597370" w:rsidRDefault="003C2EEE">
            <w:pPr>
              <w:widowControl w:val="0"/>
              <w:jc w:val="right"/>
            </w:pPr>
            <w:r>
              <w:rPr>
                <w:rFonts w:hint="eastAsia"/>
                <w:color w:val="000000"/>
              </w:rPr>
              <w:t xml:space="preserve"> -   </w:t>
            </w:r>
          </w:p>
        </w:tc>
        <w:tc>
          <w:tcPr>
            <w:tcW w:w="1547" w:type="dxa"/>
            <w:shd w:val="clear" w:color="auto" w:fill="auto"/>
            <w:vAlign w:val="center"/>
          </w:tcPr>
          <w:p w:rsidR="00597370" w:rsidRDefault="003C2EEE">
            <w:pPr>
              <w:widowControl w:val="0"/>
              <w:jc w:val="right"/>
            </w:pPr>
            <w:r>
              <w:t>2,577.85</w:t>
            </w:r>
          </w:p>
        </w:tc>
        <w:tc>
          <w:tcPr>
            <w:tcW w:w="1558" w:type="dxa"/>
            <w:shd w:val="clear" w:color="auto" w:fill="auto"/>
            <w:vAlign w:val="center"/>
          </w:tcPr>
          <w:p w:rsidR="00597370" w:rsidRDefault="003C2EEE">
            <w:pPr>
              <w:widowControl w:val="0"/>
              <w:jc w:val="right"/>
            </w:pPr>
            <w:r>
              <w:t>4,038.03</w:t>
            </w:r>
          </w:p>
        </w:tc>
      </w:tr>
    </w:tbl>
    <w:p w:rsidR="00597370" w:rsidRDefault="00597370">
      <w:pPr>
        <w:rPr>
          <w:color w:val="000000" w:themeColor="text1"/>
        </w:rPr>
      </w:pPr>
    </w:p>
    <w:bookmarkEnd w:id="38"/>
    <w:p w:rsidR="00597370" w:rsidRDefault="003C2EEE">
      <w:pPr>
        <w:rPr>
          <w:color w:val="000000" w:themeColor="text1"/>
        </w:rPr>
      </w:pPr>
      <w:r>
        <w:rPr>
          <w:rFonts w:hint="eastAsia"/>
          <w:color w:val="000000" w:themeColor="text1"/>
        </w:rPr>
        <w:t>证券投资情况</w:t>
      </w:r>
    </w:p>
    <w:sdt>
      <w:sdtPr>
        <w:rPr>
          <w:color w:val="000000" w:themeColor="text1"/>
        </w:rPr>
        <w:alias w:val="是否适用：证券投资情况[双击切换]"/>
        <w:tag w:val="_GBC_5a8828b10b2a437a9b496037ef93ad06"/>
        <w:id w:val="-29174597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wordWrap w:val="0"/>
        <w:ind w:left="360"/>
        <w:jc w:val="right"/>
        <w:rPr>
          <w:color w:val="000000" w:themeColor="text1"/>
        </w:rPr>
      </w:pPr>
      <w:bookmarkStart w:id="40" w:name="_Hlk40533881"/>
      <w:r>
        <w:rPr>
          <w:rFonts w:hint="eastAsia"/>
          <w:color w:val="000000" w:themeColor="text1"/>
        </w:rPr>
        <w:t>单位：</w:t>
      </w:r>
      <w:sdt>
        <w:sdtPr>
          <w:rPr>
            <w:rFonts w:hint="eastAsia"/>
            <w:color w:val="000000" w:themeColor="text1"/>
          </w:rPr>
          <w:alias w:val="单位：证券投资情况"/>
          <w:tag w:val="_GBC_5a75af14e433444597923ebce50689a8"/>
          <w:id w:val="-301619502"/>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证券投资情况"/>
          <w:tag w:val="_GBC_47440d8bf014467ab6dfe74bc9d19131"/>
          <w:id w:val="85847518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068"/>
        <w:gridCol w:w="1068"/>
        <w:gridCol w:w="1068"/>
        <w:gridCol w:w="1067"/>
        <w:gridCol w:w="1067"/>
        <w:gridCol w:w="1065"/>
        <w:gridCol w:w="1067"/>
        <w:gridCol w:w="1067"/>
        <w:gridCol w:w="1067"/>
        <w:gridCol w:w="1067"/>
        <w:gridCol w:w="1067"/>
        <w:gridCol w:w="1059"/>
      </w:tblGrid>
      <w:tr w:rsidR="00597370">
        <w:sdt>
          <w:sdtPr>
            <w:rPr>
              <w:rFonts w:hint="eastAsia"/>
              <w:color w:val="000000" w:themeColor="text1"/>
            </w:rPr>
            <w:tag w:val="_PLD_1a6385f8cdab43e88408479fba4d9229"/>
            <w:id w:val="-2065320779"/>
          </w:sdtPr>
          <w:sdtEndPr/>
          <w:sdtContent>
            <w:tc>
              <w:tcPr>
                <w:tcW w:w="384" w:type="pct"/>
                <w:shd w:val="clear" w:color="auto" w:fill="auto"/>
                <w:vAlign w:val="center"/>
              </w:tcPr>
              <w:p w:rsidR="00597370" w:rsidRDefault="003C2EEE">
                <w:pPr>
                  <w:jc w:val="center"/>
                  <w:rPr>
                    <w:color w:val="000000" w:themeColor="text1"/>
                  </w:rPr>
                </w:pPr>
                <w:r>
                  <w:rPr>
                    <w:rFonts w:hint="eastAsia"/>
                    <w:color w:val="000000" w:themeColor="text1"/>
                  </w:rPr>
                  <w:t>证券品种</w:t>
                </w:r>
              </w:p>
            </w:tc>
          </w:sdtContent>
        </w:sdt>
        <w:sdt>
          <w:sdtPr>
            <w:rPr>
              <w:rFonts w:hint="eastAsia"/>
              <w:color w:val="000000" w:themeColor="text1"/>
            </w:rPr>
            <w:tag w:val="_PLD_f57d06c7b56240de84f37921f1d5f0a5"/>
            <w:id w:val="-602803794"/>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证券代码</w:t>
                </w:r>
              </w:p>
            </w:tc>
          </w:sdtContent>
        </w:sdt>
        <w:sdt>
          <w:sdtPr>
            <w:rPr>
              <w:rFonts w:hint="eastAsia"/>
              <w:color w:val="000000" w:themeColor="text1"/>
            </w:rPr>
            <w:tag w:val="_PLD_c8973b349e6844f6b68aa45d2db197c6"/>
            <w:id w:val="540180121"/>
          </w:sdtPr>
          <w:sdtEndPr/>
          <w:sdtContent>
            <w:tc>
              <w:tcPr>
                <w:tcW w:w="385" w:type="pct"/>
                <w:shd w:val="clear" w:color="auto" w:fill="auto"/>
                <w:vAlign w:val="center"/>
              </w:tcPr>
              <w:p w:rsidR="00597370" w:rsidRDefault="003C2EEE">
                <w:pPr>
                  <w:tabs>
                    <w:tab w:val="left" w:pos="60"/>
                  </w:tabs>
                  <w:jc w:val="center"/>
                  <w:rPr>
                    <w:color w:val="000000" w:themeColor="text1"/>
                  </w:rPr>
                </w:pPr>
                <w:r>
                  <w:rPr>
                    <w:rFonts w:hint="eastAsia"/>
                    <w:color w:val="000000" w:themeColor="text1"/>
                  </w:rPr>
                  <w:t>证券简称</w:t>
                </w:r>
              </w:p>
            </w:tc>
          </w:sdtContent>
        </w:sdt>
        <w:sdt>
          <w:sdtPr>
            <w:rPr>
              <w:rFonts w:hint="eastAsia"/>
              <w:color w:val="000000" w:themeColor="text1"/>
            </w:rPr>
            <w:tag w:val="_PLD_347e7e935c4840d199d2a43abb9a0277"/>
            <w:id w:val="170299342"/>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最初投资成本</w:t>
                </w:r>
              </w:p>
            </w:tc>
          </w:sdtContent>
        </w:sdt>
        <w:sdt>
          <w:sdtPr>
            <w:rPr>
              <w:rFonts w:hint="eastAsia"/>
              <w:color w:val="000000" w:themeColor="text1"/>
            </w:rPr>
            <w:tag w:val="_PLD_eaf04e6e781c40e2a2c9841ec22e9a3c"/>
            <w:id w:val="1074790468"/>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资金来源</w:t>
                </w:r>
              </w:p>
            </w:tc>
          </w:sdtContent>
        </w:sdt>
        <w:sdt>
          <w:sdtPr>
            <w:rPr>
              <w:rFonts w:hint="eastAsia"/>
              <w:color w:val="000000" w:themeColor="text1"/>
            </w:rPr>
            <w:tag w:val="_PLD_9216cb595859499fb9e2aa94797691b7"/>
            <w:id w:val="1878963257"/>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期初账面价值</w:t>
                </w:r>
              </w:p>
            </w:tc>
          </w:sdtContent>
        </w:sdt>
        <w:sdt>
          <w:sdtPr>
            <w:rPr>
              <w:rFonts w:hint="eastAsia"/>
              <w:color w:val="000000" w:themeColor="text1"/>
            </w:rPr>
            <w:tag w:val="_PLD_70bd034e9b744b00b4ed7fdd4f0a93f4"/>
            <w:id w:val="1085338986"/>
          </w:sdtPr>
          <w:sdtEndPr/>
          <w:sdtContent>
            <w:tc>
              <w:tcPr>
                <w:tcW w:w="384" w:type="pct"/>
                <w:shd w:val="clear" w:color="auto" w:fill="auto"/>
                <w:vAlign w:val="center"/>
              </w:tcPr>
              <w:p w:rsidR="00597370" w:rsidRDefault="003C2EEE">
                <w:pPr>
                  <w:jc w:val="center"/>
                  <w:rPr>
                    <w:color w:val="000000" w:themeColor="text1"/>
                  </w:rPr>
                </w:pPr>
                <w:r>
                  <w:rPr>
                    <w:rFonts w:hint="eastAsia"/>
                    <w:color w:val="000000" w:themeColor="text1"/>
                  </w:rPr>
                  <w:t>本期公允价值变动损益</w:t>
                </w:r>
              </w:p>
            </w:tc>
          </w:sdtContent>
        </w:sdt>
        <w:sdt>
          <w:sdtPr>
            <w:rPr>
              <w:rFonts w:hint="eastAsia"/>
              <w:color w:val="000000" w:themeColor="text1"/>
            </w:rPr>
            <w:tag w:val="_PLD_30b4adc6a16b4f11aeb1b5a776f3974a"/>
            <w:id w:val="1160428408"/>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计入权益的累计公允价值变动</w:t>
                </w:r>
              </w:p>
            </w:tc>
          </w:sdtContent>
        </w:sdt>
        <w:sdt>
          <w:sdtPr>
            <w:rPr>
              <w:rFonts w:hint="eastAsia"/>
              <w:color w:val="000000" w:themeColor="text1"/>
            </w:rPr>
            <w:tag w:val="_PLD_3a4ce8b113e6440e88c4092cbb39ae07"/>
            <w:id w:val="1050262804"/>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本期购买金额</w:t>
                </w:r>
              </w:p>
            </w:tc>
          </w:sdtContent>
        </w:sdt>
        <w:sdt>
          <w:sdtPr>
            <w:rPr>
              <w:rFonts w:hint="eastAsia"/>
              <w:color w:val="000000" w:themeColor="text1"/>
            </w:rPr>
            <w:tag w:val="_PLD_e7e0a0b50a064c0d90f4bb3d36650d56"/>
            <w:id w:val="149482440"/>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本期出售金额</w:t>
                </w:r>
              </w:p>
            </w:tc>
          </w:sdtContent>
        </w:sdt>
        <w:sdt>
          <w:sdtPr>
            <w:rPr>
              <w:rFonts w:hint="eastAsia"/>
              <w:color w:val="000000" w:themeColor="text1"/>
            </w:rPr>
            <w:tag w:val="_PLD_56522d18099a4ba78a8ad3f3062f485d"/>
            <w:id w:val="-974606335"/>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本期投资损益</w:t>
                </w:r>
              </w:p>
            </w:tc>
          </w:sdtContent>
        </w:sdt>
        <w:sdt>
          <w:sdtPr>
            <w:rPr>
              <w:rFonts w:hint="eastAsia"/>
              <w:color w:val="000000" w:themeColor="text1"/>
            </w:rPr>
            <w:tag w:val="_PLD_9146d628bb674fb68b7075af9f301304"/>
            <w:id w:val="-2128771942"/>
          </w:sdtPr>
          <w:sdtEndPr/>
          <w:sdtContent>
            <w:tc>
              <w:tcPr>
                <w:tcW w:w="385" w:type="pct"/>
                <w:shd w:val="clear" w:color="auto" w:fill="auto"/>
                <w:vAlign w:val="center"/>
              </w:tcPr>
              <w:p w:rsidR="00597370" w:rsidRDefault="003C2EEE">
                <w:pPr>
                  <w:jc w:val="center"/>
                  <w:rPr>
                    <w:color w:val="000000" w:themeColor="text1"/>
                  </w:rPr>
                </w:pPr>
                <w:r>
                  <w:rPr>
                    <w:rFonts w:hint="eastAsia"/>
                    <w:color w:val="000000" w:themeColor="text1"/>
                  </w:rPr>
                  <w:t>期末账面价值</w:t>
                </w:r>
              </w:p>
            </w:tc>
          </w:sdtContent>
        </w:sdt>
        <w:sdt>
          <w:sdtPr>
            <w:rPr>
              <w:rFonts w:hint="eastAsia"/>
              <w:color w:val="000000" w:themeColor="text1"/>
            </w:rPr>
            <w:tag w:val="_PLD_002d877100d94db78bee085431d85d09"/>
            <w:id w:val="1934003588"/>
          </w:sdtPr>
          <w:sdtEndPr/>
          <w:sdtContent>
            <w:tc>
              <w:tcPr>
                <w:tcW w:w="382" w:type="pct"/>
                <w:shd w:val="clear" w:color="auto" w:fill="auto"/>
                <w:vAlign w:val="center"/>
              </w:tcPr>
              <w:p w:rsidR="00597370" w:rsidRDefault="003C2EEE">
                <w:pPr>
                  <w:jc w:val="center"/>
                  <w:rPr>
                    <w:color w:val="000000" w:themeColor="text1"/>
                  </w:rPr>
                </w:pPr>
                <w:r>
                  <w:rPr>
                    <w:rFonts w:hint="eastAsia"/>
                    <w:color w:val="000000" w:themeColor="text1"/>
                  </w:rPr>
                  <w:t>会计核算科目</w:t>
                </w:r>
              </w:p>
            </w:tc>
          </w:sdtContent>
        </w:sdt>
      </w:tr>
      <w:tr w:rsidR="00597370">
        <w:tc>
          <w:tcPr>
            <w:tcW w:w="384" w:type="pct"/>
            <w:shd w:val="clear" w:color="auto" w:fill="auto"/>
            <w:vAlign w:val="center"/>
          </w:tcPr>
          <w:p w:rsidR="00597370" w:rsidRDefault="003C2EEE">
            <w:pPr>
              <w:jc w:val="center"/>
              <w:rPr>
                <w:color w:val="000000" w:themeColor="text1"/>
              </w:rPr>
            </w:pPr>
            <w:r>
              <w:rPr>
                <w:rFonts w:hint="eastAsia"/>
              </w:rPr>
              <w:t>股票</w:t>
            </w:r>
          </w:p>
        </w:tc>
        <w:tc>
          <w:tcPr>
            <w:tcW w:w="385" w:type="pct"/>
            <w:shd w:val="clear" w:color="auto" w:fill="auto"/>
            <w:vAlign w:val="center"/>
          </w:tcPr>
          <w:p w:rsidR="00597370" w:rsidRDefault="003C2EEE">
            <w:pPr>
              <w:jc w:val="center"/>
            </w:pPr>
            <w:r>
              <w:t>601328</w:t>
            </w:r>
          </w:p>
        </w:tc>
        <w:tc>
          <w:tcPr>
            <w:tcW w:w="385" w:type="pct"/>
            <w:shd w:val="clear" w:color="auto" w:fill="auto"/>
            <w:vAlign w:val="center"/>
          </w:tcPr>
          <w:p w:rsidR="00597370" w:rsidRDefault="003C2EEE">
            <w:pPr>
              <w:jc w:val="center"/>
            </w:pPr>
            <w:r>
              <w:t>交通银行</w:t>
            </w:r>
          </w:p>
        </w:tc>
        <w:tc>
          <w:tcPr>
            <w:tcW w:w="385" w:type="pct"/>
            <w:shd w:val="clear" w:color="auto" w:fill="auto"/>
            <w:vAlign w:val="center"/>
          </w:tcPr>
          <w:p w:rsidR="00597370" w:rsidRDefault="003C2EEE">
            <w:pPr>
              <w:jc w:val="right"/>
            </w:pPr>
            <w:r>
              <w:t>227.56</w:t>
            </w:r>
          </w:p>
        </w:tc>
        <w:tc>
          <w:tcPr>
            <w:tcW w:w="385" w:type="pct"/>
            <w:shd w:val="clear" w:color="auto" w:fill="auto"/>
            <w:vAlign w:val="center"/>
          </w:tcPr>
          <w:p w:rsidR="00597370" w:rsidRDefault="003C2EEE">
            <w:pPr>
              <w:wordWrap w:val="0"/>
              <w:jc w:val="right"/>
            </w:pPr>
            <w:r>
              <w:rPr>
                <w:rFonts w:hint="eastAsia"/>
              </w:rPr>
              <w:t>自有资金</w:t>
            </w:r>
          </w:p>
        </w:tc>
        <w:tc>
          <w:tcPr>
            <w:tcW w:w="385" w:type="pct"/>
            <w:shd w:val="clear" w:color="auto" w:fill="auto"/>
            <w:vAlign w:val="center"/>
          </w:tcPr>
          <w:p w:rsidR="00597370" w:rsidRDefault="003C2EEE">
            <w:pPr>
              <w:jc w:val="right"/>
            </w:pPr>
            <w:r>
              <w:t>1,322.48</w:t>
            </w:r>
          </w:p>
        </w:tc>
        <w:tc>
          <w:tcPr>
            <w:tcW w:w="384" w:type="pct"/>
            <w:shd w:val="clear" w:color="auto" w:fill="auto"/>
            <w:vAlign w:val="center"/>
          </w:tcPr>
          <w:p w:rsidR="00597370" w:rsidRDefault="003C2EEE">
            <w:pPr>
              <w:jc w:val="right"/>
            </w:pPr>
            <w:r>
              <w:t>235.71</w:t>
            </w:r>
          </w:p>
        </w:tc>
        <w:tc>
          <w:tcPr>
            <w:tcW w:w="385" w:type="pct"/>
            <w:shd w:val="clear" w:color="auto" w:fill="auto"/>
            <w:vAlign w:val="center"/>
          </w:tcPr>
          <w:p w:rsidR="00597370" w:rsidRDefault="003C2EEE">
            <w:pPr>
              <w:jc w:val="right"/>
            </w:pPr>
            <w:r>
              <w:t>235.71</w:t>
            </w:r>
          </w:p>
        </w:tc>
        <w:tc>
          <w:tcPr>
            <w:tcW w:w="385" w:type="pct"/>
            <w:shd w:val="clear" w:color="auto" w:fill="auto"/>
            <w:vAlign w:val="center"/>
          </w:tcPr>
          <w:p w:rsidR="00597370" w:rsidRDefault="00597370">
            <w:pPr>
              <w:jc w:val="right"/>
            </w:pPr>
          </w:p>
        </w:tc>
        <w:tc>
          <w:tcPr>
            <w:tcW w:w="385" w:type="pct"/>
            <w:shd w:val="clear" w:color="auto" w:fill="auto"/>
            <w:vAlign w:val="center"/>
          </w:tcPr>
          <w:p w:rsidR="00597370" w:rsidRDefault="00597370">
            <w:pPr>
              <w:jc w:val="right"/>
            </w:pPr>
          </w:p>
        </w:tc>
        <w:tc>
          <w:tcPr>
            <w:tcW w:w="385" w:type="pct"/>
            <w:shd w:val="clear" w:color="auto" w:fill="auto"/>
            <w:vAlign w:val="center"/>
          </w:tcPr>
          <w:p w:rsidR="00597370" w:rsidRDefault="00597370">
            <w:pPr>
              <w:jc w:val="right"/>
            </w:pPr>
          </w:p>
        </w:tc>
        <w:tc>
          <w:tcPr>
            <w:tcW w:w="385" w:type="pct"/>
            <w:shd w:val="clear" w:color="auto" w:fill="auto"/>
            <w:vAlign w:val="center"/>
          </w:tcPr>
          <w:p w:rsidR="00597370" w:rsidRDefault="003C2EEE">
            <w:pPr>
              <w:jc w:val="right"/>
            </w:pPr>
            <w:r>
              <w:t>1,558.19</w:t>
            </w:r>
          </w:p>
        </w:tc>
        <w:tc>
          <w:tcPr>
            <w:tcW w:w="382" w:type="pct"/>
            <w:shd w:val="clear" w:color="auto" w:fill="auto"/>
            <w:vAlign w:val="center"/>
          </w:tcPr>
          <w:p w:rsidR="00597370" w:rsidRDefault="003C2EEE">
            <w:pPr>
              <w:jc w:val="center"/>
              <w:rPr>
                <w:color w:val="000000" w:themeColor="text1"/>
              </w:rPr>
            </w:pPr>
            <w:r>
              <w:t>其他权益工具投资</w:t>
            </w:r>
          </w:p>
        </w:tc>
      </w:tr>
      <w:tr w:rsidR="00597370">
        <w:tc>
          <w:tcPr>
            <w:tcW w:w="384" w:type="pct"/>
            <w:shd w:val="clear" w:color="auto" w:fill="auto"/>
            <w:vAlign w:val="center"/>
          </w:tcPr>
          <w:p w:rsidR="00597370" w:rsidRDefault="003C2EEE">
            <w:pPr>
              <w:jc w:val="center"/>
              <w:rPr>
                <w:color w:val="000000" w:themeColor="text1"/>
              </w:rPr>
            </w:pPr>
            <w:r>
              <w:rPr>
                <w:rFonts w:hint="eastAsia"/>
              </w:rPr>
              <w:t>合计</w:t>
            </w:r>
          </w:p>
        </w:tc>
        <w:tc>
          <w:tcPr>
            <w:tcW w:w="385" w:type="pct"/>
            <w:shd w:val="clear" w:color="auto" w:fill="auto"/>
            <w:vAlign w:val="center"/>
          </w:tcPr>
          <w:p w:rsidR="00597370" w:rsidRDefault="003C2EEE">
            <w:pPr>
              <w:jc w:val="center"/>
              <w:rPr>
                <w:color w:val="000000" w:themeColor="text1"/>
              </w:rPr>
            </w:pPr>
            <w:r>
              <w:t>/</w:t>
            </w:r>
          </w:p>
        </w:tc>
        <w:tc>
          <w:tcPr>
            <w:tcW w:w="385" w:type="pct"/>
            <w:shd w:val="clear" w:color="auto" w:fill="auto"/>
            <w:vAlign w:val="center"/>
          </w:tcPr>
          <w:p w:rsidR="00597370" w:rsidRDefault="003C2EEE">
            <w:pPr>
              <w:jc w:val="center"/>
              <w:rPr>
                <w:color w:val="000000" w:themeColor="text1"/>
              </w:rPr>
            </w:pPr>
            <w:r>
              <w:t>/</w:t>
            </w:r>
          </w:p>
        </w:tc>
        <w:tc>
          <w:tcPr>
            <w:tcW w:w="385" w:type="pct"/>
            <w:shd w:val="clear" w:color="auto" w:fill="auto"/>
            <w:vAlign w:val="center"/>
          </w:tcPr>
          <w:p w:rsidR="00597370" w:rsidRDefault="003C2EEE">
            <w:pPr>
              <w:jc w:val="right"/>
            </w:pPr>
            <w:r>
              <w:t>227.56</w:t>
            </w:r>
          </w:p>
        </w:tc>
        <w:tc>
          <w:tcPr>
            <w:tcW w:w="385" w:type="pct"/>
            <w:shd w:val="clear" w:color="auto" w:fill="auto"/>
            <w:vAlign w:val="center"/>
          </w:tcPr>
          <w:p w:rsidR="00597370" w:rsidRDefault="003C2EEE">
            <w:pPr>
              <w:jc w:val="right"/>
              <w:rPr>
                <w:color w:val="000000" w:themeColor="text1"/>
              </w:rPr>
            </w:pPr>
            <w:r>
              <w:t>/</w:t>
            </w:r>
          </w:p>
        </w:tc>
        <w:tc>
          <w:tcPr>
            <w:tcW w:w="385" w:type="pct"/>
            <w:shd w:val="clear" w:color="auto" w:fill="auto"/>
            <w:vAlign w:val="center"/>
          </w:tcPr>
          <w:p w:rsidR="00597370" w:rsidRDefault="003C2EEE">
            <w:pPr>
              <w:jc w:val="right"/>
            </w:pPr>
            <w:r>
              <w:t>1,322.48</w:t>
            </w:r>
          </w:p>
        </w:tc>
        <w:tc>
          <w:tcPr>
            <w:tcW w:w="384" w:type="pct"/>
            <w:shd w:val="clear" w:color="auto" w:fill="auto"/>
            <w:vAlign w:val="center"/>
          </w:tcPr>
          <w:p w:rsidR="00597370" w:rsidRDefault="003C2EEE">
            <w:pPr>
              <w:jc w:val="right"/>
            </w:pPr>
            <w:r>
              <w:t>235.71</w:t>
            </w:r>
          </w:p>
        </w:tc>
        <w:tc>
          <w:tcPr>
            <w:tcW w:w="385" w:type="pct"/>
            <w:shd w:val="clear" w:color="auto" w:fill="auto"/>
            <w:vAlign w:val="center"/>
          </w:tcPr>
          <w:p w:rsidR="00597370" w:rsidRDefault="003C2EEE">
            <w:pPr>
              <w:jc w:val="right"/>
            </w:pPr>
            <w:r>
              <w:t>235.71</w:t>
            </w:r>
          </w:p>
        </w:tc>
        <w:tc>
          <w:tcPr>
            <w:tcW w:w="385" w:type="pct"/>
            <w:shd w:val="clear" w:color="auto" w:fill="auto"/>
            <w:vAlign w:val="center"/>
          </w:tcPr>
          <w:p w:rsidR="00597370" w:rsidRDefault="00597370">
            <w:pPr>
              <w:jc w:val="right"/>
            </w:pPr>
          </w:p>
        </w:tc>
        <w:tc>
          <w:tcPr>
            <w:tcW w:w="385" w:type="pct"/>
            <w:shd w:val="clear" w:color="auto" w:fill="auto"/>
            <w:vAlign w:val="center"/>
          </w:tcPr>
          <w:p w:rsidR="00597370" w:rsidRDefault="00597370">
            <w:pPr>
              <w:jc w:val="right"/>
            </w:pPr>
          </w:p>
        </w:tc>
        <w:tc>
          <w:tcPr>
            <w:tcW w:w="385" w:type="pct"/>
            <w:shd w:val="clear" w:color="auto" w:fill="auto"/>
            <w:vAlign w:val="center"/>
          </w:tcPr>
          <w:p w:rsidR="00597370" w:rsidRDefault="00597370">
            <w:pPr>
              <w:jc w:val="right"/>
            </w:pPr>
          </w:p>
        </w:tc>
        <w:tc>
          <w:tcPr>
            <w:tcW w:w="385" w:type="pct"/>
            <w:shd w:val="clear" w:color="auto" w:fill="auto"/>
            <w:vAlign w:val="center"/>
          </w:tcPr>
          <w:p w:rsidR="00597370" w:rsidRDefault="003C2EEE">
            <w:pPr>
              <w:jc w:val="right"/>
            </w:pPr>
            <w:r>
              <w:t>1,558.19</w:t>
            </w:r>
          </w:p>
        </w:tc>
        <w:tc>
          <w:tcPr>
            <w:tcW w:w="382" w:type="pct"/>
            <w:shd w:val="clear" w:color="auto" w:fill="auto"/>
            <w:vAlign w:val="center"/>
          </w:tcPr>
          <w:p w:rsidR="00597370" w:rsidRDefault="003C2EEE">
            <w:pPr>
              <w:jc w:val="center"/>
              <w:rPr>
                <w:color w:val="000000" w:themeColor="text1"/>
              </w:rPr>
            </w:pPr>
            <w:r>
              <w:t>/</w:t>
            </w:r>
          </w:p>
        </w:tc>
      </w:tr>
    </w:tbl>
    <w:p w:rsidR="00597370" w:rsidRDefault="00597370">
      <w:pPr>
        <w:rPr>
          <w:color w:val="000000" w:themeColor="text1"/>
        </w:rPr>
      </w:pPr>
    </w:p>
    <w:bookmarkEnd w:id="40"/>
    <w:p w:rsidR="00597370" w:rsidRDefault="003C2EEE">
      <w:pPr>
        <w:rPr>
          <w:color w:val="000000" w:themeColor="text1"/>
        </w:rPr>
      </w:pPr>
      <w:r>
        <w:rPr>
          <w:rFonts w:hint="eastAsia"/>
          <w:color w:val="000000" w:themeColor="text1"/>
        </w:rPr>
        <w:t>证券投资情况的说明</w:t>
      </w:r>
    </w:p>
    <w:sdt>
      <w:sdtPr>
        <w:rPr>
          <w:color w:val="000000" w:themeColor="text1"/>
        </w:rPr>
        <w:alias w:val="是否适用：证券投资情况的说明[双击切换]"/>
        <w:tag w:val="_GBC_8d1fa1a2f7a54e699abfdd630205bd35"/>
        <w:id w:val="138020717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Start w:id="41" w:name="_Hlk40534809" w:displacedByCustomXml="next"/>
    <w:sdt>
      <w:sdtPr>
        <w:rPr>
          <w:color w:val="000000" w:themeColor="text1"/>
        </w:rPr>
        <w:alias w:val="证券投资情况的说明"/>
        <w:tag w:val="_GBC_abdbfda8aa9943258e88072364f7c63a"/>
        <w:id w:val="174239041"/>
        <w:placeholder>
          <w:docPart w:val="E113EB8FC68F47B5B973668A112737D4"/>
        </w:placeholder>
      </w:sdtPr>
      <w:sdtEndPr/>
      <w:sdtContent>
        <w:p w:rsidR="00597370" w:rsidRDefault="003C2EEE">
          <w:pPr>
            <w:rPr>
              <w:color w:val="000000" w:themeColor="text1"/>
            </w:rPr>
          </w:pPr>
          <w:r>
            <w:rPr>
              <w:rFonts w:hint="eastAsia"/>
              <w:color w:val="000000" w:themeColor="text1"/>
            </w:rPr>
            <w:t>以上股票系本次</w:t>
          </w:r>
          <w:proofErr w:type="gramStart"/>
          <w:r>
            <w:rPr>
              <w:rFonts w:hint="eastAsia"/>
              <w:color w:val="000000" w:themeColor="text1"/>
            </w:rPr>
            <w:t>收购云变电气</w:t>
          </w:r>
          <w:proofErr w:type="gramEnd"/>
          <w:r>
            <w:rPr>
              <w:rFonts w:hint="eastAsia"/>
              <w:color w:val="000000" w:themeColor="text1"/>
            </w:rPr>
            <w:t>增加，</w:t>
          </w:r>
          <w:proofErr w:type="gramStart"/>
          <w:r>
            <w:rPr>
              <w:rFonts w:hint="eastAsia"/>
              <w:color w:val="000000" w:themeColor="text1"/>
            </w:rPr>
            <w:t>是云变电气</w:t>
          </w:r>
          <w:proofErr w:type="gramEnd"/>
          <w:r>
            <w:rPr>
              <w:rFonts w:hint="eastAsia"/>
              <w:color w:val="000000" w:themeColor="text1"/>
            </w:rPr>
            <w:t>早期持有的交通银行发行的原始股。</w:t>
          </w:r>
        </w:p>
      </w:sdtContent>
    </w:sdt>
    <w:p w:rsidR="00597370" w:rsidRDefault="003C2EEE">
      <w:pPr>
        <w:rPr>
          <w:color w:val="000000" w:themeColor="text1"/>
        </w:rPr>
      </w:pPr>
      <w:r>
        <w:rPr>
          <w:rFonts w:hint="eastAsia"/>
          <w:color w:val="000000" w:themeColor="text1"/>
        </w:rPr>
        <w:t>私募基金投资情况</w:t>
      </w:r>
    </w:p>
    <w:sdt>
      <w:sdtPr>
        <w:rPr>
          <w:color w:val="000000" w:themeColor="text1"/>
        </w:rPr>
        <w:alias w:val="是否适用：私募基金投资情况[双击切换]"/>
        <w:tag w:val="_GBC_56fccff6af834e4e8e9f8aea6f269d2f"/>
        <w:id w:val="-30547368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1"/>
    <w:p w:rsidR="00597370" w:rsidRDefault="003C2EEE">
      <w:pPr>
        <w:rPr>
          <w:color w:val="000000" w:themeColor="text1"/>
        </w:rPr>
      </w:pPr>
      <w:r>
        <w:rPr>
          <w:rFonts w:hint="eastAsia"/>
          <w:color w:val="000000" w:themeColor="text1"/>
        </w:rPr>
        <w:t>衍生</w:t>
      </w:r>
      <w:proofErr w:type="gramStart"/>
      <w:r>
        <w:rPr>
          <w:rFonts w:hint="eastAsia"/>
          <w:color w:val="000000" w:themeColor="text1"/>
        </w:rPr>
        <w:t>品投资</w:t>
      </w:r>
      <w:proofErr w:type="gramEnd"/>
      <w:r>
        <w:rPr>
          <w:rFonts w:hint="eastAsia"/>
          <w:color w:val="000000" w:themeColor="text1"/>
        </w:rPr>
        <w:t>情况</w:t>
      </w:r>
    </w:p>
    <w:sdt>
      <w:sdtPr>
        <w:rPr>
          <w:rFonts w:hint="eastAsia"/>
          <w:color w:val="000000" w:themeColor="text1"/>
        </w:rPr>
        <w:alias w:val="是否适用：衍生品投资情况  [双击切换]"/>
        <w:tag w:val="_GBC_bfd154b38b804edbb19ff4896b6b9c42"/>
        <w:id w:val="-123777283"/>
        <w:placeholder>
          <w:docPart w:val="GBC22222222222222222222222222222"/>
        </w:placeholder>
      </w:sdtPr>
      <w:sdtEndPr/>
      <w:sdtContent>
        <w:p w:rsidR="00597370" w:rsidRDefault="003C2EEE">
          <w:pPr>
            <w:rPr>
              <w:color w:val="000000" w:themeColor="text1"/>
            </w:rPr>
            <w:sectPr w:rsidR="00597370">
              <w:pgSz w:w="16838" w:h="11906" w:orient="landscape"/>
              <w:pgMar w:top="1797" w:right="1525" w:bottom="1276" w:left="1440" w:header="851" w:footer="992" w:gutter="0"/>
              <w:cols w:space="425"/>
              <w:docGrid w:linePitch="312"/>
            </w:sect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9"/>
    <w:p w:rsidR="00597370" w:rsidRDefault="00597370">
      <w:pPr>
        <w:rPr>
          <w:color w:val="000000" w:themeColor="text1"/>
        </w:rPr>
      </w:pPr>
    </w:p>
    <w:p w:rsidR="00597370" w:rsidRDefault="003C2EEE">
      <w:pPr>
        <w:pStyle w:val="Style109"/>
        <w:numPr>
          <w:ilvl w:val="0"/>
          <w:numId w:val="8"/>
        </w:numPr>
        <w:rPr>
          <w:rFonts w:ascii="宋体" w:hAnsi="宋体"/>
          <w:color w:val="000000" w:themeColor="text1"/>
        </w:rPr>
      </w:pPr>
      <w:r>
        <w:rPr>
          <w:rFonts w:ascii="宋体" w:hAnsi="宋体" w:hint="eastAsia"/>
          <w:color w:val="000000" w:themeColor="text1"/>
        </w:rPr>
        <w:t>重大资产和股权出售</w:t>
      </w:r>
    </w:p>
    <w:sdt>
      <w:sdtPr>
        <w:rPr>
          <w:rFonts w:hint="eastAsia"/>
          <w:color w:val="000000" w:themeColor="text1"/>
        </w:rPr>
        <w:alias w:val="是否适用：重大资产和股权出售[双击切换]"/>
        <w:tag w:val="_GBC_f566f251245e49238092032f065852be"/>
        <w:id w:val="-170285163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8"/>
        </w:numPr>
        <w:rPr>
          <w:rFonts w:ascii="宋体" w:hAnsi="宋体"/>
          <w:color w:val="000000" w:themeColor="text1"/>
        </w:rPr>
      </w:pPr>
      <w:r>
        <w:rPr>
          <w:rFonts w:ascii="宋体" w:hAnsi="宋体" w:hint="eastAsia"/>
          <w:color w:val="000000" w:themeColor="text1"/>
        </w:rPr>
        <w:t>主要控股参股公司分析</w:t>
      </w:r>
    </w:p>
    <w:sdt>
      <w:sdtPr>
        <w:rPr>
          <w:color w:val="000000" w:themeColor="text1"/>
        </w:rPr>
        <w:alias w:val="是否适用：主要控股参股公司分析[双击切换]"/>
        <w:tag w:val="_GBC_3f3bd67865a44413bcd1143c0df7558d"/>
        <w:id w:val="107261910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主要子公司、参股公司分析"/>
        <w:tag w:val="_GBC_839e73df2f5d460cbcde577c1623d15c"/>
        <w:id w:val="1876882893"/>
        <w:placeholder>
          <w:docPart w:val="GBC22222222222222222222222222222"/>
        </w:placeholder>
      </w:sdtPr>
      <w:sdtEndPr/>
      <w:sdtContent>
        <w:p w:rsidR="00597370" w:rsidRDefault="003C2EEE">
          <w:pPr>
            <w:rPr>
              <w:color w:val="000000" w:themeColor="text1"/>
            </w:rPr>
          </w:pPr>
          <w:r>
            <w:rPr>
              <w:color w:val="000000" w:themeColor="text1"/>
            </w:rPr>
            <w:t xml:space="preserve">                                                                      </w:t>
          </w:r>
          <w:r>
            <w:rPr>
              <w:rFonts w:hint="eastAsia"/>
              <w:color w:val="000000" w:themeColor="text1"/>
            </w:rPr>
            <w:t>单位：万元</w:t>
          </w:r>
        </w:p>
        <w:tbl>
          <w:tblPr>
            <w:tblStyle w:val="g2"/>
            <w:tblW w:w="8642" w:type="dxa"/>
            <w:tblInd w:w="0" w:type="dxa"/>
            <w:tblLook w:val="04A0" w:firstRow="1" w:lastRow="0" w:firstColumn="1" w:lastColumn="0" w:noHBand="0" w:noVBand="1"/>
          </w:tblPr>
          <w:tblGrid>
            <w:gridCol w:w="1129"/>
            <w:gridCol w:w="957"/>
            <w:gridCol w:w="1268"/>
            <w:gridCol w:w="1266"/>
            <w:gridCol w:w="1262"/>
            <w:gridCol w:w="1387"/>
            <w:gridCol w:w="1373"/>
          </w:tblGrid>
          <w:tr w:rsidR="00597370">
            <w:trPr>
              <w:trHeight w:val="700"/>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公司名称</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所属行业</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注册资本</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总资产</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净资产</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营业收入</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净利润</w:t>
                </w:r>
              </w:p>
            </w:tc>
          </w:tr>
          <w:tr w:rsidR="00597370">
            <w:trPr>
              <w:trHeight w:val="700"/>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proofErr w:type="gramStart"/>
                <w:r>
                  <w:rPr>
                    <w:rFonts w:asciiTheme="minorEastAsia" w:eastAsiaTheme="minorEastAsia" w:hAnsiTheme="minorEastAsia" w:hint="eastAsia"/>
                    <w:color w:val="000000"/>
                  </w:rPr>
                  <w:t>云变电气</w:t>
                </w:r>
                <w:proofErr w:type="gramEnd"/>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制造业</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color w:val="000000"/>
                  </w:rPr>
                  <w:t>10,041.36</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color w:val="000000"/>
                  </w:rPr>
                  <w:t>159,848.33</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color w:val="000000"/>
                  </w:rPr>
                  <w:t>67,185.03</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color w:val="000000"/>
                  </w:rPr>
                  <w:t>22,755.03</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color w:val="000000"/>
                  </w:rPr>
                  <w:t>1,030.63</w:t>
                </w:r>
              </w:p>
            </w:tc>
          </w:tr>
          <w:tr w:rsidR="00597370">
            <w:trPr>
              <w:trHeight w:val="400"/>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能投售电</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olor w:val="000000"/>
                  </w:rPr>
                </w:pPr>
                <w:r>
                  <w:rPr>
                    <w:rFonts w:asciiTheme="minorEastAsia" w:eastAsiaTheme="minorEastAsia" w:hAnsiTheme="minorEastAsia" w:hint="eastAsia"/>
                    <w:color w:val="000000"/>
                  </w:rPr>
                  <w:t>服务业</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5,000.00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5,388.74</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5,153.39</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1,401.37</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-24.83</w:t>
                </w:r>
              </w:p>
            </w:tc>
          </w:tr>
        </w:tbl>
        <w:p w:rsidR="00597370" w:rsidRDefault="006840ED">
          <w:pPr>
            <w:rPr>
              <w:color w:val="000000" w:themeColor="text1"/>
            </w:rPr>
          </w:pPr>
        </w:p>
      </w:sdtContent>
    </w:sdt>
    <w:p w:rsidR="00597370" w:rsidRDefault="003C2EEE">
      <w:pPr>
        <w:pStyle w:val="Style109"/>
        <w:numPr>
          <w:ilvl w:val="0"/>
          <w:numId w:val="8"/>
        </w:numPr>
        <w:rPr>
          <w:rFonts w:ascii="宋体" w:hAnsi="宋体"/>
          <w:color w:val="000000" w:themeColor="text1"/>
        </w:rPr>
      </w:pPr>
      <w:r>
        <w:rPr>
          <w:rFonts w:ascii="宋体" w:hAnsi="宋体" w:hint="eastAsia"/>
          <w:color w:val="000000" w:themeColor="text1"/>
        </w:rPr>
        <w:t>公司控制的结构化主体情况</w:t>
      </w:r>
    </w:p>
    <w:sdt>
      <w:sdtPr>
        <w:rPr>
          <w:rFonts w:hint="eastAsia"/>
          <w:color w:val="000000" w:themeColor="text1"/>
        </w:rPr>
        <w:alias w:val="是否适用：公司控制的结构化主体情况[双击切换]"/>
        <w:tag w:val="_GBC_6dee8f13bc9a4596ad3e5af6f90f0b8b"/>
        <w:id w:val="60415669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7"/>
        </w:numPr>
        <w:tabs>
          <w:tab w:val="left" w:pos="426"/>
        </w:tabs>
        <w:ind w:left="422" w:hanging="422"/>
        <w:jc w:val="left"/>
        <w:rPr>
          <w:rFonts w:ascii="宋体" w:hAnsi="宋体"/>
          <w:color w:val="000000" w:themeColor="text1"/>
        </w:rPr>
      </w:pPr>
      <w:r>
        <w:rPr>
          <w:rFonts w:ascii="宋体" w:hAnsi="宋体" w:hint="eastAsia"/>
          <w:color w:val="000000" w:themeColor="text1"/>
        </w:rPr>
        <w:t>其他披露事项</w:t>
      </w:r>
    </w:p>
    <w:p w:rsidR="00597370" w:rsidRDefault="003C2EEE">
      <w:pPr>
        <w:pStyle w:val="3"/>
        <w:numPr>
          <w:ilvl w:val="0"/>
          <w:numId w:val="13"/>
        </w:numPr>
        <w:rPr>
          <w:rFonts w:ascii="宋体" w:hAnsi="宋体"/>
          <w:color w:val="000000" w:themeColor="text1"/>
        </w:rPr>
      </w:pPr>
      <w:r>
        <w:rPr>
          <w:rFonts w:ascii="宋体" w:hAnsi="宋体"/>
          <w:color w:val="000000" w:themeColor="text1"/>
        </w:rPr>
        <w:t>可能面对的风险</w:t>
      </w:r>
    </w:p>
    <w:sdt>
      <w:sdtPr>
        <w:rPr>
          <w:rFonts w:hint="eastAsia"/>
          <w:color w:val="000000" w:themeColor="text1"/>
        </w:rPr>
        <w:alias w:val="是否适用：可能面对的风险[双击切换]"/>
        <w:tag w:val="_GBC_2a971d8ab5884d3eb5547ede4e1e17c9"/>
        <w:id w:val="-156424812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公司可能面对的风险"/>
        <w:tag w:val="_GBC_6e03b01ba4f1453dbc563404b41bfdbc"/>
        <w:id w:val="-250742576"/>
        <w:placeholder>
          <w:docPart w:val="GBC22222222222222222222222222222"/>
        </w:placeholder>
      </w:sdtPr>
      <w:sdtEndPr/>
      <w:sdtContent>
        <w:p w:rsidR="00597370" w:rsidRDefault="003C2EEE">
          <w:pPr>
            <w:spacing w:line="360" w:lineRule="auto"/>
            <w:rPr>
              <w:color w:val="000000" w:themeColor="text1"/>
            </w:rPr>
          </w:pPr>
          <w:r>
            <w:rPr>
              <w:color w:val="000000" w:themeColor="text1"/>
            </w:rPr>
            <w:t>1、宏观经济风险和行业风险</w:t>
          </w:r>
        </w:p>
        <w:p w:rsidR="00597370" w:rsidRDefault="003C2EEE">
          <w:pPr>
            <w:spacing w:line="360" w:lineRule="auto"/>
            <w:ind w:firstLineChars="200" w:firstLine="420"/>
            <w:rPr>
              <w:color w:val="000000" w:themeColor="text1"/>
            </w:rPr>
          </w:pPr>
          <w:r>
            <w:rPr>
              <w:rFonts w:hint="eastAsia"/>
              <w:color w:val="000000" w:themeColor="text1"/>
            </w:rPr>
            <w:t>公司所从事的取向硅钢和输配电及控制设备产业均与电力行业投资及需求紧密相关，电力行业是关系国民经济持续稳定发展的主要环节之一，行业整体需求与宏观经济情况以及社会用电需求密切相关；如果国际经济环境进一步恶化影响国内实体企业发展或者国家宏观政策变化、宏观经济风险加剧，电力能源发展战略、产业结构、市场结构调整、行业资源整合、市场供需变动等因素都有可能对公司的盈利能力造成冲击。</w:t>
          </w:r>
        </w:p>
        <w:p w:rsidR="00597370" w:rsidRDefault="003C2EEE">
          <w:pPr>
            <w:spacing w:line="360" w:lineRule="auto"/>
            <w:ind w:firstLineChars="200" w:firstLine="420"/>
            <w:rPr>
              <w:color w:val="000000" w:themeColor="text1"/>
            </w:rPr>
          </w:pPr>
          <w:r>
            <w:rPr>
              <w:rFonts w:hint="eastAsia"/>
              <w:color w:val="000000" w:themeColor="text1"/>
            </w:rPr>
            <w:t>应对措施：公司将加强对国际形势和国内宏观经济的</w:t>
          </w:r>
          <w:proofErr w:type="gramStart"/>
          <w:r>
            <w:rPr>
              <w:rFonts w:hint="eastAsia"/>
              <w:color w:val="000000" w:themeColor="text1"/>
            </w:rPr>
            <w:t>研</w:t>
          </w:r>
          <w:proofErr w:type="gramEnd"/>
          <w:r>
            <w:rPr>
              <w:rFonts w:hint="eastAsia"/>
              <w:color w:val="000000" w:themeColor="text1"/>
            </w:rPr>
            <w:t>判，及时掌握国家、行业、区域相关政策，结合公司发展实际情况，保障公司生产经营、战略发展决策的科学、有效。</w:t>
          </w:r>
        </w:p>
        <w:p w:rsidR="00597370" w:rsidRDefault="003C2EEE">
          <w:pPr>
            <w:spacing w:line="360" w:lineRule="auto"/>
            <w:rPr>
              <w:color w:val="000000" w:themeColor="text1"/>
            </w:rPr>
          </w:pPr>
          <w:r>
            <w:rPr>
              <w:color w:val="000000" w:themeColor="text1"/>
            </w:rPr>
            <w:t>2、市场竞争风险</w:t>
          </w:r>
        </w:p>
        <w:p w:rsidR="00597370" w:rsidRDefault="003C2EEE">
          <w:pPr>
            <w:spacing w:line="360" w:lineRule="auto"/>
            <w:ind w:firstLineChars="200" w:firstLine="420"/>
            <w:rPr>
              <w:color w:val="000000" w:themeColor="text1"/>
            </w:rPr>
          </w:pPr>
          <w:r>
            <w:rPr>
              <w:rFonts w:hint="eastAsia"/>
              <w:color w:val="000000" w:themeColor="text1"/>
            </w:rPr>
            <w:t>取向硅钢行业因为需求拉动带来同业大量扩产，新投产装置产能将逐步释放，同时进口取向硅钢也对市场带来冲击，未来取向硅钢市场竞争会持续增加；输配电及控制设备行业受宏观经济影响，普遍存在成本增加、毛利率下降、竞争日趋激烈的问题，给公司生产经营带来更多的市场风险。</w:t>
          </w:r>
        </w:p>
        <w:p w:rsidR="00597370" w:rsidRDefault="003C2EEE">
          <w:pPr>
            <w:spacing w:line="360" w:lineRule="auto"/>
            <w:ind w:firstLineChars="200" w:firstLine="420"/>
            <w:rPr>
              <w:color w:val="000000" w:themeColor="text1"/>
            </w:rPr>
          </w:pPr>
          <w:r>
            <w:rPr>
              <w:rFonts w:hint="eastAsia"/>
              <w:color w:val="000000" w:themeColor="text1"/>
            </w:rPr>
            <w:t>应对措施：公司将整合优势资源加大取向硅钢高牌号研发力度，进一步提升优化产品牌号结构，以此提升公司产品市场竞争力；输配电及控制设备将通过加大科技创新投入、设备技改投入等多种方式降低制造成本、提升产品质量、增强客户定制化和一体化服务能力等手段不断增强公司市场竞争力，逐步巩固和提升行业品牌影响力和市场占有率。</w:t>
          </w:r>
        </w:p>
        <w:p w:rsidR="00597370" w:rsidRDefault="003C2EEE">
          <w:pPr>
            <w:spacing w:line="360" w:lineRule="auto"/>
            <w:rPr>
              <w:color w:val="000000" w:themeColor="text1"/>
            </w:rPr>
          </w:pPr>
          <w:r>
            <w:rPr>
              <w:color w:val="000000" w:themeColor="text1"/>
            </w:rPr>
            <w:t>3、客户信用风险</w:t>
          </w:r>
        </w:p>
        <w:p w:rsidR="00597370" w:rsidRDefault="003C2EEE">
          <w:pPr>
            <w:spacing w:line="360" w:lineRule="auto"/>
            <w:ind w:firstLineChars="200" w:firstLine="420"/>
            <w:rPr>
              <w:color w:val="000000" w:themeColor="text1"/>
            </w:rPr>
          </w:pPr>
          <w:r>
            <w:rPr>
              <w:rFonts w:hint="eastAsia"/>
              <w:color w:val="000000" w:themeColor="text1"/>
            </w:rPr>
            <w:lastRenderedPageBreak/>
            <w:t>当前国内需求不足，重点领域风险隐患较多，国际大宗商品价格剧烈波动，国内外经济压力进一步加大，外部环境复杂严峻，公司部分客户可能存在信用风险增加，给公司持续稳定健康发展带来一定影响和冲击。</w:t>
          </w:r>
        </w:p>
        <w:p w:rsidR="00597370" w:rsidRDefault="003C2EEE">
          <w:pPr>
            <w:spacing w:line="360" w:lineRule="auto"/>
            <w:ind w:firstLineChars="200" w:firstLine="420"/>
            <w:rPr>
              <w:color w:val="000000" w:themeColor="text1"/>
            </w:rPr>
          </w:pPr>
          <w:r>
            <w:rPr>
              <w:rFonts w:hint="eastAsia"/>
              <w:color w:val="000000" w:themeColor="text1"/>
            </w:rPr>
            <w:t>应对措施：公司对客户进行事前、事中、事后全过程调研和跟踪，按公司相关流程和权限审批授信额度；成立客户信用管理专项小组，及时</w:t>
          </w:r>
          <w:proofErr w:type="gramStart"/>
          <w:r>
            <w:rPr>
              <w:rFonts w:hint="eastAsia"/>
              <w:color w:val="000000" w:themeColor="text1"/>
            </w:rPr>
            <w:t>跟踪账期较长</w:t>
          </w:r>
          <w:proofErr w:type="gramEnd"/>
          <w:r>
            <w:rPr>
              <w:rFonts w:hint="eastAsia"/>
              <w:color w:val="000000" w:themeColor="text1"/>
            </w:rPr>
            <w:t>的客户基本面，若发现客户资信出现方向性变化，立即调整收款策略。</w:t>
          </w:r>
        </w:p>
        <w:p w:rsidR="00597370" w:rsidRDefault="003C2EEE">
          <w:pPr>
            <w:spacing w:line="360" w:lineRule="auto"/>
            <w:rPr>
              <w:color w:val="000000" w:themeColor="text1"/>
            </w:rPr>
          </w:pPr>
          <w:r>
            <w:rPr>
              <w:color w:val="000000" w:themeColor="text1"/>
            </w:rPr>
            <w:t>4、大宗商品价格波动的风险</w:t>
          </w:r>
        </w:p>
        <w:p w:rsidR="00597370" w:rsidRDefault="003C2EEE">
          <w:pPr>
            <w:spacing w:line="360" w:lineRule="auto"/>
            <w:ind w:firstLineChars="200" w:firstLine="420"/>
            <w:rPr>
              <w:color w:val="000000" w:themeColor="text1"/>
            </w:rPr>
          </w:pPr>
          <w:r>
            <w:rPr>
              <w:rFonts w:hint="eastAsia"/>
              <w:color w:val="000000" w:themeColor="text1"/>
            </w:rPr>
            <w:t>公司产品的主要原材料包括铜、硅钢原料卷、电力变压器油等大宗材料价格波动，直接影响公司的生产成本，进而影响公司的盈利水平。同时，受经济周期波动、市场供求以及投机炒作的影响，大宗材料价格存在剧烈波动风险，将对公司的盈利能力产生较大不利影响。</w:t>
          </w:r>
        </w:p>
        <w:p w:rsidR="00597370" w:rsidRDefault="003C2EEE">
          <w:pPr>
            <w:spacing w:line="360" w:lineRule="auto"/>
            <w:ind w:firstLineChars="200" w:firstLine="420"/>
            <w:rPr>
              <w:color w:val="000000" w:themeColor="text1"/>
            </w:rPr>
          </w:pPr>
          <w:r>
            <w:rPr>
              <w:rFonts w:hint="eastAsia"/>
              <w:color w:val="000000" w:themeColor="text1"/>
            </w:rPr>
            <w:t>应对措施：公司将加强科技研发、自主创新能力建设，不断降低生产成本；加强大宗材料价格趋势研究、强化与大宗材料及设备供应商的战略合作关系，通过加大储备、集团科学采购、套期保值等多种方式有效降低大宗材料价格波动影响。</w:t>
          </w:r>
        </w:p>
        <w:p w:rsidR="00597370" w:rsidRDefault="003C2EEE">
          <w:pPr>
            <w:spacing w:line="360" w:lineRule="auto"/>
            <w:rPr>
              <w:color w:val="000000" w:themeColor="text1"/>
            </w:rPr>
          </w:pPr>
          <w:r>
            <w:rPr>
              <w:color w:val="000000" w:themeColor="text1"/>
            </w:rPr>
            <w:t>5、汇率波动风险</w:t>
          </w:r>
        </w:p>
        <w:p w:rsidR="00597370" w:rsidRDefault="003C2EEE">
          <w:pPr>
            <w:spacing w:line="360" w:lineRule="auto"/>
            <w:ind w:firstLineChars="200" w:firstLine="420"/>
            <w:rPr>
              <w:color w:val="000000" w:themeColor="text1"/>
            </w:rPr>
          </w:pPr>
          <w:r>
            <w:rPr>
              <w:rFonts w:hint="eastAsia"/>
              <w:color w:val="000000" w:themeColor="text1"/>
            </w:rPr>
            <w:t>公司取向硅钢产品出口占比较高，且主要以美元作为结算货币，受外币汇率波动影响，汇率波动将直接影响公司的经营业绩。未来若公司主要结算外币的汇率出现大幅不利变动，导致公司汇兑损益持续上升，将对公司经营业绩产生不利影响。</w:t>
          </w:r>
        </w:p>
        <w:p w:rsidR="00597370" w:rsidRDefault="003C2EEE">
          <w:pPr>
            <w:spacing w:line="360" w:lineRule="auto"/>
            <w:ind w:firstLineChars="200" w:firstLine="420"/>
            <w:rPr>
              <w:color w:val="000000" w:themeColor="text1"/>
            </w:rPr>
          </w:pPr>
          <w:r>
            <w:rPr>
              <w:rFonts w:hint="eastAsia"/>
              <w:color w:val="000000" w:themeColor="text1"/>
            </w:rPr>
            <w:t>应对措施：公司将充分利用国家支持优势企业加快走出去的政策环境，通过外汇套期保值工具，通过选择合理币种结算、对人民币跨境结算试点地区业务尽量以人民币作为结算币种、利用国际信贷等多种方式降低汇率波动带来的风险。</w:t>
          </w:r>
        </w:p>
      </w:sdtContent>
    </w:sdt>
    <w:p w:rsidR="00597370" w:rsidRDefault="00597370">
      <w:pPr>
        <w:rPr>
          <w:color w:val="000000" w:themeColor="text1"/>
        </w:rPr>
      </w:pPr>
    </w:p>
    <w:p w:rsidR="00597370" w:rsidRDefault="003C2EEE">
      <w:pPr>
        <w:pStyle w:val="3"/>
        <w:numPr>
          <w:ilvl w:val="0"/>
          <w:numId w:val="13"/>
        </w:numPr>
        <w:rPr>
          <w:rFonts w:ascii="宋体" w:hAnsi="宋体"/>
          <w:color w:val="000000" w:themeColor="text1"/>
        </w:rPr>
      </w:pPr>
      <w:r>
        <w:rPr>
          <w:rFonts w:ascii="宋体" w:hAnsi="宋体"/>
          <w:color w:val="000000" w:themeColor="text1"/>
        </w:rPr>
        <w:t>其他披露事项</w:t>
      </w:r>
    </w:p>
    <w:sdt>
      <w:sdtPr>
        <w:rPr>
          <w:rFonts w:hint="eastAsia"/>
          <w:color w:val="000000" w:themeColor="text1"/>
        </w:rPr>
        <w:alias w:val="是否适用：董事会其他需要披露的事项[双击切换]"/>
        <w:tag w:val="_GBC_4bd5ba6bf4044aee9ecd40a0c2fc29bf"/>
        <w:id w:val="-10033545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4"/>
    <w:p w:rsidR="00597370" w:rsidRDefault="00597370">
      <w:pPr>
        <w:rPr>
          <w:color w:val="000000" w:themeColor="text1"/>
        </w:rPr>
      </w:pPr>
    </w:p>
    <w:p w:rsidR="00597370" w:rsidRDefault="003C2EEE">
      <w:pPr>
        <w:pStyle w:val="1"/>
        <w:numPr>
          <w:ilvl w:val="0"/>
          <w:numId w:val="2"/>
        </w:numPr>
        <w:rPr>
          <w:rFonts w:ascii="黑体" w:hAnsi="黑体"/>
          <w:color w:val="000000" w:themeColor="text1"/>
        </w:rPr>
      </w:pPr>
      <w:bookmarkStart w:id="42" w:name="_Toc142578258"/>
      <w:bookmarkStart w:id="43" w:name="_Toc76114275"/>
      <w:r>
        <w:rPr>
          <w:rFonts w:ascii="黑体" w:hAnsi="黑体" w:hint="eastAsia"/>
          <w:color w:val="000000" w:themeColor="text1"/>
        </w:rPr>
        <w:t>公司治理</w:t>
      </w:r>
      <w:bookmarkEnd w:id="42"/>
      <w:bookmarkEnd w:id="43"/>
    </w:p>
    <w:p w:rsidR="00597370" w:rsidRDefault="003C2EEE">
      <w:pPr>
        <w:pStyle w:val="2"/>
        <w:numPr>
          <w:ilvl w:val="0"/>
          <w:numId w:val="14"/>
        </w:numPr>
        <w:tabs>
          <w:tab w:val="left" w:pos="426"/>
        </w:tabs>
        <w:ind w:firstLineChars="0"/>
        <w:jc w:val="left"/>
        <w:rPr>
          <w:rFonts w:ascii="宋体" w:hAnsi="宋体"/>
          <w:color w:val="000000" w:themeColor="text1"/>
        </w:rPr>
      </w:pPr>
      <w:bookmarkStart w:id="44" w:name="_Hlk74646363"/>
      <w:r>
        <w:rPr>
          <w:rFonts w:ascii="宋体" w:hAnsi="宋体"/>
          <w:color w:val="000000" w:themeColor="text1"/>
        </w:rPr>
        <w:t>股东大会情况简介</w:t>
      </w:r>
    </w:p>
    <w:tbl>
      <w:tblPr>
        <w:tblStyle w:val="g9"/>
        <w:tblW w:w="513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699"/>
        <w:gridCol w:w="1917"/>
        <w:gridCol w:w="1772"/>
        <w:gridCol w:w="2123"/>
      </w:tblGrid>
      <w:tr w:rsidR="00597370">
        <w:trPr>
          <w:trHeight w:val="165"/>
        </w:trPr>
        <w:sdt>
          <w:sdtPr>
            <w:rPr>
              <w:color w:val="000000" w:themeColor="text1"/>
            </w:rPr>
            <w:tag w:val="_PLD_22bc61a8a37f49b2b6002bda8044b00b"/>
            <w:id w:val="-1423404341"/>
          </w:sdtPr>
          <w:sdtEndPr/>
          <w:sdtContent>
            <w:tc>
              <w:tcPr>
                <w:tcW w:w="858" w:type="pct"/>
                <w:vAlign w:val="center"/>
              </w:tcPr>
              <w:p w:rsidR="00597370" w:rsidRDefault="003C2EEE">
                <w:pPr>
                  <w:widowControl w:val="0"/>
                  <w:jc w:val="center"/>
                  <w:rPr>
                    <w:color w:val="000000" w:themeColor="text1"/>
                  </w:rPr>
                </w:pPr>
                <w:r>
                  <w:rPr>
                    <w:color w:val="000000" w:themeColor="text1"/>
                  </w:rPr>
                  <w:t>会议届次</w:t>
                </w:r>
              </w:p>
            </w:tc>
          </w:sdtContent>
        </w:sdt>
        <w:sdt>
          <w:sdtPr>
            <w:rPr>
              <w:color w:val="000000" w:themeColor="text1"/>
            </w:rPr>
            <w:tag w:val="_PLD_4d4c6f75c14e44a5ae87874c2dde133c"/>
            <w:id w:val="-893740515"/>
          </w:sdtPr>
          <w:sdtEndPr/>
          <w:sdtContent>
            <w:tc>
              <w:tcPr>
                <w:tcW w:w="937" w:type="pct"/>
                <w:vAlign w:val="center"/>
              </w:tcPr>
              <w:p w:rsidR="00597370" w:rsidRDefault="003C2EEE">
                <w:pPr>
                  <w:widowControl w:val="0"/>
                  <w:jc w:val="center"/>
                  <w:rPr>
                    <w:color w:val="000000" w:themeColor="text1"/>
                  </w:rPr>
                </w:pPr>
                <w:r>
                  <w:rPr>
                    <w:color w:val="000000" w:themeColor="text1"/>
                  </w:rPr>
                  <w:t>召开日期</w:t>
                </w:r>
              </w:p>
            </w:tc>
          </w:sdtContent>
        </w:sdt>
        <w:sdt>
          <w:sdtPr>
            <w:rPr>
              <w:color w:val="000000" w:themeColor="text1"/>
            </w:rPr>
            <w:tag w:val="_PLD_63dde22e2e0a412986c86439c3ed05c3"/>
            <w:id w:val="-1697149418"/>
          </w:sdtPr>
          <w:sdtEndPr/>
          <w:sdtContent>
            <w:tc>
              <w:tcPr>
                <w:tcW w:w="1057" w:type="pct"/>
                <w:vAlign w:val="center"/>
              </w:tcPr>
              <w:p w:rsidR="00597370" w:rsidRDefault="003C2EEE">
                <w:pPr>
                  <w:widowControl w:val="0"/>
                  <w:jc w:val="center"/>
                  <w:rPr>
                    <w:color w:val="000000" w:themeColor="text1"/>
                  </w:rPr>
                </w:pPr>
                <w:r>
                  <w:rPr>
                    <w:color w:val="000000" w:themeColor="text1"/>
                  </w:rPr>
                  <w:t>决议刊登的指定网站的查询索引</w:t>
                </w:r>
              </w:p>
            </w:tc>
          </w:sdtContent>
        </w:sdt>
        <w:sdt>
          <w:sdtPr>
            <w:rPr>
              <w:color w:val="000000" w:themeColor="text1"/>
            </w:rPr>
            <w:tag w:val="_PLD_68e4d17d74f541f9b1d7075bcbb5b6c5"/>
            <w:id w:val="845061065"/>
          </w:sdtPr>
          <w:sdtEndPr/>
          <w:sdtContent>
            <w:tc>
              <w:tcPr>
                <w:tcW w:w="977" w:type="pct"/>
                <w:vAlign w:val="center"/>
              </w:tcPr>
              <w:p w:rsidR="00597370" w:rsidRDefault="003C2EEE">
                <w:pPr>
                  <w:widowControl w:val="0"/>
                  <w:jc w:val="center"/>
                  <w:rPr>
                    <w:color w:val="000000" w:themeColor="text1"/>
                  </w:rPr>
                </w:pPr>
                <w:r>
                  <w:rPr>
                    <w:color w:val="000000" w:themeColor="text1"/>
                  </w:rPr>
                  <w:t>决议刊登的披露日期</w:t>
                </w:r>
              </w:p>
            </w:tc>
          </w:sdtContent>
        </w:sdt>
        <w:tc>
          <w:tcPr>
            <w:tcW w:w="1171" w:type="pct"/>
            <w:vAlign w:val="center"/>
          </w:tcPr>
          <w:sdt>
            <w:sdtPr>
              <w:rPr>
                <w:rFonts w:hint="eastAsia"/>
                <w:color w:val="000000" w:themeColor="text1"/>
              </w:rPr>
              <w:tag w:val="_PLD_d7d78aa5be2349bcb77c83b55ac046e4"/>
              <w:id w:val="-581061539"/>
            </w:sdtPr>
            <w:sdtEndPr/>
            <w:sdtContent>
              <w:p w:rsidR="00597370" w:rsidRDefault="003C2EEE">
                <w:pPr>
                  <w:widowControl w:val="0"/>
                  <w:jc w:val="center"/>
                  <w:rPr>
                    <w:color w:val="000000" w:themeColor="text1"/>
                  </w:rPr>
                </w:pPr>
                <w:r>
                  <w:rPr>
                    <w:rFonts w:hint="eastAsia"/>
                    <w:color w:val="000000" w:themeColor="text1"/>
                  </w:rPr>
                  <w:t>会议决议</w:t>
                </w:r>
              </w:p>
            </w:sdtContent>
          </w:sdt>
        </w:tc>
      </w:tr>
      <w:tr w:rsidR="00597370">
        <w:trPr>
          <w:trHeight w:val="195"/>
        </w:trPr>
        <w:tc>
          <w:tcPr>
            <w:tcW w:w="858" w:type="pct"/>
            <w:vAlign w:val="center"/>
          </w:tcPr>
          <w:p w:rsidR="00597370" w:rsidRDefault="003C2EEE">
            <w:pPr>
              <w:widowControl w:val="0"/>
              <w:jc w:val="both"/>
            </w:pPr>
            <w:r>
              <w:rPr>
                <w:rFonts w:hint="eastAsia"/>
              </w:rPr>
              <w:t>2</w:t>
            </w:r>
            <w:r>
              <w:t>024</w:t>
            </w:r>
            <w:r>
              <w:rPr>
                <w:rFonts w:hint="eastAsia"/>
              </w:rPr>
              <w:t>年第一次临时股东大会</w:t>
            </w:r>
          </w:p>
        </w:tc>
        <w:tc>
          <w:tcPr>
            <w:tcW w:w="937" w:type="pct"/>
            <w:vAlign w:val="center"/>
          </w:tcPr>
          <w:p w:rsidR="00597370" w:rsidRDefault="003C2EEE">
            <w:pPr>
              <w:widowControl w:val="0"/>
              <w:jc w:val="both"/>
            </w:pPr>
            <w:r>
              <w:rPr>
                <w:rFonts w:hint="eastAsia"/>
              </w:rPr>
              <w:t>2</w:t>
            </w:r>
            <w:r>
              <w:t>024</w:t>
            </w:r>
            <w:r>
              <w:rPr>
                <w:rFonts w:hint="eastAsia"/>
              </w:rPr>
              <w:t>年2月6日</w:t>
            </w:r>
          </w:p>
        </w:tc>
        <w:tc>
          <w:tcPr>
            <w:tcW w:w="1057" w:type="pct"/>
            <w:vAlign w:val="center"/>
          </w:tcPr>
          <w:p w:rsidR="00597370" w:rsidRDefault="003C2EEE">
            <w:pPr>
              <w:pStyle w:val="15"/>
            </w:pPr>
            <w:r>
              <w:t>www.sse.com.cn</w:t>
            </w:r>
          </w:p>
          <w:p w:rsidR="00597370" w:rsidRDefault="00597370">
            <w:pPr>
              <w:widowControl w:val="0"/>
              <w:jc w:val="both"/>
            </w:pPr>
          </w:p>
        </w:tc>
        <w:tc>
          <w:tcPr>
            <w:tcW w:w="977" w:type="pct"/>
            <w:vAlign w:val="center"/>
          </w:tcPr>
          <w:p w:rsidR="00597370" w:rsidRDefault="003C2EEE">
            <w:pPr>
              <w:widowControl w:val="0"/>
              <w:jc w:val="both"/>
            </w:pPr>
            <w:r>
              <w:rPr>
                <w:rFonts w:hint="eastAsia"/>
              </w:rPr>
              <w:t>2</w:t>
            </w:r>
            <w:r>
              <w:t>024</w:t>
            </w:r>
            <w:r>
              <w:rPr>
                <w:rFonts w:hint="eastAsia"/>
              </w:rPr>
              <w:t>年2月7日</w:t>
            </w:r>
          </w:p>
        </w:tc>
        <w:tc>
          <w:tcPr>
            <w:tcW w:w="1171" w:type="pct"/>
          </w:tcPr>
          <w:p w:rsidR="00597370" w:rsidRDefault="003C2EEE">
            <w:pPr>
              <w:widowControl w:val="0"/>
              <w:jc w:val="both"/>
            </w:pPr>
            <w:r>
              <w:rPr>
                <w:rFonts w:hint="eastAsia"/>
              </w:rPr>
              <w:t>详见《</w:t>
            </w:r>
            <w:r>
              <w:t>2024年</w:t>
            </w:r>
            <w:r>
              <w:rPr>
                <w:rFonts w:hint="eastAsia"/>
              </w:rPr>
              <w:t>第一次临时</w:t>
            </w:r>
            <w:r>
              <w:t>股东大会决议公告》（公告编号：2024-013）</w:t>
            </w:r>
          </w:p>
        </w:tc>
      </w:tr>
      <w:tr w:rsidR="00597370">
        <w:trPr>
          <w:trHeight w:val="195"/>
        </w:trPr>
        <w:tc>
          <w:tcPr>
            <w:tcW w:w="858" w:type="pct"/>
            <w:vAlign w:val="center"/>
          </w:tcPr>
          <w:p w:rsidR="00597370" w:rsidRDefault="003C2EEE">
            <w:pPr>
              <w:widowControl w:val="0"/>
              <w:jc w:val="both"/>
            </w:pPr>
            <w:r>
              <w:rPr>
                <w:rFonts w:hint="eastAsia"/>
              </w:rPr>
              <w:t>2</w:t>
            </w:r>
            <w:r>
              <w:t>023</w:t>
            </w:r>
            <w:r>
              <w:rPr>
                <w:rFonts w:hint="eastAsia"/>
              </w:rPr>
              <w:t>年年度股东大会</w:t>
            </w:r>
          </w:p>
        </w:tc>
        <w:tc>
          <w:tcPr>
            <w:tcW w:w="937" w:type="pct"/>
            <w:vAlign w:val="center"/>
          </w:tcPr>
          <w:p w:rsidR="00597370" w:rsidRDefault="003C2EEE">
            <w:pPr>
              <w:widowControl w:val="0"/>
              <w:jc w:val="both"/>
            </w:pPr>
            <w:r>
              <w:rPr>
                <w:rFonts w:hint="eastAsia"/>
              </w:rPr>
              <w:t>2</w:t>
            </w:r>
            <w:r>
              <w:t>024</w:t>
            </w:r>
            <w:r>
              <w:rPr>
                <w:rFonts w:hint="eastAsia"/>
              </w:rPr>
              <w:t>年5月1</w:t>
            </w:r>
            <w:r>
              <w:t>6</w:t>
            </w:r>
            <w:r>
              <w:rPr>
                <w:rFonts w:hint="eastAsia"/>
              </w:rPr>
              <w:t>日</w:t>
            </w:r>
          </w:p>
        </w:tc>
        <w:tc>
          <w:tcPr>
            <w:tcW w:w="1057" w:type="pct"/>
            <w:vAlign w:val="center"/>
          </w:tcPr>
          <w:p w:rsidR="00597370" w:rsidRDefault="003C2EEE">
            <w:pPr>
              <w:pStyle w:val="15"/>
            </w:pPr>
            <w:r>
              <w:t>www.sse.com.cn</w:t>
            </w:r>
          </w:p>
          <w:p w:rsidR="00597370" w:rsidRDefault="00597370">
            <w:pPr>
              <w:widowControl w:val="0"/>
              <w:jc w:val="both"/>
            </w:pPr>
          </w:p>
        </w:tc>
        <w:tc>
          <w:tcPr>
            <w:tcW w:w="977" w:type="pct"/>
            <w:vAlign w:val="center"/>
          </w:tcPr>
          <w:p w:rsidR="00597370" w:rsidRDefault="003C2EEE">
            <w:pPr>
              <w:widowControl w:val="0"/>
              <w:jc w:val="both"/>
            </w:pPr>
            <w:r>
              <w:rPr>
                <w:rFonts w:hint="eastAsia"/>
              </w:rPr>
              <w:t>2</w:t>
            </w:r>
            <w:r>
              <w:t>024</w:t>
            </w:r>
            <w:r>
              <w:rPr>
                <w:rFonts w:hint="eastAsia"/>
              </w:rPr>
              <w:t>年5月1</w:t>
            </w:r>
            <w:r>
              <w:t>7</w:t>
            </w:r>
            <w:r>
              <w:rPr>
                <w:rFonts w:hint="eastAsia"/>
              </w:rPr>
              <w:t>日</w:t>
            </w:r>
          </w:p>
        </w:tc>
        <w:tc>
          <w:tcPr>
            <w:tcW w:w="1171" w:type="pct"/>
          </w:tcPr>
          <w:p w:rsidR="00597370" w:rsidRDefault="003C2EEE">
            <w:pPr>
              <w:widowControl w:val="0"/>
              <w:jc w:val="both"/>
            </w:pPr>
            <w:r>
              <w:rPr>
                <w:rFonts w:hint="eastAsia"/>
              </w:rPr>
              <w:t>详见《</w:t>
            </w:r>
            <w:r>
              <w:t>2023年</w:t>
            </w:r>
            <w:r>
              <w:rPr>
                <w:rFonts w:hint="eastAsia"/>
              </w:rPr>
              <w:t>年度</w:t>
            </w:r>
            <w:r>
              <w:t>股东大会决议公告》（公告编号：2024-040）</w:t>
            </w:r>
          </w:p>
        </w:tc>
      </w:tr>
    </w:tbl>
    <w:p w:rsidR="00597370" w:rsidRDefault="00597370">
      <w:pPr>
        <w:rPr>
          <w:color w:val="000000" w:themeColor="text1"/>
        </w:rPr>
      </w:pPr>
    </w:p>
    <w:p w:rsidR="00597370" w:rsidRDefault="003C2EEE">
      <w:pPr>
        <w:rPr>
          <w:b/>
          <w:color w:val="000000" w:themeColor="text1"/>
        </w:rPr>
      </w:pPr>
      <w:bookmarkStart w:id="45" w:name="_Hlk41294309"/>
      <w:bookmarkEnd w:id="44"/>
      <w:r>
        <w:rPr>
          <w:rFonts w:hint="eastAsia"/>
          <w:b/>
          <w:color w:val="000000" w:themeColor="text1"/>
        </w:rPr>
        <w:t>表决权恢复的优先股股东请求召开临时股东大会</w:t>
      </w:r>
    </w:p>
    <w:sdt>
      <w:sdtPr>
        <w:rPr>
          <w:color w:val="000000" w:themeColor="text1"/>
        </w:rPr>
        <w:alias w:val="是否适用：表决权恢复的优先股股东请求召开临时股东大会[双击切换]"/>
        <w:tag w:val="_GBC_07c9bc8db9ab4498ac0bfac48beddedc"/>
        <w:id w:val="-142525921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5"/>
    <w:p w:rsidR="00597370" w:rsidRDefault="00597370">
      <w:pPr>
        <w:rPr>
          <w:color w:val="000000" w:themeColor="text1"/>
        </w:rPr>
      </w:pPr>
    </w:p>
    <w:p w:rsidR="00597370" w:rsidRDefault="003C2EEE">
      <w:pPr>
        <w:rPr>
          <w:color w:val="000000" w:themeColor="text1"/>
        </w:rPr>
      </w:pPr>
      <w:r>
        <w:rPr>
          <w:rFonts w:hint="eastAsia"/>
          <w:color w:val="000000" w:themeColor="text1"/>
        </w:rPr>
        <w:t>股东大会情况说明</w:t>
      </w:r>
    </w:p>
    <w:sdt>
      <w:sdtPr>
        <w:rPr>
          <w:rFonts w:hint="eastAsia"/>
          <w:color w:val="000000" w:themeColor="text1"/>
        </w:rPr>
        <w:alias w:val="是否适用：股东大会情况说明[双击切换]"/>
        <w:tag w:val="_GBC_bc06fc78c35044b0a848192606e2a5ad"/>
        <w:id w:val="50632729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4"/>
        </w:numPr>
        <w:tabs>
          <w:tab w:val="left" w:pos="426"/>
        </w:tabs>
        <w:ind w:firstLineChars="0"/>
        <w:jc w:val="left"/>
        <w:rPr>
          <w:rFonts w:ascii="宋体" w:hAnsi="宋体"/>
          <w:color w:val="000000" w:themeColor="text1"/>
        </w:rPr>
      </w:pPr>
      <w:bookmarkStart w:id="46" w:name="_Toc342566009"/>
      <w:bookmarkStart w:id="47" w:name="_Toc342057949"/>
      <w:r>
        <w:rPr>
          <w:rFonts w:ascii="宋体" w:hAnsi="宋体"/>
          <w:color w:val="000000" w:themeColor="text1"/>
        </w:rPr>
        <w:t>公司董事、监事、高级管理人员变动情况</w:t>
      </w:r>
      <w:bookmarkEnd w:id="46"/>
      <w:bookmarkEnd w:id="47"/>
    </w:p>
    <w:sdt>
      <w:sdtPr>
        <w:rPr>
          <w:color w:val="000000" w:themeColor="text1"/>
        </w:rPr>
        <w:alias w:val="是否适用：公司董事、监事、高级管理人员变动情况[双击切换]"/>
        <w:tag w:val="_GBC_001d837207464f1aaa52a7fb8cd9d226"/>
        <w:id w:val="36881140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00"/>
        <w:gridCol w:w="3056"/>
        <w:gridCol w:w="2867"/>
      </w:tblGrid>
      <w:tr w:rsidR="00597370">
        <w:sdt>
          <w:sdtPr>
            <w:rPr>
              <w:color w:val="000000" w:themeColor="text1"/>
            </w:rPr>
            <w:tag w:val="_PLD_8d21520223e04755b8822b634d237604"/>
            <w:id w:val="-1438821056"/>
          </w:sdtPr>
          <w:sdtEndPr/>
          <w:sdtContent>
            <w:tc>
              <w:tcPr>
                <w:tcW w:w="1643" w:type="pct"/>
                <w:shd w:val="clear" w:color="auto" w:fill="auto"/>
              </w:tcPr>
              <w:p w:rsidR="00597370" w:rsidRDefault="003C2EEE">
                <w:pPr>
                  <w:kinsoku w:val="0"/>
                  <w:overflowPunct w:val="0"/>
                  <w:autoSpaceDE w:val="0"/>
                  <w:autoSpaceDN w:val="0"/>
                  <w:adjustRightInd w:val="0"/>
                  <w:snapToGrid w:val="0"/>
                  <w:jc w:val="center"/>
                  <w:rPr>
                    <w:color w:val="000000" w:themeColor="text1"/>
                  </w:rPr>
                </w:pPr>
                <w:r>
                  <w:rPr>
                    <w:rFonts w:hint="eastAsia"/>
                    <w:color w:val="000000" w:themeColor="text1"/>
                  </w:rPr>
                  <w:t>姓名</w:t>
                </w:r>
              </w:p>
            </w:tc>
          </w:sdtContent>
        </w:sdt>
        <w:sdt>
          <w:sdtPr>
            <w:rPr>
              <w:color w:val="000000" w:themeColor="text1"/>
            </w:rPr>
            <w:tag w:val="_PLD_fbd3bf633b6f43caac5e618a32167462"/>
            <w:id w:val="-965431227"/>
          </w:sdtPr>
          <w:sdtEndPr/>
          <w:sdtContent>
            <w:tc>
              <w:tcPr>
                <w:tcW w:w="1732" w:type="pct"/>
                <w:shd w:val="clear" w:color="auto" w:fill="auto"/>
              </w:tcPr>
              <w:p w:rsidR="00597370" w:rsidRDefault="003C2EEE">
                <w:pPr>
                  <w:kinsoku w:val="0"/>
                  <w:overflowPunct w:val="0"/>
                  <w:autoSpaceDE w:val="0"/>
                  <w:autoSpaceDN w:val="0"/>
                  <w:adjustRightInd w:val="0"/>
                  <w:snapToGrid w:val="0"/>
                  <w:jc w:val="center"/>
                  <w:rPr>
                    <w:color w:val="000000" w:themeColor="text1"/>
                  </w:rPr>
                </w:pPr>
                <w:r>
                  <w:rPr>
                    <w:rFonts w:hint="eastAsia"/>
                    <w:color w:val="000000" w:themeColor="text1"/>
                  </w:rPr>
                  <w:t>担任的职务</w:t>
                </w:r>
              </w:p>
            </w:tc>
          </w:sdtContent>
        </w:sdt>
        <w:sdt>
          <w:sdtPr>
            <w:rPr>
              <w:color w:val="000000" w:themeColor="text1"/>
            </w:rPr>
            <w:tag w:val="_PLD_32b7efb7e5ea42b9a9c73ad4470b3d12"/>
            <w:id w:val="-1748563078"/>
          </w:sdtPr>
          <w:sdtEndPr/>
          <w:sdtContent>
            <w:tc>
              <w:tcPr>
                <w:tcW w:w="1625" w:type="pct"/>
                <w:shd w:val="clear" w:color="auto" w:fill="auto"/>
              </w:tcPr>
              <w:p w:rsidR="00597370" w:rsidRDefault="003C2EEE">
                <w:pPr>
                  <w:kinsoku w:val="0"/>
                  <w:overflowPunct w:val="0"/>
                  <w:autoSpaceDE w:val="0"/>
                  <w:autoSpaceDN w:val="0"/>
                  <w:adjustRightInd w:val="0"/>
                  <w:snapToGrid w:val="0"/>
                  <w:jc w:val="center"/>
                  <w:rPr>
                    <w:color w:val="000000" w:themeColor="text1"/>
                    <w:highlight w:val="cyan"/>
                  </w:rPr>
                </w:pPr>
                <w:r>
                  <w:rPr>
                    <w:rFonts w:hint="eastAsia"/>
                    <w:color w:val="000000" w:themeColor="text1"/>
                  </w:rPr>
                  <w:t>变动情形</w:t>
                </w:r>
              </w:p>
            </w:tc>
          </w:sdtContent>
        </w:sdt>
      </w:tr>
      <w:tr w:rsidR="00597370">
        <w:tc>
          <w:tcPr>
            <w:tcW w:w="1643" w:type="pct"/>
          </w:tcPr>
          <w:p w:rsidR="00597370" w:rsidRDefault="003C2EEE">
            <w:pPr>
              <w:kinsoku w:val="0"/>
              <w:overflowPunct w:val="0"/>
              <w:autoSpaceDE w:val="0"/>
              <w:autoSpaceDN w:val="0"/>
              <w:adjustRightInd w:val="0"/>
              <w:snapToGrid w:val="0"/>
            </w:pPr>
            <w:r>
              <w:rPr>
                <w:rFonts w:hint="eastAsia"/>
              </w:rPr>
              <w:t>杨宏伟</w:t>
            </w:r>
          </w:p>
        </w:tc>
        <w:tc>
          <w:tcPr>
            <w:tcW w:w="1732" w:type="pct"/>
          </w:tcPr>
          <w:p w:rsidR="00597370" w:rsidRDefault="003C2EEE">
            <w:pPr>
              <w:kinsoku w:val="0"/>
              <w:overflowPunct w:val="0"/>
              <w:autoSpaceDE w:val="0"/>
              <w:autoSpaceDN w:val="0"/>
              <w:adjustRightInd w:val="0"/>
              <w:snapToGrid w:val="0"/>
            </w:pPr>
            <w:r>
              <w:rPr>
                <w:rFonts w:hint="eastAsia"/>
              </w:rPr>
              <w:t>副总经理</w:t>
            </w:r>
          </w:p>
        </w:tc>
        <w:sdt>
          <w:sdtPr>
            <w:rPr>
              <w:color w:val="000000" w:themeColor="text1"/>
            </w:rPr>
            <w:alias w:val="公司董事、监事、高级管理人员的变动情形"/>
            <w:tag w:val="_GBC_466f24fb36cc4d949be4225fed8d37c7"/>
            <w:id w:val="-2066947872"/>
            <w:comboBox>
              <w:listItem w:displayText="聘任" w:value="聘任"/>
              <w:listItem w:displayText="离任" w:value="离任"/>
              <w:listItem w:displayText="解任" w:value="解任"/>
              <w:listItem w:displayText="选举" w:value="选举"/>
            </w:comboBox>
          </w:sdtPr>
          <w:sdtEndPr/>
          <w:sdtContent>
            <w:tc>
              <w:tcPr>
                <w:tcW w:w="1625" w:type="pct"/>
              </w:tcPr>
              <w:p w:rsidR="00597370" w:rsidRDefault="003C2EEE">
                <w:pPr>
                  <w:kinsoku w:val="0"/>
                  <w:overflowPunct w:val="0"/>
                  <w:autoSpaceDE w:val="0"/>
                  <w:autoSpaceDN w:val="0"/>
                  <w:adjustRightInd w:val="0"/>
                  <w:snapToGrid w:val="0"/>
                  <w:rPr>
                    <w:color w:val="000000" w:themeColor="text1"/>
                  </w:rPr>
                </w:pPr>
                <w:r>
                  <w:rPr>
                    <w:color w:val="000000" w:themeColor="text1"/>
                  </w:rPr>
                  <w:t>聘任</w:t>
                </w:r>
              </w:p>
            </w:tc>
          </w:sdtContent>
        </w:sdt>
      </w:tr>
    </w:tbl>
    <w:p w:rsidR="00597370" w:rsidRDefault="00597370"/>
    <w:p w:rsidR="00597370" w:rsidRDefault="00597370">
      <w:pPr>
        <w:rPr>
          <w:color w:val="000000" w:themeColor="text1"/>
        </w:rPr>
      </w:pPr>
    </w:p>
    <w:p w:rsidR="00597370" w:rsidRDefault="003C2EEE">
      <w:pPr>
        <w:rPr>
          <w:color w:val="000000" w:themeColor="text1"/>
        </w:rPr>
      </w:pPr>
      <w:r>
        <w:rPr>
          <w:rFonts w:hint="eastAsia"/>
          <w:color w:val="000000" w:themeColor="text1"/>
        </w:rPr>
        <w:t>公司董事、监事、高级管理人员变动的情况说明</w:t>
      </w:r>
    </w:p>
    <w:sdt>
      <w:sdtPr>
        <w:rPr>
          <w:rFonts w:hint="eastAsia"/>
          <w:color w:val="000000" w:themeColor="text1"/>
        </w:rPr>
        <w:alias w:val="是否适用：公司董事、监事、高级管理人员变动的情况说明 [双击切换]"/>
        <w:tag w:val="_GBC_1eda708e71a542fa89f6ad1bb8abbf70"/>
        <w:id w:val="172217602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公司董事、监事、高级管理人员变动的情况说明"/>
        <w:tag w:val="_GBC_f2e7651aeda04cb8847fc3d49af6315f"/>
        <w:id w:val="1245301063"/>
      </w:sdtPr>
      <w:sdtEndPr/>
      <w:sdtContent>
        <w:p w:rsidR="00597370" w:rsidRDefault="003C2EEE">
          <w:pPr>
            <w:spacing w:line="360" w:lineRule="auto"/>
            <w:ind w:firstLineChars="200" w:firstLine="420"/>
            <w:rPr>
              <w:color w:val="000000" w:themeColor="text1"/>
            </w:rPr>
          </w:pPr>
          <w:r>
            <w:rPr>
              <w:rFonts w:hint="eastAsia"/>
              <w:color w:val="000000" w:themeColor="text1"/>
            </w:rPr>
            <w:t>公司于</w:t>
          </w:r>
          <w:r>
            <w:rPr>
              <w:color w:val="000000" w:themeColor="text1"/>
            </w:rPr>
            <w:t>2024年4月24日召开了第四届董事会第五次会议，审议通过</w:t>
          </w:r>
          <w:proofErr w:type="gramStart"/>
          <w:r>
            <w:rPr>
              <w:color w:val="000000" w:themeColor="text1"/>
            </w:rPr>
            <w:t>《</w:t>
          </w:r>
          <w:proofErr w:type="gramEnd"/>
          <w:r>
            <w:rPr>
              <w:color w:val="000000" w:themeColor="text1"/>
            </w:rPr>
            <w:t>关于聘任公司副总经理的议案</w:t>
          </w:r>
          <w:r>
            <w:rPr>
              <w:rFonts w:hint="eastAsia"/>
              <w:color w:val="000000" w:themeColor="text1"/>
            </w:rPr>
            <w:t>，同意聘任杨宏伟先生为公司副总经理，具体情详见公司在上海证交易所披露的</w:t>
          </w:r>
          <w:proofErr w:type="gramStart"/>
          <w:r>
            <w:rPr>
              <w:rFonts w:hint="eastAsia"/>
              <w:color w:val="000000" w:themeColor="text1"/>
            </w:rPr>
            <w:t>《</w:t>
          </w:r>
          <w:proofErr w:type="gramEnd"/>
          <w:r>
            <w:rPr>
              <w:rFonts w:hint="eastAsia"/>
              <w:color w:val="000000" w:themeColor="text1"/>
            </w:rPr>
            <w:t>关于聘任公司副总经理公告</w:t>
          </w:r>
          <w:proofErr w:type="gramStart"/>
          <w:r>
            <w:rPr>
              <w:rFonts w:hint="eastAsia"/>
              <w:color w:val="000000" w:themeColor="text1"/>
            </w:rPr>
            <w:t>》</w:t>
          </w:r>
          <w:proofErr w:type="gramEnd"/>
          <w:r>
            <w:rPr>
              <w:rFonts w:hint="eastAsia"/>
              <w:color w:val="000000" w:themeColor="text1"/>
            </w:rPr>
            <w:t>（公告编号：2</w:t>
          </w:r>
          <w:r>
            <w:rPr>
              <w:color w:val="000000" w:themeColor="text1"/>
            </w:rPr>
            <w:t>024-037</w:t>
          </w:r>
          <w:r>
            <w:rPr>
              <w:rFonts w:hint="eastAsia"/>
              <w:color w:val="000000" w:themeColor="text1"/>
            </w:rPr>
            <w:t>）</w:t>
          </w:r>
          <w:r>
            <w:rPr>
              <w:color w:val="000000" w:themeColor="text1"/>
            </w:rPr>
            <w:t>。</w:t>
          </w:r>
        </w:p>
      </w:sdtContent>
    </w:sdt>
    <w:p w:rsidR="00597370" w:rsidRDefault="00597370">
      <w:pPr>
        <w:rPr>
          <w:color w:val="000000" w:themeColor="text1"/>
        </w:rPr>
      </w:pPr>
    </w:p>
    <w:p w:rsidR="00597370" w:rsidRDefault="003C2EEE">
      <w:pPr>
        <w:pStyle w:val="2"/>
        <w:numPr>
          <w:ilvl w:val="0"/>
          <w:numId w:val="14"/>
        </w:numPr>
        <w:tabs>
          <w:tab w:val="left" w:pos="426"/>
        </w:tabs>
        <w:ind w:firstLineChars="0"/>
        <w:jc w:val="left"/>
        <w:rPr>
          <w:rFonts w:ascii="宋体" w:hAnsi="宋体"/>
          <w:color w:val="000000" w:themeColor="text1"/>
        </w:rPr>
      </w:pPr>
      <w:r>
        <w:rPr>
          <w:rFonts w:ascii="宋体" w:hAnsi="宋体"/>
          <w:color w:val="000000" w:themeColor="text1"/>
        </w:rPr>
        <w:t>利润分配或资本公积金转增预案</w:t>
      </w:r>
    </w:p>
    <w:p w:rsidR="00597370" w:rsidRDefault="003C2EEE">
      <w:pPr>
        <w:rPr>
          <w:b/>
          <w:bCs w:val="0"/>
          <w:color w:val="000000" w:themeColor="text1"/>
        </w:rPr>
      </w:pPr>
      <w:r>
        <w:rPr>
          <w:b/>
          <w:color w:val="000000" w:themeColor="text1"/>
        </w:rPr>
        <w:t>半年度拟定的利润分配预案、公积金转增股本预案</w:t>
      </w:r>
    </w:p>
    <w:tbl>
      <w:tblPr>
        <w:tblStyle w:val="g5"/>
        <w:tblW w:w="0" w:type="auto"/>
        <w:tblLook w:val="04A0" w:firstRow="1" w:lastRow="0" w:firstColumn="1" w:lastColumn="0" w:noHBand="0" w:noVBand="1"/>
      </w:tblPr>
      <w:tblGrid>
        <w:gridCol w:w="4418"/>
        <w:gridCol w:w="4405"/>
      </w:tblGrid>
      <w:tr w:rsidR="00597370">
        <w:sdt>
          <w:sdtPr>
            <w:rPr>
              <w:rFonts w:ascii="Times New Roman" w:hAnsi="Times New Roman"/>
              <w:color w:val="000000" w:themeColor="text1"/>
            </w:rPr>
            <w:tag w:val="_PLD_dee68179c02c4ccc8a9b8d7e3f70f2c6"/>
            <w:id w:val="517817297"/>
          </w:sdtPr>
          <w:sdtEndPr/>
          <w:sdtContent>
            <w:tc>
              <w:tcPr>
                <w:tcW w:w="4524" w:type="dxa"/>
              </w:tcPr>
              <w:p w:rsidR="00597370" w:rsidRDefault="003C2EEE">
                <w:pPr>
                  <w:rPr>
                    <w:rFonts w:ascii="Times New Roman" w:hAnsi="Times New Roman"/>
                    <w:color w:val="000000" w:themeColor="text1"/>
                  </w:rPr>
                </w:pPr>
                <w:r>
                  <w:rPr>
                    <w:rFonts w:ascii="Times New Roman" w:hAnsi="Times New Roman"/>
                    <w:color w:val="000000" w:themeColor="text1"/>
                  </w:rPr>
                  <w:t>是否分配或转增</w:t>
                </w:r>
              </w:p>
            </w:tc>
          </w:sdtContent>
        </w:sdt>
        <w:sdt>
          <w:sdtPr>
            <w:rPr>
              <w:rFonts w:ascii="Times New Roman" w:hAnsi="Times New Roman" w:hint="eastAsia"/>
              <w:color w:val="000000" w:themeColor="text1"/>
            </w:rPr>
            <w:alias w:val="是否分配或转增"/>
            <w:tag w:val="_GBC_1aa3bb539f35454da0536200efcc4f60"/>
            <w:id w:val="-133560038"/>
            <w:comboBox>
              <w:listItem w:displayText="是" w:value="true"/>
              <w:listItem w:displayText="否" w:value="false"/>
            </w:comboBox>
          </w:sdtPr>
          <w:sdtEndPr/>
          <w:sdtContent>
            <w:tc>
              <w:tcPr>
                <w:tcW w:w="4524" w:type="dxa"/>
              </w:tcPr>
              <w:p w:rsidR="00597370" w:rsidRDefault="003C2EEE">
                <w:pPr>
                  <w:jc w:val="left"/>
                  <w:rPr>
                    <w:rFonts w:ascii="Times New Roman" w:hAnsi="Times New Roman"/>
                    <w:color w:val="000000" w:themeColor="text1"/>
                  </w:rPr>
                </w:pPr>
                <w:r>
                  <w:rPr>
                    <w:rFonts w:ascii="Times New Roman" w:hAnsi="Times New Roman" w:hint="eastAsia"/>
                    <w:color w:val="000000" w:themeColor="text1"/>
                  </w:rPr>
                  <w:t>否</w:t>
                </w:r>
              </w:p>
            </w:tc>
          </w:sdtContent>
        </w:sdt>
      </w:tr>
      <w:tr w:rsidR="00597370">
        <w:tc>
          <w:tcPr>
            <w:tcW w:w="4524" w:type="dxa"/>
          </w:tcPr>
          <w:p w:rsidR="00597370" w:rsidRDefault="003C2EEE">
            <w:pPr>
              <w:rPr>
                <w:rFonts w:ascii="Times New Roman" w:hAnsi="Times New Roman"/>
                <w:color w:val="000000" w:themeColor="text1"/>
              </w:rPr>
            </w:pPr>
            <w:r>
              <w:rPr>
                <w:rFonts w:ascii="Times New Roman" w:hAnsi="Times New Roman"/>
                <w:color w:val="000000" w:themeColor="text1"/>
              </w:rPr>
              <w:t>每</w:t>
            </w:r>
            <w:r>
              <w:rPr>
                <w:rFonts w:ascii="Times New Roman" w:hAnsi="Times New Roman"/>
                <w:color w:val="000000" w:themeColor="text1"/>
              </w:rPr>
              <w:t>10</w:t>
            </w:r>
            <w:r>
              <w:rPr>
                <w:rFonts w:ascii="Times New Roman" w:hAnsi="Times New Roman"/>
                <w:color w:val="000000" w:themeColor="text1"/>
              </w:rPr>
              <w:t>股送红股数（股）</w:t>
            </w:r>
          </w:p>
        </w:tc>
        <w:tc>
          <w:tcPr>
            <w:tcW w:w="4524" w:type="dxa"/>
          </w:tcPr>
          <w:p w:rsidR="00597370" w:rsidRDefault="003C2EEE">
            <w:pPr>
              <w:jc w:val="right"/>
              <w:rPr>
                <w:rFonts w:ascii="Times New Roman" w:hAnsi="Times New Roman"/>
              </w:rPr>
            </w:pPr>
            <w:r>
              <w:rPr>
                <w:rFonts w:ascii="Times New Roman" w:hAnsi="Times New Roman" w:hint="eastAsia"/>
              </w:rPr>
              <w:t>0</w:t>
            </w:r>
          </w:p>
        </w:tc>
      </w:tr>
      <w:tr w:rsidR="00597370">
        <w:tc>
          <w:tcPr>
            <w:tcW w:w="4524" w:type="dxa"/>
          </w:tcPr>
          <w:p w:rsidR="00597370" w:rsidRDefault="003C2EEE">
            <w:pPr>
              <w:rPr>
                <w:rFonts w:ascii="Times New Roman" w:hAnsi="Times New Roman"/>
                <w:color w:val="000000" w:themeColor="text1"/>
              </w:rPr>
            </w:pPr>
            <w:r>
              <w:rPr>
                <w:rFonts w:ascii="Times New Roman" w:hAnsi="Times New Roman"/>
                <w:color w:val="000000" w:themeColor="text1"/>
              </w:rPr>
              <w:t>每</w:t>
            </w:r>
            <w:r>
              <w:rPr>
                <w:rFonts w:ascii="Times New Roman" w:hAnsi="Times New Roman"/>
                <w:color w:val="000000" w:themeColor="text1"/>
              </w:rPr>
              <w:t>10</w:t>
            </w:r>
            <w:r>
              <w:rPr>
                <w:rFonts w:ascii="Times New Roman" w:hAnsi="Times New Roman"/>
                <w:color w:val="000000" w:themeColor="text1"/>
              </w:rPr>
              <w:t>股派息数</w:t>
            </w:r>
            <w:r>
              <w:rPr>
                <w:rFonts w:ascii="Times New Roman" w:hAnsi="Times New Roman"/>
                <w:color w:val="000000" w:themeColor="text1"/>
              </w:rPr>
              <w:t>(</w:t>
            </w:r>
            <w:r>
              <w:rPr>
                <w:rFonts w:ascii="Times New Roman" w:hAnsi="Times New Roman"/>
                <w:color w:val="000000" w:themeColor="text1"/>
              </w:rPr>
              <w:t>元</w:t>
            </w:r>
            <w:r>
              <w:rPr>
                <w:rFonts w:ascii="Times New Roman" w:hAnsi="Times New Roman"/>
                <w:color w:val="000000" w:themeColor="text1"/>
              </w:rPr>
              <w:t>)</w:t>
            </w:r>
            <w:r>
              <w:rPr>
                <w:rFonts w:ascii="Times New Roman" w:hAnsi="Times New Roman"/>
                <w:color w:val="000000" w:themeColor="text1"/>
              </w:rPr>
              <w:t>（含税）</w:t>
            </w:r>
          </w:p>
        </w:tc>
        <w:tc>
          <w:tcPr>
            <w:tcW w:w="4524" w:type="dxa"/>
          </w:tcPr>
          <w:p w:rsidR="00597370" w:rsidRDefault="003C2EEE">
            <w:pPr>
              <w:jc w:val="right"/>
              <w:rPr>
                <w:rFonts w:ascii="Times New Roman" w:hAnsi="Times New Roman"/>
              </w:rPr>
            </w:pPr>
            <w:r>
              <w:rPr>
                <w:rFonts w:ascii="Times New Roman" w:hAnsi="Times New Roman" w:hint="eastAsia"/>
              </w:rPr>
              <w:t>0</w:t>
            </w:r>
          </w:p>
        </w:tc>
      </w:tr>
      <w:tr w:rsidR="00597370">
        <w:tc>
          <w:tcPr>
            <w:tcW w:w="4524" w:type="dxa"/>
          </w:tcPr>
          <w:p w:rsidR="00597370" w:rsidRDefault="003C2EEE">
            <w:pPr>
              <w:rPr>
                <w:rFonts w:ascii="Times New Roman" w:hAnsi="Times New Roman"/>
                <w:color w:val="000000" w:themeColor="text1"/>
              </w:rPr>
            </w:pPr>
            <w:r>
              <w:rPr>
                <w:rFonts w:ascii="Times New Roman" w:hAnsi="Times New Roman"/>
                <w:color w:val="000000" w:themeColor="text1"/>
              </w:rPr>
              <w:t>每</w:t>
            </w:r>
            <w:r>
              <w:rPr>
                <w:rFonts w:ascii="Times New Roman" w:hAnsi="Times New Roman"/>
                <w:color w:val="000000" w:themeColor="text1"/>
              </w:rPr>
              <w:t>10</w:t>
            </w:r>
            <w:r>
              <w:rPr>
                <w:rFonts w:ascii="Times New Roman" w:hAnsi="Times New Roman"/>
                <w:color w:val="000000" w:themeColor="text1"/>
              </w:rPr>
              <w:t>股转增数（股）</w:t>
            </w:r>
          </w:p>
        </w:tc>
        <w:tc>
          <w:tcPr>
            <w:tcW w:w="4524" w:type="dxa"/>
          </w:tcPr>
          <w:p w:rsidR="00597370" w:rsidRDefault="003C2EEE">
            <w:pPr>
              <w:jc w:val="right"/>
              <w:rPr>
                <w:rFonts w:ascii="Times New Roman" w:hAnsi="Times New Roman"/>
              </w:rPr>
            </w:pPr>
            <w:r>
              <w:rPr>
                <w:rFonts w:ascii="Times New Roman" w:hAnsi="Times New Roman" w:hint="eastAsia"/>
              </w:rPr>
              <w:t>0</w:t>
            </w:r>
          </w:p>
        </w:tc>
      </w:tr>
      <w:tr w:rsidR="00597370">
        <w:sdt>
          <w:sdtPr>
            <w:rPr>
              <w:rFonts w:ascii="Times New Roman" w:hAnsi="Times New Roman"/>
              <w:color w:val="000000" w:themeColor="text1"/>
            </w:rPr>
            <w:tag w:val="_PLD_6f4b1db2793f4d00b5b11589fa8a57fc"/>
            <w:id w:val="1785065997"/>
          </w:sdtPr>
          <w:sdtEndPr/>
          <w:sdtContent>
            <w:tc>
              <w:tcPr>
                <w:tcW w:w="9048" w:type="dxa"/>
                <w:gridSpan w:val="2"/>
              </w:tcPr>
              <w:p w:rsidR="00597370" w:rsidRDefault="003C2EEE">
                <w:pPr>
                  <w:jc w:val="center"/>
                  <w:rPr>
                    <w:rFonts w:ascii="Times New Roman" w:hAnsi="Times New Roman"/>
                    <w:color w:val="000000" w:themeColor="text1"/>
                  </w:rPr>
                </w:pPr>
                <w:r>
                  <w:rPr>
                    <w:rFonts w:ascii="Times New Roman" w:hAnsi="Times New Roman"/>
                    <w:color w:val="000000" w:themeColor="text1"/>
                  </w:rPr>
                  <w:t>利润分配或资本公积金转增预案的相关情况说明</w:t>
                </w:r>
              </w:p>
            </w:tc>
          </w:sdtContent>
        </w:sdt>
      </w:tr>
      <w:tr w:rsidR="00597370">
        <w:tc>
          <w:tcPr>
            <w:tcW w:w="9048" w:type="dxa"/>
            <w:gridSpan w:val="2"/>
          </w:tcPr>
          <w:p w:rsidR="00597370" w:rsidRDefault="003C2EEE">
            <w:pPr>
              <w:jc w:val="right"/>
              <w:rPr>
                <w:rFonts w:ascii="Times New Roman" w:hAnsi="Times New Roman"/>
                <w:color w:val="000000" w:themeColor="text1"/>
              </w:rPr>
            </w:pPr>
            <w:r>
              <w:rPr>
                <w:rFonts w:ascii="Times New Roman" w:hAnsi="Times New Roman" w:hint="eastAsia"/>
                <w:color w:val="000000" w:themeColor="text1"/>
              </w:rPr>
              <w:t>无</w:t>
            </w:r>
          </w:p>
        </w:tc>
      </w:tr>
    </w:tbl>
    <w:p w:rsidR="00597370" w:rsidRDefault="00597370">
      <w:pPr>
        <w:rPr>
          <w:color w:val="000000" w:themeColor="text1"/>
        </w:rPr>
      </w:pPr>
    </w:p>
    <w:p w:rsidR="00597370" w:rsidRDefault="003C2EEE">
      <w:pPr>
        <w:pStyle w:val="2"/>
        <w:numPr>
          <w:ilvl w:val="0"/>
          <w:numId w:val="14"/>
        </w:numPr>
        <w:tabs>
          <w:tab w:val="left" w:pos="426"/>
        </w:tabs>
        <w:ind w:firstLineChars="0"/>
        <w:jc w:val="left"/>
        <w:rPr>
          <w:rFonts w:ascii="宋体" w:hAnsi="宋体"/>
          <w:color w:val="000000" w:themeColor="text1"/>
        </w:rPr>
      </w:pPr>
      <w:r>
        <w:rPr>
          <w:rFonts w:ascii="宋体" w:hAnsi="宋体"/>
          <w:color w:val="000000" w:themeColor="text1"/>
        </w:rPr>
        <w:t>公司股权激励计划、员工持股计划或其他员工激励措施的情况及其影响</w:t>
      </w:r>
    </w:p>
    <w:p w:rsidR="00597370" w:rsidRDefault="003C2EEE">
      <w:pPr>
        <w:pStyle w:val="3"/>
        <w:numPr>
          <w:ilvl w:val="1"/>
          <w:numId w:val="15"/>
        </w:numPr>
        <w:rPr>
          <w:rFonts w:ascii="宋体" w:hAnsi="宋体"/>
          <w:color w:val="000000" w:themeColor="text1"/>
          <w:kern w:val="44"/>
        </w:rPr>
      </w:pPr>
      <w:bookmarkStart w:id="48" w:name="_Hlk74641818"/>
      <w:r>
        <w:rPr>
          <w:rFonts w:ascii="宋体" w:hAnsi="宋体" w:hint="eastAsia"/>
          <w:color w:val="000000" w:themeColor="text1"/>
          <w:kern w:val="44"/>
        </w:rPr>
        <w:t>相关股权激励事项已在临时公告披露且后续实施无进展或变化的</w:t>
      </w:r>
    </w:p>
    <w:sdt>
      <w:sdtPr>
        <w:rPr>
          <w:color w:val="000000" w:themeColor="text1"/>
        </w:rPr>
        <w:alias w:val="是否适用：相关激励事项已在临时公告披露且后续实施无进展或变化的[双击切换]"/>
        <w:tag w:val="_GBC_3c43a5cea9ef47daa40f133532dcd63c"/>
        <w:id w:val="124583742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5731"/>
      </w:tblGrid>
      <w:tr w:rsidR="00597370">
        <w:sdt>
          <w:sdtPr>
            <w:rPr>
              <w:color w:val="000000" w:themeColor="text1"/>
            </w:rPr>
            <w:tag w:val="_PLD_ef812a0a3e304bed86eb0a29278eb98f"/>
            <w:id w:val="-186364850"/>
          </w:sdtPr>
          <w:sdtEndPr/>
          <w:sdtContent>
            <w:tc>
              <w:tcPr>
                <w:tcW w:w="1752" w:type="pct"/>
                <w:shd w:val="clear" w:color="auto" w:fill="auto"/>
              </w:tcPr>
              <w:p w:rsidR="00597370" w:rsidRDefault="003C2EEE">
                <w:pPr>
                  <w:jc w:val="center"/>
                  <w:rPr>
                    <w:bCs w:val="0"/>
                    <w:color w:val="000000" w:themeColor="text1"/>
                    <w:kern w:val="44"/>
                  </w:rPr>
                </w:pPr>
                <w:r>
                  <w:rPr>
                    <w:rFonts w:hint="eastAsia"/>
                    <w:color w:val="000000" w:themeColor="text1"/>
                    <w:kern w:val="44"/>
                  </w:rPr>
                  <w:t>事项概述</w:t>
                </w:r>
              </w:p>
            </w:tc>
          </w:sdtContent>
        </w:sdt>
        <w:sdt>
          <w:sdtPr>
            <w:rPr>
              <w:color w:val="000000" w:themeColor="text1"/>
            </w:rPr>
            <w:tag w:val="_PLD_765d129d92594e59b6a30bc92f2cc4f2"/>
            <w:id w:val="-1705016862"/>
          </w:sdtPr>
          <w:sdtEndPr/>
          <w:sdtContent>
            <w:tc>
              <w:tcPr>
                <w:tcW w:w="3248" w:type="pct"/>
                <w:shd w:val="clear" w:color="auto" w:fill="auto"/>
              </w:tcPr>
              <w:p w:rsidR="00597370" w:rsidRDefault="003C2EEE">
                <w:pPr>
                  <w:jc w:val="center"/>
                  <w:rPr>
                    <w:bCs w:val="0"/>
                    <w:color w:val="000000" w:themeColor="text1"/>
                    <w:kern w:val="44"/>
                  </w:rPr>
                </w:pPr>
                <w:r>
                  <w:rPr>
                    <w:rFonts w:hint="eastAsia"/>
                    <w:color w:val="000000" w:themeColor="text1"/>
                    <w:kern w:val="44"/>
                  </w:rPr>
                  <w:t>查询索引</w:t>
                </w:r>
              </w:p>
            </w:tc>
          </w:sdtContent>
        </w:sdt>
      </w:tr>
      <w:tr w:rsidR="00597370">
        <w:tc>
          <w:tcPr>
            <w:tcW w:w="1752" w:type="pct"/>
            <w:shd w:val="clear" w:color="auto" w:fill="auto"/>
          </w:tcPr>
          <w:p w:rsidR="00597370" w:rsidRDefault="003C2EEE">
            <w:pPr>
              <w:jc w:val="both"/>
              <w:rPr>
                <w:bCs w:val="0"/>
                <w:kern w:val="44"/>
              </w:rPr>
            </w:pPr>
            <w:r>
              <w:rPr>
                <w:rFonts w:hint="eastAsia"/>
                <w:kern w:val="44"/>
              </w:rPr>
              <w:t>向</w:t>
            </w:r>
            <w:r>
              <w:rPr>
                <w:kern w:val="44"/>
              </w:rPr>
              <w:t>2024年限制性股票激励计划</w:t>
            </w:r>
            <w:r>
              <w:rPr>
                <w:rFonts w:hint="eastAsia"/>
                <w:kern w:val="44"/>
              </w:rPr>
              <w:t>首次授予对象授予限制性股票</w:t>
            </w:r>
          </w:p>
        </w:tc>
        <w:tc>
          <w:tcPr>
            <w:tcW w:w="3248" w:type="pct"/>
            <w:shd w:val="clear" w:color="auto" w:fill="auto"/>
          </w:tcPr>
          <w:p w:rsidR="00597370" w:rsidRDefault="003C2EEE">
            <w:pPr>
              <w:jc w:val="both"/>
              <w:rPr>
                <w:bCs w:val="0"/>
                <w:kern w:val="44"/>
              </w:rPr>
            </w:pPr>
            <w:r>
              <w:rPr>
                <w:rFonts w:hint="eastAsia"/>
                <w:kern w:val="44"/>
              </w:rPr>
              <w:t>详见公司于2</w:t>
            </w:r>
            <w:r>
              <w:rPr>
                <w:kern w:val="44"/>
              </w:rPr>
              <w:t>024</w:t>
            </w:r>
            <w:r>
              <w:rPr>
                <w:rFonts w:hint="eastAsia"/>
                <w:kern w:val="44"/>
              </w:rPr>
              <w:t>年4月9日在上海证券交易所网站（</w:t>
            </w:r>
            <w:r>
              <w:rPr>
                <w:kern w:val="44"/>
              </w:rPr>
              <w:t>www.sse.cm.cn）</w:t>
            </w:r>
            <w:r>
              <w:rPr>
                <w:rFonts w:hint="eastAsia"/>
                <w:kern w:val="44"/>
              </w:rPr>
              <w:t>披露的《关于</w:t>
            </w:r>
            <w:r>
              <w:rPr>
                <w:kern w:val="44"/>
              </w:rPr>
              <w:t>2024年限制性股票激励计划首次授予结果公告</w:t>
            </w:r>
            <w:r>
              <w:rPr>
                <w:rFonts w:hint="eastAsia"/>
                <w:kern w:val="44"/>
              </w:rPr>
              <w:t>》（公告编号：2</w:t>
            </w:r>
            <w:r>
              <w:rPr>
                <w:kern w:val="44"/>
              </w:rPr>
              <w:t>024-029</w:t>
            </w:r>
            <w:r>
              <w:rPr>
                <w:rFonts w:hint="eastAsia"/>
                <w:kern w:val="44"/>
              </w:rPr>
              <w:t>）</w:t>
            </w:r>
          </w:p>
        </w:tc>
      </w:tr>
    </w:tbl>
    <w:p w:rsidR="00597370" w:rsidRDefault="00597370">
      <w:pPr>
        <w:rPr>
          <w:color w:val="000000" w:themeColor="text1"/>
        </w:rPr>
      </w:pPr>
    </w:p>
    <w:bookmarkEnd w:id="48"/>
    <w:p w:rsidR="00597370" w:rsidRDefault="003C2EEE">
      <w:pPr>
        <w:pStyle w:val="3"/>
        <w:numPr>
          <w:ilvl w:val="1"/>
          <w:numId w:val="15"/>
        </w:numPr>
        <w:rPr>
          <w:rFonts w:ascii="宋体" w:hAnsi="宋体"/>
          <w:color w:val="000000" w:themeColor="text1"/>
          <w:kern w:val="44"/>
        </w:rPr>
      </w:pPr>
      <w:r>
        <w:rPr>
          <w:rFonts w:ascii="宋体" w:hAnsi="宋体" w:hint="eastAsia"/>
          <w:color w:val="000000" w:themeColor="text1"/>
          <w:kern w:val="44"/>
        </w:rPr>
        <w:t>临时公告未披露或有后续进展的激励情况</w:t>
      </w:r>
    </w:p>
    <w:p w:rsidR="00597370" w:rsidRDefault="003C2EEE">
      <w:pPr>
        <w:rPr>
          <w:color w:val="000000" w:themeColor="text1"/>
        </w:rPr>
      </w:pPr>
      <w:r>
        <w:rPr>
          <w:rFonts w:hint="eastAsia"/>
          <w:color w:val="000000" w:themeColor="text1"/>
        </w:rPr>
        <w:t>股权激励情况</w:t>
      </w:r>
    </w:p>
    <w:sdt>
      <w:sdtPr>
        <w:rPr>
          <w:color w:val="000000" w:themeColor="text1"/>
        </w:rPr>
        <w:alias w:val="是否适用：股权激励情况[双击切换]"/>
        <w:tag w:val="_GBC_388221bc7be24cdca55be337256c8bc1"/>
        <w:id w:val="2251172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p w:rsidR="00597370" w:rsidRDefault="006840ED">
      <w:pPr>
        <w:rPr>
          <w:color w:val="000000" w:themeColor="text1"/>
        </w:rPr>
      </w:pPr>
      <w:sdt>
        <w:sdtPr>
          <w:rPr>
            <w:rFonts w:hint="eastAsia"/>
            <w:color w:val="000000" w:themeColor="text1"/>
          </w:rPr>
          <w:alias w:val="是否适用：股权激励情况的说明[双击切换]"/>
          <w:tag w:val="_GBC_e5a032ecd3e24335b29a38809f65a990"/>
          <w:id w:val="1056591213"/>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rPr>
          <w:color w:val="000000" w:themeColor="text1"/>
        </w:rPr>
      </w:pPr>
      <w:r>
        <w:rPr>
          <w:rFonts w:hint="eastAsia"/>
          <w:color w:val="000000" w:themeColor="text1"/>
        </w:rPr>
        <w:t>员工持股计划情况</w:t>
      </w:r>
    </w:p>
    <w:sdt>
      <w:sdtPr>
        <w:rPr>
          <w:color w:val="000000" w:themeColor="text1"/>
        </w:rPr>
        <w:alias w:val="是否适用：员工持股计划情况[双击切换]"/>
        <w:tag w:val="_GBC_60a13b60efda4715a83fed9c5960ee3b"/>
        <w:id w:val="-1236461220"/>
        <w:placeholder>
          <w:docPart w:val="GBC22222222222222222222222222222"/>
        </w:placeholder>
      </w:sdtPr>
      <w:sdtEndPr/>
      <w:sdtContent>
        <w:p w:rsidR="00597370" w:rsidRDefault="003C2EEE">
          <w:pPr>
            <w:rPr>
              <w:bCs w:val="0"/>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其他激励措施</w:t>
      </w:r>
    </w:p>
    <w:sdt>
      <w:sdtPr>
        <w:rPr>
          <w:color w:val="000000" w:themeColor="text1"/>
        </w:rPr>
        <w:alias w:val="是否适用：其他激励措施[双击切换]"/>
        <w:tag w:val="_GBC_87e3c04518ac4bed97846d84cc8784e1"/>
        <w:id w:val="743299042"/>
        <w:placeholder>
          <w:docPart w:val="GBC22222222222222222222222222222"/>
        </w:placeholder>
      </w:sdtPr>
      <w:sdtEndPr/>
      <w:sdtContent>
        <w:p w:rsidR="00597370" w:rsidRDefault="003C2EEE">
          <w:pPr>
            <w:rPr>
              <w:bCs w:val="0"/>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1"/>
        <w:numPr>
          <w:ilvl w:val="0"/>
          <w:numId w:val="2"/>
        </w:numPr>
        <w:rPr>
          <w:rFonts w:ascii="黑体" w:hAnsi="黑体"/>
          <w:color w:val="000000" w:themeColor="text1"/>
        </w:rPr>
      </w:pPr>
      <w:bookmarkStart w:id="49" w:name="_Toc76114276"/>
      <w:bookmarkStart w:id="50" w:name="_Toc142578259"/>
      <w:r>
        <w:rPr>
          <w:rFonts w:ascii="黑体" w:hAnsi="黑体" w:hint="eastAsia"/>
          <w:color w:val="000000" w:themeColor="text1"/>
        </w:rPr>
        <w:t>环境与社会责任</w:t>
      </w:r>
      <w:bookmarkEnd w:id="49"/>
      <w:bookmarkEnd w:id="50"/>
    </w:p>
    <w:p w:rsidR="00597370" w:rsidRDefault="003C2EEE">
      <w:pPr>
        <w:pStyle w:val="2"/>
        <w:numPr>
          <w:ilvl w:val="0"/>
          <w:numId w:val="16"/>
        </w:numPr>
        <w:tabs>
          <w:tab w:val="left" w:pos="426"/>
        </w:tabs>
        <w:ind w:left="450" w:firstLineChars="0" w:hanging="450"/>
        <w:jc w:val="left"/>
        <w:rPr>
          <w:rFonts w:ascii="宋体" w:hAnsi="宋体"/>
          <w:color w:val="000000" w:themeColor="text1"/>
        </w:rPr>
      </w:pPr>
      <w:r>
        <w:rPr>
          <w:rFonts w:ascii="宋体" w:hAnsi="宋体" w:hint="eastAsia"/>
          <w:color w:val="000000" w:themeColor="text1"/>
        </w:rPr>
        <w:t>环境</w:t>
      </w:r>
      <w:r>
        <w:rPr>
          <w:rFonts w:ascii="宋体" w:hAnsi="宋体"/>
          <w:color w:val="000000" w:themeColor="text1"/>
        </w:rPr>
        <w:t>信息情况</w:t>
      </w:r>
    </w:p>
    <w:p w:rsidR="00597370" w:rsidRDefault="003C2EEE">
      <w:pPr>
        <w:pStyle w:val="3"/>
        <w:numPr>
          <w:ilvl w:val="0"/>
          <w:numId w:val="17"/>
        </w:numPr>
        <w:rPr>
          <w:rFonts w:ascii="宋体" w:hAnsi="宋体"/>
          <w:color w:val="000000" w:themeColor="text1"/>
        </w:rPr>
      </w:pPr>
      <w:r>
        <w:rPr>
          <w:rFonts w:ascii="宋体" w:hAnsi="宋体"/>
          <w:color w:val="000000" w:themeColor="text1"/>
        </w:rPr>
        <w:t>属于环境保护部门公布的重点排污单位的公司及其</w:t>
      </w:r>
      <w:r>
        <w:rPr>
          <w:rFonts w:ascii="宋体" w:hAnsi="宋体" w:hint="eastAsia"/>
          <w:color w:val="000000" w:themeColor="text1"/>
        </w:rPr>
        <w:t>主要</w:t>
      </w:r>
      <w:r>
        <w:rPr>
          <w:rFonts w:ascii="宋体" w:hAnsi="宋体"/>
          <w:color w:val="000000" w:themeColor="text1"/>
        </w:rPr>
        <w:t>子公司的环保情况说明</w:t>
      </w:r>
    </w:p>
    <w:sdt>
      <w:sdtPr>
        <w:rPr>
          <w:rFonts w:hint="eastAsia"/>
          <w:color w:val="000000" w:themeColor="text1"/>
        </w:rPr>
        <w:alias w:val="是否适用：重点排污单位环保情况[双击切换]"/>
        <w:tag w:val="_GBC_820250e25791459fb9ab9ed79c168408"/>
        <w:id w:val="149413649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18"/>
        </w:numPr>
        <w:rPr>
          <w:rFonts w:ascii="宋体" w:hAnsi="宋体"/>
          <w:color w:val="000000" w:themeColor="text1"/>
        </w:rPr>
      </w:pPr>
      <w:r>
        <w:rPr>
          <w:rFonts w:ascii="宋体" w:hAnsi="宋体" w:hint="eastAsia"/>
          <w:color w:val="000000" w:themeColor="text1"/>
        </w:rPr>
        <w:lastRenderedPageBreak/>
        <w:t>排污</w:t>
      </w:r>
      <w:r>
        <w:rPr>
          <w:rFonts w:ascii="宋体" w:hAnsi="宋体"/>
          <w:color w:val="000000" w:themeColor="text1"/>
        </w:rPr>
        <w:t>信息</w:t>
      </w:r>
    </w:p>
    <w:sdt>
      <w:sdtPr>
        <w:rPr>
          <w:rFonts w:ascii="宋体" w:hAnsi="宋体" w:hint="eastAsia"/>
          <w:color w:val="000000" w:themeColor="text1"/>
        </w:rPr>
        <w:alias w:val="是否适用：排污信息[双击切换]"/>
        <w:tag w:val="_GBC_44bbf262c38141458fba6072b4e5b459"/>
        <w:id w:val="-2027556793"/>
      </w:sdtPr>
      <w:sdtEndPr/>
      <w:sdtContent>
        <w:p w:rsidR="00597370" w:rsidRDefault="003C2EEE">
          <w:pPr>
            <w:pStyle w:val="aff8"/>
            <w:ind w:firstLineChars="0" w:firstLine="0"/>
            <w:rPr>
              <w:rFonts w:ascii="宋体" w:hAnsi="宋体"/>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ascii="宋体" w:hAnsi="宋体" w:hint="eastAsia"/>
          <w:color w:val="000000" w:themeColor="text1"/>
          <w:szCs w:val="22"/>
        </w:rPr>
        <w:alias w:val="排污信息"/>
        <w:tag w:val="_GBC_28890c46cf8446cc95bd08ae7c7a17dc"/>
        <w:id w:val="1280754189"/>
      </w:sdtPr>
      <w:sdtEndPr/>
      <w:sdtContent>
        <w:p w:rsidR="00597370" w:rsidRDefault="003C2EEE">
          <w:pPr>
            <w:pStyle w:val="16"/>
            <w:spacing w:line="360" w:lineRule="auto"/>
            <w:rPr>
              <w:rFonts w:ascii="宋体" w:hAnsi="宋体"/>
              <w:bCs w:val="0"/>
            </w:rPr>
          </w:pPr>
          <w:r>
            <w:rPr>
              <w:rFonts w:ascii="宋体" w:hAnsi="宋体" w:hint="eastAsia"/>
            </w:rPr>
            <w:t>公司在生产过程中有少量废水、废气、固体废弃物产生，不存在重污染的情况。公司高度重视环境保护工作，在生产经营中积极倡导环境保护理念，在工艺技术上持续努力进行绿色改造，购买了烟尘系统、除尘系统、吸收塔等多种环保设施，预防和减少对环境的污染。</w:t>
          </w:r>
        </w:p>
        <w:p w:rsidR="00597370" w:rsidRDefault="003C2EEE">
          <w:pPr>
            <w:pStyle w:val="16"/>
            <w:spacing w:line="360" w:lineRule="auto"/>
            <w:ind w:firstLineChars="0" w:firstLine="0"/>
            <w:rPr>
              <w:rFonts w:ascii="宋体" w:hAnsi="宋体"/>
            </w:rPr>
          </w:pPr>
          <w:r>
            <w:rPr>
              <w:rFonts w:ascii="宋体" w:hAnsi="宋体" w:hint="eastAsia"/>
            </w:rPr>
            <w:t>公司主要排污信息如下：</w:t>
          </w:r>
        </w:p>
        <w:tbl>
          <w:tblPr>
            <w:tblStyle w:val="g13"/>
            <w:tblW w:w="88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84"/>
            <w:gridCol w:w="1841"/>
            <w:gridCol w:w="1842"/>
            <w:gridCol w:w="992"/>
            <w:gridCol w:w="1276"/>
            <w:gridCol w:w="992"/>
            <w:gridCol w:w="993"/>
          </w:tblGrid>
          <w:tr w:rsidR="00597370">
            <w:trPr>
              <w:trHeight w:val="878"/>
              <w:jc w:val="center"/>
            </w:trPr>
            <w:tc>
              <w:tcPr>
                <w:tcW w:w="884" w:type="dxa"/>
                <w:tcBorders>
                  <w:top w:val="single" w:sz="2" w:space="0" w:color="000000"/>
                  <w:left w:val="single" w:sz="2" w:space="0" w:color="000000"/>
                  <w:bottom w:val="nil"/>
                  <w:right w:val="single" w:sz="2" w:space="0" w:color="000000"/>
                </w:tcBorders>
                <w:vAlign w:val="center"/>
              </w:tcPr>
              <w:p w:rsidR="00597370" w:rsidRDefault="003C2EEE">
                <w:pPr>
                  <w:spacing w:before="65"/>
                  <w:ind w:firstLine="438"/>
                  <w:jc w:val="center"/>
                  <w:rPr>
                    <w:rFonts w:asciiTheme="minorEastAsia" w:eastAsiaTheme="minorEastAsia" w:hAnsiTheme="minorEastAsia" w:cs="Arial"/>
                    <w:b/>
                  </w:rPr>
                </w:pPr>
                <w:r>
                  <w:rPr>
                    <w:rFonts w:asciiTheme="minorEastAsia" w:eastAsiaTheme="minorEastAsia" w:hAnsiTheme="minorEastAsia" w:cs="Times New Roman"/>
                    <w:b/>
                    <w:spacing w:val="4"/>
                  </w:rPr>
                  <w:t>分</w:t>
                </w:r>
                <w:r>
                  <w:rPr>
                    <w:rFonts w:asciiTheme="minorEastAsia" w:eastAsiaTheme="minorEastAsia" w:hAnsiTheme="minorEastAsia" w:cs="Arial" w:hint="eastAsia"/>
                    <w:b/>
                    <w:spacing w:val="3"/>
                  </w:rPr>
                  <w:t>类</w:t>
                </w:r>
              </w:p>
            </w:tc>
            <w:tc>
              <w:tcPr>
                <w:tcW w:w="1841" w:type="dxa"/>
                <w:tcBorders>
                  <w:top w:val="single" w:sz="2" w:space="0" w:color="000000"/>
                  <w:left w:val="nil"/>
                  <w:bottom w:val="single" w:sz="2" w:space="0" w:color="000000"/>
                  <w:right w:val="single" w:sz="2" w:space="0" w:color="000000"/>
                </w:tcBorders>
                <w:vAlign w:val="center"/>
              </w:tcPr>
              <w:p w:rsidR="00597370" w:rsidRDefault="003C2EEE">
                <w:pPr>
                  <w:spacing w:before="43"/>
                  <w:ind w:firstLine="454"/>
                  <w:jc w:val="center"/>
                  <w:rPr>
                    <w:rFonts w:asciiTheme="minorEastAsia" w:eastAsiaTheme="minorEastAsia" w:hAnsiTheme="minorEastAsia" w:cs="Arial"/>
                    <w:b/>
                  </w:rPr>
                </w:pPr>
                <w:r>
                  <w:rPr>
                    <w:rFonts w:asciiTheme="minorEastAsia" w:eastAsiaTheme="minorEastAsia" w:hAnsiTheme="minorEastAsia" w:cs="Arial" w:hint="eastAsia"/>
                    <w:b/>
                    <w:spacing w:val="8"/>
                  </w:rPr>
                  <w:t>产生污染的</w:t>
                </w:r>
                <w:r>
                  <w:rPr>
                    <w:rFonts w:asciiTheme="minorEastAsia" w:eastAsiaTheme="minorEastAsia" w:hAnsiTheme="minorEastAsia" w:cs="Arial" w:hint="eastAsia"/>
                    <w:b/>
                    <w:spacing w:val="5"/>
                  </w:rPr>
                  <w:t>环</w:t>
                </w:r>
                <w:r>
                  <w:rPr>
                    <w:rFonts w:asciiTheme="minorEastAsia" w:eastAsiaTheme="minorEastAsia" w:hAnsiTheme="minorEastAsia" w:cs="Arial" w:hint="eastAsia"/>
                    <w:b/>
                    <w:spacing w:val="4"/>
                  </w:rPr>
                  <w:t>节</w:t>
                </w:r>
              </w:p>
            </w:tc>
            <w:tc>
              <w:tcPr>
                <w:tcW w:w="1842" w:type="dxa"/>
                <w:tcBorders>
                  <w:top w:val="single" w:sz="2" w:space="0" w:color="000000"/>
                  <w:left w:val="nil"/>
                  <w:bottom w:val="nil"/>
                  <w:right w:val="single" w:sz="2" w:space="0" w:color="000000"/>
                </w:tcBorders>
                <w:vAlign w:val="center"/>
              </w:tcPr>
              <w:p w:rsidR="00597370" w:rsidRDefault="003C2EEE">
                <w:pPr>
                  <w:spacing w:before="173" w:line="264" w:lineRule="auto"/>
                  <w:ind w:right="150" w:firstLine="454"/>
                  <w:jc w:val="center"/>
                  <w:rPr>
                    <w:rFonts w:asciiTheme="minorEastAsia" w:eastAsiaTheme="minorEastAsia" w:hAnsiTheme="minorEastAsia" w:cs="Arial"/>
                    <w:b/>
                  </w:rPr>
                </w:pPr>
                <w:r>
                  <w:rPr>
                    <w:rFonts w:asciiTheme="minorEastAsia" w:eastAsiaTheme="minorEastAsia" w:hAnsiTheme="minorEastAsia" w:cs="Arial" w:hint="eastAsia"/>
                    <w:b/>
                    <w:spacing w:val="8"/>
                  </w:rPr>
                  <w:t>主要污染物</w:t>
                </w:r>
                <w:r>
                  <w:rPr>
                    <w:rFonts w:asciiTheme="minorEastAsia" w:eastAsiaTheme="minorEastAsia" w:hAnsiTheme="minorEastAsia" w:cs="Arial" w:hint="eastAsia"/>
                    <w:b/>
                    <w:spacing w:val="7"/>
                  </w:rPr>
                  <w:t>名</w:t>
                </w:r>
                <w:r>
                  <w:rPr>
                    <w:rFonts w:asciiTheme="minorEastAsia" w:eastAsiaTheme="minorEastAsia" w:hAnsiTheme="minorEastAsia" w:cs="Arial" w:hint="eastAsia"/>
                    <w:b/>
                    <w:spacing w:val="1"/>
                  </w:rPr>
                  <w:t>称</w:t>
                </w:r>
              </w:p>
            </w:tc>
            <w:tc>
              <w:tcPr>
                <w:tcW w:w="992" w:type="dxa"/>
                <w:tcBorders>
                  <w:top w:val="single" w:sz="2" w:space="0" w:color="000000"/>
                  <w:left w:val="nil"/>
                  <w:bottom w:val="nil"/>
                  <w:right w:val="single" w:sz="2" w:space="0" w:color="000000"/>
                </w:tcBorders>
                <w:vAlign w:val="center"/>
              </w:tcPr>
              <w:p w:rsidR="00597370" w:rsidRDefault="003C2EEE">
                <w:pPr>
                  <w:spacing w:before="65"/>
                  <w:ind w:firstLine="438"/>
                  <w:jc w:val="center"/>
                  <w:rPr>
                    <w:rFonts w:asciiTheme="minorEastAsia" w:eastAsiaTheme="minorEastAsia" w:hAnsiTheme="minorEastAsia" w:cs="Arial"/>
                    <w:b/>
                  </w:rPr>
                </w:pPr>
                <w:r>
                  <w:rPr>
                    <w:rFonts w:asciiTheme="minorEastAsia" w:eastAsiaTheme="minorEastAsia" w:hAnsiTheme="minorEastAsia" w:cs="Arial" w:hint="eastAsia"/>
                    <w:b/>
                    <w:spacing w:val="4"/>
                  </w:rPr>
                  <w:t>单</w:t>
                </w:r>
                <w:r>
                  <w:rPr>
                    <w:rFonts w:asciiTheme="minorEastAsia" w:eastAsiaTheme="minorEastAsia" w:hAnsiTheme="minorEastAsia" w:cs="Arial" w:hint="eastAsia"/>
                    <w:b/>
                    <w:spacing w:val="3"/>
                  </w:rPr>
                  <w:t>位</w:t>
                </w:r>
              </w:p>
            </w:tc>
            <w:tc>
              <w:tcPr>
                <w:tcW w:w="1276" w:type="dxa"/>
                <w:tcBorders>
                  <w:top w:val="single" w:sz="2" w:space="0" w:color="000000"/>
                  <w:left w:val="nil"/>
                  <w:bottom w:val="nil"/>
                  <w:right w:val="single" w:sz="2" w:space="0" w:color="000000"/>
                </w:tcBorders>
                <w:vAlign w:val="center"/>
              </w:tcPr>
              <w:p w:rsidR="00597370" w:rsidRDefault="003C2EEE">
                <w:pPr>
                  <w:spacing w:before="65"/>
                  <w:ind w:firstLine="454"/>
                  <w:jc w:val="center"/>
                  <w:rPr>
                    <w:rFonts w:asciiTheme="minorEastAsia" w:eastAsiaTheme="minorEastAsia" w:hAnsiTheme="minorEastAsia" w:cs="Arial"/>
                    <w:b/>
                  </w:rPr>
                </w:pPr>
                <w:r>
                  <w:rPr>
                    <w:rFonts w:asciiTheme="minorEastAsia" w:eastAsiaTheme="minorEastAsia" w:hAnsiTheme="minorEastAsia" w:cs="Arial" w:hint="eastAsia"/>
                    <w:b/>
                    <w:spacing w:val="8"/>
                  </w:rPr>
                  <w:t>排</w:t>
                </w:r>
                <w:r>
                  <w:rPr>
                    <w:rFonts w:asciiTheme="minorEastAsia" w:eastAsiaTheme="minorEastAsia" w:hAnsiTheme="minorEastAsia" w:cs="Arial" w:hint="eastAsia"/>
                    <w:b/>
                    <w:spacing w:val="7"/>
                  </w:rPr>
                  <w:t>放限值</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6"/>
                  <w:ind w:firstLine="450"/>
                  <w:jc w:val="center"/>
                  <w:rPr>
                    <w:rFonts w:asciiTheme="minorEastAsia" w:eastAsiaTheme="minorEastAsia" w:hAnsiTheme="minorEastAsia" w:cs="Arial"/>
                    <w:b/>
                  </w:rPr>
                </w:pPr>
                <w:r>
                  <w:rPr>
                    <w:rFonts w:asciiTheme="minorEastAsia" w:eastAsiaTheme="minorEastAsia" w:hAnsiTheme="minorEastAsia" w:cs="Arial" w:hint="eastAsia"/>
                    <w:b/>
                    <w:spacing w:val="7"/>
                  </w:rPr>
                  <w:t>排放量</w:t>
                </w:r>
                <w:r>
                  <w:rPr>
                    <w:rFonts w:asciiTheme="minorEastAsia" w:eastAsiaTheme="minorEastAsia" w:hAnsiTheme="minorEastAsia" w:cs="Arial"/>
                    <w:b/>
                    <w:spacing w:val="6"/>
                  </w:rPr>
                  <w:t>/</w:t>
                </w:r>
                <w:r>
                  <w:rPr>
                    <w:rFonts w:asciiTheme="minorEastAsia" w:eastAsiaTheme="minorEastAsia" w:hAnsiTheme="minorEastAsia" w:cs="Arial" w:hint="eastAsia"/>
                    <w:b/>
                    <w:spacing w:val="7"/>
                  </w:rPr>
                  <w:t>排放</w:t>
                </w:r>
                <w:r>
                  <w:rPr>
                    <w:rFonts w:asciiTheme="minorEastAsia" w:eastAsiaTheme="minorEastAsia" w:hAnsiTheme="minorEastAsia" w:cs="Arial" w:hint="eastAsia"/>
                    <w:b/>
                    <w:spacing w:val="6"/>
                  </w:rPr>
                  <w:t>浓</w:t>
                </w:r>
                <w:r>
                  <w:rPr>
                    <w:rFonts w:asciiTheme="minorEastAsia" w:eastAsiaTheme="minorEastAsia" w:hAnsiTheme="minorEastAsia" w:cs="Arial" w:hint="eastAsia"/>
                    <w:b/>
                    <w:spacing w:val="1"/>
                  </w:rPr>
                  <w:t>度</w:t>
                </w:r>
              </w:p>
            </w:tc>
            <w:tc>
              <w:tcPr>
                <w:tcW w:w="993" w:type="dxa"/>
                <w:tcBorders>
                  <w:top w:val="single" w:sz="2" w:space="0" w:color="000000"/>
                  <w:left w:val="nil"/>
                  <w:bottom w:val="nil"/>
                  <w:right w:val="single" w:sz="2" w:space="0" w:color="000000"/>
                </w:tcBorders>
                <w:vAlign w:val="center"/>
              </w:tcPr>
              <w:p w:rsidR="00597370" w:rsidRDefault="003C2EEE">
                <w:pPr>
                  <w:spacing w:before="172" w:line="264" w:lineRule="auto"/>
                  <w:ind w:right="149" w:firstLine="454"/>
                  <w:jc w:val="center"/>
                  <w:rPr>
                    <w:rFonts w:asciiTheme="minorEastAsia" w:eastAsiaTheme="minorEastAsia" w:hAnsiTheme="minorEastAsia" w:cs="Arial"/>
                    <w:b/>
                  </w:rPr>
                </w:pPr>
                <w:r>
                  <w:rPr>
                    <w:rFonts w:asciiTheme="minorEastAsia" w:eastAsiaTheme="minorEastAsia" w:hAnsiTheme="minorEastAsia" w:cs="Arial" w:hint="eastAsia"/>
                    <w:b/>
                    <w:spacing w:val="8"/>
                  </w:rPr>
                  <w:t>是</w:t>
                </w:r>
                <w:r>
                  <w:rPr>
                    <w:rFonts w:asciiTheme="minorEastAsia" w:eastAsiaTheme="minorEastAsia" w:hAnsiTheme="minorEastAsia" w:cs="Arial" w:hint="eastAsia"/>
                    <w:b/>
                    <w:spacing w:val="6"/>
                  </w:rPr>
                  <w:t>否达标</w:t>
                </w:r>
                <w:r>
                  <w:rPr>
                    <w:rFonts w:asciiTheme="minorEastAsia" w:eastAsiaTheme="minorEastAsia" w:hAnsiTheme="minorEastAsia" w:cs="Arial" w:hint="eastAsia"/>
                    <w:b/>
                    <w:spacing w:val="5"/>
                  </w:rPr>
                  <w:t>排</w:t>
                </w:r>
                <w:r>
                  <w:rPr>
                    <w:rFonts w:asciiTheme="minorEastAsia" w:eastAsiaTheme="minorEastAsia" w:hAnsiTheme="minorEastAsia" w:cs="Arial" w:hint="eastAsia"/>
                    <w:b/>
                    <w:spacing w:val="4"/>
                  </w:rPr>
                  <w:t>放</w:t>
                </w:r>
              </w:p>
            </w:tc>
          </w:tr>
          <w:tr w:rsidR="00597370">
            <w:trPr>
              <w:trHeight w:val="748"/>
              <w:jc w:val="center"/>
            </w:trPr>
            <w:tc>
              <w:tcPr>
                <w:tcW w:w="884" w:type="dxa"/>
                <w:vMerge w:val="restart"/>
                <w:tcBorders>
                  <w:top w:val="single" w:sz="2" w:space="0" w:color="000000"/>
                  <w:left w:val="single" w:sz="2" w:space="0" w:color="000000"/>
                  <w:right w:val="single" w:sz="2" w:space="0" w:color="000000"/>
                </w:tcBorders>
                <w:vAlign w:val="center"/>
              </w:tcPr>
              <w:p w:rsidR="00597370" w:rsidRDefault="003C2EEE">
                <w:pPr>
                  <w:spacing w:before="65"/>
                  <w:jc w:val="center"/>
                  <w:rPr>
                    <w:rFonts w:asciiTheme="minorEastAsia" w:eastAsiaTheme="minorEastAsia" w:hAnsiTheme="minorEastAsia" w:cs="Arial"/>
                  </w:rPr>
                </w:pPr>
                <w:r>
                  <w:rPr>
                    <w:rFonts w:asciiTheme="minorEastAsia" w:eastAsiaTheme="minorEastAsia" w:hAnsiTheme="minorEastAsia" w:cs="Arial" w:hint="eastAsia"/>
                    <w:spacing w:val="5"/>
                  </w:rPr>
                  <w:t>废水</w:t>
                </w:r>
              </w:p>
            </w:tc>
            <w:tc>
              <w:tcPr>
                <w:tcW w:w="1841" w:type="dxa"/>
                <w:vMerge w:val="restart"/>
                <w:tcBorders>
                  <w:top w:val="nil"/>
                  <w:left w:val="nil"/>
                  <w:bottom w:val="single" w:sz="2" w:space="0" w:color="000000"/>
                  <w:right w:val="single" w:sz="2" w:space="0" w:color="000000"/>
                </w:tcBorders>
                <w:vAlign w:val="center"/>
              </w:tcPr>
              <w:p w:rsidR="00597370" w:rsidRDefault="003C2EEE">
                <w:pPr>
                  <w:spacing w:before="65" w:line="252" w:lineRule="auto"/>
                  <w:ind w:right="106"/>
                  <w:jc w:val="both"/>
                  <w:rPr>
                    <w:rFonts w:asciiTheme="minorEastAsia" w:eastAsiaTheme="minorEastAsia" w:hAnsiTheme="minorEastAsia" w:cs="Arial"/>
                  </w:rPr>
                </w:pPr>
                <w:r>
                  <w:rPr>
                    <w:rFonts w:asciiTheme="minorEastAsia" w:eastAsiaTheme="minorEastAsia" w:hAnsiTheme="minorEastAsia" w:cs="Arial" w:hint="eastAsia"/>
                    <w:spacing w:val="5"/>
                  </w:rPr>
                  <w:t>冷</w:t>
                </w:r>
                <w:r>
                  <w:rPr>
                    <w:rFonts w:asciiTheme="minorEastAsia" w:eastAsiaTheme="minorEastAsia" w:hAnsiTheme="minorEastAsia" w:cs="Arial" w:hint="eastAsia"/>
                    <w:spacing w:val="4"/>
                  </w:rPr>
                  <w:t>轧、常化酸洗、脱碳退火、拉伸退</w:t>
                </w:r>
                <w:r>
                  <w:rPr>
                    <w:rFonts w:asciiTheme="minorEastAsia" w:eastAsiaTheme="minorEastAsia" w:hAnsiTheme="minorEastAsia" w:cs="Arial" w:hint="eastAsia"/>
                    <w:spacing w:val="6"/>
                  </w:rPr>
                  <w:t>火</w:t>
                </w:r>
                <w:r>
                  <w:rPr>
                    <w:rFonts w:asciiTheme="minorEastAsia" w:eastAsiaTheme="minorEastAsia" w:hAnsiTheme="minorEastAsia" w:cs="Arial" w:hint="eastAsia"/>
                    <w:spacing w:val="4"/>
                  </w:rPr>
                  <w:t>、金加工车间、酸洗</w:t>
                </w:r>
              </w:p>
            </w:tc>
            <w:tc>
              <w:tcPr>
                <w:tcW w:w="1842" w:type="dxa"/>
                <w:vMerge w:val="restart"/>
                <w:tcBorders>
                  <w:top w:val="single" w:sz="2" w:space="0" w:color="000000"/>
                  <w:left w:val="nil"/>
                  <w:bottom w:val="nil"/>
                  <w:right w:val="single" w:sz="2" w:space="0" w:color="000000"/>
                </w:tcBorders>
                <w:vAlign w:val="center"/>
              </w:tcPr>
              <w:p w:rsidR="00597370" w:rsidRDefault="003C2EEE">
                <w:pPr>
                  <w:spacing w:before="65"/>
                  <w:ind w:firstLine="444"/>
                  <w:jc w:val="center"/>
                  <w:rPr>
                    <w:rFonts w:asciiTheme="minorEastAsia" w:eastAsiaTheme="minorEastAsia" w:hAnsiTheme="minorEastAsia" w:cs="Arial"/>
                  </w:rPr>
                </w:pPr>
                <w:r>
                  <w:rPr>
                    <w:rFonts w:asciiTheme="minorEastAsia" w:eastAsiaTheme="minorEastAsia" w:hAnsiTheme="minorEastAsia" w:cs="Arial" w:hint="eastAsia"/>
                    <w:spacing w:val="6"/>
                  </w:rPr>
                  <w:t>悬浮物</w:t>
                </w:r>
              </w:p>
            </w:tc>
            <w:tc>
              <w:tcPr>
                <w:tcW w:w="992" w:type="dxa"/>
                <w:vMerge w:val="restart"/>
                <w:tcBorders>
                  <w:top w:val="single" w:sz="2" w:space="0" w:color="000000"/>
                  <w:left w:val="nil"/>
                  <w:bottom w:val="nil"/>
                  <w:right w:val="single" w:sz="2" w:space="0" w:color="000000"/>
                </w:tcBorders>
                <w:vAlign w:val="center"/>
              </w:tcPr>
              <w:p w:rsidR="00597370" w:rsidRDefault="003C2EEE">
                <w:pPr>
                  <w:spacing w:before="65"/>
                  <w:jc w:val="center"/>
                  <w:rPr>
                    <w:rFonts w:asciiTheme="minorEastAsia" w:eastAsiaTheme="minorEastAsia" w:hAnsiTheme="minorEastAsia" w:cs="Arial"/>
                  </w:rPr>
                </w:pPr>
                <w:r>
                  <w:rPr>
                    <w:rFonts w:asciiTheme="minorEastAsia" w:eastAsiaTheme="minorEastAsia" w:hAnsiTheme="minorEastAsia" w:cs="Arial"/>
                  </w:rPr>
                  <w:t>mg</w:t>
                </w:r>
                <w:r>
                  <w:rPr>
                    <w:rFonts w:asciiTheme="minorEastAsia" w:eastAsiaTheme="minorEastAsia" w:hAnsiTheme="minorEastAsia" w:cs="Arial"/>
                    <w:spacing w:val="18"/>
                  </w:rPr>
                  <w:t>/</w:t>
                </w:r>
                <w:r>
                  <w:rPr>
                    <w:rFonts w:asciiTheme="minorEastAsia" w:eastAsiaTheme="minorEastAsia" w:hAnsiTheme="minorEastAsia" w:cs="Arial"/>
                  </w:rPr>
                  <w:t>L</w:t>
                </w:r>
              </w:p>
            </w:tc>
            <w:tc>
              <w:tcPr>
                <w:tcW w:w="1276" w:type="dxa"/>
                <w:tcBorders>
                  <w:top w:val="single" w:sz="2" w:space="0" w:color="000000"/>
                  <w:left w:val="nil"/>
                  <w:bottom w:val="single" w:sz="2" w:space="0" w:color="000000"/>
                  <w:right w:val="single" w:sz="2" w:space="0" w:color="000000"/>
                </w:tcBorders>
              </w:tcPr>
              <w:p w:rsidR="00597370" w:rsidRDefault="003C2EEE">
                <w:pPr>
                  <w:spacing w:before="33" w:line="264" w:lineRule="auto"/>
                  <w:ind w:left="152" w:right="145"/>
                  <w:rPr>
                    <w:rFonts w:asciiTheme="minorEastAsia" w:eastAsiaTheme="minorEastAsia" w:hAnsiTheme="minorEastAsia" w:cs="Arial"/>
                  </w:rPr>
                </w:pPr>
                <w:r>
                  <w:rPr>
                    <w:rFonts w:asciiTheme="minorEastAsia" w:eastAsiaTheme="minorEastAsia" w:hAnsiTheme="minorEastAsia" w:cs="Arial" w:hint="eastAsia"/>
                    <w:spacing w:val="9"/>
                  </w:rPr>
                  <w:t>取</w:t>
                </w:r>
                <w:r>
                  <w:rPr>
                    <w:rFonts w:asciiTheme="minorEastAsia" w:eastAsiaTheme="minorEastAsia" w:hAnsiTheme="minorEastAsia" w:cs="Arial" w:hint="eastAsia"/>
                    <w:spacing w:val="6"/>
                  </w:rPr>
                  <w:t>向硅钢</w:t>
                </w:r>
                <w:r>
                  <w:rPr>
                    <w:rFonts w:asciiTheme="minorEastAsia" w:eastAsiaTheme="minorEastAsia" w:hAnsiTheme="minorEastAsia" w:cs="Arial" w:hint="eastAsia"/>
                    <w:spacing w:val="5"/>
                  </w:rPr>
                  <w:t>排放口：</w:t>
                </w:r>
                <w:r>
                  <w:rPr>
                    <w:rFonts w:asciiTheme="minorEastAsia" w:eastAsiaTheme="minorEastAsia" w:hAnsiTheme="minorEastAsia" w:cs="Arial"/>
                    <w:spacing w:val="-4"/>
                  </w:rPr>
                  <w:t>1</w:t>
                </w:r>
                <w:r>
                  <w:rPr>
                    <w:rFonts w:asciiTheme="minorEastAsia" w:eastAsiaTheme="minorEastAsia" w:hAnsiTheme="minorEastAsia" w:cs="Arial"/>
                    <w:spacing w:val="-2"/>
                  </w:rPr>
                  <w:t>00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65"/>
                  <w:ind w:right="1104" w:firstLine="388"/>
                  <w:jc w:val="right"/>
                  <w:rPr>
                    <w:rFonts w:asciiTheme="minorEastAsia" w:eastAsiaTheme="minorEastAsia" w:hAnsiTheme="minorEastAsia" w:cs="Arial"/>
                  </w:rPr>
                </w:pPr>
                <w:r>
                  <w:rPr>
                    <w:rFonts w:asciiTheme="minorEastAsia" w:eastAsiaTheme="minorEastAsia" w:hAnsiTheme="minorEastAsia" w:cs="Arial"/>
                    <w:spacing w:val="-8"/>
                  </w:rPr>
                  <w:t>6</w:t>
                </w:r>
              </w:p>
            </w:tc>
            <w:tc>
              <w:tcPr>
                <w:tcW w:w="993" w:type="dxa"/>
                <w:vMerge w:val="restart"/>
                <w:tcBorders>
                  <w:top w:val="single" w:sz="2" w:space="0" w:color="000000"/>
                  <w:left w:val="nil"/>
                  <w:bottom w:val="nil"/>
                  <w:right w:val="single" w:sz="2" w:space="0" w:color="000000"/>
                </w:tcBorders>
                <w:vAlign w:val="center"/>
              </w:tcPr>
              <w:p w:rsidR="00597370" w:rsidRDefault="003C2EEE">
                <w:pPr>
                  <w:spacing w:before="65"/>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501"/>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top w:val="nil"/>
                  <w:left w:val="nil"/>
                  <w:bottom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2" w:type="dxa"/>
                <w:vMerge/>
                <w:tcBorders>
                  <w:top w:val="single" w:sz="2" w:space="0" w:color="000000"/>
                  <w:left w:val="nil"/>
                  <w:bottom w:val="nil"/>
                  <w:right w:val="single" w:sz="2" w:space="0" w:color="000000"/>
                </w:tcBorders>
                <w:vAlign w:val="center"/>
              </w:tcPr>
              <w:p w:rsidR="00597370" w:rsidRDefault="00597370">
                <w:pPr>
                  <w:rPr>
                    <w:rFonts w:asciiTheme="minorEastAsia" w:eastAsiaTheme="minorEastAsia" w:hAnsiTheme="minorEastAsia" w:cs="Arial"/>
                  </w:rPr>
                </w:pPr>
              </w:p>
            </w:tc>
            <w:tc>
              <w:tcPr>
                <w:tcW w:w="992" w:type="dxa"/>
                <w:vMerge/>
                <w:tcBorders>
                  <w:top w:val="single" w:sz="2" w:space="0" w:color="000000"/>
                  <w:left w:val="nil"/>
                  <w:bottom w:val="nil"/>
                  <w:right w:val="single" w:sz="2" w:space="0" w:color="000000"/>
                </w:tcBorders>
                <w:vAlign w:val="center"/>
              </w:tcPr>
              <w:p w:rsidR="00597370" w:rsidRDefault="00597370">
                <w:pPr>
                  <w:rPr>
                    <w:rFonts w:asciiTheme="minorEastAsia" w:eastAsiaTheme="minorEastAsia" w:hAnsiTheme="minorEastAsia" w:cs="Arial"/>
                  </w:rPr>
                </w:pPr>
              </w:p>
            </w:tc>
            <w:tc>
              <w:tcPr>
                <w:tcW w:w="1276" w:type="dxa"/>
                <w:tcBorders>
                  <w:top w:val="single" w:sz="2" w:space="0" w:color="000000"/>
                  <w:left w:val="nil"/>
                  <w:bottom w:val="single" w:sz="2" w:space="0" w:color="000000"/>
                  <w:right w:val="single" w:sz="2" w:space="0" w:color="000000"/>
                </w:tcBorders>
              </w:tcPr>
              <w:p w:rsidR="00597370" w:rsidRDefault="003C2EEE">
                <w:pPr>
                  <w:ind w:left="114" w:right="103"/>
                  <w:rPr>
                    <w:rFonts w:asciiTheme="minorEastAsia" w:eastAsiaTheme="minorEastAsia" w:hAnsiTheme="minorEastAsia" w:cs="Arial"/>
                  </w:rPr>
                </w:pPr>
                <w:r>
                  <w:rPr>
                    <w:rFonts w:asciiTheme="minorEastAsia" w:eastAsiaTheme="minorEastAsia" w:hAnsiTheme="minorEastAsia" w:cs="Arial" w:hint="eastAsia"/>
                    <w:spacing w:val="8"/>
                  </w:rPr>
                  <w:t>变</w:t>
                </w:r>
                <w:r>
                  <w:rPr>
                    <w:rFonts w:asciiTheme="minorEastAsia" w:eastAsiaTheme="minorEastAsia" w:hAnsiTheme="minorEastAsia" w:cs="Arial" w:hint="eastAsia"/>
                    <w:spacing w:val="7"/>
                  </w:rPr>
                  <w:t>压器排</w:t>
                </w:r>
                <w:r>
                  <w:rPr>
                    <w:rFonts w:asciiTheme="minorEastAsia" w:eastAsiaTheme="minorEastAsia" w:hAnsiTheme="minorEastAsia" w:cs="Arial" w:hint="eastAsia"/>
                    <w:spacing w:val="2"/>
                  </w:rPr>
                  <w:t>放口：</w:t>
                </w:r>
                <w:r>
                  <w:rPr>
                    <w:rFonts w:asciiTheme="minorEastAsia" w:eastAsiaTheme="minorEastAsia" w:hAnsiTheme="minorEastAsia" w:cs="Arial"/>
                    <w:spacing w:val="1"/>
                  </w:rPr>
                  <w:t>400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16</w:t>
                </w:r>
              </w:p>
            </w:tc>
            <w:tc>
              <w:tcPr>
                <w:tcW w:w="993" w:type="dxa"/>
                <w:vMerge/>
                <w:tcBorders>
                  <w:top w:val="single" w:sz="2" w:space="0" w:color="000000"/>
                  <w:left w:val="nil"/>
                  <w:bottom w:val="nil"/>
                  <w:right w:val="single" w:sz="2" w:space="0" w:color="000000"/>
                </w:tcBorders>
                <w:vAlign w:val="center"/>
              </w:tcPr>
              <w:p w:rsidR="00597370" w:rsidRDefault="00597370">
                <w:pPr>
                  <w:rPr>
                    <w:rFonts w:asciiTheme="minorEastAsia" w:eastAsiaTheme="minorEastAsia" w:hAnsiTheme="minorEastAsia" w:cs="Arial"/>
                  </w:rPr>
                </w:pP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top w:val="nil"/>
                  <w:left w:val="nil"/>
                  <w:bottom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9"/>
                  <w:ind w:firstLine="428"/>
                  <w:jc w:val="center"/>
                  <w:rPr>
                    <w:rFonts w:asciiTheme="minorEastAsia" w:eastAsiaTheme="minorEastAsia" w:hAnsiTheme="minorEastAsia" w:cs="Arial"/>
                  </w:rPr>
                </w:pPr>
                <w:r>
                  <w:rPr>
                    <w:rFonts w:asciiTheme="minorEastAsia" w:eastAsiaTheme="minorEastAsia" w:hAnsiTheme="minorEastAsia" w:cs="Arial" w:hint="eastAsia"/>
                    <w:spacing w:val="2"/>
                  </w:rPr>
                  <w:t>总磷</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9"/>
                  <w:jc w:val="center"/>
                  <w:rPr>
                    <w:rFonts w:asciiTheme="minorEastAsia" w:eastAsiaTheme="minorEastAsia" w:hAnsiTheme="minorEastAsia" w:cs="Arial"/>
                  </w:rPr>
                </w:pPr>
                <w:r>
                  <w:rPr>
                    <w:rFonts w:asciiTheme="minorEastAsia" w:eastAsiaTheme="minorEastAsia" w:hAnsiTheme="minorEastAsia" w:cs="Arial"/>
                  </w:rPr>
                  <w:t>mg</w:t>
                </w:r>
                <w:r>
                  <w:rPr>
                    <w:rFonts w:asciiTheme="minorEastAsia" w:eastAsiaTheme="minorEastAsia" w:hAnsiTheme="minorEastAsia" w:cs="Arial"/>
                    <w:spacing w:val="18"/>
                  </w:rPr>
                  <w:t>/</w:t>
                </w:r>
                <w:r>
                  <w:rPr>
                    <w:rFonts w:asciiTheme="minorEastAsia" w:eastAsiaTheme="minorEastAsia" w:hAnsiTheme="minorEastAsia" w:cs="Arial"/>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3"/>
                  <w:jc w:val="center"/>
                  <w:rPr>
                    <w:rFonts w:asciiTheme="minorEastAsia" w:eastAsiaTheme="minorEastAsia" w:hAnsiTheme="minorEastAsia" w:cs="Arial"/>
                  </w:rPr>
                </w:pPr>
                <w:r>
                  <w:rPr>
                    <w:rFonts w:asciiTheme="minorEastAsia" w:eastAsiaTheme="minorEastAsia" w:hAnsiTheme="minorEastAsia" w:cs="Arial"/>
                  </w:rPr>
                  <w:t>5</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1"/>
                  <w:jc w:val="center"/>
                  <w:rPr>
                    <w:rFonts w:asciiTheme="minorEastAsia" w:eastAsiaTheme="minorEastAsia" w:hAnsiTheme="minorEastAsia" w:cs="Arial"/>
                  </w:rPr>
                </w:pPr>
                <w:r>
                  <w:rPr>
                    <w:rFonts w:asciiTheme="minorEastAsia" w:eastAsiaTheme="minorEastAsia" w:hAnsiTheme="minorEastAsia" w:cs="Arial" w:hint="eastAsia"/>
                  </w:rPr>
                  <w:t>0</w:t>
                </w:r>
                <w:r>
                  <w:rPr>
                    <w:rFonts w:asciiTheme="minorEastAsia" w:eastAsiaTheme="minorEastAsia" w:hAnsiTheme="minorEastAsia" w:cs="Arial"/>
                  </w:rPr>
                  <w:t>.08</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9"/>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top w:val="nil"/>
                  <w:left w:val="nil"/>
                  <w:bottom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40"/>
                  <w:jc w:val="center"/>
                  <w:rPr>
                    <w:rFonts w:asciiTheme="minorEastAsia" w:eastAsiaTheme="minorEastAsia" w:hAnsiTheme="minorEastAsia" w:cs="Arial"/>
                  </w:rPr>
                </w:pPr>
                <w:r>
                  <w:rPr>
                    <w:rFonts w:asciiTheme="minorEastAsia" w:eastAsiaTheme="minorEastAsia" w:hAnsiTheme="minorEastAsia" w:cs="Arial" w:hint="eastAsia"/>
                    <w:spacing w:val="5"/>
                  </w:rPr>
                  <w:t>氨</w:t>
                </w:r>
                <w:r>
                  <w:rPr>
                    <w:rFonts w:asciiTheme="minorEastAsia" w:eastAsiaTheme="minorEastAsia" w:hAnsiTheme="minorEastAsia" w:cs="Arial" w:hint="eastAsia"/>
                    <w:spacing w:val="4"/>
                  </w:rPr>
                  <w:t>氮</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asciiTheme="minorEastAsia" w:eastAsiaTheme="minorEastAsia" w:hAnsiTheme="minorEastAsia" w:cs="Arial"/>
                  </w:rPr>
                  <w:t>mg</w:t>
                </w:r>
                <w:r>
                  <w:rPr>
                    <w:rFonts w:asciiTheme="minorEastAsia" w:eastAsiaTheme="minorEastAsia" w:hAnsiTheme="minorEastAsia" w:cs="Arial"/>
                    <w:spacing w:val="18"/>
                  </w:rPr>
                  <w:t>/</w:t>
                </w:r>
                <w:r>
                  <w:rPr>
                    <w:rFonts w:asciiTheme="minorEastAsia" w:eastAsiaTheme="minorEastAsia" w:hAnsiTheme="minorEastAsia" w:cs="Arial"/>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rPr>
                </w:pPr>
                <w:r>
                  <w:rPr>
                    <w:rFonts w:asciiTheme="minorEastAsia" w:eastAsiaTheme="minorEastAsia" w:hAnsiTheme="minorEastAsia" w:cs="Arial"/>
                    <w:spacing w:val="1"/>
                  </w:rPr>
                  <w:t>45</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1"/>
                  <w:jc w:val="center"/>
                  <w:rPr>
                    <w:rFonts w:asciiTheme="minorEastAsia" w:eastAsiaTheme="minorEastAsia" w:hAnsiTheme="minorEastAsia" w:cs="Arial"/>
                  </w:rPr>
                </w:pPr>
                <w:r>
                  <w:rPr>
                    <w:rFonts w:asciiTheme="minorEastAsia" w:eastAsiaTheme="minorEastAsia" w:hAnsiTheme="minorEastAsia" w:cs="Arial"/>
                  </w:rPr>
                  <w:t>1.53</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9"/>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top w:val="nil"/>
                  <w:left w:val="nil"/>
                  <w:bottom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rPr>
                </w:pPr>
                <w:r>
                  <w:rPr>
                    <w:rFonts w:asciiTheme="minorEastAsia" w:eastAsiaTheme="minorEastAsia" w:hAnsiTheme="minorEastAsia" w:cs="Arial" w:hint="eastAsia"/>
                    <w:spacing w:val="2"/>
                  </w:rPr>
                  <w:t>总氮</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asciiTheme="minorEastAsia" w:eastAsiaTheme="minorEastAsia" w:hAnsiTheme="minorEastAsia" w:cs="Arial"/>
                  </w:rPr>
                  <w:t>mg</w:t>
                </w:r>
                <w:r>
                  <w:rPr>
                    <w:rFonts w:asciiTheme="minorEastAsia" w:eastAsiaTheme="minorEastAsia" w:hAnsiTheme="minorEastAsia" w:cs="Arial"/>
                    <w:spacing w:val="18"/>
                  </w:rPr>
                  <w:t>/</w:t>
                </w:r>
                <w:r>
                  <w:rPr>
                    <w:rFonts w:asciiTheme="minorEastAsia" w:eastAsiaTheme="minorEastAsia" w:hAnsiTheme="minorEastAsia" w:cs="Arial"/>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rPr>
                </w:pPr>
                <w:r>
                  <w:rPr>
                    <w:rFonts w:asciiTheme="minorEastAsia" w:eastAsiaTheme="minorEastAsia" w:hAnsiTheme="minorEastAsia" w:cs="Arial"/>
                    <w:spacing w:val="-2"/>
                  </w:rPr>
                  <w:t>3</w:t>
                </w:r>
                <w:r>
                  <w:rPr>
                    <w:rFonts w:asciiTheme="minorEastAsia" w:eastAsiaTheme="minorEastAsia" w:hAnsiTheme="minorEastAsia" w:cs="Arial"/>
                    <w:spacing w:val="-1"/>
                  </w:rPr>
                  <w:t>5</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rPr>
                </w:pPr>
                <w:r>
                  <w:rPr>
                    <w:rFonts w:asciiTheme="minorEastAsia" w:eastAsiaTheme="minorEastAsia" w:hAnsiTheme="minorEastAsia" w:cs="Arial" w:hint="eastAsia"/>
                  </w:rPr>
                  <w:t>3</w:t>
                </w:r>
                <w:r>
                  <w:rPr>
                    <w:rFonts w:asciiTheme="minorEastAsia" w:eastAsiaTheme="minorEastAsia" w:hAnsiTheme="minorEastAsia" w:cs="Arial"/>
                  </w:rPr>
                  <w:t>.86</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top w:val="nil"/>
                  <w:left w:val="nil"/>
                  <w:bottom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asciiTheme="minorEastAsia" w:eastAsiaTheme="minorEastAsia" w:hAnsiTheme="minorEastAsia" w:cs="Arial" w:hint="eastAsia"/>
                    <w:spacing w:val="2"/>
                  </w:rPr>
                  <w:t>五日生化需氧量</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asciiTheme="minorEastAsia" w:eastAsiaTheme="minorEastAsia" w:hAnsiTheme="minorEastAsia" w:cs="Arial"/>
                  </w:rPr>
                  <w:t>mg</w:t>
                </w:r>
                <w:r>
                  <w:rPr>
                    <w:rFonts w:asciiTheme="minorEastAsia" w:eastAsiaTheme="minorEastAsia" w:hAnsiTheme="minorEastAsia" w:cs="Arial"/>
                    <w:spacing w:val="18"/>
                  </w:rPr>
                  <w:t>/</w:t>
                </w:r>
                <w:r>
                  <w:rPr>
                    <w:rFonts w:asciiTheme="minorEastAsia" w:eastAsiaTheme="minorEastAsia" w:hAnsiTheme="minorEastAsia" w:cs="Arial"/>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asciiTheme="minorEastAsia" w:eastAsiaTheme="minorEastAsia" w:hAnsiTheme="minorEastAsia" w:cs="Arial"/>
                    <w:spacing w:val="-2"/>
                  </w:rPr>
                  <w:t>300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asciiTheme="minorEastAsia" w:eastAsiaTheme="minorEastAsia" w:hAnsiTheme="minorEastAsia" w:cs="Arial"/>
                    <w:spacing w:val="2"/>
                  </w:rPr>
                  <w:t>23.2</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val="restart"/>
                <w:tcBorders>
                  <w:top w:val="nil"/>
                  <w:left w:val="nil"/>
                  <w:right w:val="single" w:sz="2" w:space="0" w:color="000000"/>
                </w:tcBorders>
                <w:vAlign w:val="center"/>
              </w:tcPr>
              <w:p w:rsidR="00597370" w:rsidRDefault="003C2EEE">
                <w:pPr>
                  <w:rPr>
                    <w:rFonts w:asciiTheme="minorEastAsia" w:eastAsiaTheme="minorEastAsia" w:hAnsiTheme="minorEastAsia" w:cs="Arial"/>
                  </w:rPr>
                </w:pPr>
                <w:r>
                  <w:rPr>
                    <w:rFonts w:asciiTheme="minorEastAsia" w:eastAsiaTheme="minorEastAsia" w:hAnsiTheme="minorEastAsia" w:cs="Arial" w:hint="eastAsia"/>
                  </w:rPr>
                  <w:t>生活废水</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cs="Arial" w:hint="eastAsia"/>
                    <w:spacing w:val="6"/>
                  </w:rPr>
                  <w:t>悬浮物</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mg</w:t>
                </w:r>
                <w:r>
                  <w:rPr>
                    <w:rFonts w:cs="Arial" w:hint="eastAsia"/>
                    <w:spacing w:val="18"/>
                  </w:rPr>
                  <w:t>/</w:t>
                </w:r>
                <w:r>
                  <w:rPr>
                    <w:rFonts w:cs="Arial" w:hint="eastAsia"/>
                  </w:rPr>
                  <w:t>L</w:t>
                </w:r>
              </w:p>
            </w:tc>
            <w:tc>
              <w:tcPr>
                <w:tcW w:w="1276" w:type="dxa"/>
                <w:tcBorders>
                  <w:top w:val="single" w:sz="2" w:space="0" w:color="000000"/>
                  <w:left w:val="nil"/>
                  <w:bottom w:val="single" w:sz="2" w:space="0" w:color="000000"/>
                  <w:right w:val="single" w:sz="2" w:space="0" w:color="000000"/>
                </w:tcBorders>
              </w:tcPr>
              <w:p w:rsidR="00597370" w:rsidRDefault="003C2EEE">
                <w:pPr>
                  <w:spacing w:before="72"/>
                  <w:jc w:val="center"/>
                  <w:rPr>
                    <w:rFonts w:asciiTheme="minorEastAsia" w:eastAsiaTheme="minorEastAsia" w:hAnsiTheme="minorEastAsia" w:cs="Arial"/>
                    <w:spacing w:val="-2"/>
                  </w:rPr>
                </w:pPr>
                <w:r>
                  <w:rPr>
                    <w:rFonts w:cs="Arial" w:hint="eastAsia"/>
                  </w:rPr>
                  <w:t>400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rPr>
                  <w:t>316</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cs="Arial" w:hint="eastAsia"/>
                    <w:spacing w:val="2"/>
                  </w:rPr>
                  <w:t>磷酸盐</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mg</w:t>
                </w:r>
                <w:r>
                  <w:rPr>
                    <w:rFonts w:cs="Arial" w:hint="eastAsia"/>
                    <w:spacing w:val="18"/>
                  </w:rPr>
                  <w:t>/</w:t>
                </w:r>
                <w:r>
                  <w:rPr>
                    <w:rFonts w:cs="Arial" w:hint="eastAsia"/>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rPr>
                  <w:t>8</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rPr>
                  <w:t>3.77</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cs="Arial" w:hint="eastAsia"/>
                    <w:spacing w:val="5"/>
                  </w:rPr>
                  <w:t>氨</w:t>
                </w:r>
                <w:r>
                  <w:rPr>
                    <w:rFonts w:cs="Arial" w:hint="eastAsia"/>
                    <w:spacing w:val="4"/>
                  </w:rPr>
                  <w:t>氮</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mg</w:t>
                </w:r>
                <w:r>
                  <w:rPr>
                    <w:rFonts w:cs="Arial" w:hint="eastAsia"/>
                    <w:spacing w:val="18"/>
                  </w:rPr>
                  <w:t>/</w:t>
                </w:r>
                <w:r>
                  <w:rPr>
                    <w:rFonts w:cs="Arial" w:hint="eastAsia"/>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rPr>
                  <w:t>45</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rPr>
                  <w:t>40.13</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cs="Arial" w:hint="eastAsia"/>
                    <w:spacing w:val="2"/>
                  </w:rPr>
                  <w:t>总氮</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mg</w:t>
                </w:r>
                <w:r>
                  <w:rPr>
                    <w:rFonts w:cs="Arial" w:hint="eastAsia"/>
                    <w:spacing w:val="18"/>
                  </w:rPr>
                  <w:t>/</w:t>
                </w:r>
                <w:r>
                  <w:rPr>
                    <w:rFonts w:cs="Arial" w:hint="eastAsia"/>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rPr>
                  <w:t>70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rPr>
                  <w:t>53.67</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cs="Arial" w:hint="eastAsia"/>
                    <w:spacing w:val="2"/>
                  </w:rPr>
                  <w:t>五日生化需氧量</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mg</w:t>
                </w:r>
                <w:r>
                  <w:rPr>
                    <w:rFonts w:cs="Arial" w:hint="eastAsia"/>
                    <w:spacing w:val="18"/>
                  </w:rPr>
                  <w:t>/</w:t>
                </w:r>
                <w:r>
                  <w:rPr>
                    <w:rFonts w:cs="Arial" w:hint="eastAsia"/>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spacing w:val="-2"/>
                  </w:rPr>
                  <w:t>350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spacing w:val="2"/>
                  </w:rPr>
                  <w:t>73.97</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cs="Arial" w:hint="eastAsia"/>
                    <w:spacing w:val="2"/>
                  </w:rPr>
                  <w:t>化学需氧量</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mg</w:t>
                </w:r>
                <w:r>
                  <w:rPr>
                    <w:rFonts w:cs="Arial" w:hint="eastAsia"/>
                    <w:spacing w:val="18"/>
                  </w:rPr>
                  <w:t>/</w:t>
                </w:r>
                <w:r>
                  <w:rPr>
                    <w:rFonts w:cs="Arial" w:hint="eastAsia"/>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spacing w:val="-2"/>
                  </w:rPr>
                  <w:t>500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spacing w:val="2"/>
                  </w:rPr>
                  <w:t>168.67</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cs="Arial" w:hint="eastAsia"/>
                    <w:spacing w:val="2"/>
                  </w:rPr>
                  <w:t>PH值</w:t>
                </w:r>
              </w:p>
            </w:tc>
            <w:tc>
              <w:tcPr>
                <w:tcW w:w="992" w:type="dxa"/>
                <w:tcBorders>
                  <w:top w:val="single" w:sz="2" w:space="0" w:color="000000"/>
                  <w:left w:val="nil"/>
                  <w:bottom w:val="single" w:sz="2" w:space="0" w:color="000000"/>
                  <w:right w:val="single" w:sz="2" w:space="0" w:color="000000"/>
                </w:tcBorders>
                <w:vAlign w:val="center"/>
              </w:tcPr>
              <w:p w:rsidR="00597370" w:rsidRDefault="00597370">
                <w:pPr>
                  <w:spacing w:before="38"/>
                  <w:jc w:val="center"/>
                  <w:rPr>
                    <w:rFonts w:asciiTheme="minorEastAsia" w:eastAsiaTheme="minorEastAsia" w:hAnsiTheme="minorEastAsia" w:cs="Arial"/>
                  </w:rPr>
                </w:pP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spacing w:val="-2"/>
                  </w:rPr>
                  <w:t>6.5~9.5</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spacing w:val="2"/>
                  </w:rPr>
                  <w:t>7.23</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asciiTheme="minorEastAsia" w:eastAsiaTheme="minorEastAsia" w:hAnsiTheme="minorEastAsia" w:cs="Arial"/>
                    <w:spacing w:val="2"/>
                  </w:rPr>
                </w:pPr>
                <w:r>
                  <w:rPr>
                    <w:rFonts w:cs="Arial" w:hint="eastAsia"/>
                    <w:spacing w:val="2"/>
                  </w:rPr>
                  <w:t>动植物油</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mg</w:t>
                </w:r>
                <w:r>
                  <w:rPr>
                    <w:rFonts w:cs="Arial" w:hint="eastAsia"/>
                    <w:spacing w:val="18"/>
                  </w:rPr>
                  <w:t>/</w:t>
                </w:r>
                <w:r>
                  <w:rPr>
                    <w:rFonts w:cs="Arial" w:hint="eastAsia"/>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ind w:firstLine="412"/>
                  <w:rPr>
                    <w:rFonts w:asciiTheme="minorEastAsia" w:eastAsiaTheme="minorEastAsia" w:hAnsiTheme="minorEastAsia" w:cs="Arial"/>
                    <w:spacing w:val="-2"/>
                  </w:rPr>
                </w:pPr>
                <w:r>
                  <w:rPr>
                    <w:rFonts w:cs="Arial" w:hint="eastAsia"/>
                    <w:spacing w:val="-2"/>
                  </w:rPr>
                  <w:t>100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asciiTheme="minorEastAsia" w:eastAsiaTheme="minorEastAsia" w:hAnsiTheme="minorEastAsia" w:cs="Arial"/>
                    <w:spacing w:val="2"/>
                  </w:rPr>
                </w:pPr>
                <w:r>
                  <w:rPr>
                    <w:rFonts w:cs="Arial" w:hint="eastAsia"/>
                    <w:spacing w:val="2"/>
                  </w:rPr>
                  <w:t>1.92</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bottom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38"/>
                  <w:ind w:firstLine="428"/>
                  <w:jc w:val="center"/>
                  <w:rPr>
                    <w:rFonts w:cs="Arial"/>
                    <w:spacing w:val="2"/>
                  </w:rPr>
                </w:pPr>
                <w:r>
                  <w:rPr>
                    <w:rFonts w:asciiTheme="minorEastAsia" w:eastAsiaTheme="minorEastAsia" w:hAnsiTheme="minorEastAsia" w:cs="Arial" w:hint="eastAsia"/>
                    <w:spacing w:val="2"/>
                  </w:rPr>
                  <w:t>石油类</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cs="Arial"/>
                  </w:rPr>
                </w:pPr>
                <w:r>
                  <w:rPr>
                    <w:rFonts w:hint="eastAsia"/>
                    <w:bCs w:val="0"/>
                  </w:rPr>
                  <w:t>mg</w:t>
                </w:r>
                <w:r>
                  <w:rPr>
                    <w:rFonts w:hint="eastAsia"/>
                    <w:bCs w:val="0"/>
                    <w:spacing w:val="18"/>
                  </w:rPr>
                  <w:t>/</w:t>
                </w:r>
                <w:r>
                  <w:rPr>
                    <w:rFonts w:hint="eastAsia"/>
                    <w:bCs w:val="0"/>
                  </w:rPr>
                  <w:t>L</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spacing w:before="72"/>
                  <w:ind w:firstLine="412"/>
                  <w:rPr>
                    <w:rFonts w:cs="Arial"/>
                    <w:spacing w:val="-2"/>
                  </w:rPr>
                </w:pPr>
                <w:r>
                  <w:rPr>
                    <w:rFonts w:hint="eastAsia"/>
                    <w:bCs w:val="0"/>
                    <w:spacing w:val="-2"/>
                  </w:rPr>
                  <w:t>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2"/>
                  <w:jc w:val="center"/>
                  <w:rPr>
                    <w:rFonts w:cs="Arial"/>
                    <w:spacing w:val="2"/>
                  </w:rPr>
                </w:pPr>
                <w:r>
                  <w:rPr>
                    <w:rFonts w:hint="eastAsia"/>
                    <w:bCs w:val="0"/>
                    <w:spacing w:val="2"/>
                  </w:rPr>
                  <w:t>0.17</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38"/>
                  <w:jc w:val="center"/>
                  <w:rPr>
                    <w:rFonts w:cs="Arial"/>
                  </w:rPr>
                </w:pPr>
                <w:r>
                  <w:rPr>
                    <w:rFonts w:hint="eastAsia"/>
                    <w:bCs w:val="0"/>
                  </w:rPr>
                  <w:t>是</w:t>
                </w:r>
              </w:p>
            </w:tc>
          </w:tr>
          <w:tr w:rsidR="00597370">
            <w:trPr>
              <w:trHeight w:val="402"/>
              <w:jc w:val="center"/>
            </w:trPr>
            <w:tc>
              <w:tcPr>
                <w:tcW w:w="884" w:type="dxa"/>
                <w:vMerge w:val="restart"/>
                <w:tcBorders>
                  <w:top w:val="nil"/>
                  <w:left w:val="single" w:sz="2" w:space="0" w:color="000000"/>
                  <w:right w:val="single" w:sz="2" w:space="0" w:color="000000"/>
                </w:tcBorders>
                <w:vAlign w:val="center"/>
              </w:tcPr>
              <w:p w:rsidR="00597370" w:rsidRDefault="003C2EEE">
                <w:pPr>
                  <w:spacing w:before="65"/>
                  <w:ind w:firstLineChars="100" w:firstLine="220"/>
                  <w:rPr>
                    <w:rFonts w:asciiTheme="minorEastAsia" w:eastAsiaTheme="minorEastAsia" w:hAnsiTheme="minorEastAsia" w:cs="Arial"/>
                  </w:rPr>
                </w:pPr>
                <w:r>
                  <w:rPr>
                    <w:rFonts w:asciiTheme="minorEastAsia" w:eastAsiaTheme="minorEastAsia" w:hAnsiTheme="minorEastAsia" w:cs="Arial" w:hint="eastAsia"/>
                    <w:spacing w:val="5"/>
                  </w:rPr>
                  <w:t>废气</w:t>
                </w:r>
              </w:p>
              <w:p w:rsidR="00597370" w:rsidRDefault="00597370">
                <w:pPr>
                  <w:jc w:val="center"/>
                  <w:rPr>
                    <w:rFonts w:asciiTheme="minorEastAsia" w:eastAsiaTheme="minorEastAsia" w:hAnsiTheme="minorEastAsia" w:cs="Arial"/>
                  </w:rPr>
                </w:pPr>
              </w:p>
            </w:tc>
            <w:tc>
              <w:tcPr>
                <w:tcW w:w="1841" w:type="dxa"/>
                <w:vMerge w:val="restart"/>
                <w:tcBorders>
                  <w:top w:val="nil"/>
                  <w:left w:val="nil"/>
                  <w:bottom w:val="nil"/>
                  <w:right w:val="single" w:sz="2" w:space="0" w:color="000000"/>
                </w:tcBorders>
                <w:vAlign w:val="center"/>
              </w:tcPr>
              <w:p w:rsidR="00597370" w:rsidRDefault="003C2EEE">
                <w:pPr>
                  <w:spacing w:before="65" w:line="252" w:lineRule="auto"/>
                  <w:ind w:right="106"/>
                  <w:rPr>
                    <w:rFonts w:asciiTheme="minorEastAsia" w:eastAsiaTheme="minorEastAsia" w:hAnsiTheme="minorEastAsia" w:cs="Arial"/>
                  </w:rPr>
                </w:pPr>
                <w:r>
                  <w:rPr>
                    <w:rFonts w:asciiTheme="minorEastAsia" w:eastAsiaTheme="minorEastAsia" w:hAnsiTheme="minorEastAsia" w:cs="Arial" w:hint="eastAsia"/>
                  </w:rPr>
                  <w:t>锅炉排气筒</w:t>
                </w:r>
                <w:r>
                  <w:rPr>
                    <w:rFonts w:asciiTheme="minorEastAsia" w:eastAsiaTheme="minorEastAsia" w:hAnsiTheme="minorEastAsia" w:cs="Arial"/>
                  </w:rPr>
                  <w:t>AB</w:t>
                </w:r>
                <w:r>
                  <w:rPr>
                    <w:rFonts w:asciiTheme="minorEastAsia" w:eastAsiaTheme="minorEastAsia" w:hAnsiTheme="minorEastAsia" w:cs="Arial" w:hint="eastAsia"/>
                  </w:rPr>
                  <w:t>区、新材料事业部</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65"/>
                  <w:ind w:firstLine="452"/>
                  <w:jc w:val="center"/>
                  <w:rPr>
                    <w:rFonts w:asciiTheme="minorEastAsia" w:eastAsiaTheme="minorEastAsia" w:hAnsiTheme="minorEastAsia" w:cs="Arial"/>
                  </w:rPr>
                </w:pPr>
                <w:r>
                  <w:rPr>
                    <w:rFonts w:asciiTheme="minorEastAsia" w:eastAsiaTheme="minorEastAsia" w:hAnsiTheme="minorEastAsia" w:cs="Arial" w:hint="eastAsia"/>
                    <w:spacing w:val="8"/>
                  </w:rPr>
                  <w:t>二</w:t>
                </w:r>
                <w:r>
                  <w:rPr>
                    <w:rFonts w:asciiTheme="minorEastAsia" w:eastAsiaTheme="minorEastAsia" w:hAnsiTheme="minorEastAsia" w:cs="Arial" w:hint="eastAsia"/>
                    <w:spacing w:val="6"/>
                  </w:rPr>
                  <w:t>氧化硫</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65"/>
                  <w:jc w:val="center"/>
                  <w:rPr>
                    <w:rFonts w:asciiTheme="minorEastAsia" w:eastAsiaTheme="minorEastAsia" w:hAnsiTheme="minorEastAsia" w:cs="Arial"/>
                  </w:rPr>
                </w:pPr>
                <w:r>
                  <w:rPr>
                    <w:rFonts w:asciiTheme="minorEastAsia" w:eastAsiaTheme="minorEastAsia" w:hAnsiTheme="minorEastAsia" w:cs="Arial"/>
                  </w:rPr>
                  <w:t>mg</w:t>
                </w:r>
                <w:r>
                  <w:rPr>
                    <w:rFonts w:asciiTheme="minorEastAsia" w:eastAsiaTheme="minorEastAsia" w:hAnsiTheme="minorEastAsia" w:cs="Arial"/>
                    <w:spacing w:val="11"/>
                  </w:rPr>
                  <w:t>/</w:t>
                </w:r>
                <w:r>
                  <w:rPr>
                    <w:rFonts w:asciiTheme="minorEastAsia" w:eastAsiaTheme="minorEastAsia" w:hAnsiTheme="minorEastAsia" w:cs="Arial"/>
                  </w:rPr>
                  <w:t>m</w:t>
                </w:r>
                <w:r>
                  <w:rPr>
                    <w:rFonts w:asciiTheme="minorEastAsia" w:eastAsiaTheme="minorEastAsia" w:hAnsiTheme="minorEastAsia" w:cs="Times New Roman"/>
                    <w:spacing w:val="10"/>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50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未检出</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65"/>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tcBorders>
                  <w:top w:val="nil"/>
                  <w:left w:val="nil"/>
                  <w:bottom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42"/>
                  <w:ind w:firstLine="452"/>
                  <w:jc w:val="center"/>
                  <w:rPr>
                    <w:rFonts w:asciiTheme="minorEastAsia" w:eastAsiaTheme="minorEastAsia" w:hAnsiTheme="minorEastAsia" w:cs="Arial"/>
                  </w:rPr>
                </w:pPr>
                <w:r>
                  <w:rPr>
                    <w:rFonts w:asciiTheme="minorEastAsia" w:eastAsiaTheme="minorEastAsia" w:hAnsiTheme="minorEastAsia" w:cs="Arial" w:hint="eastAsia"/>
                    <w:spacing w:val="8"/>
                  </w:rPr>
                  <w:t>氮氧化</w:t>
                </w:r>
                <w:r>
                  <w:rPr>
                    <w:rFonts w:asciiTheme="minorEastAsia" w:eastAsiaTheme="minorEastAsia" w:hAnsiTheme="minorEastAsia" w:cs="Arial" w:hint="eastAsia"/>
                    <w:spacing w:val="7"/>
                  </w:rPr>
                  <w:t>物</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Arial"/>
                  </w:rPr>
                  <w:t>mg</w:t>
                </w:r>
                <w:r>
                  <w:rPr>
                    <w:rFonts w:asciiTheme="minorEastAsia" w:eastAsiaTheme="minorEastAsia" w:hAnsiTheme="minorEastAsia" w:cs="Arial"/>
                    <w:spacing w:val="11"/>
                  </w:rPr>
                  <w:t>/</w:t>
                </w:r>
                <w:r>
                  <w:rPr>
                    <w:rFonts w:asciiTheme="minorEastAsia" w:eastAsiaTheme="minorEastAsia" w:hAnsiTheme="minorEastAsia" w:cs="Arial"/>
                  </w:rPr>
                  <w:t>m</w:t>
                </w:r>
                <w:r>
                  <w:rPr>
                    <w:rFonts w:asciiTheme="minorEastAsia" w:eastAsiaTheme="minorEastAsia" w:hAnsiTheme="minorEastAsia" w:cs="Times New Roman"/>
                    <w:spacing w:val="10"/>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50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3</w:t>
                </w:r>
                <w:r>
                  <w:rPr>
                    <w:rFonts w:asciiTheme="minorEastAsia" w:eastAsiaTheme="minorEastAsia" w:hAnsiTheme="minorEastAsia" w:cs="Arial"/>
                  </w:rPr>
                  <w:t>1/25</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tcBorders>
                  <w:top w:val="nil"/>
                  <w:left w:val="nil"/>
                  <w:bottom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42"/>
                  <w:ind w:firstLine="448"/>
                  <w:jc w:val="center"/>
                  <w:rPr>
                    <w:rFonts w:asciiTheme="minorEastAsia" w:eastAsiaTheme="minorEastAsia" w:hAnsiTheme="minorEastAsia" w:cs="Arial"/>
                  </w:rPr>
                </w:pPr>
                <w:r>
                  <w:rPr>
                    <w:rFonts w:asciiTheme="minorEastAsia" w:eastAsiaTheme="minorEastAsia" w:hAnsiTheme="minorEastAsia" w:cs="Arial" w:hint="eastAsia"/>
                    <w:spacing w:val="7"/>
                  </w:rPr>
                  <w:t>颗粒物</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41"/>
                  <w:jc w:val="center"/>
                  <w:rPr>
                    <w:rFonts w:asciiTheme="minorEastAsia" w:eastAsiaTheme="minorEastAsia" w:hAnsiTheme="minorEastAsia" w:cs="Arial"/>
                  </w:rPr>
                </w:pPr>
                <w:r>
                  <w:rPr>
                    <w:rFonts w:asciiTheme="minorEastAsia" w:eastAsiaTheme="minorEastAsia" w:hAnsiTheme="minorEastAsia" w:cs="Arial"/>
                  </w:rPr>
                  <w:t>mg</w:t>
                </w:r>
                <w:r>
                  <w:rPr>
                    <w:rFonts w:asciiTheme="minorEastAsia" w:eastAsiaTheme="minorEastAsia" w:hAnsiTheme="minorEastAsia" w:cs="Arial"/>
                    <w:spacing w:val="11"/>
                  </w:rPr>
                  <w:t>/</w:t>
                </w:r>
                <w:r>
                  <w:rPr>
                    <w:rFonts w:asciiTheme="minorEastAsia" w:eastAsiaTheme="minorEastAsia" w:hAnsiTheme="minorEastAsia" w:cs="Arial"/>
                  </w:rPr>
                  <w:t>m</w:t>
                </w:r>
                <w:r>
                  <w:rPr>
                    <w:rFonts w:asciiTheme="minorEastAsia" w:eastAsiaTheme="minorEastAsia" w:hAnsiTheme="minorEastAsia" w:cs="Times New Roman"/>
                    <w:spacing w:val="10"/>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3</w:t>
                </w:r>
                <w:r>
                  <w:rPr>
                    <w:rFonts w:asciiTheme="minorEastAsia" w:eastAsiaTheme="minorEastAsia" w:hAnsiTheme="minorEastAsia" w:cs="Arial"/>
                  </w:rPr>
                  <w:t>.8/4</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b/>
                  </w:rPr>
                </w:pPr>
              </w:p>
            </w:tc>
            <w:tc>
              <w:tcPr>
                <w:tcW w:w="1841" w:type="dxa"/>
                <w:tcBorders>
                  <w:top w:val="nil"/>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b/>
                  </w:rPr>
                </w:pPr>
                <w:r>
                  <w:rPr>
                    <w:rFonts w:asciiTheme="minorEastAsia" w:eastAsiaTheme="minorEastAsia" w:hAnsiTheme="minorEastAsia" w:cs="Arial" w:hint="eastAsia"/>
                  </w:rPr>
                  <w:t>轧机排气筒</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proofErr w:type="gramStart"/>
                <w:r>
                  <w:rPr>
                    <w:rFonts w:asciiTheme="minorEastAsia" w:eastAsiaTheme="minorEastAsia" w:hAnsiTheme="minorEastAsia" w:cs="Arial" w:hint="eastAsia"/>
                  </w:rPr>
                  <w:t>油雾</w:t>
                </w:r>
                <w:proofErr w:type="gramEnd"/>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mg/m</w:t>
                </w:r>
                <w:r>
                  <w:rPr>
                    <w:rFonts w:asciiTheme="minorEastAsia" w:eastAsiaTheme="minorEastAsia" w:hAnsiTheme="minorEastAsia" w:cs="Times New Roman"/>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30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0</w:t>
                </w:r>
                <w:r>
                  <w:rPr>
                    <w:rFonts w:asciiTheme="minorEastAsia" w:eastAsiaTheme="minorEastAsia" w:hAnsiTheme="minorEastAsia" w:cs="Arial"/>
                  </w:rPr>
                  <w:t>.3</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nil"/>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b/>
                  </w:rPr>
                </w:pPr>
                <w:r>
                  <w:rPr>
                    <w:rFonts w:asciiTheme="minorEastAsia" w:eastAsiaTheme="minorEastAsia" w:hAnsiTheme="minorEastAsia" w:cs="Arial" w:hint="eastAsia"/>
                  </w:rPr>
                  <w:t>酸洗废气排气筒</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氯化氢</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mg/m</w:t>
                </w:r>
                <w:r>
                  <w:rPr>
                    <w:rFonts w:asciiTheme="minorEastAsia" w:eastAsiaTheme="minorEastAsia" w:hAnsiTheme="minorEastAsia" w:cs="Times New Roman"/>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5</w:t>
                </w:r>
                <w:r>
                  <w:rPr>
                    <w:rFonts w:asciiTheme="minorEastAsia" w:eastAsiaTheme="minorEastAsia" w:hAnsiTheme="minorEastAsia" w:cs="Arial"/>
                  </w:rPr>
                  <w:t>.1</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nil"/>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b/>
                  </w:rPr>
                </w:pPr>
                <w:proofErr w:type="gramStart"/>
                <w:r>
                  <w:rPr>
                    <w:rFonts w:asciiTheme="minorEastAsia" w:eastAsiaTheme="minorEastAsia" w:hAnsiTheme="minorEastAsia" w:cs="Arial" w:hint="eastAsia"/>
                  </w:rPr>
                  <w:t>铬酸排气筒</w:t>
                </w:r>
                <w:proofErr w:type="gramEnd"/>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proofErr w:type="gramStart"/>
                <w:r>
                  <w:rPr>
                    <w:rFonts w:asciiTheme="minorEastAsia" w:eastAsiaTheme="minorEastAsia" w:hAnsiTheme="minorEastAsia" w:cs="Arial" w:hint="eastAsia"/>
                  </w:rPr>
                  <w:t>铬</w:t>
                </w:r>
                <w:proofErr w:type="gramEnd"/>
                <w:r>
                  <w:rPr>
                    <w:rFonts w:asciiTheme="minorEastAsia" w:eastAsiaTheme="minorEastAsia" w:hAnsiTheme="minorEastAsia" w:cs="Arial" w:hint="eastAsia"/>
                  </w:rPr>
                  <w:t>酸雾</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mg/m</w:t>
                </w:r>
                <w:r>
                  <w:rPr>
                    <w:rFonts w:asciiTheme="minorEastAsia" w:eastAsiaTheme="minorEastAsia" w:hAnsiTheme="minorEastAsia" w:cs="Times New Roman"/>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0.07</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asciiTheme="minorEastAsia" w:eastAsiaTheme="minorEastAsia" w:hAnsiTheme="minorEastAsia" w:cs="Arial" w:hint="eastAsia"/>
                  </w:rPr>
                  <w:t>未检出</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nil"/>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rPr>
                </w:pPr>
                <w:r>
                  <w:rPr>
                    <w:rFonts w:asciiTheme="minorEastAsia" w:eastAsiaTheme="minorEastAsia" w:hAnsiTheme="minorEastAsia" w:cs="Arial" w:hint="eastAsia"/>
                  </w:rPr>
                  <w:t>硫酸排气筒</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硫酸雾</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mg/m</w:t>
                </w:r>
                <w:r>
                  <w:rPr>
                    <w:rFonts w:asciiTheme="minorEastAsia" w:eastAsiaTheme="minorEastAsia" w:hAnsiTheme="minorEastAsia" w:cs="Times New Roman"/>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10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asciiTheme="minorEastAsia" w:eastAsiaTheme="minorEastAsia" w:hAnsiTheme="minorEastAsia" w:cs="Arial" w:hint="eastAsia"/>
                  </w:rPr>
                  <w:t>0</w:t>
                </w:r>
                <w:r>
                  <w:rPr>
                    <w:rFonts w:asciiTheme="minorEastAsia" w:eastAsiaTheme="minorEastAsia" w:hAnsiTheme="minorEastAsia" w:cs="Arial"/>
                  </w:rPr>
                  <w:t>.593</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nil"/>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rPr>
                </w:pPr>
                <w:proofErr w:type="gramStart"/>
                <w:r>
                  <w:rPr>
                    <w:rFonts w:asciiTheme="minorEastAsia" w:eastAsiaTheme="minorEastAsia" w:hAnsiTheme="minorEastAsia" w:cs="Arial" w:hint="eastAsia"/>
                  </w:rPr>
                  <w:t>抛丸机排气筒</w:t>
                </w:r>
                <w:proofErr w:type="gramEnd"/>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颗粒物</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mg/m</w:t>
                </w:r>
                <w:r>
                  <w:rPr>
                    <w:rFonts w:asciiTheme="minorEastAsia" w:eastAsiaTheme="minorEastAsia" w:hAnsiTheme="minorEastAsia" w:cs="Times New Roman"/>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asciiTheme="minorEastAsia" w:eastAsiaTheme="minorEastAsia" w:hAnsiTheme="minorEastAsia" w:cs="Arial" w:hint="eastAsia"/>
                  </w:rPr>
                  <w:t>4</w:t>
                </w:r>
                <w:r>
                  <w:rPr>
                    <w:rFonts w:asciiTheme="minorEastAsia" w:eastAsiaTheme="minorEastAsia" w:hAnsiTheme="minorEastAsia" w:cs="Arial"/>
                  </w:rPr>
                  <w:t>.4</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nil"/>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rPr>
                </w:pPr>
                <w:r>
                  <w:rPr>
                    <w:rFonts w:asciiTheme="minorEastAsia" w:eastAsiaTheme="minorEastAsia" w:hAnsiTheme="minorEastAsia" w:cs="Arial"/>
                  </w:rPr>
                  <w:t>AB</w:t>
                </w:r>
                <w:r>
                  <w:rPr>
                    <w:rFonts w:asciiTheme="minorEastAsia" w:eastAsiaTheme="minorEastAsia" w:hAnsiTheme="minorEastAsia" w:cs="Arial" w:hint="eastAsia"/>
                  </w:rPr>
                  <w:t>区盐酸雾</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氯化氢</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mg/m</w:t>
                </w:r>
                <w:r>
                  <w:rPr>
                    <w:rFonts w:asciiTheme="minorEastAsia" w:eastAsiaTheme="minorEastAsia" w:hAnsiTheme="minorEastAsia" w:cs="Times New Roman"/>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100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asciiTheme="minorEastAsia" w:eastAsiaTheme="minorEastAsia" w:hAnsiTheme="minorEastAsia" w:cs="Arial" w:hint="eastAsia"/>
                  </w:rPr>
                  <w:t>5</w:t>
                </w:r>
                <w:r>
                  <w:rPr>
                    <w:rFonts w:asciiTheme="minorEastAsia" w:eastAsiaTheme="minorEastAsia" w:hAnsiTheme="minorEastAsia" w:cs="Arial"/>
                  </w:rPr>
                  <w:t>.13</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nil"/>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rPr>
                </w:pPr>
                <w:r>
                  <w:rPr>
                    <w:rFonts w:asciiTheme="minorEastAsia" w:eastAsiaTheme="minorEastAsia" w:hAnsiTheme="minorEastAsia" w:cs="Arial"/>
                  </w:rPr>
                  <w:t>AB</w:t>
                </w:r>
                <w:r>
                  <w:rPr>
                    <w:rFonts w:asciiTheme="minorEastAsia" w:eastAsiaTheme="minorEastAsia" w:hAnsiTheme="minorEastAsia" w:cs="Arial" w:hint="eastAsia"/>
                  </w:rPr>
                  <w:t>区漆雾吸收塔</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二甲苯</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mg/m</w:t>
                </w:r>
                <w:r>
                  <w:rPr>
                    <w:rFonts w:asciiTheme="minorEastAsia" w:eastAsiaTheme="minorEastAsia" w:hAnsiTheme="minorEastAsia" w:cs="Times New Roman"/>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rPr>
                  <w:t>70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asciiTheme="minorEastAsia" w:eastAsiaTheme="minorEastAsia" w:hAnsiTheme="minorEastAsia" w:cs="Arial" w:hint="eastAsia"/>
                  </w:rPr>
                  <w:t>1</w:t>
                </w:r>
                <w:r>
                  <w:rPr>
                    <w:rFonts w:asciiTheme="minorEastAsia" w:eastAsiaTheme="minorEastAsia" w:hAnsiTheme="minorEastAsia" w:cs="Arial"/>
                  </w:rPr>
                  <w:t>.74</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nil"/>
                  <w:left w:val="nil"/>
                  <w:bottom w:val="single" w:sz="2" w:space="0" w:color="000000"/>
                  <w:right w:val="single" w:sz="2" w:space="0" w:color="000000"/>
                </w:tcBorders>
                <w:vAlign w:val="center"/>
              </w:tcPr>
              <w:p w:rsidR="00597370" w:rsidRDefault="003C2EEE">
                <w:pPr>
                  <w:rPr>
                    <w:rFonts w:ascii="Arial" w:hAnsi="Arial" w:cs="Arial"/>
                  </w:rPr>
                </w:pPr>
                <w:r>
                  <w:rPr>
                    <w:rFonts w:cs="Arial" w:hint="eastAsia"/>
                  </w:rPr>
                  <w:t>抛丸</w:t>
                </w:r>
              </w:p>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颗粒物</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mg</w:t>
                </w:r>
                <w:r>
                  <w:rPr>
                    <w:rFonts w:cs="Arial" w:hint="eastAsia"/>
                    <w:spacing w:val="11"/>
                  </w:rPr>
                  <w:t>/N</w:t>
                </w:r>
                <w:r>
                  <w:rPr>
                    <w:rFonts w:cs="Arial" w:hint="eastAsia"/>
                  </w:rPr>
                  <w:t>m</w:t>
                </w:r>
                <w:r>
                  <w:rPr>
                    <w:rFonts w:cs="Times New Roman" w:hint="eastAsia"/>
                    <w:spacing w:val="10"/>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120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cs="Arial" w:hint="eastAsia"/>
                  </w:rPr>
                  <w:t>35</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val="restart"/>
                <w:tcBorders>
                  <w:top w:val="nil"/>
                  <w:left w:val="nil"/>
                  <w:right w:val="single" w:sz="2" w:space="0" w:color="000000"/>
                </w:tcBorders>
                <w:vAlign w:val="center"/>
              </w:tcPr>
              <w:p w:rsidR="00597370" w:rsidRDefault="003C2EEE">
                <w:pPr>
                  <w:rPr>
                    <w:rFonts w:ascii="Arial" w:hAnsi="Arial" w:cs="Arial"/>
                  </w:rPr>
                </w:pPr>
                <w:r>
                  <w:rPr>
                    <w:rFonts w:cs="Arial" w:hint="eastAsia"/>
                  </w:rPr>
                  <w:t>油漆喷涂</w:t>
                </w:r>
              </w:p>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苯</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mg/Nm</w:t>
                </w:r>
                <w:r>
                  <w:rPr>
                    <w:rFonts w:cs="Times New Roman" w:hint="eastAsia"/>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12</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cs="Arial" w:hint="eastAsia"/>
                  </w:rPr>
                  <w:t>0.00075</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甲苯</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mg/Nm</w:t>
                </w:r>
                <w:r>
                  <w:rPr>
                    <w:rFonts w:cs="Times New Roman" w:hint="eastAsia"/>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40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cs="Arial" w:hint="eastAsia"/>
                  </w:rPr>
                  <w:t>0.00075</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二甲苯</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mg</w:t>
                </w:r>
                <w:r>
                  <w:rPr>
                    <w:rFonts w:cs="Arial" w:hint="eastAsia"/>
                    <w:spacing w:val="11"/>
                  </w:rPr>
                  <w:t>/</w:t>
                </w:r>
                <w:r>
                  <w:rPr>
                    <w:rFonts w:cs="Arial" w:hint="eastAsia"/>
                  </w:rPr>
                  <w:t>Nm</w:t>
                </w:r>
                <w:r>
                  <w:rPr>
                    <w:rFonts w:cs="Times New Roman" w:hint="eastAsia"/>
                    <w:spacing w:val="10"/>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70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cs="Arial" w:hint="eastAsia"/>
                  </w:rPr>
                  <w:t>0.00225</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挥发性有机物</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mg</w:t>
                </w:r>
                <w:r>
                  <w:rPr>
                    <w:rFonts w:cs="Arial" w:hint="eastAsia"/>
                    <w:spacing w:val="11"/>
                  </w:rPr>
                  <w:t>/</w:t>
                </w:r>
                <w:r>
                  <w:rPr>
                    <w:rFonts w:cs="Arial" w:hint="eastAsia"/>
                  </w:rPr>
                  <w:t>Nm</w:t>
                </w:r>
                <w:r>
                  <w:rPr>
                    <w:rFonts w:cs="Times New Roman" w:hint="eastAsia"/>
                    <w:spacing w:val="10"/>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120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cs="Arial" w:hint="eastAsia"/>
                  </w:rPr>
                  <w:t>1.73</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tcBorders>
                  <w:left w:val="nil"/>
                  <w:bottom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颗粒物</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mg</w:t>
                </w:r>
                <w:r>
                  <w:rPr>
                    <w:rFonts w:cs="Arial" w:hint="eastAsia"/>
                    <w:spacing w:val="11"/>
                  </w:rPr>
                  <w:t>/</w:t>
                </w:r>
                <w:r>
                  <w:rPr>
                    <w:rFonts w:cs="Arial" w:hint="eastAsia"/>
                  </w:rPr>
                  <w:t>Nm</w:t>
                </w:r>
                <w:r>
                  <w:rPr>
                    <w:rFonts w:cs="Times New Roman" w:hint="eastAsia"/>
                    <w:spacing w:val="10"/>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120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cs="Arial" w:hint="eastAsia"/>
                  </w:rPr>
                  <w:t>45</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nil"/>
                  <w:left w:val="nil"/>
                  <w:bottom w:val="single" w:sz="2" w:space="0" w:color="000000"/>
                  <w:right w:val="single" w:sz="2" w:space="0" w:color="000000"/>
                </w:tcBorders>
                <w:vAlign w:val="center"/>
              </w:tcPr>
              <w:p w:rsidR="00597370" w:rsidRDefault="003C2EEE">
                <w:pPr>
                  <w:rPr>
                    <w:rFonts w:ascii="Arial" w:eastAsiaTheme="minorEastAsia" w:hAnsi="Arial" w:cs="Arial"/>
                  </w:rPr>
                </w:pPr>
                <w:r>
                  <w:rPr>
                    <w:rFonts w:cs="Arial" w:hint="eastAsia"/>
                  </w:rPr>
                  <w:t>绝缘材料加工</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颗粒物</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mg/Nm</w:t>
                </w:r>
                <w:r>
                  <w:rPr>
                    <w:rFonts w:cs="Times New Roman" w:hint="eastAsia"/>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120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cs="Arial" w:hint="eastAsia"/>
                    <w:shd w:val="clear" w:color="auto" w:fill="FFFFFF"/>
                  </w:rPr>
                  <w:t>28</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val="restart"/>
                <w:tcBorders>
                  <w:top w:val="nil"/>
                  <w:left w:val="nil"/>
                  <w:right w:val="single" w:sz="2" w:space="0" w:color="000000"/>
                </w:tcBorders>
                <w:vAlign w:val="center"/>
              </w:tcPr>
              <w:p w:rsidR="00597370" w:rsidRDefault="003C2EEE">
                <w:pPr>
                  <w:rPr>
                    <w:rFonts w:cs="Arial"/>
                  </w:rPr>
                </w:pPr>
                <w:r>
                  <w:rPr>
                    <w:rFonts w:asciiTheme="minorEastAsia" w:eastAsiaTheme="minorEastAsia" w:hAnsiTheme="minorEastAsia" w:cs="Arial" w:hint="eastAsia"/>
                  </w:rPr>
                  <w:t>粉尘</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cs="Arial"/>
                  </w:rPr>
                </w:pPr>
                <w:r>
                  <w:rPr>
                    <w:rFonts w:hint="eastAsia"/>
                  </w:rPr>
                  <w:t>实测浓度</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cs="Arial"/>
                  </w:rPr>
                </w:pPr>
                <w:r>
                  <w:rPr>
                    <w:rFonts w:hint="eastAsia"/>
                  </w:rPr>
                  <w:t>mg/m</w:t>
                </w:r>
                <w:r>
                  <w:rPr>
                    <w:rFonts w:cs="Times New Roman" w:hint="eastAsia"/>
                  </w:rPr>
                  <w:t>³</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cs="Arial"/>
                  </w:rPr>
                </w:pPr>
                <w:r>
                  <w:rPr>
                    <w:rFonts w:hint="eastAsia"/>
                  </w:rPr>
                  <w:t>120</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cs="Arial"/>
                    <w:shd w:val="clear" w:color="auto" w:fill="FFFFFF"/>
                  </w:rPr>
                </w:pPr>
                <w:r>
                  <w:rPr>
                    <w:rFonts w:hint="eastAsia"/>
                  </w:rPr>
                  <w:t>32.3</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cs="Arial"/>
                  </w:rPr>
                </w:pPr>
                <w:r>
                  <w:rPr>
                    <w:rFonts w:hint="eastAsia"/>
                  </w:rPr>
                  <w:t>是</w:t>
                </w:r>
              </w:p>
            </w:tc>
          </w:tr>
          <w:tr w:rsidR="00597370">
            <w:trPr>
              <w:trHeight w:val="266"/>
              <w:jc w:val="center"/>
            </w:trPr>
            <w:tc>
              <w:tcPr>
                <w:tcW w:w="884" w:type="dxa"/>
                <w:vMerge/>
                <w:tcBorders>
                  <w:left w:val="single" w:sz="2" w:space="0" w:color="000000"/>
                  <w:bottom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tcBorders>
                  <w:left w:val="nil"/>
                  <w:bottom w:val="single" w:sz="2" w:space="0" w:color="000000"/>
                  <w:right w:val="single" w:sz="2" w:space="0" w:color="000000"/>
                </w:tcBorders>
                <w:vAlign w:val="center"/>
              </w:tcPr>
              <w:p w:rsidR="00597370" w:rsidRDefault="00597370">
                <w:pPr>
                  <w:rPr>
                    <w:rFonts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cs="Arial"/>
                  </w:rPr>
                </w:pPr>
                <w:r>
                  <w:rPr>
                    <w:rFonts w:hint="eastAsia"/>
                  </w:rPr>
                  <w:t>排放速度</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cs="Arial"/>
                  </w:rPr>
                </w:pPr>
                <w:r>
                  <w:rPr>
                    <w:rFonts w:hint="eastAsia"/>
                  </w:rPr>
                  <w:t>KG/H</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cs="Arial"/>
                  </w:rPr>
                </w:pPr>
                <w:r>
                  <w:rPr>
                    <w:rFonts w:hint="eastAsia"/>
                  </w:rPr>
                  <w:t>3.5</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cs="Arial"/>
                    <w:shd w:val="clear" w:color="auto" w:fill="FFFFFF"/>
                  </w:rPr>
                </w:pPr>
                <w:r>
                  <w:rPr>
                    <w:rFonts w:hint="eastAsia"/>
                  </w:rPr>
                  <w:t>0.09</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cs="Arial"/>
                  </w:rPr>
                </w:pPr>
                <w:r>
                  <w:rPr>
                    <w:rFonts w:hint="eastAsia"/>
                  </w:rPr>
                  <w:t>是</w:t>
                </w:r>
              </w:p>
            </w:tc>
          </w:tr>
          <w:tr w:rsidR="00597370">
            <w:trPr>
              <w:trHeight w:val="266"/>
              <w:jc w:val="center"/>
            </w:trPr>
            <w:tc>
              <w:tcPr>
                <w:tcW w:w="884" w:type="dxa"/>
                <w:vMerge w:val="restart"/>
                <w:tcBorders>
                  <w:top w:val="single" w:sz="2" w:space="0" w:color="000000"/>
                  <w:left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固体废弃物</w:t>
                </w:r>
              </w:p>
            </w:tc>
            <w:tc>
              <w:tcPr>
                <w:tcW w:w="1841" w:type="dxa"/>
                <w:tcBorders>
                  <w:top w:val="single" w:sz="2" w:space="0" w:color="000000"/>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rPr>
                </w:pPr>
                <w:r>
                  <w:rPr>
                    <w:rFonts w:asciiTheme="minorEastAsia" w:eastAsiaTheme="minorEastAsia" w:hAnsiTheme="minorEastAsia" w:cs="Arial" w:hint="eastAsia"/>
                  </w:rPr>
                  <w:t>拉伸退火、绕线、修边、焊接、木材加工</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生活垃圾、氧化镁滤渣等</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吨</w:t>
                </w:r>
                <w:r>
                  <w:rPr>
                    <w:rFonts w:asciiTheme="minorEastAsia" w:eastAsiaTheme="minorEastAsia" w:hAnsiTheme="minorEastAsia" w:cs="Arial"/>
                  </w:rPr>
                  <w:t>/</w:t>
                </w:r>
                <w:r>
                  <w:rPr>
                    <w:rFonts w:asciiTheme="minorEastAsia" w:eastAsiaTheme="minorEastAsia" w:hAnsiTheme="minorEastAsia" w:cs="Arial" w:hint="eastAsia"/>
                  </w:rPr>
                  <w:t>年</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asciiTheme="minorEastAsia" w:eastAsiaTheme="minorEastAsia" w:hAnsiTheme="minorEastAsia" w:cs="Arial"/>
                  </w:rPr>
                </w:pPr>
                <w:r>
                  <w:rPr>
                    <w:rFonts w:asciiTheme="minorEastAsia" w:eastAsiaTheme="minorEastAsia" w:hAnsiTheme="minorEastAsia" w:cs="Arial" w:hint="eastAsia"/>
                  </w:rPr>
                  <w:t>集中收集后处置</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bottom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tcBorders>
                  <w:top w:val="single" w:sz="2" w:space="0" w:color="000000"/>
                  <w:left w:val="nil"/>
                  <w:bottom w:val="single" w:sz="2" w:space="0" w:color="000000"/>
                  <w:right w:val="single" w:sz="2" w:space="0" w:color="000000"/>
                </w:tcBorders>
                <w:vAlign w:val="center"/>
              </w:tcPr>
              <w:p w:rsidR="00597370" w:rsidRDefault="003C2EEE">
                <w:pPr>
                  <w:rPr>
                    <w:rFonts w:asciiTheme="minorEastAsia" w:eastAsiaTheme="minorEastAsia" w:hAnsiTheme="minorEastAsia" w:cs="Arial"/>
                  </w:rPr>
                </w:pPr>
                <w:r>
                  <w:rPr>
                    <w:rFonts w:cs="Arial" w:hint="eastAsia"/>
                  </w:rPr>
                  <w:t>绝缘材料下料、硅钢片剪切、线圈绕制、钢材下料、绝缘材料下料、外来</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木粉尘、硅钢片边角料、废铜、废旧钢材、绝缘纸板边角料、废包装材料</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吨/半年</w:t>
                </w:r>
              </w:p>
            </w:tc>
            <w:tc>
              <w:tcPr>
                <w:tcW w:w="1276"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shd w:val="clear" w:color="auto" w:fill="FFFFFF"/>
                  <w:spacing w:after="270" w:line="420" w:lineRule="atLeast"/>
                  <w:jc w:val="center"/>
                  <w:rPr>
                    <w:rFonts w:eastAsiaTheme="minorEastAsia" w:cs="Arial"/>
                    <w:shd w:val="clear" w:color="auto" w:fill="FFFFFF"/>
                  </w:rPr>
                </w:pPr>
                <w:r>
                  <w:rPr>
                    <w:rFonts w:cs="Arial" w:hint="eastAsia"/>
                    <w:shd w:val="clear" w:color="auto" w:fill="FFFFFF"/>
                  </w:rPr>
                  <w:t>集中收集、分类摆放，委托处置（外售再生资源公司再利用或委托外单位回收利用）。</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cs="Arial" w:hint="eastAsia"/>
                  </w:rPr>
                  <w:t>是</w:t>
                </w:r>
              </w:p>
            </w:tc>
          </w:tr>
          <w:tr w:rsidR="00597370">
            <w:trPr>
              <w:trHeight w:val="413"/>
              <w:jc w:val="center"/>
            </w:trPr>
            <w:tc>
              <w:tcPr>
                <w:tcW w:w="884" w:type="dxa"/>
                <w:vMerge w:val="restart"/>
                <w:tcBorders>
                  <w:top w:val="single" w:sz="2" w:space="0" w:color="000000"/>
                  <w:left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危险废弃物</w:t>
                </w:r>
              </w:p>
            </w:tc>
            <w:tc>
              <w:tcPr>
                <w:tcW w:w="1841" w:type="dxa"/>
                <w:vMerge w:val="restart"/>
                <w:tcBorders>
                  <w:top w:val="single" w:sz="2" w:space="0" w:color="000000"/>
                  <w:left w:val="nil"/>
                  <w:right w:val="single" w:sz="2" w:space="0" w:color="000000"/>
                </w:tcBorders>
                <w:vAlign w:val="center"/>
              </w:tcPr>
              <w:p w:rsidR="00597370" w:rsidRDefault="003C2EEE">
                <w:pPr>
                  <w:rPr>
                    <w:rFonts w:asciiTheme="minorEastAsia" w:eastAsiaTheme="minorEastAsia" w:hAnsiTheme="minorEastAsia" w:cs="Arial"/>
                  </w:rPr>
                </w:pPr>
                <w:r>
                  <w:rPr>
                    <w:rFonts w:asciiTheme="minorEastAsia" w:eastAsiaTheme="minorEastAsia" w:hAnsiTheme="minorEastAsia" w:cs="Arial" w:hint="eastAsia"/>
                  </w:rPr>
                  <w:t>拉伸平整、轧机、酸洗、金加工</w:t>
                </w:r>
              </w:p>
              <w:p w:rsidR="00597370" w:rsidRDefault="003C2EEE">
                <w:pPr>
                  <w:rPr>
                    <w:rFonts w:asciiTheme="minorEastAsia" w:eastAsiaTheme="minorEastAsia" w:hAnsiTheme="minorEastAsia" w:cs="Arial"/>
                  </w:rPr>
                </w:pPr>
                <w:r>
                  <w:rPr>
                    <w:rFonts w:asciiTheme="minorEastAsia" w:eastAsiaTheme="minorEastAsia" w:hAnsiTheme="minorEastAsia" w:cs="Arial" w:hint="eastAsia"/>
                  </w:rPr>
                  <w:t>金加工车间焊接、成套壳体加工、木材加工</w:t>
                </w:r>
              </w:p>
            </w:tc>
            <w:tc>
              <w:tcPr>
                <w:tcW w:w="184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含铬废液</w:t>
                </w:r>
              </w:p>
            </w:tc>
            <w:tc>
              <w:tcPr>
                <w:tcW w:w="992" w:type="dxa"/>
                <w:vMerge w:val="restart"/>
                <w:tcBorders>
                  <w:top w:val="single" w:sz="2" w:space="0" w:color="000000"/>
                  <w:left w:val="nil"/>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吨</w:t>
                </w:r>
                <w:r>
                  <w:rPr>
                    <w:rFonts w:asciiTheme="minorEastAsia" w:eastAsiaTheme="minorEastAsia" w:hAnsiTheme="minorEastAsia" w:cs="Arial"/>
                  </w:rPr>
                  <w:t>/</w:t>
                </w:r>
                <w:r>
                  <w:rPr>
                    <w:rFonts w:asciiTheme="minorEastAsia" w:eastAsiaTheme="minorEastAsia" w:hAnsiTheme="minorEastAsia" w:cs="Arial" w:hint="eastAsia"/>
                  </w:rPr>
                  <w:t>半年</w:t>
                </w:r>
              </w:p>
            </w:tc>
            <w:tc>
              <w:tcPr>
                <w:tcW w:w="1276" w:type="dxa"/>
                <w:vMerge w:val="restart"/>
                <w:tcBorders>
                  <w:top w:val="single" w:sz="2" w:space="0" w:color="000000"/>
                  <w:left w:val="nil"/>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w:t>
                </w:r>
              </w:p>
            </w:tc>
            <w:tc>
              <w:tcPr>
                <w:tcW w:w="992"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49.28</w:t>
                </w:r>
              </w:p>
            </w:tc>
            <w:tc>
              <w:tcPr>
                <w:tcW w:w="993" w:type="dxa"/>
                <w:tcBorders>
                  <w:top w:val="single" w:sz="2" w:space="0" w:color="000000"/>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383"/>
              <w:jc w:val="center"/>
            </w:trPr>
            <w:tc>
              <w:tcPr>
                <w:tcW w:w="884" w:type="dxa"/>
                <w:vMerge/>
                <w:tcBorders>
                  <w:left w:val="single" w:sz="2" w:space="0" w:color="000000"/>
                  <w:bottom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841" w:type="dxa"/>
                <w:vMerge/>
                <w:tcBorders>
                  <w:left w:val="nil"/>
                  <w:bottom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nil"/>
                  <w:left w:val="nil"/>
                  <w:bottom w:val="single" w:sz="2" w:space="0" w:color="000000"/>
                  <w:right w:val="single" w:sz="2" w:space="0" w:color="000000"/>
                </w:tcBorders>
                <w:shd w:val="clear" w:color="auto" w:fill="auto"/>
                <w:vAlign w:val="center"/>
              </w:tcPr>
              <w:p w:rsidR="00597370" w:rsidRDefault="003C2EEE">
                <w:pPr>
                  <w:jc w:val="center"/>
                </w:pPr>
                <w:r>
                  <w:rPr>
                    <w:rFonts w:hint="eastAsia"/>
                  </w:rPr>
                  <w:t>废乳化油</w:t>
                </w:r>
              </w:p>
            </w:tc>
            <w:tc>
              <w:tcPr>
                <w:tcW w:w="992" w:type="dxa"/>
                <w:vMerge/>
                <w:tcBorders>
                  <w:left w:val="nil"/>
                  <w:bottom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1276" w:type="dxa"/>
                <w:vMerge/>
                <w:tcBorders>
                  <w:left w:val="nil"/>
                  <w:bottom w:val="single" w:sz="2" w:space="0" w:color="000000"/>
                  <w:right w:val="single" w:sz="2" w:space="0" w:color="000000"/>
                </w:tcBorders>
                <w:vAlign w:val="center"/>
              </w:tcPr>
              <w:p w:rsidR="00597370" w:rsidRDefault="00597370">
                <w:pPr>
                  <w:jc w:val="center"/>
                  <w:rPr>
                    <w:rFonts w:asciiTheme="minorEastAsia" w:eastAsiaTheme="minorEastAsia" w:hAnsiTheme="minorEastAsia" w:cs="Arial"/>
                  </w:rPr>
                </w:pPr>
              </w:p>
            </w:tc>
            <w:tc>
              <w:tcPr>
                <w:tcW w:w="992" w:type="dxa"/>
                <w:tcBorders>
                  <w:top w:val="nil"/>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213.39</w:t>
                </w:r>
              </w:p>
            </w:tc>
            <w:tc>
              <w:tcPr>
                <w:tcW w:w="993" w:type="dxa"/>
                <w:tcBorders>
                  <w:top w:val="nil"/>
                  <w:left w:val="nil"/>
                  <w:bottom w:val="single" w:sz="2" w:space="0" w:color="000000"/>
                  <w:right w:val="single" w:sz="2" w:space="0" w:color="000000"/>
                </w:tcBorders>
                <w:vAlign w:val="center"/>
              </w:tcPr>
              <w:p w:rsidR="00597370" w:rsidRDefault="003C2EEE">
                <w:pPr>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Arial" w:hint="eastAsia"/>
                  </w:rPr>
                  <w:t>废滤布</w:t>
                </w:r>
              </w:p>
            </w:tc>
            <w:tc>
              <w:tcPr>
                <w:tcW w:w="992"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276" w:type="dxa"/>
                <w:vMerge/>
                <w:tcBorders>
                  <w:left w:val="nil"/>
                  <w:right w:val="single" w:sz="2" w:space="0" w:color="000000"/>
                </w:tcBorders>
                <w:vAlign w:val="center"/>
              </w:tcPr>
              <w:p w:rsidR="00597370" w:rsidRDefault="00597370">
                <w:pPr>
                  <w:jc w:val="center"/>
                  <w:rPr>
                    <w:rFonts w:asciiTheme="minorEastAsia" w:eastAsiaTheme="minorEastAsia" w:hAnsiTheme="minorEastAsia" w:cs="Arial"/>
                    <w:color w:val="FF0000"/>
                  </w:rPr>
                </w:pP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6"/>
                  <w:jc w:val="center"/>
                  <w:rPr>
                    <w:rFonts w:asciiTheme="minorEastAsia" w:eastAsiaTheme="minorEastAsia" w:hAnsiTheme="minorEastAsia" w:cs="Arial"/>
                  </w:rPr>
                </w:pPr>
                <w:r>
                  <w:rPr>
                    <w:rFonts w:asciiTheme="minorEastAsia" w:eastAsiaTheme="minorEastAsia" w:hAnsiTheme="minorEastAsia" w:cs="Arial" w:hint="eastAsia"/>
                  </w:rPr>
                  <w:t>26.19</w:t>
                </w:r>
              </w:p>
            </w:tc>
            <w:tc>
              <w:tcPr>
                <w:tcW w:w="993" w:type="dxa"/>
                <w:tcBorders>
                  <w:top w:val="single" w:sz="2" w:space="0" w:color="000000"/>
                  <w:left w:val="nil"/>
                  <w:bottom w:val="single" w:sz="2" w:space="0" w:color="000000"/>
                  <w:right w:val="single" w:sz="4" w:space="0" w:color="auto"/>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266"/>
              <w:jc w:val="center"/>
            </w:trPr>
            <w:tc>
              <w:tcPr>
                <w:tcW w:w="884" w:type="dxa"/>
                <w:vMerge/>
                <w:tcBorders>
                  <w:left w:val="single" w:sz="2" w:space="0" w:color="000000"/>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2" w:space="0" w:color="000000"/>
                  <w:right w:val="single" w:sz="2" w:space="0" w:color="000000"/>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Arial" w:hint="eastAsia"/>
                  </w:rPr>
                  <w:t>废盐酸</w:t>
                </w:r>
              </w:p>
            </w:tc>
            <w:tc>
              <w:tcPr>
                <w:tcW w:w="992" w:type="dxa"/>
                <w:vMerge/>
                <w:tcBorders>
                  <w:left w:val="nil"/>
                  <w:right w:val="single" w:sz="2" w:space="0" w:color="000000"/>
                </w:tcBorders>
                <w:vAlign w:val="center"/>
              </w:tcPr>
              <w:p w:rsidR="00597370" w:rsidRDefault="00597370">
                <w:pPr>
                  <w:rPr>
                    <w:rFonts w:asciiTheme="minorEastAsia" w:eastAsiaTheme="minorEastAsia" w:hAnsiTheme="minorEastAsia" w:cs="Arial"/>
                  </w:rPr>
                </w:pPr>
              </w:p>
            </w:tc>
            <w:tc>
              <w:tcPr>
                <w:tcW w:w="1276" w:type="dxa"/>
                <w:vMerge/>
                <w:tcBorders>
                  <w:left w:val="nil"/>
                  <w:right w:val="single" w:sz="2" w:space="0" w:color="000000"/>
                </w:tcBorders>
                <w:vAlign w:val="center"/>
              </w:tcPr>
              <w:p w:rsidR="00597370" w:rsidRDefault="00597370">
                <w:pPr>
                  <w:jc w:val="center"/>
                  <w:rPr>
                    <w:rFonts w:asciiTheme="minorEastAsia" w:eastAsiaTheme="minorEastAsia" w:hAnsiTheme="minorEastAsia" w:cs="Arial"/>
                    <w:color w:val="FF0000"/>
                  </w:rPr>
                </w:pPr>
              </w:p>
            </w:tc>
            <w:tc>
              <w:tcPr>
                <w:tcW w:w="992" w:type="dxa"/>
                <w:tcBorders>
                  <w:top w:val="single" w:sz="2" w:space="0" w:color="000000"/>
                  <w:left w:val="nil"/>
                  <w:bottom w:val="single" w:sz="2" w:space="0" w:color="000000"/>
                  <w:right w:val="single" w:sz="2" w:space="0" w:color="000000"/>
                </w:tcBorders>
                <w:vAlign w:val="center"/>
              </w:tcPr>
              <w:p w:rsidR="00597370" w:rsidRDefault="003C2EEE">
                <w:pPr>
                  <w:spacing w:before="76"/>
                  <w:jc w:val="center"/>
                  <w:rPr>
                    <w:rFonts w:asciiTheme="minorEastAsia" w:eastAsiaTheme="minorEastAsia" w:hAnsiTheme="minorEastAsia" w:cs="Arial"/>
                  </w:rPr>
                </w:pPr>
                <w:r>
                  <w:rPr>
                    <w:rFonts w:asciiTheme="minorEastAsia" w:eastAsiaTheme="minorEastAsia" w:hAnsiTheme="minorEastAsia" w:cs="Arial" w:hint="eastAsia"/>
                  </w:rPr>
                  <w:t>58.09</w:t>
                </w:r>
              </w:p>
            </w:tc>
            <w:tc>
              <w:tcPr>
                <w:tcW w:w="993" w:type="dxa"/>
                <w:tcBorders>
                  <w:top w:val="single" w:sz="2" w:space="0" w:color="000000"/>
                  <w:left w:val="nil"/>
                  <w:bottom w:val="single" w:sz="2" w:space="0" w:color="000000"/>
                  <w:right w:val="single" w:sz="4" w:space="0" w:color="auto"/>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Arial" w:hint="eastAsia"/>
                  </w:rPr>
                  <w:t>是</w:t>
                </w:r>
              </w:p>
            </w:tc>
          </w:tr>
          <w:tr w:rsidR="00597370">
            <w:trPr>
              <w:trHeight w:val="559"/>
              <w:jc w:val="center"/>
            </w:trPr>
            <w:tc>
              <w:tcPr>
                <w:tcW w:w="884" w:type="dxa"/>
                <w:vMerge/>
                <w:tcBorders>
                  <w:left w:val="single" w:sz="2" w:space="0" w:color="000000"/>
                  <w:bottom w:val="nil"/>
                  <w:right w:val="single" w:sz="2" w:space="0" w:color="000000"/>
                </w:tcBorders>
                <w:vAlign w:val="center"/>
              </w:tcPr>
              <w:p w:rsidR="00597370" w:rsidRDefault="00597370">
                <w:pPr>
                  <w:rPr>
                    <w:rFonts w:asciiTheme="minorEastAsia" w:eastAsiaTheme="minorEastAsia" w:hAnsiTheme="minorEastAsia" w:cs="Arial"/>
                  </w:rPr>
                </w:pPr>
              </w:p>
            </w:tc>
            <w:tc>
              <w:tcPr>
                <w:tcW w:w="1841" w:type="dxa"/>
                <w:vMerge/>
                <w:tcBorders>
                  <w:left w:val="nil"/>
                  <w:bottom w:val="single" w:sz="4" w:space="0" w:color="auto"/>
                  <w:right w:val="single" w:sz="2" w:space="0" w:color="000000"/>
                </w:tcBorders>
                <w:vAlign w:val="center"/>
              </w:tcPr>
              <w:p w:rsidR="00597370" w:rsidRDefault="00597370">
                <w:pPr>
                  <w:rPr>
                    <w:rFonts w:asciiTheme="minorEastAsia" w:eastAsiaTheme="minorEastAsia" w:hAnsiTheme="minorEastAsia" w:cs="Arial"/>
                  </w:rPr>
                </w:pPr>
              </w:p>
            </w:tc>
            <w:tc>
              <w:tcPr>
                <w:tcW w:w="1842" w:type="dxa"/>
                <w:tcBorders>
                  <w:top w:val="single" w:sz="2" w:space="0" w:color="000000"/>
                  <w:left w:val="nil"/>
                  <w:bottom w:val="single" w:sz="4" w:space="0" w:color="auto"/>
                  <w:right w:val="single" w:sz="2" w:space="0" w:color="000000"/>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Arial" w:hint="eastAsia"/>
                  </w:rPr>
                  <w:t>磷化渣</w:t>
                </w:r>
              </w:p>
            </w:tc>
            <w:tc>
              <w:tcPr>
                <w:tcW w:w="992" w:type="dxa"/>
                <w:vMerge/>
                <w:tcBorders>
                  <w:left w:val="nil"/>
                  <w:bottom w:val="single" w:sz="4" w:space="0" w:color="auto"/>
                  <w:right w:val="single" w:sz="2" w:space="0" w:color="000000"/>
                </w:tcBorders>
                <w:vAlign w:val="center"/>
              </w:tcPr>
              <w:p w:rsidR="00597370" w:rsidRDefault="00597370">
                <w:pPr>
                  <w:rPr>
                    <w:rFonts w:asciiTheme="minorEastAsia" w:eastAsiaTheme="minorEastAsia" w:hAnsiTheme="minorEastAsia" w:cs="Arial"/>
                  </w:rPr>
                </w:pPr>
              </w:p>
            </w:tc>
            <w:tc>
              <w:tcPr>
                <w:tcW w:w="1276" w:type="dxa"/>
                <w:vMerge/>
                <w:tcBorders>
                  <w:left w:val="nil"/>
                  <w:bottom w:val="single" w:sz="4" w:space="0" w:color="auto"/>
                  <w:right w:val="single" w:sz="2" w:space="0" w:color="000000"/>
                </w:tcBorders>
                <w:vAlign w:val="center"/>
              </w:tcPr>
              <w:p w:rsidR="00597370" w:rsidRDefault="00597370">
                <w:pPr>
                  <w:jc w:val="center"/>
                  <w:rPr>
                    <w:rFonts w:asciiTheme="minorEastAsia" w:eastAsiaTheme="minorEastAsia" w:hAnsiTheme="minorEastAsia" w:cs="Arial"/>
                    <w:color w:val="FF0000"/>
                  </w:rPr>
                </w:pPr>
              </w:p>
            </w:tc>
            <w:tc>
              <w:tcPr>
                <w:tcW w:w="992" w:type="dxa"/>
                <w:tcBorders>
                  <w:top w:val="single" w:sz="2" w:space="0" w:color="000000"/>
                  <w:left w:val="nil"/>
                  <w:bottom w:val="single" w:sz="4" w:space="0" w:color="auto"/>
                  <w:right w:val="single" w:sz="2" w:space="0" w:color="000000"/>
                </w:tcBorders>
                <w:vAlign w:val="center"/>
              </w:tcPr>
              <w:p w:rsidR="00597370" w:rsidRDefault="003C2EEE">
                <w:pPr>
                  <w:spacing w:before="74"/>
                  <w:jc w:val="center"/>
                  <w:rPr>
                    <w:rFonts w:asciiTheme="minorEastAsia" w:eastAsiaTheme="minorEastAsia" w:hAnsiTheme="minorEastAsia" w:cs="Arial"/>
                  </w:rPr>
                </w:pPr>
                <w:r>
                  <w:rPr>
                    <w:rFonts w:asciiTheme="minorEastAsia" w:eastAsiaTheme="minorEastAsia" w:hAnsiTheme="minorEastAsia" w:cs="Arial" w:hint="eastAsia"/>
                  </w:rPr>
                  <w:t>9.2</w:t>
                </w:r>
              </w:p>
            </w:tc>
            <w:tc>
              <w:tcPr>
                <w:tcW w:w="993" w:type="dxa"/>
                <w:tcBorders>
                  <w:top w:val="single" w:sz="2" w:space="0" w:color="000000"/>
                  <w:left w:val="nil"/>
                  <w:bottom w:val="single" w:sz="4" w:space="0" w:color="auto"/>
                  <w:right w:val="single" w:sz="4" w:space="0" w:color="auto"/>
                </w:tcBorders>
                <w:vAlign w:val="center"/>
              </w:tcPr>
              <w:p w:rsidR="00597370" w:rsidRDefault="003C2EEE">
                <w:pPr>
                  <w:spacing w:before="42"/>
                  <w:jc w:val="center"/>
                  <w:rPr>
                    <w:rFonts w:asciiTheme="minorEastAsia" w:eastAsiaTheme="minorEastAsia" w:hAnsiTheme="minorEastAsia" w:cs="Arial"/>
                  </w:rPr>
                </w:pPr>
                <w:r>
                  <w:rPr>
                    <w:rFonts w:asciiTheme="minorEastAsia" w:eastAsiaTheme="minorEastAsia" w:hAnsiTheme="minorEastAsia" w:cs="Times New Roman"/>
                  </w:rPr>
                  <w:t>是</w:t>
                </w:r>
              </w:p>
            </w:tc>
          </w:tr>
          <w:tr w:rsidR="00597370">
            <w:trPr>
              <w:trHeight w:val="559"/>
              <w:jc w:val="center"/>
            </w:trPr>
            <w:tc>
              <w:tcPr>
                <w:tcW w:w="884" w:type="dxa"/>
                <w:tcBorders>
                  <w:top w:val="nil"/>
                  <w:left w:val="single" w:sz="4" w:space="0" w:color="auto"/>
                  <w:bottom w:val="nil"/>
                  <w:right w:val="single" w:sz="4" w:space="0" w:color="auto"/>
                </w:tcBorders>
                <w:vAlign w:val="center"/>
              </w:tcPr>
              <w:p w:rsidR="00597370" w:rsidRDefault="00597370">
                <w:pPr>
                  <w:rPr>
                    <w:rFonts w:asciiTheme="minorEastAsia" w:eastAsiaTheme="minorEastAsia" w:hAnsiTheme="minorEastAsia" w:cs="Arial"/>
                  </w:rPr>
                </w:pPr>
              </w:p>
            </w:tc>
            <w:tc>
              <w:tcPr>
                <w:tcW w:w="1841"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Arial"/>
                  </w:rPr>
                </w:pPr>
                <w:r>
                  <w:rPr>
                    <w:rFonts w:cs="Arial" w:hint="eastAsia"/>
                  </w:rPr>
                  <w:t>表面处理、电动平车</w:t>
                </w:r>
              </w:p>
            </w:tc>
            <w:tc>
              <w:tcPr>
                <w:tcW w:w="1842"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42"/>
                  <w:jc w:val="center"/>
                  <w:rPr>
                    <w:rFonts w:asciiTheme="minorEastAsia" w:eastAsiaTheme="minorEastAsia" w:hAnsiTheme="minorEastAsia" w:cs="Arial"/>
                  </w:rPr>
                </w:pPr>
                <w:r>
                  <w:rPr>
                    <w:rFonts w:cs="Arial" w:hint="eastAsia"/>
                  </w:rPr>
                  <w:t>废油漆桶、废漆渣、废吸附棉、废活性炭、铅酸电池</w:t>
                </w:r>
              </w:p>
            </w:tc>
            <w:tc>
              <w:tcPr>
                <w:tcW w:w="992"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Arial"/>
                  </w:rPr>
                </w:pPr>
                <w:r>
                  <w:rPr>
                    <w:rFonts w:cs="Arial" w:hint="eastAsia"/>
                  </w:rPr>
                  <w:t>吨/半年</w:t>
                </w:r>
              </w:p>
            </w:tc>
            <w:tc>
              <w:tcPr>
                <w:tcW w:w="1276"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s="Arial"/>
                    <w:color w:val="FF0000"/>
                  </w:rPr>
                </w:pPr>
                <w:r>
                  <w:rPr>
                    <w:rFonts w:cs="Arial" w:hint="eastAsia"/>
                  </w:rPr>
                  <w:t>9.05</w:t>
                </w:r>
              </w:p>
            </w:tc>
            <w:tc>
              <w:tcPr>
                <w:tcW w:w="992"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74"/>
                  <w:jc w:val="center"/>
                  <w:rPr>
                    <w:rFonts w:asciiTheme="minorEastAsia" w:eastAsiaTheme="minorEastAsia" w:hAnsiTheme="minorEastAsia" w:cs="Arial"/>
                  </w:rPr>
                </w:pPr>
                <w:r>
                  <w:rPr>
                    <w:rFonts w:cs="Arial" w:hint="eastAsia"/>
                    <w:shd w:val="clear" w:color="auto" w:fill="FFFFFF"/>
                  </w:rPr>
                  <w:t>集中收集、分类摆放，委托有资质的单位处置</w:t>
                </w:r>
              </w:p>
            </w:tc>
            <w:tc>
              <w:tcPr>
                <w:tcW w:w="993"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42"/>
                  <w:jc w:val="center"/>
                  <w:rPr>
                    <w:rFonts w:asciiTheme="minorEastAsia" w:eastAsiaTheme="minorEastAsia" w:hAnsiTheme="minorEastAsia" w:cs="Times New Roman"/>
                  </w:rPr>
                </w:pPr>
                <w:r>
                  <w:rPr>
                    <w:rFonts w:cs="Arial" w:hint="eastAsia"/>
                  </w:rPr>
                  <w:t>是</w:t>
                </w:r>
              </w:p>
            </w:tc>
          </w:tr>
          <w:tr w:rsidR="00597370">
            <w:trPr>
              <w:trHeight w:val="559"/>
              <w:jc w:val="center"/>
            </w:trPr>
            <w:tc>
              <w:tcPr>
                <w:tcW w:w="884" w:type="dxa"/>
                <w:vMerge w:val="restart"/>
                <w:tcBorders>
                  <w:top w:val="nil"/>
                  <w:left w:val="single" w:sz="4" w:space="0" w:color="auto"/>
                  <w:right w:val="single" w:sz="4" w:space="0" w:color="auto"/>
                </w:tcBorders>
                <w:vAlign w:val="center"/>
              </w:tcPr>
              <w:p w:rsidR="00597370" w:rsidRDefault="00597370">
                <w:pPr>
                  <w:rPr>
                    <w:rFonts w:asciiTheme="minorEastAsia" w:eastAsiaTheme="minorEastAsia" w:hAnsiTheme="minorEastAsia" w:cs="Arial"/>
                  </w:rPr>
                </w:pPr>
              </w:p>
            </w:tc>
            <w:tc>
              <w:tcPr>
                <w:tcW w:w="1841"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Arial"/>
                  </w:rPr>
                </w:pPr>
                <w:r>
                  <w:rPr>
                    <w:rFonts w:cs="Arial" w:hint="eastAsia"/>
                  </w:rPr>
                  <w:t>产品装配</w:t>
                </w:r>
              </w:p>
            </w:tc>
            <w:tc>
              <w:tcPr>
                <w:tcW w:w="1842"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42"/>
                  <w:jc w:val="center"/>
                  <w:rPr>
                    <w:rFonts w:asciiTheme="minorEastAsia" w:eastAsiaTheme="minorEastAsia" w:hAnsiTheme="minorEastAsia" w:cs="Arial"/>
                  </w:rPr>
                </w:pPr>
                <w:r>
                  <w:rPr>
                    <w:rFonts w:cs="Arial" w:hint="eastAsia"/>
                  </w:rPr>
                  <w:t>废矿物油</w:t>
                </w:r>
              </w:p>
            </w:tc>
            <w:tc>
              <w:tcPr>
                <w:tcW w:w="992"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Arial"/>
                  </w:rPr>
                </w:pPr>
                <w:r>
                  <w:rPr>
                    <w:rFonts w:cs="Arial" w:hint="eastAsia"/>
                  </w:rPr>
                  <w:t>吨/半年</w:t>
                </w:r>
              </w:p>
            </w:tc>
            <w:tc>
              <w:tcPr>
                <w:tcW w:w="1276"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s="Arial"/>
                    <w:color w:val="FF0000"/>
                  </w:rPr>
                </w:pPr>
                <w:r>
                  <w:rPr>
                    <w:rFonts w:cs="Arial" w:hint="eastAsia"/>
                  </w:rPr>
                  <w:t>14.75</w:t>
                </w:r>
              </w:p>
            </w:tc>
            <w:tc>
              <w:tcPr>
                <w:tcW w:w="992"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74"/>
                  <w:jc w:val="center"/>
                  <w:rPr>
                    <w:rFonts w:asciiTheme="minorEastAsia" w:eastAsiaTheme="minorEastAsia" w:hAnsiTheme="minorEastAsia" w:cs="Arial"/>
                  </w:rPr>
                </w:pPr>
                <w:r>
                  <w:rPr>
                    <w:rFonts w:cs="Arial" w:hint="eastAsia"/>
                    <w:shd w:val="clear" w:color="auto" w:fill="FFFFFF"/>
                  </w:rPr>
                  <w:t>集中收集、分类摆放，委托有纸质的单位处置、回收利用</w:t>
                </w:r>
              </w:p>
            </w:tc>
            <w:tc>
              <w:tcPr>
                <w:tcW w:w="993"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42"/>
                  <w:jc w:val="center"/>
                  <w:rPr>
                    <w:rFonts w:asciiTheme="minorEastAsia" w:eastAsiaTheme="minorEastAsia" w:hAnsiTheme="minorEastAsia" w:cs="Times New Roman"/>
                  </w:rPr>
                </w:pPr>
                <w:r>
                  <w:rPr>
                    <w:rFonts w:cs="Arial" w:hint="eastAsia"/>
                  </w:rPr>
                  <w:t>是</w:t>
                </w:r>
              </w:p>
            </w:tc>
          </w:tr>
          <w:tr w:rsidR="00597370">
            <w:trPr>
              <w:trHeight w:val="559"/>
              <w:jc w:val="center"/>
            </w:trPr>
            <w:tc>
              <w:tcPr>
                <w:tcW w:w="884" w:type="dxa"/>
                <w:vMerge/>
                <w:tcBorders>
                  <w:left w:val="single" w:sz="4" w:space="0" w:color="auto"/>
                  <w:bottom w:val="single" w:sz="4" w:space="0" w:color="auto"/>
                  <w:right w:val="single" w:sz="4" w:space="0" w:color="auto"/>
                </w:tcBorders>
                <w:vAlign w:val="center"/>
              </w:tcPr>
              <w:p w:rsidR="00597370" w:rsidRDefault="00597370">
                <w:pPr>
                  <w:rPr>
                    <w:rFonts w:asciiTheme="minorEastAsia" w:eastAsiaTheme="minorEastAsia" w:hAnsiTheme="minorEastAsia" w:cs="Arial"/>
                  </w:rPr>
                </w:pPr>
              </w:p>
            </w:tc>
            <w:tc>
              <w:tcPr>
                <w:tcW w:w="1841"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cs="Arial"/>
                  </w:rPr>
                </w:pPr>
                <w:r>
                  <w:rPr>
                    <w:rFonts w:hint="eastAsia"/>
                  </w:rPr>
                  <w:t>产品装配</w:t>
                </w:r>
              </w:p>
            </w:tc>
            <w:tc>
              <w:tcPr>
                <w:tcW w:w="1842"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42"/>
                  <w:jc w:val="center"/>
                  <w:rPr>
                    <w:rFonts w:cs="Arial"/>
                  </w:rPr>
                </w:pPr>
                <w:r>
                  <w:rPr>
                    <w:rFonts w:hint="eastAsia"/>
                  </w:rPr>
                  <w:t>废变压器油</w:t>
                </w:r>
              </w:p>
            </w:tc>
            <w:tc>
              <w:tcPr>
                <w:tcW w:w="992"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cs="Arial"/>
                  </w:rPr>
                </w:pPr>
                <w:r>
                  <w:rPr>
                    <w:rFonts w:hint="eastAsia"/>
                  </w:rPr>
                  <w:t>吨/半年</w:t>
                </w:r>
              </w:p>
            </w:tc>
            <w:tc>
              <w:tcPr>
                <w:tcW w:w="1276"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cs="Arial"/>
                  </w:rPr>
                </w:pPr>
                <w:r>
                  <w:rPr>
                    <w:rFonts w:hint="eastAsia"/>
                  </w:rPr>
                  <w:t>0.05</w:t>
                </w:r>
              </w:p>
            </w:tc>
            <w:tc>
              <w:tcPr>
                <w:tcW w:w="992"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74"/>
                  <w:jc w:val="center"/>
                  <w:rPr>
                    <w:rFonts w:cs="Arial"/>
                    <w:shd w:val="clear" w:color="auto" w:fill="FFFFFF"/>
                  </w:rPr>
                </w:pPr>
                <w:r>
                  <w:rPr>
                    <w:rFonts w:hint="eastAsia"/>
                  </w:rPr>
                  <w:t>委托有相应资质单位进行回收处置</w:t>
                </w:r>
              </w:p>
            </w:tc>
            <w:tc>
              <w:tcPr>
                <w:tcW w:w="993" w:type="dxa"/>
                <w:tcBorders>
                  <w:top w:val="single" w:sz="4" w:space="0" w:color="auto"/>
                  <w:left w:val="single" w:sz="4" w:space="0" w:color="auto"/>
                  <w:bottom w:val="single" w:sz="4" w:space="0" w:color="auto"/>
                  <w:right w:val="single" w:sz="4" w:space="0" w:color="auto"/>
                </w:tcBorders>
                <w:vAlign w:val="center"/>
              </w:tcPr>
              <w:p w:rsidR="00597370" w:rsidRDefault="003C2EEE">
                <w:pPr>
                  <w:spacing w:before="42"/>
                  <w:jc w:val="center"/>
                  <w:rPr>
                    <w:rFonts w:cs="Arial"/>
                  </w:rPr>
                </w:pPr>
                <w:r>
                  <w:rPr>
                    <w:rFonts w:hint="eastAsia"/>
                  </w:rPr>
                  <w:t>是</w:t>
                </w:r>
              </w:p>
            </w:tc>
          </w:tr>
        </w:tbl>
        <w:p w:rsidR="00597370" w:rsidRDefault="006840ED">
          <w:pPr>
            <w:pStyle w:val="aff8"/>
            <w:ind w:firstLineChars="0" w:firstLine="0"/>
            <w:rPr>
              <w:rFonts w:ascii="宋体" w:hAnsi="宋体"/>
              <w:color w:val="000000" w:themeColor="text1"/>
            </w:rPr>
          </w:pPr>
        </w:p>
      </w:sdtContent>
    </w:sdt>
    <w:p w:rsidR="00597370" w:rsidRDefault="00597370">
      <w:pPr>
        <w:rPr>
          <w:color w:val="000000" w:themeColor="text1"/>
        </w:rPr>
      </w:pPr>
    </w:p>
    <w:p w:rsidR="00597370" w:rsidRDefault="003C2EEE">
      <w:pPr>
        <w:pStyle w:val="4"/>
        <w:numPr>
          <w:ilvl w:val="0"/>
          <w:numId w:val="18"/>
        </w:numPr>
        <w:rPr>
          <w:rFonts w:ascii="宋体" w:hAnsi="宋体"/>
          <w:color w:val="000000" w:themeColor="text1"/>
        </w:rPr>
      </w:pPr>
      <w:r>
        <w:rPr>
          <w:rFonts w:ascii="宋体" w:hAnsi="宋体" w:hint="eastAsia"/>
          <w:color w:val="000000" w:themeColor="text1"/>
        </w:rPr>
        <w:t>防治污染设施的建设和运行情况</w:t>
      </w:r>
    </w:p>
    <w:sdt>
      <w:sdtPr>
        <w:rPr>
          <w:color w:val="000000" w:themeColor="text1"/>
        </w:rPr>
        <w:alias w:val="是否适用：防治污染设施的建设和运行情况[双击切换]"/>
        <w:tag w:val="_GBC_e5a6ee71f2e449e58d9301e4ca07981f"/>
        <w:id w:val="-952091700"/>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防治污染设施的建设和运行情况"/>
        <w:tag w:val="_GBC_1c83977b65834eaa98d6c63b6e3074af"/>
        <w:id w:val="-619682004"/>
      </w:sdtPr>
      <w:sdtEndPr/>
      <w:sdtContent>
        <w:p w:rsidR="00597370" w:rsidRDefault="00597370">
          <w:pPr>
            <w:rPr>
              <w:color w:val="000000" w:themeColor="text1"/>
            </w:rPr>
          </w:pPr>
        </w:p>
        <w:tbl>
          <w:tblPr>
            <w:tblStyle w:val="g14"/>
            <w:tblW w:w="8880" w:type="dxa"/>
            <w:tblLayout w:type="fixed"/>
            <w:tblLook w:val="04A0" w:firstRow="1" w:lastRow="0" w:firstColumn="1" w:lastColumn="0" w:noHBand="0" w:noVBand="1"/>
          </w:tblPr>
          <w:tblGrid>
            <w:gridCol w:w="435"/>
            <w:gridCol w:w="1970"/>
            <w:gridCol w:w="1276"/>
            <w:gridCol w:w="1417"/>
            <w:gridCol w:w="1903"/>
            <w:gridCol w:w="1879"/>
          </w:tblGrid>
          <w:tr w:rsidR="00597370">
            <w:trPr>
              <w:trHeight w:val="1431"/>
            </w:trPr>
            <w:tc>
              <w:tcPr>
                <w:tcW w:w="435" w:type="dxa"/>
                <w:tcBorders>
                  <w:top w:val="single" w:sz="4" w:space="0" w:color="auto"/>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rPr>
                  <w:t>序号</w:t>
                </w:r>
              </w:p>
            </w:tc>
            <w:tc>
              <w:tcPr>
                <w:tcW w:w="1970"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企业地址</w:t>
                </w:r>
              </w:p>
            </w:tc>
            <w:tc>
              <w:tcPr>
                <w:tcW w:w="1276"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环保设施名称</w:t>
                </w:r>
              </w:p>
            </w:tc>
            <w:tc>
              <w:tcPr>
                <w:tcW w:w="1417"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环保设施使用阶段</w:t>
                </w:r>
              </w:p>
            </w:tc>
            <w:tc>
              <w:tcPr>
                <w:tcW w:w="1903"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环保设施企业名称</w:t>
                </w:r>
              </w:p>
            </w:tc>
            <w:tc>
              <w:tcPr>
                <w:tcW w:w="1879"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环保设施项目合作模式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1</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重庆市长寿区晏家工业园区齐心东路1</w:t>
                </w:r>
                <w:r>
                  <w:rPr>
                    <w:rFonts w:asciiTheme="minorEastAsia" w:eastAsiaTheme="minorEastAsia" w:hAnsiTheme="minorEastAsia" w:cs="Times New Roman"/>
                  </w:rPr>
                  <w:t>0</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烟尘系统</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武汉工程大学</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2</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重庆市长寿区晏家工业园区齐心东路</w:t>
                </w:r>
                <w:r>
                  <w:rPr>
                    <w:rFonts w:asciiTheme="minorEastAsia" w:eastAsiaTheme="minorEastAsia" w:hAnsiTheme="minorEastAsia" w:cs="Times New Roman"/>
                  </w:rPr>
                  <w:t>10号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漆雾吸收塔</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武汉工程大学</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3</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重庆市长寿区晏家工业园区齐心东路</w:t>
                </w:r>
                <w:r>
                  <w:rPr>
                    <w:rFonts w:asciiTheme="minorEastAsia" w:eastAsiaTheme="minorEastAsia" w:hAnsiTheme="minorEastAsia" w:cs="Times New Roman"/>
                  </w:rPr>
                  <w:t>10号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酸雾吸收塔</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武汉工程大学</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4</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重庆市长寿区晏家工业园区齐心东路</w:t>
                </w:r>
                <w:r>
                  <w:rPr>
                    <w:rFonts w:asciiTheme="minorEastAsia" w:eastAsiaTheme="minorEastAsia" w:hAnsiTheme="minorEastAsia" w:cs="Times New Roman"/>
                  </w:rPr>
                  <w:t>10号</w:t>
                </w:r>
              </w:p>
            </w:tc>
            <w:tc>
              <w:tcPr>
                <w:tcW w:w="1276" w:type="dxa"/>
                <w:tcBorders>
                  <w:top w:val="nil"/>
                  <w:left w:val="nil"/>
                  <w:bottom w:val="single" w:sz="4" w:space="0" w:color="auto"/>
                  <w:right w:val="single" w:sz="4" w:space="0" w:color="auto"/>
                </w:tcBorders>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rPr>
                  <w:t>污水处理系统</w:t>
                </w:r>
              </w:p>
            </w:tc>
            <w:tc>
              <w:tcPr>
                <w:tcW w:w="1417"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tcPr>
              <w:p w:rsidR="00597370" w:rsidRDefault="00597370">
                <w:pPr>
                  <w:jc w:val="center"/>
                  <w:rPr>
                    <w:rFonts w:asciiTheme="minorEastAsia" w:eastAsiaTheme="minorEastAsia" w:hAnsiTheme="minorEastAsia" w:cs="Times New Roman"/>
                  </w:rPr>
                </w:pPr>
              </w:p>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重庆百鸥环保科技有限公司</w:t>
                </w:r>
              </w:p>
            </w:tc>
            <w:tc>
              <w:tcPr>
                <w:tcW w:w="1879" w:type="dxa"/>
                <w:tcBorders>
                  <w:top w:val="nil"/>
                  <w:left w:val="nil"/>
                  <w:bottom w:val="single" w:sz="4" w:space="0" w:color="auto"/>
                  <w:right w:val="single" w:sz="4" w:space="0" w:color="auto"/>
                </w:tcBorders>
                <w:noWrap/>
              </w:tcPr>
              <w:p w:rsidR="00597370" w:rsidRDefault="00597370">
                <w:pPr>
                  <w:jc w:val="center"/>
                  <w:rPr>
                    <w:rFonts w:asciiTheme="minorEastAsia" w:eastAsiaTheme="minorEastAsia" w:hAnsiTheme="minorEastAsia" w:cs="Times New Roman"/>
                  </w:rPr>
                </w:pPr>
              </w:p>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5</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重庆市长寿区晏家工业园区齐心东路</w:t>
                </w:r>
                <w:r>
                  <w:rPr>
                    <w:rFonts w:asciiTheme="minorEastAsia" w:eastAsiaTheme="minorEastAsia" w:hAnsiTheme="minorEastAsia" w:cs="Times New Roman"/>
                  </w:rPr>
                  <w:t>10号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除尘系统</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武汉工程大学</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lastRenderedPageBreak/>
                  <w:t>6</w:t>
                </w:r>
              </w:p>
            </w:tc>
            <w:tc>
              <w:tcPr>
                <w:tcW w:w="1970"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ahoma"/>
                    <w:color w:val="000000"/>
                  </w:rPr>
                </w:pPr>
                <w:r>
                  <w:rPr>
                    <w:rFonts w:asciiTheme="minorEastAsia" w:eastAsiaTheme="minorEastAsia" w:hAnsiTheme="minorEastAsia" w:cs="Calibri"/>
                    <w:color w:val="000000"/>
                  </w:rPr>
                  <w:t>CA1/CA2</w:t>
                </w:r>
                <w:r>
                  <w:rPr>
                    <w:rFonts w:asciiTheme="minorEastAsia" w:eastAsiaTheme="minorEastAsia" w:hAnsiTheme="minorEastAsia" w:cs="Times New Roman" w:hint="eastAsia"/>
                    <w:color w:val="000000"/>
                  </w:rPr>
                  <w:t>干燥炉排气筒</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7</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ahoma"/>
                    <w:color w:val="000000"/>
                  </w:rPr>
                </w:pPr>
                <w:r>
                  <w:rPr>
                    <w:rFonts w:asciiTheme="minorEastAsia" w:eastAsiaTheme="minorEastAsia" w:hAnsiTheme="minorEastAsia" w:cs="Calibri"/>
                    <w:color w:val="000000"/>
                  </w:rPr>
                  <w:t>CA1/CA2</w:t>
                </w:r>
                <w:proofErr w:type="gramStart"/>
                <w:r>
                  <w:rPr>
                    <w:rFonts w:asciiTheme="minorEastAsia" w:eastAsiaTheme="minorEastAsia" w:hAnsiTheme="minorEastAsia" w:cs="Times New Roman" w:hint="eastAsia"/>
                    <w:color w:val="000000"/>
                  </w:rPr>
                  <w:t>碱雾吸收塔</w:t>
                </w:r>
                <w:proofErr w:type="gramEnd"/>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8</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ahoma"/>
                    <w:color w:val="000000"/>
                  </w:rPr>
                </w:pPr>
                <w:r>
                  <w:rPr>
                    <w:rFonts w:asciiTheme="minorEastAsia" w:eastAsiaTheme="minorEastAsia" w:hAnsiTheme="minorEastAsia" w:cs="Calibri"/>
                    <w:color w:val="000000"/>
                  </w:rPr>
                  <w:t>CA1/CA2</w:t>
                </w:r>
                <w:r>
                  <w:rPr>
                    <w:rFonts w:asciiTheme="minorEastAsia" w:eastAsiaTheme="minorEastAsia" w:hAnsiTheme="minorEastAsia" w:cs="Times New Roman" w:hint="eastAsia"/>
                    <w:color w:val="000000"/>
                  </w:rPr>
                  <w:t>退火炉排气筒</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9</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ahoma"/>
                    <w:color w:val="000000"/>
                  </w:rPr>
                </w:pPr>
                <w:r>
                  <w:rPr>
                    <w:rFonts w:asciiTheme="minorEastAsia" w:eastAsiaTheme="minorEastAsia" w:hAnsiTheme="minorEastAsia" w:cs="Calibri"/>
                    <w:color w:val="000000"/>
                  </w:rPr>
                  <w:t>CT1/CT2</w:t>
                </w:r>
                <w:proofErr w:type="gramStart"/>
                <w:r>
                  <w:rPr>
                    <w:rFonts w:asciiTheme="minorEastAsia" w:eastAsiaTheme="minorEastAsia" w:hAnsiTheme="minorEastAsia" w:cs="Times New Roman" w:hint="eastAsia"/>
                    <w:color w:val="000000"/>
                  </w:rPr>
                  <w:t>铬酸排气筒</w:t>
                </w:r>
                <w:proofErr w:type="gramEnd"/>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10</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ahoma"/>
                    <w:color w:val="000000"/>
                  </w:rPr>
                </w:pPr>
                <w:r>
                  <w:rPr>
                    <w:rFonts w:asciiTheme="minorEastAsia" w:eastAsiaTheme="minorEastAsia" w:hAnsiTheme="minorEastAsia" w:cs="Calibri"/>
                    <w:color w:val="000000"/>
                  </w:rPr>
                  <w:t>CT1/CT2</w:t>
                </w:r>
                <w:r>
                  <w:rPr>
                    <w:rFonts w:asciiTheme="minorEastAsia" w:eastAsiaTheme="minorEastAsia" w:hAnsiTheme="minorEastAsia" w:cs="Times New Roman" w:hint="eastAsia"/>
                    <w:color w:val="000000"/>
                  </w:rPr>
                  <w:t>硫酸排气筒</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11</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ahoma"/>
                    <w:color w:val="000000"/>
                  </w:rPr>
                </w:pPr>
                <w:r>
                  <w:rPr>
                    <w:rFonts w:asciiTheme="minorEastAsia" w:eastAsiaTheme="minorEastAsia" w:hAnsiTheme="minorEastAsia" w:cs="Calibri"/>
                    <w:color w:val="000000"/>
                  </w:rPr>
                  <w:t>CT</w:t>
                </w:r>
                <w:r>
                  <w:rPr>
                    <w:rFonts w:asciiTheme="minorEastAsia" w:eastAsiaTheme="minorEastAsia" w:hAnsiTheme="minorEastAsia" w:cs="Tahoma"/>
                    <w:color w:val="000000"/>
                  </w:rPr>
                  <w:t>1</w:t>
                </w:r>
                <w:r>
                  <w:rPr>
                    <w:rFonts w:asciiTheme="minorEastAsia" w:eastAsiaTheme="minorEastAsia" w:hAnsiTheme="minorEastAsia" w:cs="Calibri"/>
                    <w:color w:val="000000"/>
                  </w:rPr>
                  <w:t>/CT2</w:t>
                </w:r>
                <w:r>
                  <w:rPr>
                    <w:rFonts w:asciiTheme="minorEastAsia" w:eastAsiaTheme="minorEastAsia" w:hAnsiTheme="minorEastAsia" w:cs="Times New Roman" w:hint="eastAsia"/>
                    <w:color w:val="000000"/>
                  </w:rPr>
                  <w:t>烟气排气筒</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12</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ahoma"/>
                    <w:color w:val="000000"/>
                  </w:rPr>
                </w:pPr>
                <w:r>
                  <w:rPr>
                    <w:rFonts w:asciiTheme="minorEastAsia" w:eastAsiaTheme="minorEastAsia" w:hAnsiTheme="minorEastAsia" w:cs="Calibri"/>
                    <w:color w:val="000000"/>
                  </w:rPr>
                  <w:t>ZR</w:t>
                </w:r>
                <w:r>
                  <w:rPr>
                    <w:rFonts w:asciiTheme="minorEastAsia" w:eastAsiaTheme="minorEastAsia" w:hAnsiTheme="minorEastAsia" w:cs="Tahoma"/>
                    <w:color w:val="000000"/>
                  </w:rPr>
                  <w:t>1/ZR2</w:t>
                </w:r>
                <w:r>
                  <w:rPr>
                    <w:rFonts w:asciiTheme="minorEastAsia" w:eastAsiaTheme="minorEastAsia" w:hAnsiTheme="minorEastAsia" w:cs="Times New Roman" w:hint="eastAsia"/>
                    <w:color w:val="000000"/>
                  </w:rPr>
                  <w:t>轧制废气排气筒</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武汉武森轧钢</w:t>
                </w:r>
                <w:proofErr w:type="gramEnd"/>
                <w:r>
                  <w:rPr>
                    <w:rFonts w:asciiTheme="minorEastAsia" w:eastAsiaTheme="minorEastAsia" w:hAnsiTheme="minorEastAsia" w:cs="Times New Roman" w:hint="eastAsia"/>
                  </w:rPr>
                  <w:t>成套技术有限公司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13</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ahoma"/>
                    <w:color w:val="000000"/>
                  </w:rPr>
                </w:pPr>
                <w:r>
                  <w:rPr>
                    <w:rFonts w:asciiTheme="minorEastAsia" w:eastAsiaTheme="minorEastAsia" w:hAnsiTheme="minorEastAsia" w:cs="Calibri"/>
                    <w:color w:val="000000"/>
                  </w:rPr>
                  <w:t>CP</w:t>
                </w:r>
                <w:r>
                  <w:rPr>
                    <w:rFonts w:asciiTheme="minorEastAsia" w:eastAsiaTheme="minorEastAsia" w:hAnsiTheme="minorEastAsia" w:cs="Times New Roman" w:hint="eastAsia"/>
                    <w:color w:val="000000"/>
                  </w:rPr>
                  <w:t>烟气排气筒</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14</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proofErr w:type="gramStart"/>
                <w:r>
                  <w:rPr>
                    <w:rFonts w:asciiTheme="minorEastAsia" w:eastAsiaTheme="minorEastAsia" w:hAnsiTheme="minorEastAsia" w:cs="Times New Roman" w:hint="eastAsia"/>
                    <w:color w:val="000000"/>
                  </w:rPr>
                  <w:t>抛丸机排气筒</w:t>
                </w:r>
                <w:proofErr w:type="gramEnd"/>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15</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Calibri"/>
                    <w:color w:val="000000"/>
                  </w:rPr>
                  <w:t>CP</w:t>
                </w:r>
                <w:r>
                  <w:rPr>
                    <w:rFonts w:asciiTheme="minorEastAsia" w:eastAsiaTheme="minorEastAsia" w:hAnsiTheme="minorEastAsia" w:cs="Times New Roman" w:hint="eastAsia"/>
                    <w:color w:val="000000"/>
                  </w:rPr>
                  <w:t>盐酸排气塔</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黄石山力科技股份有限公司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自运行模式</w:t>
                </w:r>
              </w:p>
            </w:tc>
          </w:tr>
          <w:tr w:rsidR="00597370">
            <w:trPr>
              <w:trHeight w:val="709"/>
            </w:trPr>
            <w:tc>
              <w:tcPr>
                <w:tcW w:w="435" w:type="dxa"/>
                <w:tcBorders>
                  <w:top w:val="nil"/>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Calibri"/>
                  </w:rPr>
                  <w:t>16</w:t>
                </w:r>
              </w:p>
            </w:tc>
            <w:tc>
              <w:tcPr>
                <w:tcW w:w="1970" w:type="dxa"/>
                <w:tcBorders>
                  <w:top w:val="nil"/>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重庆市长寿区晏家工业园区化北路</w:t>
                </w:r>
                <w:r>
                  <w:rPr>
                    <w:rFonts w:asciiTheme="minorEastAsia" w:eastAsiaTheme="minorEastAsia" w:hAnsiTheme="minorEastAsia" w:cs="Times New Roman"/>
                  </w:rPr>
                  <w:t>9</w:t>
                </w:r>
                <w:r>
                  <w:rPr>
                    <w:rFonts w:asciiTheme="minorEastAsia" w:eastAsiaTheme="minorEastAsia" w:hAnsiTheme="minorEastAsia" w:cs="Times New Roman" w:hint="eastAsia"/>
                  </w:rPr>
                  <w:t>号</w:t>
                </w:r>
              </w:p>
            </w:tc>
            <w:tc>
              <w:tcPr>
                <w:tcW w:w="1276" w:type="dxa"/>
                <w:tcBorders>
                  <w:top w:val="nil"/>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污水处理系统</w:t>
                </w:r>
              </w:p>
            </w:tc>
            <w:tc>
              <w:tcPr>
                <w:tcW w:w="1417"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hint="eastAsia"/>
                  </w:rPr>
                  <w:t>运行阶段</w:t>
                </w:r>
              </w:p>
            </w:tc>
            <w:tc>
              <w:tcPr>
                <w:tcW w:w="1903"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rPr>
                  <w:t>重庆百鸥环保科技有限公司</w:t>
                </w:r>
              </w:p>
            </w:tc>
            <w:tc>
              <w:tcPr>
                <w:tcW w:w="1879" w:type="dxa"/>
                <w:tcBorders>
                  <w:top w:val="nil"/>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asciiTheme="minorEastAsia" w:eastAsiaTheme="minorEastAsia" w:hAnsiTheme="minorEastAsia" w:cs="Times New Roman"/>
                  </w:rPr>
                  <w:t>自运行模式</w:t>
                </w:r>
              </w:p>
            </w:tc>
          </w:tr>
          <w:tr w:rsidR="00597370">
            <w:trPr>
              <w:trHeight w:val="709"/>
            </w:trPr>
            <w:tc>
              <w:tcPr>
                <w:tcW w:w="435" w:type="dxa"/>
                <w:tcBorders>
                  <w:top w:val="single" w:sz="4" w:space="0" w:color="auto"/>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Calibri"/>
                  </w:rPr>
                </w:pPr>
                <w:r>
                  <w:rPr>
                    <w:rFonts w:asciiTheme="minorEastAsia" w:eastAsiaTheme="minorEastAsia" w:hAnsiTheme="minorEastAsia" w:cs="Calibri" w:hint="eastAsia"/>
                  </w:rPr>
                  <w:t>1</w:t>
                </w:r>
                <w:r>
                  <w:rPr>
                    <w:rFonts w:asciiTheme="minorEastAsia" w:eastAsiaTheme="minorEastAsia" w:hAnsiTheme="minorEastAsia" w:cs="Calibri"/>
                  </w:rPr>
                  <w:t>7</w:t>
                </w:r>
              </w:p>
            </w:tc>
            <w:tc>
              <w:tcPr>
                <w:tcW w:w="1970" w:type="dxa"/>
                <w:tcBorders>
                  <w:top w:val="single" w:sz="4" w:space="0" w:color="auto"/>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cs="Times New Roman" w:hint="eastAsia"/>
                  </w:rPr>
                  <w:t>昆明市经开区拓翔路212号</w:t>
                </w:r>
              </w:p>
            </w:tc>
            <w:tc>
              <w:tcPr>
                <w:tcW w:w="1276"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cs="Times New Roman" w:hint="eastAsia"/>
                    <w:color w:val="000000"/>
                  </w:rPr>
                  <w:t>抛丸废气排气筒</w:t>
                </w:r>
              </w:p>
            </w:tc>
            <w:tc>
              <w:tcPr>
                <w:tcW w:w="1417"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运行阶段</w:t>
                </w:r>
              </w:p>
            </w:tc>
            <w:tc>
              <w:tcPr>
                <w:tcW w:w="1903"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无锡市华凯除锈涂装设备厂有限公司</w:t>
                </w:r>
              </w:p>
            </w:tc>
            <w:tc>
              <w:tcPr>
                <w:tcW w:w="1879"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自运行模式</w:t>
                </w:r>
              </w:p>
            </w:tc>
          </w:tr>
          <w:tr w:rsidR="00597370">
            <w:trPr>
              <w:trHeight w:val="709"/>
            </w:trPr>
            <w:tc>
              <w:tcPr>
                <w:tcW w:w="435" w:type="dxa"/>
                <w:tcBorders>
                  <w:top w:val="single" w:sz="4" w:space="0" w:color="auto"/>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Calibri"/>
                  </w:rPr>
                </w:pPr>
                <w:r>
                  <w:rPr>
                    <w:rFonts w:asciiTheme="minorEastAsia" w:eastAsiaTheme="minorEastAsia" w:hAnsiTheme="minorEastAsia" w:cs="Calibri" w:hint="eastAsia"/>
                  </w:rPr>
                  <w:t>1</w:t>
                </w:r>
                <w:r>
                  <w:rPr>
                    <w:rFonts w:asciiTheme="minorEastAsia" w:eastAsiaTheme="minorEastAsia" w:hAnsiTheme="minorEastAsia" w:cs="Calibri"/>
                  </w:rPr>
                  <w:t>8</w:t>
                </w:r>
              </w:p>
            </w:tc>
            <w:tc>
              <w:tcPr>
                <w:tcW w:w="1970" w:type="dxa"/>
                <w:tcBorders>
                  <w:top w:val="single" w:sz="4" w:space="0" w:color="auto"/>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cs="Times New Roman" w:hint="eastAsia"/>
                  </w:rPr>
                  <w:t>昆明市经开区拓翔路212号</w:t>
                </w:r>
              </w:p>
            </w:tc>
            <w:tc>
              <w:tcPr>
                <w:tcW w:w="1276"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cs="Times New Roman" w:hint="eastAsia"/>
                    <w:color w:val="000000"/>
                  </w:rPr>
                  <w:t>油漆喷涂废气排气筒</w:t>
                </w:r>
              </w:p>
            </w:tc>
            <w:tc>
              <w:tcPr>
                <w:tcW w:w="1417"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运行阶段</w:t>
                </w:r>
              </w:p>
            </w:tc>
            <w:tc>
              <w:tcPr>
                <w:tcW w:w="1903"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北京东方昊为工业装备有限公司</w:t>
                </w:r>
              </w:p>
            </w:tc>
            <w:tc>
              <w:tcPr>
                <w:tcW w:w="1879"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自运行模式</w:t>
                </w:r>
              </w:p>
            </w:tc>
          </w:tr>
          <w:tr w:rsidR="00597370">
            <w:trPr>
              <w:trHeight w:val="709"/>
            </w:trPr>
            <w:tc>
              <w:tcPr>
                <w:tcW w:w="435" w:type="dxa"/>
                <w:tcBorders>
                  <w:top w:val="single" w:sz="4" w:space="0" w:color="auto"/>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Calibri"/>
                  </w:rPr>
                </w:pPr>
                <w:r>
                  <w:rPr>
                    <w:rFonts w:asciiTheme="minorEastAsia" w:eastAsiaTheme="minorEastAsia" w:hAnsiTheme="minorEastAsia" w:cs="Calibri" w:hint="eastAsia"/>
                  </w:rPr>
                  <w:t>1</w:t>
                </w:r>
                <w:r>
                  <w:rPr>
                    <w:rFonts w:asciiTheme="minorEastAsia" w:eastAsiaTheme="minorEastAsia" w:hAnsiTheme="minorEastAsia" w:cs="Calibri"/>
                  </w:rPr>
                  <w:t>9</w:t>
                </w:r>
              </w:p>
            </w:tc>
            <w:tc>
              <w:tcPr>
                <w:tcW w:w="1970" w:type="dxa"/>
                <w:tcBorders>
                  <w:top w:val="single" w:sz="4" w:space="0" w:color="auto"/>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cs="Times New Roman" w:hint="eastAsia"/>
                  </w:rPr>
                  <w:t>昆明市经开区拓翔路212号</w:t>
                </w:r>
              </w:p>
            </w:tc>
            <w:tc>
              <w:tcPr>
                <w:tcW w:w="1276"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cs="Times New Roman" w:hint="eastAsia"/>
                    <w:color w:val="000000"/>
                  </w:rPr>
                  <w:t>绝缘材料加工废气排气筒</w:t>
                </w:r>
              </w:p>
            </w:tc>
            <w:tc>
              <w:tcPr>
                <w:tcW w:w="1417"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运行阶段</w:t>
                </w:r>
              </w:p>
            </w:tc>
            <w:tc>
              <w:tcPr>
                <w:tcW w:w="1903"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成都威隆众城环保设备有限公司</w:t>
                </w:r>
              </w:p>
            </w:tc>
            <w:tc>
              <w:tcPr>
                <w:tcW w:w="1879"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自运行模式</w:t>
                </w:r>
              </w:p>
            </w:tc>
          </w:tr>
          <w:tr w:rsidR="00597370">
            <w:trPr>
              <w:trHeight w:val="709"/>
            </w:trPr>
            <w:tc>
              <w:tcPr>
                <w:tcW w:w="435" w:type="dxa"/>
                <w:tcBorders>
                  <w:top w:val="single" w:sz="4" w:space="0" w:color="auto"/>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Calibri"/>
                  </w:rPr>
                </w:pPr>
                <w:r>
                  <w:rPr>
                    <w:rFonts w:asciiTheme="minorEastAsia" w:eastAsiaTheme="minorEastAsia" w:hAnsiTheme="minorEastAsia" w:cs="Calibri" w:hint="eastAsia"/>
                  </w:rPr>
                  <w:t>2</w:t>
                </w:r>
                <w:r>
                  <w:rPr>
                    <w:rFonts w:asciiTheme="minorEastAsia" w:eastAsiaTheme="minorEastAsia" w:hAnsiTheme="minorEastAsia" w:cs="Calibri"/>
                  </w:rPr>
                  <w:t>0</w:t>
                </w:r>
              </w:p>
            </w:tc>
            <w:tc>
              <w:tcPr>
                <w:tcW w:w="1970" w:type="dxa"/>
                <w:tcBorders>
                  <w:top w:val="single" w:sz="4" w:space="0" w:color="auto"/>
                  <w:left w:val="nil"/>
                  <w:bottom w:val="single" w:sz="4" w:space="0" w:color="auto"/>
                  <w:right w:val="single" w:sz="4" w:space="0" w:color="auto"/>
                </w:tcBorders>
                <w:noWrap/>
              </w:tcPr>
              <w:p w:rsidR="00597370" w:rsidRDefault="003C2EEE">
                <w:pPr>
                  <w:jc w:val="center"/>
                  <w:rPr>
                    <w:rFonts w:asciiTheme="minorEastAsia" w:eastAsiaTheme="minorEastAsia" w:hAnsiTheme="minorEastAsia" w:cs="Times New Roman"/>
                  </w:rPr>
                </w:pPr>
                <w:r>
                  <w:rPr>
                    <w:rFonts w:cs="Times New Roman" w:hint="eastAsia"/>
                  </w:rPr>
                  <w:t>昆明市经开区拓翔路212号</w:t>
                </w:r>
              </w:p>
            </w:tc>
            <w:tc>
              <w:tcPr>
                <w:tcW w:w="1276"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s="Times New Roman"/>
                    <w:color w:val="000000"/>
                  </w:rPr>
                </w:pPr>
                <w:r>
                  <w:rPr>
                    <w:rFonts w:cs="Times New Roman" w:hint="eastAsia"/>
                    <w:color w:val="000000"/>
                  </w:rPr>
                  <w:t>污水处理系统</w:t>
                </w:r>
              </w:p>
            </w:tc>
            <w:tc>
              <w:tcPr>
                <w:tcW w:w="1417"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运行阶段</w:t>
                </w:r>
              </w:p>
            </w:tc>
            <w:tc>
              <w:tcPr>
                <w:tcW w:w="1903"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w:t>
                </w:r>
              </w:p>
            </w:tc>
            <w:tc>
              <w:tcPr>
                <w:tcW w:w="1879" w:type="dxa"/>
                <w:tcBorders>
                  <w:top w:val="single" w:sz="4" w:space="0" w:color="auto"/>
                  <w:left w:val="nil"/>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Times New Roman"/>
                  </w:rPr>
                </w:pPr>
                <w:r>
                  <w:rPr>
                    <w:rFonts w:cs="Times New Roman" w:hint="eastAsia"/>
                  </w:rPr>
                  <w:t>自运行模式</w:t>
                </w:r>
              </w:p>
            </w:tc>
          </w:tr>
          <w:tr w:rsidR="00597370">
            <w:trPr>
              <w:trHeight w:val="709"/>
            </w:trPr>
            <w:tc>
              <w:tcPr>
                <w:tcW w:w="435" w:type="dxa"/>
                <w:tcBorders>
                  <w:top w:val="single" w:sz="4" w:space="0" w:color="auto"/>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Calibri"/>
                  </w:rPr>
                </w:pPr>
                <w:r>
                  <w:rPr>
                    <w:rFonts w:asciiTheme="minorEastAsia" w:eastAsiaTheme="minorEastAsia" w:hAnsiTheme="minorEastAsia" w:cs="Calibri" w:hint="eastAsia"/>
                  </w:rPr>
                  <w:t>2</w:t>
                </w:r>
                <w:r>
                  <w:rPr>
                    <w:rFonts w:asciiTheme="minorEastAsia" w:eastAsiaTheme="minorEastAsia" w:hAnsiTheme="minorEastAsia" w:cs="Calibri"/>
                  </w:rPr>
                  <w:t>1</w:t>
                </w:r>
              </w:p>
            </w:tc>
            <w:tc>
              <w:tcPr>
                <w:tcW w:w="1970" w:type="dxa"/>
                <w:tcBorders>
                  <w:top w:val="single" w:sz="4" w:space="0" w:color="auto"/>
                  <w:left w:val="nil"/>
                  <w:bottom w:val="single" w:sz="4" w:space="0" w:color="auto"/>
                  <w:right w:val="single" w:sz="4" w:space="0" w:color="auto"/>
                </w:tcBorders>
                <w:noWrap/>
              </w:tcPr>
              <w:p w:rsidR="00597370" w:rsidRDefault="003C2EEE">
                <w:pPr>
                  <w:jc w:val="center"/>
                  <w:rPr>
                    <w:rFonts w:cs="Times New Roman"/>
                  </w:rPr>
                </w:pPr>
                <w:r>
                  <w:rPr>
                    <w:rFonts w:hint="eastAsia"/>
                  </w:rPr>
                  <w:t>贵州省黔南州都匀市绿茵湖街道红朗路</w:t>
                </w:r>
                <w:r>
                  <w:t>8号</w:t>
                </w:r>
              </w:p>
            </w:tc>
            <w:tc>
              <w:tcPr>
                <w:tcW w:w="1276" w:type="dxa"/>
                <w:tcBorders>
                  <w:top w:val="single" w:sz="4" w:space="0" w:color="auto"/>
                  <w:left w:val="nil"/>
                  <w:bottom w:val="single" w:sz="4" w:space="0" w:color="auto"/>
                  <w:right w:val="single" w:sz="4" w:space="0" w:color="auto"/>
                </w:tcBorders>
              </w:tcPr>
              <w:p w:rsidR="00597370" w:rsidRDefault="003C2EEE">
                <w:pPr>
                  <w:jc w:val="center"/>
                  <w:rPr>
                    <w:rFonts w:cs="Times New Roman"/>
                    <w:color w:val="000000"/>
                  </w:rPr>
                </w:pPr>
                <w:r>
                  <w:t>干式过滤+活性炭吸附箱一体化</w:t>
                </w:r>
              </w:p>
            </w:tc>
            <w:tc>
              <w:tcPr>
                <w:tcW w:w="1417"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运行阶段</w:t>
                </w:r>
              </w:p>
            </w:tc>
            <w:tc>
              <w:tcPr>
                <w:tcW w:w="1903"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重庆恒第环保工程有限公司</w:t>
                </w:r>
              </w:p>
            </w:tc>
            <w:tc>
              <w:tcPr>
                <w:tcW w:w="1879"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自运行模式</w:t>
                </w:r>
              </w:p>
            </w:tc>
          </w:tr>
          <w:tr w:rsidR="00597370">
            <w:trPr>
              <w:trHeight w:val="709"/>
            </w:trPr>
            <w:tc>
              <w:tcPr>
                <w:tcW w:w="435" w:type="dxa"/>
                <w:tcBorders>
                  <w:top w:val="single" w:sz="4" w:space="0" w:color="auto"/>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Calibri"/>
                  </w:rPr>
                </w:pPr>
                <w:r>
                  <w:rPr>
                    <w:rFonts w:asciiTheme="minorEastAsia" w:eastAsiaTheme="minorEastAsia" w:hAnsiTheme="minorEastAsia" w:cs="Calibri" w:hint="eastAsia"/>
                  </w:rPr>
                  <w:t>2</w:t>
                </w:r>
                <w:r>
                  <w:rPr>
                    <w:rFonts w:asciiTheme="minorEastAsia" w:eastAsiaTheme="minorEastAsia" w:hAnsiTheme="minorEastAsia" w:cs="Calibri"/>
                  </w:rPr>
                  <w:t>2</w:t>
                </w:r>
              </w:p>
            </w:tc>
            <w:tc>
              <w:tcPr>
                <w:tcW w:w="1970" w:type="dxa"/>
                <w:tcBorders>
                  <w:top w:val="single" w:sz="4" w:space="0" w:color="auto"/>
                  <w:left w:val="nil"/>
                  <w:bottom w:val="single" w:sz="4" w:space="0" w:color="auto"/>
                  <w:right w:val="single" w:sz="4" w:space="0" w:color="auto"/>
                </w:tcBorders>
                <w:noWrap/>
              </w:tcPr>
              <w:p w:rsidR="00597370" w:rsidRDefault="003C2EEE">
                <w:pPr>
                  <w:jc w:val="center"/>
                  <w:rPr>
                    <w:rFonts w:cs="Times New Roman"/>
                  </w:rPr>
                </w:pPr>
                <w:r>
                  <w:rPr>
                    <w:rFonts w:hint="eastAsia"/>
                  </w:rPr>
                  <w:t>贵州省黔南州都匀市绿茵湖街道红朗路</w:t>
                </w:r>
                <w:r>
                  <w:t>8号</w:t>
                </w:r>
              </w:p>
            </w:tc>
            <w:tc>
              <w:tcPr>
                <w:tcW w:w="1276" w:type="dxa"/>
                <w:tcBorders>
                  <w:top w:val="single" w:sz="4" w:space="0" w:color="auto"/>
                  <w:left w:val="nil"/>
                  <w:bottom w:val="single" w:sz="4" w:space="0" w:color="auto"/>
                  <w:right w:val="single" w:sz="4" w:space="0" w:color="auto"/>
                </w:tcBorders>
              </w:tcPr>
              <w:p w:rsidR="00597370" w:rsidRDefault="003C2EEE">
                <w:pPr>
                  <w:jc w:val="center"/>
                  <w:rPr>
                    <w:rFonts w:cs="Times New Roman"/>
                    <w:color w:val="000000"/>
                  </w:rPr>
                </w:pPr>
                <w:r>
                  <w:t>行动伸缩式漆房</w:t>
                </w:r>
              </w:p>
            </w:tc>
            <w:tc>
              <w:tcPr>
                <w:tcW w:w="1417"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运行阶段</w:t>
                </w:r>
              </w:p>
            </w:tc>
            <w:tc>
              <w:tcPr>
                <w:tcW w:w="1903"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重庆恒第环保工程有限公司</w:t>
                </w:r>
              </w:p>
            </w:tc>
            <w:tc>
              <w:tcPr>
                <w:tcW w:w="1879"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自运行模式</w:t>
                </w:r>
              </w:p>
            </w:tc>
          </w:tr>
          <w:tr w:rsidR="00597370">
            <w:trPr>
              <w:trHeight w:val="709"/>
            </w:trPr>
            <w:tc>
              <w:tcPr>
                <w:tcW w:w="435" w:type="dxa"/>
                <w:tcBorders>
                  <w:top w:val="single" w:sz="4" w:space="0" w:color="auto"/>
                  <w:left w:val="single" w:sz="4" w:space="0" w:color="auto"/>
                  <w:bottom w:val="single" w:sz="4" w:space="0" w:color="auto"/>
                  <w:right w:val="single" w:sz="4" w:space="0" w:color="auto"/>
                </w:tcBorders>
                <w:noWrap/>
                <w:vAlign w:val="center"/>
              </w:tcPr>
              <w:p w:rsidR="00597370" w:rsidRDefault="003C2EEE">
                <w:pPr>
                  <w:jc w:val="center"/>
                  <w:rPr>
                    <w:rFonts w:asciiTheme="minorEastAsia" w:eastAsiaTheme="minorEastAsia" w:hAnsiTheme="minorEastAsia" w:cs="Calibri"/>
                  </w:rPr>
                </w:pPr>
                <w:r>
                  <w:rPr>
                    <w:rFonts w:asciiTheme="minorEastAsia" w:eastAsiaTheme="minorEastAsia" w:hAnsiTheme="minorEastAsia" w:cs="Calibri" w:hint="eastAsia"/>
                  </w:rPr>
                  <w:lastRenderedPageBreak/>
                  <w:t>2</w:t>
                </w:r>
                <w:r>
                  <w:rPr>
                    <w:rFonts w:asciiTheme="minorEastAsia" w:eastAsiaTheme="minorEastAsia" w:hAnsiTheme="minorEastAsia" w:cs="Calibri"/>
                  </w:rPr>
                  <w:t>3</w:t>
                </w:r>
              </w:p>
            </w:tc>
            <w:tc>
              <w:tcPr>
                <w:tcW w:w="1970" w:type="dxa"/>
                <w:tcBorders>
                  <w:top w:val="single" w:sz="4" w:space="0" w:color="auto"/>
                  <w:left w:val="nil"/>
                  <w:bottom w:val="single" w:sz="4" w:space="0" w:color="auto"/>
                  <w:right w:val="single" w:sz="4" w:space="0" w:color="auto"/>
                </w:tcBorders>
                <w:noWrap/>
              </w:tcPr>
              <w:p w:rsidR="00597370" w:rsidRDefault="003C2EEE">
                <w:pPr>
                  <w:jc w:val="center"/>
                  <w:rPr>
                    <w:rFonts w:cs="Times New Roman"/>
                  </w:rPr>
                </w:pPr>
                <w:r>
                  <w:rPr>
                    <w:rFonts w:hint="eastAsia"/>
                  </w:rPr>
                  <w:t>贵州省黔南州都匀市绿茵湖街道红朗路</w:t>
                </w:r>
                <w:r>
                  <w:t>8号</w:t>
                </w:r>
              </w:p>
            </w:tc>
            <w:tc>
              <w:tcPr>
                <w:tcW w:w="1276" w:type="dxa"/>
                <w:tcBorders>
                  <w:top w:val="single" w:sz="4" w:space="0" w:color="auto"/>
                  <w:left w:val="nil"/>
                  <w:bottom w:val="single" w:sz="4" w:space="0" w:color="auto"/>
                  <w:right w:val="single" w:sz="4" w:space="0" w:color="auto"/>
                </w:tcBorders>
              </w:tcPr>
              <w:p w:rsidR="00597370" w:rsidRDefault="003C2EEE">
                <w:pPr>
                  <w:jc w:val="center"/>
                  <w:rPr>
                    <w:rFonts w:cs="Times New Roman"/>
                    <w:color w:val="000000"/>
                  </w:rPr>
                </w:pPr>
                <w:r>
                  <w:t>除尘系统</w:t>
                </w:r>
              </w:p>
            </w:tc>
            <w:tc>
              <w:tcPr>
                <w:tcW w:w="1417"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运行阶段</w:t>
                </w:r>
              </w:p>
            </w:tc>
            <w:tc>
              <w:tcPr>
                <w:tcW w:w="1903"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重庆恒第环保工程有限公司</w:t>
                </w:r>
              </w:p>
            </w:tc>
            <w:tc>
              <w:tcPr>
                <w:tcW w:w="1879" w:type="dxa"/>
                <w:tcBorders>
                  <w:top w:val="single" w:sz="4" w:space="0" w:color="auto"/>
                  <w:left w:val="nil"/>
                  <w:bottom w:val="single" w:sz="4" w:space="0" w:color="auto"/>
                  <w:right w:val="single" w:sz="4" w:space="0" w:color="auto"/>
                </w:tcBorders>
                <w:noWrap/>
              </w:tcPr>
              <w:p w:rsidR="00597370" w:rsidRDefault="003C2EEE">
                <w:pPr>
                  <w:jc w:val="center"/>
                  <w:rPr>
                    <w:rFonts w:cs="Times New Roman"/>
                    <w:color w:val="000000"/>
                  </w:rPr>
                </w:pPr>
                <w:r>
                  <w:rPr>
                    <w:rFonts w:cs="Times New Roman"/>
                    <w:color w:val="000000"/>
                  </w:rPr>
                  <w:t>自运行模式</w:t>
                </w:r>
              </w:p>
            </w:tc>
          </w:tr>
        </w:tbl>
        <w:p w:rsidR="00597370" w:rsidRDefault="006840ED">
          <w:pPr>
            <w:rPr>
              <w:color w:val="000000" w:themeColor="text1"/>
            </w:rPr>
          </w:pPr>
        </w:p>
      </w:sdtContent>
    </w:sdt>
    <w:p w:rsidR="00597370" w:rsidRDefault="003C2EEE">
      <w:pPr>
        <w:pStyle w:val="4"/>
        <w:numPr>
          <w:ilvl w:val="0"/>
          <w:numId w:val="18"/>
        </w:numPr>
        <w:rPr>
          <w:rFonts w:ascii="宋体" w:hAnsi="宋体"/>
          <w:color w:val="000000" w:themeColor="text1"/>
        </w:rPr>
      </w:pPr>
      <w:r>
        <w:rPr>
          <w:rFonts w:ascii="宋体" w:hAnsi="宋体" w:hint="eastAsia"/>
          <w:color w:val="000000" w:themeColor="text1"/>
        </w:rPr>
        <w:t>建设项目环境影响评价及其他环境保护行政许可情况</w:t>
      </w:r>
    </w:p>
    <w:sdt>
      <w:sdtPr>
        <w:rPr>
          <w:rFonts w:ascii="宋体" w:hAnsi="宋体" w:hint="eastAsia"/>
          <w:color w:val="000000" w:themeColor="text1"/>
        </w:rPr>
        <w:alias w:val="是否适用：环境影响评价及其他环境保护行政许可[双击切换]"/>
        <w:tag w:val="_GBC_3824fd66ff4141358cbb17c1d49124d4"/>
        <w:id w:val="1842044272"/>
      </w:sdtPr>
      <w:sdtEndPr/>
      <w:sdtContent>
        <w:p w:rsidR="00597370" w:rsidRDefault="003C2EEE">
          <w:pPr>
            <w:pStyle w:val="aff8"/>
            <w:ind w:firstLineChars="0" w:firstLine="0"/>
            <w:rPr>
              <w:rFonts w:ascii="宋体" w:hAnsi="宋体"/>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环境影响评价及其他环境保护行政许可"/>
        <w:tag w:val="_GBC_8592b333277f43349f710f284bb4c167"/>
        <w:id w:val="-1768997975"/>
      </w:sdtPr>
      <w:sdtEndPr/>
      <w:sdtContent>
        <w:sdt>
          <w:sdtPr>
            <w:rPr>
              <w:color w:val="000000" w:themeColor="text1"/>
            </w:rPr>
            <w:alias w:val="环境影响评价及其他环境保护行政许可"/>
            <w:tag w:val="_GBC_8592b333277f43349f710f284bb4c167"/>
            <w:id w:val="-418795685"/>
            <w:placeholder>
              <w:docPart w:val="483A71A1223647F3B45A27FACD00890A"/>
            </w:placeholder>
          </w:sdtPr>
          <w:sdtEndPr>
            <w:rPr>
              <w:highlight w:val="yellow"/>
            </w:rPr>
          </w:sdtEndPr>
          <w:sdtContent>
            <w:p w:rsidR="00597370" w:rsidRDefault="003C2EEE">
              <w:pPr>
                <w:spacing w:line="360" w:lineRule="auto"/>
                <w:ind w:firstLineChars="200" w:firstLine="420"/>
              </w:pPr>
              <w:r>
                <w:rPr>
                  <w:rFonts w:hint="eastAsia"/>
                </w:rPr>
                <w:t>截止报告期末，公司已建成和在建项目均符合国家及地方建设项目环境保护相关规定，并办理了环境影响评价手续，具体情况如下：</w:t>
              </w:r>
            </w:p>
            <w:p w:rsidR="00597370" w:rsidRDefault="003C2EEE">
              <w:pPr>
                <w:spacing w:line="360" w:lineRule="auto"/>
                <w:ind w:firstLineChars="200" w:firstLine="420"/>
              </w:pPr>
              <w:r>
                <w:t>1</w:t>
              </w:r>
              <w:r>
                <w:rPr>
                  <w:rFonts w:hint="eastAsia"/>
                </w:rPr>
                <w:t>、</w:t>
              </w:r>
              <w:r>
                <w:t>搬迁扩能及高原型特高压电力变压器建设项目于2011年5月17日取得昆环保复[2011]170号环评批复。</w:t>
              </w:r>
            </w:p>
            <w:p w:rsidR="00597370" w:rsidRDefault="003C2EEE">
              <w:pPr>
                <w:spacing w:line="360" w:lineRule="auto"/>
                <w:ind w:firstLineChars="200" w:firstLine="420"/>
              </w:pPr>
              <w:r>
                <w:t>2</w:t>
              </w:r>
              <w:r>
                <w:rPr>
                  <w:rFonts w:hint="eastAsia"/>
                </w:rPr>
                <w:t>、2万台油变、2千套箱</w:t>
              </w:r>
              <w:proofErr w:type="gramStart"/>
              <w:r>
                <w:rPr>
                  <w:rFonts w:hint="eastAsia"/>
                </w:rPr>
                <w:t>变项目</w:t>
              </w:r>
              <w:proofErr w:type="gramEnd"/>
              <w:r>
                <w:rPr>
                  <w:rFonts w:hint="eastAsia"/>
                </w:rPr>
                <w:t>于2011年4月7日取得渝（长）</w:t>
              </w:r>
              <w:proofErr w:type="gramStart"/>
              <w:r>
                <w:rPr>
                  <w:rFonts w:hint="eastAsia"/>
                </w:rPr>
                <w:t>环准</w:t>
              </w:r>
              <w:proofErr w:type="gramEnd"/>
              <w:r>
                <w:rPr>
                  <w:rFonts w:hint="eastAsia"/>
                </w:rPr>
                <w:t>{2011}51号环评批复；</w:t>
              </w:r>
            </w:p>
            <w:p w:rsidR="00597370" w:rsidRDefault="003C2EEE">
              <w:pPr>
                <w:spacing w:line="360" w:lineRule="auto"/>
                <w:ind w:firstLineChars="200" w:firstLine="420"/>
              </w:pPr>
              <w:r>
                <w:t>3</w:t>
              </w:r>
              <w:r>
                <w:rPr>
                  <w:rFonts w:hint="eastAsia"/>
                </w:rPr>
                <w:t>、10万吨非晶带材及高磁感铁心材料项目一期工程于2016年8月24日取得渝（长）</w:t>
              </w:r>
              <w:proofErr w:type="gramStart"/>
              <w:r>
                <w:rPr>
                  <w:rFonts w:hint="eastAsia"/>
                </w:rPr>
                <w:t>环准</w:t>
              </w:r>
              <w:proofErr w:type="gramEnd"/>
              <w:r>
                <w:rPr>
                  <w:rFonts w:hint="eastAsia"/>
                </w:rPr>
                <w:t>{2016}076号环评批复；</w:t>
              </w:r>
            </w:p>
            <w:p w:rsidR="00597370" w:rsidRDefault="003C2EEE">
              <w:pPr>
                <w:spacing w:line="360" w:lineRule="auto"/>
                <w:ind w:firstLineChars="200" w:firstLine="420"/>
              </w:pPr>
              <w:r>
                <w:t>4</w:t>
              </w:r>
              <w:r>
                <w:rPr>
                  <w:rFonts w:hint="eastAsia"/>
                </w:rPr>
                <w:t>、10万吨高磁感取向硅钢项目二期工程项目于2019年11月5日取得渝（长）</w:t>
              </w:r>
              <w:proofErr w:type="gramStart"/>
              <w:r>
                <w:rPr>
                  <w:rFonts w:hint="eastAsia"/>
                </w:rPr>
                <w:t>环准</w:t>
              </w:r>
              <w:proofErr w:type="gramEnd"/>
              <w:r>
                <w:rPr>
                  <w:rFonts w:hint="eastAsia"/>
                </w:rPr>
                <w:t>{2019}122号环评批复；</w:t>
              </w:r>
            </w:p>
            <w:p w:rsidR="00597370" w:rsidRDefault="003C2EEE">
              <w:pPr>
                <w:spacing w:line="360" w:lineRule="auto"/>
                <w:ind w:firstLineChars="200" w:firstLine="420"/>
              </w:pPr>
              <w:r>
                <w:t>5</w:t>
              </w:r>
              <w:r>
                <w:rPr>
                  <w:rFonts w:hint="eastAsia"/>
                </w:rPr>
                <w:t>、</w:t>
              </w:r>
              <w:r>
                <w:t>2000台和5000台智能型组和箱变生产建设项目于2020年5月9日取得黔南环审[2020]136号环评批复。</w:t>
              </w:r>
            </w:p>
            <w:p w:rsidR="00597370" w:rsidRDefault="003C2EEE">
              <w:pPr>
                <w:spacing w:line="360" w:lineRule="auto"/>
                <w:ind w:firstLineChars="200" w:firstLine="420"/>
              </w:pPr>
              <w:r>
                <w:t>6</w:t>
              </w:r>
              <w:r>
                <w:rPr>
                  <w:rFonts w:hint="eastAsia"/>
                </w:rPr>
                <w:t>、3万吨低铁损高磁感硅钢深加工智能制造项目于2020年4月16日取得渝（长）</w:t>
              </w:r>
              <w:proofErr w:type="gramStart"/>
              <w:r>
                <w:rPr>
                  <w:rFonts w:hint="eastAsia"/>
                </w:rPr>
                <w:t>环准</w:t>
              </w:r>
              <w:proofErr w:type="gramEnd"/>
              <w:r>
                <w:rPr>
                  <w:rFonts w:hint="eastAsia"/>
                </w:rPr>
                <w:t>{2020}030号环评批复；</w:t>
              </w:r>
            </w:p>
            <w:p w:rsidR="00597370" w:rsidRDefault="003C2EEE">
              <w:pPr>
                <w:spacing w:line="360" w:lineRule="auto"/>
                <w:ind w:firstLineChars="200" w:firstLine="420"/>
              </w:pPr>
              <w:r>
                <w:t>7</w:t>
              </w:r>
              <w:r>
                <w:rPr>
                  <w:rFonts w:hint="eastAsia"/>
                </w:rPr>
                <w:t>、智能成套电气设备产能扩建项目于2020年4月16日取得渝（长）</w:t>
              </w:r>
              <w:proofErr w:type="gramStart"/>
              <w:r>
                <w:rPr>
                  <w:rFonts w:hint="eastAsia"/>
                </w:rPr>
                <w:t>环准</w:t>
              </w:r>
              <w:proofErr w:type="gramEnd"/>
              <w:r>
                <w:rPr>
                  <w:rFonts w:hint="eastAsia"/>
                </w:rPr>
                <w:t>{2020}031号环评批复；</w:t>
              </w:r>
            </w:p>
            <w:p w:rsidR="00597370" w:rsidRDefault="003C2EEE">
              <w:pPr>
                <w:spacing w:line="360" w:lineRule="auto"/>
                <w:ind w:firstLineChars="200" w:firstLine="420"/>
              </w:pPr>
              <w:r>
                <w:t>8</w:t>
              </w:r>
              <w:r>
                <w:rPr>
                  <w:rFonts w:hint="eastAsia"/>
                </w:rPr>
                <w:t>、8000台干式变压器建设项目于2020年9月28日取得渝（长）</w:t>
              </w:r>
              <w:proofErr w:type="gramStart"/>
              <w:r>
                <w:rPr>
                  <w:rFonts w:hint="eastAsia"/>
                </w:rPr>
                <w:t>环准</w:t>
              </w:r>
              <w:proofErr w:type="gramEnd"/>
              <w:r>
                <w:rPr>
                  <w:rFonts w:hint="eastAsia"/>
                </w:rPr>
                <w:t>{2020}103号环评批复；</w:t>
              </w:r>
            </w:p>
            <w:p w:rsidR="00597370" w:rsidRDefault="003C2EEE">
              <w:pPr>
                <w:spacing w:line="360" w:lineRule="auto"/>
                <w:ind w:firstLineChars="200" w:firstLine="420"/>
              </w:pPr>
              <w:r>
                <w:t>9</w:t>
              </w:r>
              <w:r>
                <w:rPr>
                  <w:rFonts w:hint="eastAsia"/>
                </w:rPr>
                <w:t>、智能成套电气设备产业基地建设项目于2021年3月31日取得渝（长）</w:t>
              </w:r>
              <w:proofErr w:type="gramStart"/>
              <w:r>
                <w:rPr>
                  <w:rFonts w:hint="eastAsia"/>
                </w:rPr>
                <w:t>环准</w:t>
              </w:r>
              <w:proofErr w:type="gramEnd"/>
              <w:r>
                <w:rPr>
                  <w:rFonts w:hint="eastAsia"/>
                </w:rPr>
                <w:t>{2021}038号批复；</w:t>
              </w:r>
            </w:p>
            <w:p w:rsidR="00597370" w:rsidRDefault="003C2EEE">
              <w:pPr>
                <w:spacing w:line="360" w:lineRule="auto"/>
                <w:ind w:firstLineChars="200" w:firstLine="420"/>
              </w:pPr>
              <w:r>
                <w:t>10</w:t>
              </w:r>
              <w:r>
                <w:rPr>
                  <w:rFonts w:hint="eastAsia"/>
                </w:rPr>
                <w:t>、八万吨高端磁性新材料项目于2022年10月20日取得渝（长）</w:t>
              </w:r>
              <w:proofErr w:type="gramStart"/>
              <w:r>
                <w:rPr>
                  <w:rFonts w:hint="eastAsia"/>
                </w:rPr>
                <w:t>环准</w:t>
              </w:r>
              <w:proofErr w:type="gramEnd"/>
              <w:r>
                <w:rPr>
                  <w:rFonts w:hint="eastAsia"/>
                </w:rPr>
                <w:t>{2022}85号批复。</w:t>
              </w:r>
            </w:p>
          </w:sdtContent>
        </w:sdt>
      </w:sdtContent>
    </w:sdt>
    <w:p w:rsidR="00597370" w:rsidRDefault="003C2EEE">
      <w:pPr>
        <w:pStyle w:val="4"/>
        <w:numPr>
          <w:ilvl w:val="0"/>
          <w:numId w:val="18"/>
        </w:numPr>
        <w:rPr>
          <w:rFonts w:ascii="宋体" w:hAnsi="宋体"/>
          <w:color w:val="000000" w:themeColor="text1"/>
        </w:rPr>
      </w:pPr>
      <w:r>
        <w:rPr>
          <w:rFonts w:ascii="宋体" w:hAnsi="宋体" w:hint="eastAsia"/>
          <w:color w:val="000000" w:themeColor="text1"/>
        </w:rPr>
        <w:t>突发环境事件应急预案</w:t>
      </w:r>
    </w:p>
    <w:sdt>
      <w:sdtPr>
        <w:rPr>
          <w:color w:val="000000" w:themeColor="text1"/>
        </w:rPr>
        <w:alias w:val="是否适用：突发环境事件应急预案[双击切换]"/>
        <w:tag w:val="_GBC_df8be27e0fe04478b8e2d99d253dbf26"/>
        <w:id w:val="595069919"/>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突发环境事件应急预案"/>
        <w:tag w:val="_GBC_2185e6aced094c6c8ba2229f13fa085b"/>
        <w:id w:val="-1307154261"/>
      </w:sdtPr>
      <w:sdtEndPr/>
      <w:sdtContent>
        <w:p w:rsidR="00597370" w:rsidRDefault="003C2EEE">
          <w:pPr>
            <w:spacing w:line="360" w:lineRule="auto"/>
            <w:ind w:firstLineChars="200" w:firstLine="420"/>
            <w:rPr>
              <w:bCs w:val="0"/>
              <w:sz w:val="24"/>
              <w:szCs w:val="24"/>
            </w:rPr>
          </w:pPr>
          <w:r>
            <w:rPr>
              <w:rFonts w:hint="eastAsia"/>
            </w:rPr>
            <w:t>为保证企业、社会及职工生命财产的安全，防止突发环境污染事件的发生，在环境突发事件发生后迅速有效地控制和处置，结合实际情况，公司根据《中华人民共和国环境保护法》《中华人民共和国水污染防治法》《中华人民共和国大气污染防治法》《中华人民共和国固体废物污染环境防治法》《企业事业单位突发环境事件应急预案备案管理办法（试行）》《企业突发环境事件风险评估报告编制指南（试行）》等相关规定的要求，公司根据存在的环境风险进行评估，编制了公司的应急预案，并向当地生态环境保护部门备案。各基地根据报备期限情况，对应急预案</w:t>
          </w:r>
          <w:r>
            <w:rPr>
              <w:rFonts w:hint="eastAsia"/>
            </w:rPr>
            <w:lastRenderedPageBreak/>
            <w:t>进行修订、评审和备案。通过各预案的应急演练、应急响应、环境监测、应急处置及体系运作与应急预案不断磨合，进一步防范和有效应对突发环境污染事件。</w:t>
          </w:r>
        </w:p>
        <w:p w:rsidR="00597370" w:rsidRDefault="003C2EEE">
          <w:pPr>
            <w:spacing w:line="360" w:lineRule="auto"/>
            <w:ind w:firstLineChars="200" w:firstLine="420"/>
          </w:pPr>
          <w:r>
            <w:rPr>
              <w:rFonts w:hint="eastAsia"/>
            </w:rPr>
            <w:t>公司突发环境预案备案证号：500115-2023-028-L</w:t>
          </w:r>
        </w:p>
        <w:p w:rsidR="00597370" w:rsidRDefault="003C2EEE">
          <w:pPr>
            <w:spacing w:line="360" w:lineRule="auto"/>
            <w:ind w:firstLineChars="200" w:firstLine="420"/>
            <w:rPr>
              <w:bCs w:val="0"/>
            </w:rPr>
          </w:pPr>
          <w:r>
            <w:t xml:space="preserve">                          </w:t>
          </w:r>
          <w:r>
            <w:rPr>
              <w:bCs w:val="0"/>
            </w:rPr>
            <w:t>522700-2022-057-L</w:t>
          </w:r>
        </w:p>
        <w:p w:rsidR="00597370" w:rsidRDefault="003C2EEE">
          <w:pPr>
            <w:spacing w:line="360" w:lineRule="auto"/>
            <w:ind w:firstLineChars="1500" w:firstLine="3150"/>
            <w:rPr>
              <w:color w:val="000000" w:themeColor="text1"/>
            </w:rPr>
          </w:pPr>
          <w:r>
            <w:rPr>
              <w:rFonts w:hint="eastAsia"/>
              <w:bCs w:val="0"/>
            </w:rPr>
            <w:t>530163-2021-128-L</w:t>
          </w:r>
        </w:p>
      </w:sdtContent>
    </w:sdt>
    <w:p w:rsidR="00597370" w:rsidRDefault="003C2EEE">
      <w:pPr>
        <w:pStyle w:val="4"/>
        <w:numPr>
          <w:ilvl w:val="0"/>
          <w:numId w:val="18"/>
        </w:numPr>
        <w:rPr>
          <w:rFonts w:ascii="宋体" w:hAnsi="宋体"/>
          <w:color w:val="000000" w:themeColor="text1"/>
        </w:rPr>
      </w:pPr>
      <w:r>
        <w:rPr>
          <w:rFonts w:ascii="宋体" w:hAnsi="宋体" w:hint="eastAsia"/>
          <w:color w:val="000000" w:themeColor="text1"/>
        </w:rPr>
        <w:t>环境自行监测方案</w:t>
      </w:r>
    </w:p>
    <w:sdt>
      <w:sdtPr>
        <w:rPr>
          <w:rFonts w:ascii="宋体" w:hAnsi="宋体" w:hint="eastAsia"/>
          <w:color w:val="000000" w:themeColor="text1"/>
        </w:rPr>
        <w:alias w:val="是否适用：环境自行监测方案[双击切换]"/>
        <w:tag w:val="_GBC_8282bd073e454f33b6fa8f66542c0ea4"/>
        <w:id w:val="-870834018"/>
      </w:sdtPr>
      <w:sdtEndPr/>
      <w:sdtContent>
        <w:p w:rsidR="00597370" w:rsidRDefault="003C2EEE">
          <w:pPr>
            <w:pStyle w:val="aff8"/>
            <w:ind w:firstLineChars="0" w:firstLine="0"/>
            <w:rPr>
              <w:rFonts w:ascii="宋体" w:hAnsi="宋体"/>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环境自行监测方案"/>
        <w:tag w:val="_GBC_fcc9259ff58741f496af8580b408371e"/>
        <w:id w:val="-1482309843"/>
      </w:sdtPr>
      <w:sdtEndPr/>
      <w:sdtContent>
        <w:p w:rsidR="00597370" w:rsidRDefault="003C2EEE">
          <w:pPr>
            <w:spacing w:line="360" w:lineRule="auto"/>
            <w:ind w:firstLineChars="200" w:firstLine="420"/>
            <w:rPr>
              <w:color w:val="000000" w:themeColor="text1"/>
            </w:rPr>
          </w:pPr>
          <w:r>
            <w:rPr>
              <w:rFonts w:hint="eastAsia"/>
            </w:rPr>
            <w:t>公司按照排污许可证及排污单位自行监测技术指南的要求，定期开展环保自行监测，并在全国污染源监测信息管理与共享平台、重庆市企事业信息公开平台等信息公开平台发布自行监测信息。公司不断加强监测体系能力建设，通过更新环保监测设备进一步提高环保监测的准确率；改变原有监测管理模式，把监测、分析、整改、跟踪、督促作为环保监测管理的重要职能，做到监测问题的全流程闭环管理。同时按照国家和地方要求，认真开展自行监测，并及时、完整、如实发布自行监测数据及相关信息。报告期内自行监测公布率达100%。</w:t>
          </w:r>
        </w:p>
      </w:sdtContent>
    </w:sdt>
    <w:p w:rsidR="00597370" w:rsidRDefault="003C2EEE">
      <w:pPr>
        <w:pStyle w:val="4"/>
        <w:numPr>
          <w:ilvl w:val="0"/>
          <w:numId w:val="18"/>
        </w:numPr>
        <w:rPr>
          <w:rFonts w:ascii="宋体" w:hAnsi="宋体"/>
          <w:color w:val="000000" w:themeColor="text1"/>
        </w:rPr>
      </w:pPr>
      <w:r>
        <w:rPr>
          <w:rFonts w:ascii="宋体" w:hAnsi="宋体" w:hint="eastAsia"/>
          <w:color w:val="000000" w:themeColor="text1"/>
        </w:rPr>
        <w:t>报告期内因环境问题受到行政处罚的情况</w:t>
      </w:r>
    </w:p>
    <w:sdt>
      <w:sdtPr>
        <w:rPr>
          <w:color w:val="000000" w:themeColor="text1"/>
        </w:rPr>
        <w:alias w:val="是否适用：报告期内因环境问题受到行政处罚的情况[双击切换]"/>
        <w:tag w:val="_GBC_5f5b826efaf649958cd6c4a308bbb8f9"/>
        <w:id w:val="2088418898"/>
      </w:sdtPr>
      <w:sdtEndPr/>
      <w:sdtContent>
        <w:p w:rsidR="00597370" w:rsidRDefault="003C2EEE">
          <w:pPr>
            <w:pStyle w:val="Style88"/>
            <w:rPr>
              <w:color w:val="000000" w:themeColor="text1"/>
            </w:rPr>
          </w:pPr>
          <w:r>
            <w:rPr>
              <w:color w:val="000000" w:themeColor="text1"/>
            </w:rPr>
            <w:fldChar w:fldCharType="begin"/>
          </w:r>
          <w:r>
            <w:rPr>
              <w:rFonts w:ascii="宋体" w:hAnsi="宋体"/>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rFonts w:ascii="宋体" w:hAnsi="宋体"/>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18"/>
        </w:numPr>
        <w:rPr>
          <w:rFonts w:ascii="宋体" w:hAnsi="宋体"/>
          <w:color w:val="000000" w:themeColor="text1"/>
        </w:rPr>
      </w:pPr>
      <w:r>
        <w:rPr>
          <w:rFonts w:ascii="宋体" w:hAnsi="宋体" w:hint="eastAsia"/>
          <w:color w:val="000000" w:themeColor="text1"/>
        </w:rPr>
        <w:t>其他应当公开的环境信息</w:t>
      </w:r>
    </w:p>
    <w:sdt>
      <w:sdtPr>
        <w:rPr>
          <w:color w:val="000000" w:themeColor="text1"/>
        </w:rPr>
        <w:alias w:val="是否适用：其他应当公开的环境信息[双击切换]"/>
        <w:tag w:val="_GBC_b667f965a34943718106b9347a0b30af"/>
        <w:id w:val="-966813137"/>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3"/>
        <w:numPr>
          <w:ilvl w:val="0"/>
          <w:numId w:val="17"/>
        </w:numPr>
        <w:rPr>
          <w:rFonts w:ascii="宋体" w:hAnsi="宋体"/>
          <w:color w:val="000000" w:themeColor="text1"/>
        </w:rPr>
      </w:pPr>
      <w:r>
        <w:rPr>
          <w:rFonts w:ascii="宋体" w:hAnsi="宋体"/>
          <w:color w:val="000000" w:themeColor="text1"/>
        </w:rPr>
        <w:t>重点排污单位之外的公司环保情况说明</w:t>
      </w:r>
    </w:p>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p w:rsidR="00597370" w:rsidRDefault="003C2EEE">
      <w:pPr>
        <w:pStyle w:val="3"/>
        <w:numPr>
          <w:ilvl w:val="0"/>
          <w:numId w:val="17"/>
        </w:numPr>
        <w:rPr>
          <w:rFonts w:ascii="宋体" w:hAnsi="宋体"/>
          <w:color w:val="000000" w:themeColor="text1"/>
        </w:rPr>
      </w:pPr>
      <w:r>
        <w:rPr>
          <w:rFonts w:ascii="宋体" w:hAnsi="宋体"/>
          <w:color w:val="000000" w:themeColor="text1"/>
        </w:rPr>
        <w:t>报告期内披露环境信息内容的后续进展或变化情况的说明</w:t>
      </w:r>
    </w:p>
    <w:sdt>
      <w:sdtPr>
        <w:rPr>
          <w:color w:val="000000" w:themeColor="text1"/>
        </w:rPr>
        <w:alias w:val="是否适用：披露环境信息内容的后续进展或变化情况[双击切换]"/>
        <w:tag w:val="_GBC_451a415ae7344df7ba110ec71bce5279"/>
        <w:id w:val="126464450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3"/>
        <w:numPr>
          <w:ilvl w:val="0"/>
          <w:numId w:val="17"/>
        </w:numPr>
        <w:rPr>
          <w:rFonts w:ascii="宋体" w:hAnsi="宋体"/>
          <w:color w:val="000000" w:themeColor="text1"/>
        </w:rPr>
      </w:pPr>
      <w:r>
        <w:rPr>
          <w:rFonts w:ascii="宋体" w:hAnsi="宋体"/>
          <w:color w:val="000000" w:themeColor="text1"/>
        </w:rPr>
        <w:t xml:space="preserve"> 有利于保护生态、防治污染、履行环境责任的相关信息</w:t>
      </w:r>
    </w:p>
    <w:sdt>
      <w:sdtPr>
        <w:rPr>
          <w:color w:val="000000" w:themeColor="text1"/>
        </w:rPr>
        <w:alias w:val="是否适用：有利于保护生态、防治污染、履行环境责任的相关信息[双击切换]"/>
        <w:tag w:val="_GBC_1d95a0d39baa46e594806677748c6810"/>
        <w:id w:val="-66662702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3"/>
        <w:numPr>
          <w:ilvl w:val="0"/>
          <w:numId w:val="17"/>
        </w:numPr>
        <w:rPr>
          <w:rFonts w:ascii="宋体" w:hAnsi="宋体"/>
          <w:color w:val="000000" w:themeColor="text1"/>
        </w:rPr>
      </w:pPr>
      <w:bookmarkStart w:id="51" w:name="_Hlk138060310"/>
      <w:r>
        <w:rPr>
          <w:rFonts w:ascii="宋体" w:hAnsi="宋体"/>
          <w:color w:val="000000" w:themeColor="text1"/>
        </w:rPr>
        <w:t>在报告期内为减少其碳排放所采取的措施及效果</w:t>
      </w:r>
    </w:p>
    <w:sdt>
      <w:sdtPr>
        <w:rPr>
          <w:color w:val="000000" w:themeColor="text1"/>
        </w:rPr>
        <w:alias w:val="是否适用：在报告期内为减少其碳排放所采取的措施及效果 [双击切换]"/>
        <w:tag w:val="_GBC_3f6f203e2a75413bbe27afcb7ca629ab"/>
        <w:id w:val="-185842254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51" w:displacedByCustomXml="next"/>
    <w:sdt>
      <w:sdtPr>
        <w:rPr>
          <w:bCs w:val="0"/>
          <w:color w:val="000000" w:themeColor="text1"/>
        </w:rPr>
        <w:alias w:val="在报告期内为减少其碳排放所采取的措施及效果 "/>
        <w:tag w:val="_GBC_8746e0ea6a004dee9126fc2c7e2176a8"/>
        <w:id w:val="-1921555720"/>
      </w:sdtPr>
      <w:sdtEndPr/>
      <w:sdtContent>
        <w:p w:rsidR="00597370" w:rsidRDefault="00597370">
          <w:pPr>
            <w:rPr>
              <w:color w:val="000000" w:themeColor="text1"/>
            </w:rPr>
          </w:pPr>
        </w:p>
        <w:tbl>
          <w:tblPr>
            <w:tblStyle w:val="g8"/>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0"/>
            <w:gridCol w:w="5200"/>
          </w:tblGrid>
          <w:tr w:rsidR="00597370">
            <w:trPr>
              <w:trHeight w:val="392"/>
            </w:trPr>
            <w:tc>
              <w:tcPr>
                <w:tcW w:w="3620" w:type="dxa"/>
                <w:tcBorders>
                  <w:top w:val="single" w:sz="4" w:space="0" w:color="auto"/>
                  <w:left w:val="single" w:sz="4" w:space="0" w:color="auto"/>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bCs w:val="0"/>
                    <w:sz w:val="24"/>
                    <w:szCs w:val="24"/>
                  </w:rPr>
                </w:pPr>
                <w:r>
                  <w:rPr>
                    <w:rFonts w:asciiTheme="minorEastAsia" w:eastAsiaTheme="minorEastAsia" w:hAnsiTheme="minorEastAsia" w:cs="Times New Roman" w:hint="eastAsia"/>
                  </w:rPr>
                  <w:t>是否采取</w:t>
                </w:r>
                <w:proofErr w:type="gramStart"/>
                <w:r>
                  <w:rPr>
                    <w:rFonts w:asciiTheme="minorEastAsia" w:eastAsiaTheme="minorEastAsia" w:hAnsiTheme="minorEastAsia" w:cs="Times New Roman" w:hint="eastAsia"/>
                  </w:rPr>
                  <w:t>减碳措施</w:t>
                </w:r>
                <w:proofErr w:type="gramEnd"/>
              </w:p>
            </w:tc>
            <w:tc>
              <w:tcPr>
                <w:tcW w:w="5200"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是</w:t>
                </w:r>
              </w:p>
            </w:tc>
          </w:tr>
          <w:tr w:rsidR="00597370">
            <w:tc>
              <w:tcPr>
                <w:tcW w:w="3620" w:type="dxa"/>
                <w:tcBorders>
                  <w:top w:val="single" w:sz="4" w:space="0" w:color="auto"/>
                  <w:left w:val="single" w:sz="4" w:space="0" w:color="auto"/>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减少排放二氧化碳当量（单位：吨）</w:t>
                </w:r>
              </w:p>
            </w:tc>
            <w:tc>
              <w:tcPr>
                <w:tcW w:w="5200"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rPr>
                  <w:t>2874</w:t>
                </w:r>
              </w:p>
            </w:tc>
          </w:tr>
          <w:tr w:rsidR="00597370">
            <w:tc>
              <w:tcPr>
                <w:tcW w:w="3620" w:type="dxa"/>
                <w:tcBorders>
                  <w:top w:val="single" w:sz="4" w:space="0" w:color="auto"/>
                  <w:left w:val="single" w:sz="4" w:space="0" w:color="auto"/>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减碳措施</w:t>
                </w:r>
                <w:proofErr w:type="gramEnd"/>
                <w:r>
                  <w:rPr>
                    <w:rFonts w:asciiTheme="minorEastAsia" w:eastAsiaTheme="minorEastAsia" w:hAnsiTheme="minorEastAsia" w:cs="Times New Roman" w:hint="eastAsia"/>
                  </w:rPr>
                  <w:t>类型（如使用清洁能源发电、在生产过程中</w:t>
                </w:r>
                <w:proofErr w:type="gramStart"/>
                <w:r>
                  <w:rPr>
                    <w:rFonts w:asciiTheme="minorEastAsia" w:eastAsiaTheme="minorEastAsia" w:hAnsiTheme="minorEastAsia" w:cs="Times New Roman" w:hint="eastAsia"/>
                  </w:rPr>
                  <w:t>使用减碳技术</w:t>
                </w:r>
                <w:proofErr w:type="gramEnd"/>
                <w:r>
                  <w:rPr>
                    <w:rFonts w:asciiTheme="minorEastAsia" w:eastAsiaTheme="minorEastAsia" w:hAnsiTheme="minorEastAsia" w:cs="Times New Roman" w:hint="eastAsia"/>
                  </w:rPr>
                  <w:t>、研发生产助</w:t>
                </w:r>
                <w:proofErr w:type="gramStart"/>
                <w:r>
                  <w:rPr>
                    <w:rFonts w:asciiTheme="minorEastAsia" w:eastAsiaTheme="minorEastAsia" w:hAnsiTheme="minorEastAsia" w:cs="Times New Roman" w:hint="eastAsia"/>
                  </w:rPr>
                  <w:t>于减碳</w:t>
                </w:r>
                <w:proofErr w:type="gramEnd"/>
                <w:r>
                  <w:rPr>
                    <w:rFonts w:asciiTheme="minorEastAsia" w:eastAsiaTheme="minorEastAsia" w:hAnsiTheme="minorEastAsia" w:cs="Times New Roman" w:hint="eastAsia"/>
                  </w:rPr>
                  <w:t>的新产品等）</w:t>
                </w:r>
              </w:p>
            </w:tc>
            <w:tc>
              <w:tcPr>
                <w:tcW w:w="5200"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自有工厂屋顶光伏发电</w:t>
                </w:r>
              </w:p>
            </w:tc>
          </w:tr>
        </w:tbl>
        <w:p w:rsidR="00597370" w:rsidRDefault="00597370">
          <w:pPr>
            <w:pStyle w:val="Style106"/>
          </w:pPr>
        </w:p>
        <w:p w:rsidR="00597370" w:rsidRDefault="003C2EEE">
          <w:pPr>
            <w:pStyle w:val="Style106"/>
          </w:pPr>
          <w:r>
            <w:rPr>
              <w:rFonts w:hint="eastAsia"/>
            </w:rPr>
            <w:t>具体说明</w:t>
          </w:r>
        </w:p>
        <w:p w:rsidR="00597370" w:rsidRDefault="003C2EEE">
          <w:pPr>
            <w:spacing w:line="360" w:lineRule="auto"/>
          </w:pPr>
          <w:r>
            <w:rPr>
              <w:rFonts w:hint="eastAsia"/>
            </w:rPr>
            <w:t>自有工厂屋顶光伏发电项目</w:t>
          </w:r>
        </w:p>
        <w:p w:rsidR="00597370" w:rsidRDefault="003C2EEE">
          <w:pPr>
            <w:pStyle w:val="Style106"/>
            <w:spacing w:line="360" w:lineRule="auto"/>
          </w:pPr>
          <w:r>
            <w:rPr>
              <w:rFonts w:hint="eastAsia"/>
            </w:rPr>
            <w:t>2024年光伏装机容量为9.4兆瓦，1-6月发电量为2883155千瓦时，节约标煤946吨，减少污染排放784吨碳粉尘、2874吨二氧化碳、86吨二氧化硫、43吨氮氧化物。</w:t>
          </w:r>
        </w:p>
      </w:sdtContent>
    </w:sdt>
    <w:p w:rsidR="00597370" w:rsidRDefault="003C2EEE">
      <w:pPr>
        <w:pStyle w:val="2"/>
        <w:numPr>
          <w:ilvl w:val="0"/>
          <w:numId w:val="16"/>
        </w:numPr>
        <w:tabs>
          <w:tab w:val="left" w:pos="426"/>
        </w:tabs>
        <w:ind w:left="450" w:firstLineChars="0" w:hanging="450"/>
        <w:jc w:val="left"/>
        <w:rPr>
          <w:rFonts w:ascii="宋体" w:hAnsi="宋体"/>
          <w:color w:val="000000" w:themeColor="text1"/>
        </w:rPr>
      </w:pPr>
      <w:bookmarkStart w:id="52" w:name="_Hlk138060542"/>
      <w:r>
        <w:rPr>
          <w:rFonts w:ascii="宋体" w:hAnsi="宋体" w:hint="eastAsia"/>
          <w:color w:val="000000" w:themeColor="text1"/>
        </w:rPr>
        <w:t>巩固拓展脱贫攻坚成果、乡村振兴等工作具体情况</w:t>
      </w:r>
    </w:p>
    <w:sdt>
      <w:sdtPr>
        <w:rPr>
          <w:color w:val="000000" w:themeColor="text1"/>
        </w:rPr>
        <w:alias w:val="是否适用：巩固拓展脱贫攻坚成果、乡村振兴工作具体情况[双击切换]"/>
        <w:tag w:val="_GBC_7f424183824c43c9809b2bbaefe89688"/>
        <w:id w:val="70938678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巩固拓展脱贫攻坚成果、乡村振兴工作具体情况"/>
        <w:tag w:val="_GBC_47fe8bcbd1294a14b7be74e9da037113"/>
        <w:id w:val="112880056"/>
        <w:placeholder>
          <w:docPart w:val="GBC22222222222222222222222222222"/>
        </w:placeholder>
      </w:sdtPr>
      <w:sdtEndPr/>
      <w:sdtContent>
        <w:p w:rsidR="00597370" w:rsidRDefault="00597370">
          <w:pPr>
            <w:rPr>
              <w:color w:val="000000" w:themeColor="text1"/>
            </w:rPr>
          </w:pPr>
        </w:p>
        <w:tbl>
          <w:tblPr>
            <w:tblStyle w:val="g8"/>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2210"/>
            <w:gridCol w:w="3602"/>
          </w:tblGrid>
          <w:tr w:rsidR="00597370">
            <w:tc>
              <w:tcPr>
                <w:tcW w:w="3008" w:type="dxa"/>
                <w:tcBorders>
                  <w:top w:val="single" w:sz="4" w:space="0" w:color="auto"/>
                  <w:left w:val="single" w:sz="4" w:space="0" w:color="auto"/>
                  <w:bottom w:val="single" w:sz="4" w:space="0" w:color="auto"/>
                  <w:right w:val="single" w:sz="4" w:space="0" w:color="auto"/>
                </w:tcBorders>
              </w:tcPr>
              <w:p w:rsidR="00597370" w:rsidRDefault="003C2EEE">
                <w:pPr>
                  <w:widowControl w:val="0"/>
                  <w:jc w:val="center"/>
                  <w:rPr>
                    <w:rFonts w:asciiTheme="minorEastAsia" w:eastAsiaTheme="minorEastAsia" w:hAnsiTheme="minorEastAsia" w:cs="Times New Roman"/>
                    <w:bCs w:val="0"/>
                    <w:sz w:val="24"/>
                    <w:szCs w:val="24"/>
                  </w:rPr>
                </w:pPr>
                <w:r>
                  <w:rPr>
                    <w:rFonts w:asciiTheme="minorEastAsia" w:eastAsiaTheme="minorEastAsia" w:hAnsiTheme="minorEastAsia" w:cs="Times New Roman" w:hint="eastAsia"/>
                  </w:rPr>
                  <w:lastRenderedPageBreak/>
                  <w:t>扶贫及乡村振兴项目</w:t>
                </w:r>
              </w:p>
            </w:tc>
            <w:tc>
              <w:tcPr>
                <w:tcW w:w="2210" w:type="dxa"/>
                <w:tcBorders>
                  <w:top w:val="single" w:sz="4" w:space="0" w:color="auto"/>
                  <w:left w:val="nil"/>
                  <w:bottom w:val="single" w:sz="4" w:space="0" w:color="auto"/>
                  <w:right w:val="single" w:sz="4" w:space="0" w:color="auto"/>
                </w:tcBorders>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数量</w:t>
                </w:r>
                <w:r>
                  <w:rPr>
                    <w:rFonts w:asciiTheme="minorEastAsia" w:eastAsiaTheme="minorEastAsia" w:hAnsiTheme="minorEastAsia" w:cs="Calibri"/>
                  </w:rPr>
                  <w:t>/</w:t>
                </w:r>
                <w:r>
                  <w:rPr>
                    <w:rFonts w:asciiTheme="minorEastAsia" w:eastAsiaTheme="minorEastAsia" w:hAnsiTheme="minorEastAsia" w:cs="Times New Roman" w:hint="eastAsia"/>
                  </w:rPr>
                  <w:t>内容</w:t>
                </w:r>
              </w:p>
            </w:tc>
            <w:tc>
              <w:tcPr>
                <w:tcW w:w="3602" w:type="dxa"/>
                <w:tcBorders>
                  <w:top w:val="single" w:sz="4" w:space="0" w:color="auto"/>
                  <w:left w:val="nil"/>
                  <w:bottom w:val="single" w:sz="4" w:space="0" w:color="auto"/>
                  <w:right w:val="single" w:sz="4" w:space="0" w:color="auto"/>
                </w:tcBorders>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情况说明</w:t>
                </w:r>
              </w:p>
            </w:tc>
          </w:tr>
          <w:tr w:rsidR="00597370">
            <w:tc>
              <w:tcPr>
                <w:tcW w:w="3008" w:type="dxa"/>
                <w:tcBorders>
                  <w:top w:val="single" w:sz="4" w:space="0" w:color="auto"/>
                  <w:left w:val="single" w:sz="4" w:space="0" w:color="auto"/>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总投入（万元）</w:t>
                </w:r>
              </w:p>
            </w:tc>
            <w:tc>
              <w:tcPr>
                <w:tcW w:w="2210"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heme="minorEastAsia"/>
                  </w:rPr>
                </w:pPr>
                <w:r>
                  <w:rPr>
                    <w:rFonts w:asciiTheme="minorEastAsia" w:eastAsiaTheme="minorEastAsia" w:hAnsiTheme="minorEastAsia" w:cstheme="minorEastAsia"/>
                  </w:rPr>
                  <w:t>2000</w:t>
                </w:r>
              </w:p>
            </w:tc>
            <w:tc>
              <w:tcPr>
                <w:tcW w:w="3602" w:type="dxa"/>
                <w:tcBorders>
                  <w:top w:val="single" w:sz="4" w:space="0" w:color="auto"/>
                  <w:left w:val="nil"/>
                  <w:bottom w:val="single" w:sz="4" w:space="0" w:color="auto"/>
                  <w:right w:val="single" w:sz="4" w:space="0" w:color="auto"/>
                </w:tcBorders>
                <w:vAlign w:val="center"/>
              </w:tcPr>
              <w:p w:rsidR="00597370" w:rsidRDefault="00597370">
                <w:pPr>
                  <w:ind w:right="420" w:firstLineChars="300" w:firstLine="630"/>
                  <w:jc w:val="center"/>
                  <w:rPr>
                    <w:rFonts w:asciiTheme="minorEastAsia" w:eastAsiaTheme="minorEastAsia" w:hAnsiTheme="minorEastAsia" w:cs="Times New Roman"/>
                  </w:rPr>
                </w:pPr>
              </w:p>
            </w:tc>
          </w:tr>
          <w:tr w:rsidR="00597370">
            <w:tc>
              <w:tcPr>
                <w:tcW w:w="3008" w:type="dxa"/>
                <w:tcBorders>
                  <w:top w:val="single" w:sz="4" w:space="0" w:color="auto"/>
                  <w:left w:val="single" w:sz="4" w:space="0" w:color="auto"/>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其中：资金（万元）</w:t>
                </w:r>
              </w:p>
            </w:tc>
            <w:tc>
              <w:tcPr>
                <w:tcW w:w="2210" w:type="dxa"/>
                <w:tcBorders>
                  <w:top w:val="single" w:sz="4" w:space="0" w:color="auto"/>
                  <w:left w:val="nil"/>
                  <w:bottom w:val="single" w:sz="4" w:space="0" w:color="auto"/>
                  <w:right w:val="single" w:sz="4" w:space="0" w:color="auto"/>
                </w:tcBorders>
                <w:vAlign w:val="center"/>
              </w:tcPr>
              <w:p w:rsidR="00597370" w:rsidRDefault="003C2EEE">
                <w:pPr>
                  <w:widowControl w:val="0"/>
                  <w:ind w:right="120"/>
                  <w:jc w:val="center"/>
                  <w:rPr>
                    <w:rFonts w:asciiTheme="minorEastAsia" w:eastAsiaTheme="minorEastAsia" w:hAnsiTheme="minorEastAsia" w:cstheme="minorEastAsia"/>
                  </w:rPr>
                </w:pPr>
                <w:r>
                  <w:rPr>
                    <w:rFonts w:asciiTheme="minorEastAsia" w:eastAsiaTheme="minorEastAsia" w:hAnsiTheme="minorEastAsia" w:cstheme="minorEastAsia"/>
                  </w:rPr>
                  <w:t>2000</w:t>
                </w:r>
              </w:p>
            </w:tc>
            <w:tc>
              <w:tcPr>
                <w:tcW w:w="3602" w:type="dxa"/>
                <w:tcBorders>
                  <w:top w:val="single" w:sz="4" w:space="0" w:color="auto"/>
                  <w:left w:val="nil"/>
                  <w:bottom w:val="single" w:sz="4" w:space="0" w:color="auto"/>
                  <w:right w:val="single" w:sz="4" w:space="0" w:color="auto"/>
                </w:tcBorders>
                <w:vAlign w:val="center"/>
              </w:tcPr>
              <w:p w:rsidR="00597370" w:rsidRDefault="00597370">
                <w:pPr>
                  <w:widowControl w:val="0"/>
                  <w:jc w:val="center"/>
                  <w:rPr>
                    <w:rFonts w:asciiTheme="minorEastAsia" w:eastAsiaTheme="minorEastAsia" w:hAnsiTheme="minorEastAsia" w:cs="Times New Roman"/>
                  </w:rPr>
                </w:pPr>
              </w:p>
            </w:tc>
          </w:tr>
          <w:tr w:rsidR="00597370">
            <w:tc>
              <w:tcPr>
                <w:tcW w:w="3008" w:type="dxa"/>
                <w:tcBorders>
                  <w:top w:val="single" w:sz="4" w:space="0" w:color="auto"/>
                  <w:left w:val="single" w:sz="4" w:space="0" w:color="auto"/>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物资折款（万元）</w:t>
                </w:r>
              </w:p>
            </w:tc>
            <w:tc>
              <w:tcPr>
                <w:tcW w:w="2210"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heme="minorEastAsia"/>
                  </w:rPr>
                </w:pPr>
                <w:r>
                  <w:rPr>
                    <w:rFonts w:asciiTheme="minorEastAsia" w:eastAsiaTheme="minorEastAsia" w:hAnsiTheme="minorEastAsia" w:cstheme="minorEastAsia"/>
                  </w:rPr>
                  <w:t>/</w:t>
                </w:r>
              </w:p>
            </w:tc>
            <w:tc>
              <w:tcPr>
                <w:tcW w:w="3602"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rPr>
                  <w:t>/</w:t>
                </w:r>
              </w:p>
            </w:tc>
          </w:tr>
          <w:tr w:rsidR="00597370">
            <w:tc>
              <w:tcPr>
                <w:tcW w:w="3008" w:type="dxa"/>
                <w:tcBorders>
                  <w:top w:val="single" w:sz="4" w:space="0" w:color="auto"/>
                  <w:left w:val="single" w:sz="4" w:space="0" w:color="auto"/>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hint="eastAsia"/>
                  </w:rPr>
                  <w:t>惠及人数（人）</w:t>
                </w:r>
              </w:p>
            </w:tc>
            <w:tc>
              <w:tcPr>
                <w:tcW w:w="2210"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heme="minorEastAsia"/>
                  </w:rPr>
                </w:pPr>
                <w:r>
                  <w:rPr>
                    <w:rFonts w:asciiTheme="minorEastAsia" w:eastAsiaTheme="minorEastAsia" w:hAnsiTheme="minorEastAsia" w:cstheme="minorEastAsia"/>
                  </w:rPr>
                  <w:t>/</w:t>
                </w:r>
              </w:p>
            </w:tc>
            <w:tc>
              <w:tcPr>
                <w:tcW w:w="3602"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rPr>
                  <w:t>/</w:t>
                </w:r>
              </w:p>
            </w:tc>
          </w:tr>
          <w:tr w:rsidR="00597370">
            <w:tc>
              <w:tcPr>
                <w:tcW w:w="3008" w:type="dxa"/>
                <w:tcBorders>
                  <w:top w:val="single" w:sz="4" w:space="0" w:color="auto"/>
                  <w:left w:val="single" w:sz="4" w:space="0" w:color="auto"/>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imes New Roman"/>
                  </w:rPr>
                </w:pPr>
                <w:r>
                  <w:rPr>
                    <w:rFonts w:asciiTheme="minorEastAsia" w:eastAsiaTheme="minorEastAsia" w:hAnsiTheme="minorEastAsia" w:cs="Times New Roman"/>
                  </w:rPr>
                  <w:t>帮扶形式（如产业扶贫、就业扶贫、教育扶贫等）</w:t>
                </w:r>
                <w:r>
                  <w:rPr>
                    <w:rFonts w:asciiTheme="minorEastAsia" w:eastAsiaTheme="minorEastAsia" w:hAnsiTheme="minorEastAsia" w:hint="eastAsia"/>
                  </w:rPr>
                  <w:t>（万元）</w:t>
                </w:r>
              </w:p>
            </w:tc>
            <w:tc>
              <w:tcPr>
                <w:tcW w:w="2210" w:type="dxa"/>
                <w:tcBorders>
                  <w:top w:val="single" w:sz="4" w:space="0" w:color="auto"/>
                  <w:left w:val="nil"/>
                  <w:bottom w:val="single" w:sz="4" w:space="0" w:color="auto"/>
                  <w:right w:val="single" w:sz="4" w:space="0" w:color="auto"/>
                </w:tcBorders>
                <w:vAlign w:val="center"/>
              </w:tcPr>
              <w:p w:rsidR="00597370" w:rsidRDefault="003C2EEE">
                <w:pPr>
                  <w:widowControl w:val="0"/>
                  <w:jc w:val="center"/>
                  <w:rPr>
                    <w:rFonts w:asciiTheme="minorEastAsia" w:eastAsiaTheme="minorEastAsia" w:hAnsiTheme="minorEastAsia" w:cstheme="minorEastAsia"/>
                  </w:rPr>
                </w:pPr>
                <w:r>
                  <w:rPr>
                    <w:rFonts w:asciiTheme="minorEastAsia" w:eastAsiaTheme="minorEastAsia" w:hAnsiTheme="minorEastAsia" w:cstheme="minorEastAsia"/>
                  </w:rPr>
                  <w:t>2000</w:t>
                </w:r>
              </w:p>
            </w:tc>
            <w:tc>
              <w:tcPr>
                <w:tcW w:w="3602" w:type="dxa"/>
                <w:tcBorders>
                  <w:top w:val="single" w:sz="4" w:space="0" w:color="auto"/>
                  <w:left w:val="nil"/>
                  <w:bottom w:val="single" w:sz="4" w:space="0" w:color="auto"/>
                  <w:right w:val="single" w:sz="4" w:space="0" w:color="auto"/>
                </w:tcBorders>
                <w:vAlign w:val="center"/>
              </w:tcPr>
              <w:p w:rsidR="00597370" w:rsidRDefault="003C2EEE">
                <w:pPr>
                  <w:widowControl w:val="0"/>
                  <w:ind w:right="420"/>
                  <w:jc w:val="center"/>
                  <w:rPr>
                    <w:rFonts w:asciiTheme="minorEastAsia" w:eastAsiaTheme="minorEastAsia" w:hAnsiTheme="minorEastAsia" w:cs="Times New Roman"/>
                  </w:rPr>
                </w:pPr>
                <w:r>
                  <w:rPr>
                    <w:rFonts w:asciiTheme="minorEastAsia" w:eastAsiaTheme="minorEastAsia" w:hAnsiTheme="minorEastAsia" w:cs="Times New Roman" w:hint="eastAsia"/>
                  </w:rPr>
                  <w:t>向华中师范大学教育发展基金会捐赠</w:t>
                </w:r>
              </w:p>
            </w:tc>
          </w:tr>
        </w:tbl>
        <w:p w:rsidR="00597370" w:rsidRDefault="006840ED">
          <w:pPr>
            <w:rPr>
              <w:color w:val="000000" w:themeColor="text1"/>
            </w:rPr>
          </w:pPr>
        </w:p>
      </w:sdtContent>
    </w:sdt>
    <w:p w:rsidR="00597370" w:rsidRDefault="00597370">
      <w:pPr>
        <w:rPr>
          <w:color w:val="000000" w:themeColor="text1"/>
        </w:rPr>
      </w:pPr>
    </w:p>
    <w:bookmarkEnd w:id="52"/>
    <w:p w:rsidR="00597370" w:rsidRDefault="00597370">
      <w:pPr>
        <w:rPr>
          <w:color w:val="000000" w:themeColor="text1"/>
        </w:rPr>
      </w:pPr>
    </w:p>
    <w:p w:rsidR="00597370" w:rsidRDefault="00597370">
      <w:pPr>
        <w:rPr>
          <w:color w:val="000000" w:themeColor="text1"/>
        </w:rPr>
      </w:pPr>
    </w:p>
    <w:p w:rsidR="00597370" w:rsidRDefault="00597370">
      <w:pPr>
        <w:rPr>
          <w:color w:val="000000" w:themeColor="text1"/>
        </w:rPr>
        <w:sectPr w:rsidR="00597370">
          <w:pgSz w:w="11906" w:h="16838"/>
          <w:pgMar w:top="1525" w:right="1276" w:bottom="1440" w:left="1797" w:header="851" w:footer="992" w:gutter="0"/>
          <w:cols w:space="425"/>
          <w:docGrid w:linePitch="312"/>
        </w:sectPr>
      </w:pPr>
    </w:p>
    <w:p w:rsidR="00597370" w:rsidRDefault="003C2EEE">
      <w:pPr>
        <w:pStyle w:val="1"/>
        <w:numPr>
          <w:ilvl w:val="0"/>
          <w:numId w:val="2"/>
        </w:numPr>
        <w:rPr>
          <w:rFonts w:ascii="黑体" w:hAnsi="黑体"/>
          <w:color w:val="000000" w:themeColor="text1"/>
        </w:rPr>
      </w:pPr>
      <w:bookmarkStart w:id="53" w:name="_Toc76114277"/>
      <w:bookmarkStart w:id="54" w:name="_Toc142578260"/>
      <w:r>
        <w:rPr>
          <w:rFonts w:ascii="黑体" w:hAnsi="黑体" w:hint="eastAsia"/>
          <w:color w:val="000000" w:themeColor="text1"/>
        </w:rPr>
        <w:lastRenderedPageBreak/>
        <w:t>重要事项</w:t>
      </w:r>
      <w:bookmarkEnd w:id="53"/>
      <w:bookmarkEnd w:id="54"/>
    </w:p>
    <w:p w:rsidR="00597370" w:rsidRDefault="00597370">
      <w:pPr>
        <w:rPr>
          <w:color w:val="000000" w:themeColor="text1"/>
        </w:rPr>
      </w:pPr>
    </w:p>
    <w:p w:rsidR="00597370" w:rsidRDefault="003C2EEE">
      <w:pPr>
        <w:pStyle w:val="2"/>
        <w:numPr>
          <w:ilvl w:val="0"/>
          <w:numId w:val="19"/>
        </w:numPr>
        <w:tabs>
          <w:tab w:val="left" w:pos="426"/>
        </w:tabs>
        <w:ind w:firstLineChars="0"/>
        <w:jc w:val="left"/>
        <w:rPr>
          <w:rFonts w:ascii="宋体" w:hAnsi="宋体"/>
          <w:color w:val="000000" w:themeColor="text1"/>
        </w:rPr>
      </w:pPr>
      <w:bookmarkStart w:id="55" w:name="_Toc342565988"/>
      <w:r>
        <w:rPr>
          <w:rFonts w:ascii="宋体" w:hAnsi="宋体" w:hint="eastAsia"/>
          <w:color w:val="000000" w:themeColor="text1"/>
        </w:rPr>
        <w:t>承诺事项履行情况</w:t>
      </w:r>
    </w:p>
    <w:p w:rsidR="00597370" w:rsidRDefault="003C2EEE">
      <w:pPr>
        <w:pStyle w:val="3"/>
        <w:numPr>
          <w:ilvl w:val="1"/>
          <w:numId w:val="20"/>
        </w:numPr>
        <w:rPr>
          <w:color w:val="000000" w:themeColor="text1"/>
          <w:szCs w:val="21"/>
        </w:rPr>
      </w:pPr>
      <w:bookmarkStart w:id="56" w:name="_Hlk167798036"/>
      <w:r>
        <w:rPr>
          <w:rFonts w:hint="eastAsia"/>
          <w:color w:val="000000" w:themeColor="text1"/>
          <w:szCs w:val="21"/>
        </w:rPr>
        <w:t>公司实际控制人、股东、关联方、收购人以及公司等承诺相关方在报告期内或持续到报告期内的承诺事项</w:t>
      </w:r>
    </w:p>
    <w:sdt>
      <w:sdtPr>
        <w:rPr>
          <w:color w:val="000000" w:themeColor="text1"/>
        </w:rPr>
        <w:alias w:val="是否适用：公司实际控制人、股东、关联方、收购人以及公司等承诺相关方在报告期内或持续到报告期内的承诺事项 [双击切换]"/>
        <w:tag w:val="_GBC_1b3cd268fdf44711b46a5537ed6234e6"/>
        <w:id w:val="5120812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218"/>
        <w:gridCol w:w="1253"/>
        <w:gridCol w:w="1306"/>
        <w:gridCol w:w="1339"/>
        <w:gridCol w:w="1339"/>
        <w:gridCol w:w="1314"/>
        <w:gridCol w:w="1314"/>
        <w:gridCol w:w="1519"/>
        <w:gridCol w:w="1214"/>
      </w:tblGrid>
      <w:tr w:rsidR="00597370">
        <w:sdt>
          <w:sdtPr>
            <w:rPr>
              <w:color w:val="000000" w:themeColor="text1"/>
            </w:rPr>
            <w:tag w:val="_PLD_2f48c631d4f145bb89e0b412b579c044"/>
            <w:id w:val="-937061089"/>
          </w:sdtPr>
          <w:sdtEndPr/>
          <w:sdtContent>
            <w:tc>
              <w:tcPr>
                <w:tcW w:w="738" w:type="pct"/>
                <w:shd w:val="clear" w:color="auto" w:fill="auto"/>
                <w:vAlign w:val="center"/>
              </w:tcPr>
              <w:p w:rsidR="00597370" w:rsidRDefault="003C2EEE">
                <w:pPr>
                  <w:jc w:val="center"/>
                  <w:rPr>
                    <w:color w:val="000000" w:themeColor="text1"/>
                  </w:rPr>
                </w:pPr>
                <w:r>
                  <w:rPr>
                    <w:rFonts w:hint="eastAsia"/>
                    <w:color w:val="000000" w:themeColor="text1"/>
                  </w:rPr>
                  <w:t>承诺背景</w:t>
                </w:r>
              </w:p>
            </w:tc>
          </w:sdtContent>
        </w:sdt>
        <w:sdt>
          <w:sdtPr>
            <w:rPr>
              <w:color w:val="000000" w:themeColor="text1"/>
            </w:rPr>
            <w:tag w:val="_PLD_9a17726fa949480a8fa734c2daa367c5"/>
            <w:id w:val="475651370"/>
          </w:sdtPr>
          <w:sdtEndPr/>
          <w:sdtContent>
            <w:tc>
              <w:tcPr>
                <w:tcW w:w="439" w:type="pct"/>
                <w:shd w:val="clear" w:color="auto" w:fill="auto"/>
                <w:vAlign w:val="center"/>
              </w:tcPr>
              <w:p w:rsidR="00597370" w:rsidRDefault="003C2EEE">
                <w:pPr>
                  <w:jc w:val="center"/>
                  <w:rPr>
                    <w:color w:val="000000" w:themeColor="text1"/>
                  </w:rPr>
                </w:pPr>
                <w:r>
                  <w:rPr>
                    <w:rFonts w:hint="eastAsia"/>
                    <w:color w:val="000000" w:themeColor="text1"/>
                  </w:rPr>
                  <w:t>承诺</w:t>
                </w:r>
              </w:p>
              <w:p w:rsidR="00597370" w:rsidRDefault="003C2EEE">
                <w:pPr>
                  <w:jc w:val="center"/>
                  <w:rPr>
                    <w:color w:val="000000" w:themeColor="text1"/>
                  </w:rPr>
                </w:pPr>
                <w:r>
                  <w:rPr>
                    <w:rFonts w:hint="eastAsia"/>
                    <w:color w:val="000000" w:themeColor="text1"/>
                  </w:rPr>
                  <w:t>类型</w:t>
                </w:r>
              </w:p>
            </w:tc>
          </w:sdtContent>
        </w:sdt>
        <w:sdt>
          <w:sdtPr>
            <w:rPr>
              <w:color w:val="000000" w:themeColor="text1"/>
            </w:rPr>
            <w:tag w:val="_PLD_dd4d33263e224736aca1317e23b8393b"/>
            <w:id w:val="-16081253"/>
          </w:sdtPr>
          <w:sdtEndPr/>
          <w:sdtContent>
            <w:tc>
              <w:tcPr>
                <w:tcW w:w="452" w:type="pct"/>
                <w:shd w:val="clear" w:color="auto" w:fill="auto"/>
                <w:vAlign w:val="center"/>
              </w:tcPr>
              <w:p w:rsidR="00597370" w:rsidRDefault="003C2EEE">
                <w:pPr>
                  <w:jc w:val="center"/>
                  <w:rPr>
                    <w:color w:val="000000" w:themeColor="text1"/>
                  </w:rPr>
                </w:pPr>
                <w:r>
                  <w:rPr>
                    <w:rFonts w:hint="eastAsia"/>
                    <w:color w:val="000000" w:themeColor="text1"/>
                  </w:rPr>
                  <w:t>承诺方</w:t>
                </w:r>
              </w:p>
            </w:tc>
          </w:sdtContent>
        </w:sdt>
        <w:sdt>
          <w:sdtPr>
            <w:rPr>
              <w:color w:val="000000" w:themeColor="text1"/>
            </w:rPr>
            <w:tag w:val="_PLD_2827daa4881746e8af82dd1a4a5cdfc9"/>
            <w:id w:val="-16084214"/>
          </w:sdtPr>
          <w:sdtEndPr/>
          <w:sdtContent>
            <w:tc>
              <w:tcPr>
                <w:tcW w:w="471" w:type="pct"/>
                <w:shd w:val="clear" w:color="auto" w:fill="auto"/>
                <w:vAlign w:val="center"/>
              </w:tcPr>
              <w:p w:rsidR="00597370" w:rsidRDefault="003C2EEE">
                <w:pPr>
                  <w:jc w:val="center"/>
                  <w:rPr>
                    <w:color w:val="000000" w:themeColor="text1"/>
                  </w:rPr>
                </w:pPr>
                <w:r>
                  <w:rPr>
                    <w:rFonts w:hint="eastAsia"/>
                    <w:color w:val="000000" w:themeColor="text1"/>
                  </w:rPr>
                  <w:t>承诺</w:t>
                </w:r>
              </w:p>
              <w:p w:rsidR="00597370" w:rsidRDefault="003C2EEE">
                <w:pPr>
                  <w:jc w:val="center"/>
                  <w:rPr>
                    <w:color w:val="000000" w:themeColor="text1"/>
                  </w:rPr>
                </w:pPr>
                <w:r>
                  <w:rPr>
                    <w:rFonts w:hint="eastAsia"/>
                    <w:color w:val="000000" w:themeColor="text1"/>
                  </w:rPr>
                  <w:t>内容</w:t>
                </w:r>
              </w:p>
            </w:tc>
          </w:sdtContent>
        </w:sdt>
        <w:sdt>
          <w:sdtPr>
            <w:rPr>
              <w:rFonts w:hint="eastAsia"/>
              <w:color w:val="000000" w:themeColor="text1"/>
            </w:rPr>
            <w:tag w:val="_PLD_0faf19b77a3a4c9f9dfef5d67a6c073e"/>
            <w:id w:val="1463619010"/>
          </w:sdtPr>
          <w:sdtEndPr/>
          <w:sdtContent>
            <w:tc>
              <w:tcPr>
                <w:tcW w:w="483" w:type="pct"/>
                <w:vAlign w:val="center"/>
              </w:tcPr>
              <w:p w:rsidR="00597370" w:rsidRDefault="003C2EEE">
                <w:pPr>
                  <w:jc w:val="center"/>
                  <w:rPr>
                    <w:color w:val="000000" w:themeColor="text1"/>
                  </w:rPr>
                </w:pPr>
                <w:r>
                  <w:rPr>
                    <w:rFonts w:hint="eastAsia"/>
                    <w:color w:val="000000" w:themeColor="text1"/>
                  </w:rPr>
                  <w:t>承诺时间</w:t>
                </w:r>
              </w:p>
            </w:tc>
          </w:sdtContent>
        </w:sdt>
        <w:sdt>
          <w:sdtPr>
            <w:rPr>
              <w:color w:val="000000" w:themeColor="text1"/>
            </w:rPr>
            <w:tag w:val="_PLD_5712764119844cacbd807a7b3cc06229"/>
            <w:id w:val="600380560"/>
          </w:sdtPr>
          <w:sdtEndPr/>
          <w:sdtContent>
            <w:tc>
              <w:tcPr>
                <w:tcW w:w="483" w:type="pct"/>
                <w:shd w:val="clear" w:color="auto" w:fill="auto"/>
                <w:vAlign w:val="center"/>
              </w:tcPr>
              <w:p w:rsidR="00597370" w:rsidRDefault="003C2EEE">
                <w:pPr>
                  <w:jc w:val="center"/>
                  <w:rPr>
                    <w:color w:val="000000" w:themeColor="text1"/>
                  </w:rPr>
                </w:pPr>
                <w:r>
                  <w:rPr>
                    <w:rFonts w:hint="eastAsia"/>
                    <w:color w:val="000000" w:themeColor="text1"/>
                  </w:rPr>
                  <w:t>是否有履行期限</w:t>
                </w:r>
              </w:p>
            </w:tc>
          </w:sdtContent>
        </w:sdt>
        <w:sdt>
          <w:sdtPr>
            <w:rPr>
              <w:rFonts w:hint="eastAsia"/>
              <w:color w:val="000000" w:themeColor="text1"/>
            </w:rPr>
            <w:tag w:val="_PLD_086966425efd4cf5aa843a606f19d41f"/>
            <w:id w:val="759873854"/>
          </w:sdtPr>
          <w:sdtEndPr/>
          <w:sdtContent>
            <w:tc>
              <w:tcPr>
                <w:tcW w:w="474" w:type="pct"/>
                <w:vAlign w:val="center"/>
              </w:tcPr>
              <w:p w:rsidR="00597370" w:rsidRDefault="003C2EEE">
                <w:pPr>
                  <w:jc w:val="center"/>
                  <w:rPr>
                    <w:color w:val="000000" w:themeColor="text1"/>
                  </w:rPr>
                </w:pPr>
                <w:r>
                  <w:rPr>
                    <w:rFonts w:hint="eastAsia"/>
                    <w:color w:val="000000" w:themeColor="text1"/>
                  </w:rPr>
                  <w:t>承诺期限</w:t>
                </w:r>
              </w:p>
            </w:tc>
          </w:sdtContent>
        </w:sdt>
        <w:sdt>
          <w:sdtPr>
            <w:rPr>
              <w:color w:val="000000" w:themeColor="text1"/>
            </w:rPr>
            <w:tag w:val="_PLD_c57f62b5ce044c04a606e760d1fb2925"/>
            <w:id w:val="-535658028"/>
          </w:sdtPr>
          <w:sdtEndPr/>
          <w:sdtContent>
            <w:tc>
              <w:tcPr>
                <w:tcW w:w="474" w:type="pct"/>
                <w:shd w:val="clear" w:color="auto" w:fill="auto"/>
                <w:vAlign w:val="center"/>
              </w:tcPr>
              <w:p w:rsidR="00597370" w:rsidRDefault="003C2EEE">
                <w:pPr>
                  <w:jc w:val="center"/>
                  <w:rPr>
                    <w:color w:val="000000" w:themeColor="text1"/>
                  </w:rPr>
                </w:pPr>
                <w:r>
                  <w:rPr>
                    <w:rFonts w:hint="eastAsia"/>
                    <w:color w:val="000000" w:themeColor="text1"/>
                  </w:rPr>
                  <w:t>是否及时严格履行</w:t>
                </w:r>
              </w:p>
            </w:tc>
          </w:sdtContent>
        </w:sdt>
        <w:sdt>
          <w:sdtPr>
            <w:rPr>
              <w:color w:val="000000" w:themeColor="text1"/>
            </w:rPr>
            <w:tag w:val="_PLD_aa8ea8bcfcba4d8d9cf09df53934a60e"/>
            <w:id w:val="-43367469"/>
          </w:sdtPr>
          <w:sdtEndPr/>
          <w:sdtContent>
            <w:tc>
              <w:tcPr>
                <w:tcW w:w="548" w:type="pct"/>
                <w:shd w:val="clear" w:color="auto" w:fill="auto"/>
                <w:vAlign w:val="center"/>
              </w:tcPr>
              <w:p w:rsidR="00597370" w:rsidRDefault="003C2EEE">
                <w:pPr>
                  <w:jc w:val="center"/>
                  <w:rPr>
                    <w:color w:val="000000" w:themeColor="text1"/>
                  </w:rPr>
                </w:pPr>
                <w:r>
                  <w:rPr>
                    <w:rFonts w:hint="eastAsia"/>
                    <w:color w:val="000000" w:themeColor="text1"/>
                  </w:rPr>
                  <w:t>如未能及时履行应说明未完</w:t>
                </w:r>
                <w:proofErr w:type="gramStart"/>
                <w:r>
                  <w:rPr>
                    <w:rFonts w:hint="eastAsia"/>
                    <w:color w:val="000000" w:themeColor="text1"/>
                  </w:rPr>
                  <w:t>成履行</w:t>
                </w:r>
                <w:proofErr w:type="gramEnd"/>
                <w:r>
                  <w:rPr>
                    <w:rFonts w:hint="eastAsia"/>
                    <w:color w:val="000000" w:themeColor="text1"/>
                  </w:rPr>
                  <w:t>的具体原因</w:t>
                </w:r>
              </w:p>
            </w:tc>
          </w:sdtContent>
        </w:sdt>
        <w:sdt>
          <w:sdtPr>
            <w:rPr>
              <w:color w:val="000000" w:themeColor="text1"/>
            </w:rPr>
            <w:tag w:val="_PLD_10e867610a5447f294ff667276bb94e5"/>
            <w:id w:val="1019431154"/>
          </w:sdtPr>
          <w:sdtEndPr/>
          <w:sdtContent>
            <w:tc>
              <w:tcPr>
                <w:tcW w:w="438" w:type="pct"/>
                <w:shd w:val="clear" w:color="auto" w:fill="auto"/>
                <w:vAlign w:val="center"/>
              </w:tcPr>
              <w:p w:rsidR="00597370" w:rsidRDefault="003C2EEE">
                <w:pPr>
                  <w:jc w:val="center"/>
                  <w:rPr>
                    <w:color w:val="000000" w:themeColor="text1"/>
                  </w:rPr>
                </w:pPr>
                <w:r>
                  <w:rPr>
                    <w:rFonts w:hint="eastAsia"/>
                    <w:color w:val="000000" w:themeColor="text1"/>
                  </w:rPr>
                  <w:t>如未能及时履行应说明下一步计划</w:t>
                </w:r>
              </w:p>
            </w:tc>
          </w:sdtContent>
        </w:sdt>
      </w:tr>
      <w:tr w:rsidR="00597370">
        <w:tc>
          <w:tcPr>
            <w:tcW w:w="738" w:type="pct"/>
            <w:vMerge w:val="restart"/>
            <w:shd w:val="clear" w:color="auto" w:fill="auto"/>
            <w:vAlign w:val="center"/>
          </w:tcPr>
          <w:p w:rsidR="00597370" w:rsidRDefault="003C2EEE">
            <w:pPr>
              <w:rPr>
                <w:color w:val="000000" w:themeColor="text1"/>
              </w:rPr>
            </w:pPr>
            <w:r>
              <w:rPr>
                <w:rFonts w:hint="eastAsia"/>
                <w:color w:val="000000" w:themeColor="text1"/>
              </w:rPr>
              <w:t>与首次公开发行相关的承诺</w:t>
            </w:r>
          </w:p>
        </w:tc>
        <w:sdt>
          <w:sdtPr>
            <w:rPr>
              <w:color w:val="000000" w:themeColor="text1"/>
            </w:rPr>
            <w:alias w:val="与首次公开发行相关的承诺-承诺类型"/>
            <w:tag w:val="_GBC_4a04fadf983945b88caa62b18cad19bb"/>
            <w:id w:val="-118289798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39" w:type="pct"/>
                <w:shd w:val="clear" w:color="auto" w:fill="auto"/>
              </w:tcPr>
              <w:p w:rsidR="00597370" w:rsidRDefault="003C2EEE">
                <w:pPr>
                  <w:rPr>
                    <w:color w:val="000000" w:themeColor="text1"/>
                  </w:rPr>
                </w:pPr>
                <w:r>
                  <w:rPr>
                    <w:color w:val="000000" w:themeColor="text1"/>
                  </w:rPr>
                  <w:t>股份限售</w:t>
                </w:r>
              </w:p>
            </w:tc>
          </w:sdtContent>
        </w:sdt>
        <w:tc>
          <w:tcPr>
            <w:tcW w:w="452" w:type="pct"/>
            <w:shd w:val="clear" w:color="auto" w:fill="auto"/>
          </w:tcPr>
          <w:p w:rsidR="00597370" w:rsidRDefault="003C2EEE">
            <w:pPr>
              <w:pStyle w:val="Style106"/>
            </w:pPr>
            <w:r>
              <w:rPr>
                <w:rFonts w:hint="eastAsia"/>
              </w:rPr>
              <w:t>公司上市前全体股东</w:t>
            </w:r>
          </w:p>
        </w:tc>
        <w:tc>
          <w:tcPr>
            <w:tcW w:w="471" w:type="pct"/>
            <w:shd w:val="clear" w:color="auto" w:fill="auto"/>
          </w:tcPr>
          <w:p w:rsidR="00597370" w:rsidRDefault="003C2EEE">
            <w:pPr>
              <w:pStyle w:val="Style106"/>
            </w:pPr>
            <w:r>
              <w:t>股份锁定的承诺，具体详见注1</w:t>
            </w:r>
          </w:p>
        </w:tc>
        <w:tc>
          <w:tcPr>
            <w:tcW w:w="483" w:type="pct"/>
          </w:tcPr>
          <w:p w:rsidR="00597370" w:rsidRDefault="003C2EEE">
            <w:pPr>
              <w:pStyle w:val="Style106"/>
            </w:pPr>
            <w:r>
              <w:t>注1</w:t>
            </w:r>
          </w:p>
        </w:tc>
        <w:sdt>
          <w:sdtPr>
            <w:rPr>
              <w:color w:val="000000" w:themeColor="text1"/>
            </w:rPr>
            <w:alias w:val="与首次公开发行相关的承诺-是否有履行期限"/>
            <w:tag w:val="_GBC_865043f20c414da39c8d8a70e9c5c4e4"/>
            <w:id w:val="866102809"/>
            <w:comboBox>
              <w:listItem w:displayText="是" w:value="true"/>
              <w:listItem w:displayText="否" w:value="false"/>
            </w:comboBox>
          </w:sdtPr>
          <w:sdtEndPr/>
          <w:sdtContent>
            <w:tc>
              <w:tcPr>
                <w:tcW w:w="483" w:type="pct"/>
                <w:shd w:val="clear" w:color="auto" w:fill="auto"/>
              </w:tcPr>
              <w:p w:rsidR="00597370" w:rsidRDefault="003C2EEE">
                <w:pPr>
                  <w:rPr>
                    <w:color w:val="000000" w:themeColor="text1"/>
                  </w:rPr>
                </w:pPr>
                <w:r>
                  <w:rPr>
                    <w:color w:val="000000" w:themeColor="text1"/>
                  </w:rPr>
                  <w:t>是</w:t>
                </w:r>
              </w:p>
            </w:tc>
          </w:sdtContent>
        </w:sdt>
        <w:tc>
          <w:tcPr>
            <w:tcW w:w="474" w:type="pct"/>
          </w:tcPr>
          <w:p w:rsidR="00597370" w:rsidRDefault="003C2EEE">
            <w:pPr>
              <w:pStyle w:val="Style106"/>
            </w:pPr>
            <w:r>
              <w:rPr>
                <w:rFonts w:hint="eastAsia"/>
              </w:rPr>
              <w:t>注</w:t>
            </w:r>
            <w:r>
              <w:t>1</w:t>
            </w:r>
          </w:p>
        </w:tc>
        <w:sdt>
          <w:sdtPr>
            <w:rPr>
              <w:color w:val="000000" w:themeColor="text1"/>
            </w:rPr>
            <w:alias w:val="与首次公开发行相关的承诺-是否及时严格履行"/>
            <w:tag w:val="_GBC_f0146b2209ec4419a3ed5f0295ed2e2e"/>
            <w:id w:val="1262184143"/>
            <w:comboBox>
              <w:listItem w:displayText="是" w:value="true"/>
              <w:listItem w:displayText="否" w:value="false"/>
            </w:comboBox>
          </w:sdtPr>
          <w:sdtEndPr/>
          <w:sdtContent>
            <w:tc>
              <w:tcPr>
                <w:tcW w:w="474" w:type="pct"/>
                <w:shd w:val="clear" w:color="auto" w:fill="auto"/>
              </w:tcPr>
              <w:p w:rsidR="00597370" w:rsidRDefault="003C2EEE">
                <w:pPr>
                  <w:rPr>
                    <w:color w:val="000000" w:themeColor="text1"/>
                  </w:rPr>
                </w:pPr>
                <w:r>
                  <w:rPr>
                    <w:color w:val="000000" w:themeColor="text1"/>
                  </w:rPr>
                  <w:t>是</w:t>
                </w:r>
              </w:p>
            </w:tc>
          </w:sdtContent>
        </w:sdt>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r w:rsidR="00597370">
        <w:tc>
          <w:tcPr>
            <w:tcW w:w="738" w:type="pct"/>
            <w:vMerge/>
            <w:shd w:val="clear" w:color="auto" w:fill="auto"/>
            <w:vAlign w:val="center"/>
          </w:tcPr>
          <w:p w:rsidR="00597370" w:rsidRDefault="00597370">
            <w:pPr>
              <w:rPr>
                <w:color w:val="000000" w:themeColor="text1"/>
              </w:rPr>
            </w:pPr>
          </w:p>
        </w:tc>
        <w:tc>
          <w:tcPr>
            <w:tcW w:w="439" w:type="pct"/>
            <w:shd w:val="clear" w:color="auto" w:fill="auto"/>
          </w:tcPr>
          <w:p w:rsidR="00597370" w:rsidRDefault="003C2EEE">
            <w:pPr>
              <w:rPr>
                <w:color w:val="000000" w:themeColor="text1"/>
              </w:rPr>
            </w:pPr>
            <w:r>
              <w:rPr>
                <w:rFonts w:hint="eastAsia"/>
                <w:color w:val="000000" w:themeColor="text1"/>
              </w:rPr>
              <w:t>其他</w:t>
            </w:r>
          </w:p>
        </w:tc>
        <w:tc>
          <w:tcPr>
            <w:tcW w:w="452" w:type="pct"/>
            <w:shd w:val="clear" w:color="auto" w:fill="auto"/>
          </w:tcPr>
          <w:p w:rsidR="00597370" w:rsidRDefault="003C2EEE">
            <w:pPr>
              <w:pStyle w:val="Style106"/>
            </w:pPr>
            <w:r>
              <w:rPr>
                <w:rFonts w:hint="eastAsia"/>
              </w:rPr>
              <w:t>杨泽民、秦惠兰、杨耀、杨秦、杨厚群、皮天彬、秦勇、隆志钢、杨小林和平潭普思广和一号股权投资合伙企业（有限合伙）</w:t>
            </w:r>
          </w:p>
        </w:tc>
        <w:tc>
          <w:tcPr>
            <w:tcW w:w="471" w:type="pct"/>
            <w:shd w:val="clear" w:color="auto" w:fill="auto"/>
          </w:tcPr>
          <w:p w:rsidR="00597370" w:rsidRDefault="003C2EEE">
            <w:pPr>
              <w:pStyle w:val="Style106"/>
            </w:pPr>
            <w:r>
              <w:t>5%以上股东的减持意向承诺，详见注2</w:t>
            </w:r>
          </w:p>
        </w:tc>
        <w:tc>
          <w:tcPr>
            <w:tcW w:w="483" w:type="pct"/>
          </w:tcPr>
          <w:p w:rsidR="00597370" w:rsidRDefault="003C2EEE">
            <w:pPr>
              <w:pStyle w:val="Style106"/>
            </w:pPr>
            <w:r>
              <w:t>注2</w:t>
            </w:r>
          </w:p>
        </w:tc>
        <w:tc>
          <w:tcPr>
            <w:tcW w:w="483" w:type="pct"/>
            <w:shd w:val="clear" w:color="auto" w:fill="auto"/>
          </w:tcPr>
          <w:p w:rsidR="00597370" w:rsidRDefault="003C2EEE">
            <w:pPr>
              <w:rPr>
                <w:color w:val="000000" w:themeColor="text1"/>
              </w:rPr>
            </w:pPr>
            <w:r>
              <w:rPr>
                <w:rFonts w:hint="eastAsia"/>
                <w:color w:val="000000" w:themeColor="text1"/>
              </w:rPr>
              <w:t>是</w:t>
            </w:r>
          </w:p>
        </w:tc>
        <w:tc>
          <w:tcPr>
            <w:tcW w:w="474" w:type="pct"/>
          </w:tcPr>
          <w:p w:rsidR="00597370" w:rsidRDefault="003C2EEE">
            <w:pPr>
              <w:pStyle w:val="Style106"/>
            </w:pPr>
            <w:r>
              <w:rPr>
                <w:rFonts w:hint="eastAsia"/>
              </w:rPr>
              <w:t>注</w:t>
            </w:r>
            <w:r>
              <w:t>2</w:t>
            </w:r>
          </w:p>
        </w:tc>
        <w:tc>
          <w:tcPr>
            <w:tcW w:w="474" w:type="pct"/>
            <w:shd w:val="clear" w:color="auto" w:fill="auto"/>
          </w:tcPr>
          <w:p w:rsidR="00597370" w:rsidRDefault="003C2EEE">
            <w:pPr>
              <w:rPr>
                <w:color w:val="000000" w:themeColor="text1"/>
              </w:rPr>
            </w:pPr>
            <w:r>
              <w:rPr>
                <w:rFonts w:hint="eastAsia"/>
                <w:color w:val="000000" w:themeColor="text1"/>
              </w:rPr>
              <w:t>是</w:t>
            </w:r>
          </w:p>
        </w:tc>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r w:rsidR="00597370">
        <w:tc>
          <w:tcPr>
            <w:tcW w:w="738" w:type="pct"/>
            <w:vMerge/>
            <w:shd w:val="clear" w:color="auto" w:fill="auto"/>
            <w:vAlign w:val="center"/>
          </w:tcPr>
          <w:p w:rsidR="00597370" w:rsidRDefault="00597370">
            <w:pPr>
              <w:rPr>
                <w:color w:val="000000" w:themeColor="text1"/>
              </w:rPr>
            </w:pPr>
          </w:p>
        </w:tc>
        <w:tc>
          <w:tcPr>
            <w:tcW w:w="439" w:type="pct"/>
            <w:shd w:val="clear" w:color="auto" w:fill="auto"/>
          </w:tcPr>
          <w:p w:rsidR="00597370" w:rsidRDefault="003C2EEE">
            <w:pPr>
              <w:rPr>
                <w:color w:val="000000" w:themeColor="text1"/>
              </w:rPr>
            </w:pPr>
            <w:r>
              <w:rPr>
                <w:rFonts w:hint="eastAsia"/>
                <w:color w:val="000000" w:themeColor="text1"/>
              </w:rPr>
              <w:t>其他</w:t>
            </w:r>
          </w:p>
        </w:tc>
        <w:tc>
          <w:tcPr>
            <w:tcW w:w="452" w:type="pct"/>
            <w:shd w:val="clear" w:color="auto" w:fill="auto"/>
          </w:tcPr>
          <w:p w:rsidR="00597370" w:rsidRDefault="003C2EEE">
            <w:pPr>
              <w:pStyle w:val="Style106"/>
            </w:pPr>
            <w:r>
              <w:rPr>
                <w:rFonts w:hint="eastAsia"/>
              </w:rPr>
              <w:t>公司、杨泽民、秦惠兰、杨</w:t>
            </w:r>
            <w:r>
              <w:rPr>
                <w:rFonts w:hint="eastAsia"/>
              </w:rPr>
              <w:lastRenderedPageBreak/>
              <w:t>耀、杨秦、董事、高级管理人员</w:t>
            </w:r>
          </w:p>
        </w:tc>
        <w:tc>
          <w:tcPr>
            <w:tcW w:w="471" w:type="pct"/>
            <w:shd w:val="clear" w:color="auto" w:fill="auto"/>
          </w:tcPr>
          <w:p w:rsidR="00597370" w:rsidRDefault="003C2EEE">
            <w:pPr>
              <w:pStyle w:val="Style106"/>
            </w:pPr>
            <w:r>
              <w:lastRenderedPageBreak/>
              <w:t>摊薄即期回报采取填补措施的承</w:t>
            </w:r>
            <w:r>
              <w:lastRenderedPageBreak/>
              <w:t>诺，详见注3</w:t>
            </w:r>
          </w:p>
        </w:tc>
        <w:tc>
          <w:tcPr>
            <w:tcW w:w="483" w:type="pct"/>
          </w:tcPr>
          <w:p w:rsidR="00597370" w:rsidRDefault="003C2EEE">
            <w:pPr>
              <w:pStyle w:val="Style106"/>
            </w:pPr>
            <w:r>
              <w:lastRenderedPageBreak/>
              <w:t>注3</w:t>
            </w:r>
          </w:p>
        </w:tc>
        <w:tc>
          <w:tcPr>
            <w:tcW w:w="483" w:type="pct"/>
            <w:shd w:val="clear" w:color="auto" w:fill="auto"/>
          </w:tcPr>
          <w:p w:rsidR="00597370" w:rsidRDefault="003C2EEE">
            <w:pPr>
              <w:rPr>
                <w:color w:val="000000" w:themeColor="text1"/>
              </w:rPr>
            </w:pPr>
            <w:r>
              <w:rPr>
                <w:rFonts w:hint="eastAsia"/>
                <w:color w:val="000000" w:themeColor="text1"/>
              </w:rPr>
              <w:t>否</w:t>
            </w:r>
          </w:p>
        </w:tc>
        <w:tc>
          <w:tcPr>
            <w:tcW w:w="474" w:type="pct"/>
          </w:tcPr>
          <w:p w:rsidR="00597370" w:rsidRDefault="003C2EEE">
            <w:pPr>
              <w:pStyle w:val="Style106"/>
            </w:pPr>
            <w:r>
              <w:rPr>
                <w:rFonts w:hint="eastAsia"/>
              </w:rPr>
              <w:t>注</w:t>
            </w:r>
            <w:r>
              <w:t>3</w:t>
            </w:r>
          </w:p>
        </w:tc>
        <w:tc>
          <w:tcPr>
            <w:tcW w:w="474" w:type="pct"/>
            <w:shd w:val="clear" w:color="auto" w:fill="auto"/>
          </w:tcPr>
          <w:p w:rsidR="00597370" w:rsidRDefault="003C2EEE">
            <w:pPr>
              <w:rPr>
                <w:color w:val="000000" w:themeColor="text1"/>
              </w:rPr>
            </w:pPr>
            <w:r>
              <w:rPr>
                <w:rFonts w:hint="eastAsia"/>
                <w:color w:val="000000" w:themeColor="text1"/>
              </w:rPr>
              <w:t>是</w:t>
            </w:r>
          </w:p>
        </w:tc>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r w:rsidR="00597370">
        <w:tc>
          <w:tcPr>
            <w:tcW w:w="738" w:type="pct"/>
            <w:vMerge/>
            <w:shd w:val="clear" w:color="auto" w:fill="auto"/>
            <w:vAlign w:val="center"/>
          </w:tcPr>
          <w:p w:rsidR="00597370" w:rsidRDefault="00597370">
            <w:pPr>
              <w:rPr>
                <w:color w:val="000000" w:themeColor="text1"/>
              </w:rPr>
            </w:pPr>
          </w:p>
        </w:tc>
        <w:tc>
          <w:tcPr>
            <w:tcW w:w="439" w:type="pct"/>
            <w:shd w:val="clear" w:color="auto" w:fill="auto"/>
          </w:tcPr>
          <w:p w:rsidR="00597370" w:rsidRDefault="003C2EEE">
            <w:pPr>
              <w:rPr>
                <w:color w:val="000000" w:themeColor="text1"/>
              </w:rPr>
            </w:pPr>
            <w:r>
              <w:rPr>
                <w:rFonts w:hint="eastAsia"/>
                <w:color w:val="000000" w:themeColor="text1"/>
              </w:rPr>
              <w:t>其他</w:t>
            </w:r>
          </w:p>
        </w:tc>
        <w:tc>
          <w:tcPr>
            <w:tcW w:w="452" w:type="pct"/>
            <w:shd w:val="clear" w:color="auto" w:fill="auto"/>
          </w:tcPr>
          <w:p w:rsidR="00597370" w:rsidRDefault="003C2EEE">
            <w:pPr>
              <w:pStyle w:val="Style106"/>
            </w:pPr>
            <w:r>
              <w:rPr>
                <w:rFonts w:hint="eastAsia"/>
              </w:rPr>
              <w:t>杨泽民、秦惠兰、杨耀、杨秦</w:t>
            </w:r>
          </w:p>
        </w:tc>
        <w:tc>
          <w:tcPr>
            <w:tcW w:w="471" w:type="pct"/>
            <w:shd w:val="clear" w:color="auto" w:fill="auto"/>
          </w:tcPr>
          <w:p w:rsidR="00597370" w:rsidRDefault="003C2EEE">
            <w:pPr>
              <w:pStyle w:val="Style106"/>
            </w:pPr>
            <w:r>
              <w:t>避免同业竞争的承诺，</w:t>
            </w:r>
            <w:r>
              <w:rPr>
                <w:rFonts w:hint="eastAsia"/>
              </w:rPr>
              <w:t>否</w:t>
            </w:r>
            <w:r>
              <w:t>详见注4</w:t>
            </w:r>
          </w:p>
        </w:tc>
        <w:tc>
          <w:tcPr>
            <w:tcW w:w="483" w:type="pct"/>
          </w:tcPr>
          <w:p w:rsidR="00597370" w:rsidRDefault="003C2EEE">
            <w:pPr>
              <w:pStyle w:val="Style106"/>
            </w:pPr>
            <w:r>
              <w:t>注4</w:t>
            </w:r>
          </w:p>
        </w:tc>
        <w:tc>
          <w:tcPr>
            <w:tcW w:w="483" w:type="pct"/>
            <w:shd w:val="clear" w:color="auto" w:fill="auto"/>
          </w:tcPr>
          <w:p w:rsidR="00597370" w:rsidRDefault="003C2EEE">
            <w:pPr>
              <w:rPr>
                <w:color w:val="000000" w:themeColor="text1"/>
              </w:rPr>
            </w:pPr>
            <w:r>
              <w:rPr>
                <w:rFonts w:hint="eastAsia"/>
                <w:color w:val="000000" w:themeColor="text1"/>
              </w:rPr>
              <w:t>否</w:t>
            </w:r>
          </w:p>
        </w:tc>
        <w:tc>
          <w:tcPr>
            <w:tcW w:w="474" w:type="pct"/>
          </w:tcPr>
          <w:p w:rsidR="00597370" w:rsidRDefault="003C2EEE">
            <w:pPr>
              <w:pStyle w:val="Style106"/>
            </w:pPr>
            <w:r>
              <w:rPr>
                <w:rFonts w:hint="eastAsia"/>
              </w:rPr>
              <w:t>注</w:t>
            </w:r>
            <w:r>
              <w:t>4</w:t>
            </w:r>
          </w:p>
        </w:tc>
        <w:tc>
          <w:tcPr>
            <w:tcW w:w="474" w:type="pct"/>
            <w:shd w:val="clear" w:color="auto" w:fill="auto"/>
          </w:tcPr>
          <w:p w:rsidR="00597370" w:rsidRDefault="003C2EEE">
            <w:pPr>
              <w:rPr>
                <w:color w:val="000000" w:themeColor="text1"/>
              </w:rPr>
            </w:pPr>
            <w:r>
              <w:rPr>
                <w:rFonts w:hint="eastAsia"/>
                <w:color w:val="000000" w:themeColor="text1"/>
              </w:rPr>
              <w:t>是</w:t>
            </w:r>
          </w:p>
        </w:tc>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r w:rsidR="00597370">
        <w:tc>
          <w:tcPr>
            <w:tcW w:w="738" w:type="pct"/>
            <w:vMerge/>
            <w:shd w:val="clear" w:color="auto" w:fill="auto"/>
            <w:vAlign w:val="center"/>
          </w:tcPr>
          <w:p w:rsidR="00597370" w:rsidRDefault="00597370">
            <w:pPr>
              <w:pStyle w:val="Style106"/>
            </w:pPr>
          </w:p>
        </w:tc>
        <w:sdt>
          <w:sdtPr>
            <w:rPr>
              <w:color w:val="000000" w:themeColor="text1"/>
            </w:rPr>
            <w:alias w:val="与首次公开发行相关的承诺-承诺类型"/>
            <w:tag w:val="_GBC_4a04fadf983945b88caa62b18cad19bb"/>
            <w:id w:val="153746553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39" w:type="pct"/>
                <w:shd w:val="clear" w:color="auto" w:fill="auto"/>
              </w:tcPr>
              <w:p w:rsidR="00597370" w:rsidRDefault="003C2EEE">
                <w:pPr>
                  <w:rPr>
                    <w:color w:val="000000" w:themeColor="text1"/>
                  </w:rPr>
                </w:pPr>
                <w:r>
                  <w:rPr>
                    <w:color w:val="000000" w:themeColor="text1"/>
                  </w:rPr>
                  <w:t>其他</w:t>
                </w:r>
              </w:p>
            </w:tc>
          </w:sdtContent>
        </w:sdt>
        <w:tc>
          <w:tcPr>
            <w:tcW w:w="452" w:type="pct"/>
            <w:shd w:val="clear" w:color="auto" w:fill="auto"/>
          </w:tcPr>
          <w:p w:rsidR="00597370" w:rsidRDefault="003C2EEE">
            <w:pPr>
              <w:pStyle w:val="Style106"/>
            </w:pPr>
            <w:r>
              <w:rPr>
                <w:rFonts w:hint="eastAsia"/>
              </w:rPr>
              <w:t>杨泽民、秦惠兰、杨耀、杨秦、平潭普思广和一号股权投资合伙企业（有限合伙）和</w:t>
            </w:r>
            <w:proofErr w:type="gramStart"/>
            <w:r>
              <w:rPr>
                <w:rFonts w:hint="eastAsia"/>
              </w:rPr>
              <w:t>董监</w:t>
            </w:r>
            <w:proofErr w:type="gramEnd"/>
            <w:r>
              <w:rPr>
                <w:rFonts w:hint="eastAsia"/>
              </w:rPr>
              <w:t>高</w:t>
            </w:r>
          </w:p>
        </w:tc>
        <w:tc>
          <w:tcPr>
            <w:tcW w:w="471" w:type="pct"/>
            <w:shd w:val="clear" w:color="auto" w:fill="auto"/>
          </w:tcPr>
          <w:p w:rsidR="00597370" w:rsidRDefault="003C2EEE">
            <w:pPr>
              <w:pStyle w:val="Style106"/>
            </w:pPr>
            <w:r>
              <w:t>规范和减少关联交易的承诺，详见注5</w:t>
            </w:r>
          </w:p>
        </w:tc>
        <w:tc>
          <w:tcPr>
            <w:tcW w:w="483" w:type="pct"/>
          </w:tcPr>
          <w:p w:rsidR="00597370" w:rsidRDefault="003C2EEE">
            <w:pPr>
              <w:pStyle w:val="Style106"/>
            </w:pPr>
            <w:r>
              <w:t>注5</w:t>
            </w:r>
          </w:p>
        </w:tc>
        <w:sdt>
          <w:sdtPr>
            <w:rPr>
              <w:color w:val="000000" w:themeColor="text1"/>
            </w:rPr>
            <w:alias w:val="与首次公开发行相关的承诺-是否有履行期限"/>
            <w:tag w:val="_GBC_865043f20c414da39c8d8a70e9c5c4e4"/>
            <w:id w:val="-86856722"/>
            <w:comboBox>
              <w:listItem w:displayText="是" w:value="true"/>
              <w:listItem w:displayText="否" w:value="false"/>
            </w:comboBox>
          </w:sdtPr>
          <w:sdtEndPr/>
          <w:sdtContent>
            <w:tc>
              <w:tcPr>
                <w:tcW w:w="483" w:type="pct"/>
                <w:shd w:val="clear" w:color="auto" w:fill="auto"/>
              </w:tcPr>
              <w:p w:rsidR="00597370" w:rsidRDefault="003C2EEE">
                <w:pPr>
                  <w:rPr>
                    <w:color w:val="000000" w:themeColor="text1"/>
                  </w:rPr>
                </w:pPr>
                <w:r>
                  <w:rPr>
                    <w:color w:val="000000" w:themeColor="text1"/>
                  </w:rPr>
                  <w:t>否</w:t>
                </w:r>
              </w:p>
            </w:tc>
          </w:sdtContent>
        </w:sdt>
        <w:tc>
          <w:tcPr>
            <w:tcW w:w="474" w:type="pct"/>
          </w:tcPr>
          <w:p w:rsidR="00597370" w:rsidRDefault="003C2EEE">
            <w:pPr>
              <w:pStyle w:val="Style106"/>
            </w:pPr>
            <w:r>
              <w:rPr>
                <w:rFonts w:hint="eastAsia"/>
              </w:rPr>
              <w:t>注</w:t>
            </w:r>
            <w:r>
              <w:t>5</w:t>
            </w:r>
          </w:p>
        </w:tc>
        <w:sdt>
          <w:sdtPr>
            <w:rPr>
              <w:color w:val="000000" w:themeColor="text1"/>
            </w:rPr>
            <w:alias w:val="与首次公开发行相关的承诺-是否及时严格履行"/>
            <w:tag w:val="_GBC_f0146b2209ec4419a3ed5f0295ed2e2e"/>
            <w:id w:val="851297580"/>
            <w:comboBox>
              <w:listItem w:displayText="是" w:value="true"/>
              <w:listItem w:displayText="否" w:value="false"/>
            </w:comboBox>
          </w:sdtPr>
          <w:sdtEndPr/>
          <w:sdtContent>
            <w:tc>
              <w:tcPr>
                <w:tcW w:w="474" w:type="pct"/>
                <w:shd w:val="clear" w:color="auto" w:fill="auto"/>
              </w:tcPr>
              <w:p w:rsidR="00597370" w:rsidRDefault="003C2EEE">
                <w:pPr>
                  <w:rPr>
                    <w:color w:val="000000" w:themeColor="text1"/>
                  </w:rPr>
                </w:pPr>
                <w:r>
                  <w:rPr>
                    <w:color w:val="000000" w:themeColor="text1"/>
                  </w:rPr>
                  <w:t>是</w:t>
                </w:r>
              </w:p>
            </w:tc>
          </w:sdtContent>
        </w:sdt>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r w:rsidR="00597370">
        <w:tc>
          <w:tcPr>
            <w:tcW w:w="738" w:type="pct"/>
            <w:vMerge/>
            <w:shd w:val="clear" w:color="auto" w:fill="auto"/>
            <w:vAlign w:val="center"/>
          </w:tcPr>
          <w:p w:rsidR="00597370" w:rsidRDefault="00597370">
            <w:pPr>
              <w:pStyle w:val="Style106"/>
            </w:pPr>
          </w:p>
        </w:tc>
        <w:sdt>
          <w:sdtPr>
            <w:rPr>
              <w:color w:val="000000" w:themeColor="text1"/>
            </w:rPr>
            <w:alias w:val="与再融资相关的承诺-承诺类型"/>
            <w:tag w:val="_GBC_7184dc3b7ba745be9df82d8c95f5c4c3"/>
            <w:id w:val="-1648967585"/>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39" w:type="pct"/>
                <w:shd w:val="clear" w:color="auto" w:fill="auto"/>
              </w:tcPr>
              <w:p w:rsidR="00597370" w:rsidRDefault="003C2EEE">
                <w:pPr>
                  <w:rPr>
                    <w:color w:val="000000" w:themeColor="text1"/>
                  </w:rPr>
                </w:pPr>
                <w:r>
                  <w:rPr>
                    <w:color w:val="000000" w:themeColor="text1"/>
                  </w:rPr>
                  <w:t>其他</w:t>
                </w:r>
              </w:p>
            </w:tc>
          </w:sdtContent>
        </w:sdt>
        <w:tc>
          <w:tcPr>
            <w:tcW w:w="452" w:type="pct"/>
            <w:shd w:val="clear" w:color="auto" w:fill="auto"/>
          </w:tcPr>
          <w:p w:rsidR="00597370" w:rsidRDefault="003C2EEE">
            <w:pPr>
              <w:pStyle w:val="Style106"/>
            </w:pPr>
            <w:r>
              <w:rPr>
                <w:rFonts w:hint="eastAsia"/>
              </w:rPr>
              <w:t>杨泽民、秦惠兰、杨耀、杨秦</w:t>
            </w:r>
          </w:p>
        </w:tc>
        <w:tc>
          <w:tcPr>
            <w:tcW w:w="471" w:type="pct"/>
            <w:shd w:val="clear" w:color="auto" w:fill="auto"/>
          </w:tcPr>
          <w:p w:rsidR="00597370" w:rsidRDefault="003C2EEE">
            <w:pPr>
              <w:pStyle w:val="Style106"/>
            </w:pPr>
            <w:r>
              <w:t>避免资金占用的承诺，详见注6</w:t>
            </w:r>
          </w:p>
        </w:tc>
        <w:tc>
          <w:tcPr>
            <w:tcW w:w="483" w:type="pct"/>
          </w:tcPr>
          <w:p w:rsidR="00597370" w:rsidRDefault="003C2EEE">
            <w:pPr>
              <w:pStyle w:val="Style106"/>
            </w:pPr>
            <w:r>
              <w:t>注6</w:t>
            </w:r>
          </w:p>
        </w:tc>
        <w:sdt>
          <w:sdtPr>
            <w:rPr>
              <w:color w:val="000000" w:themeColor="text1"/>
            </w:rPr>
            <w:alias w:val="与再融资相关的承诺-是否有履行期限"/>
            <w:tag w:val="_GBC_77634daf8466492580d11262325f7c2c"/>
            <w:id w:val="1754865035"/>
            <w:comboBox>
              <w:listItem w:displayText="是" w:value="true"/>
              <w:listItem w:displayText="否" w:value="false"/>
            </w:comboBox>
          </w:sdtPr>
          <w:sdtEndPr/>
          <w:sdtContent>
            <w:tc>
              <w:tcPr>
                <w:tcW w:w="483" w:type="pct"/>
                <w:shd w:val="clear" w:color="auto" w:fill="auto"/>
              </w:tcPr>
              <w:p w:rsidR="00597370" w:rsidRDefault="003C2EEE">
                <w:pPr>
                  <w:rPr>
                    <w:color w:val="000000" w:themeColor="text1"/>
                  </w:rPr>
                </w:pPr>
                <w:r>
                  <w:rPr>
                    <w:color w:val="000000" w:themeColor="text1"/>
                  </w:rPr>
                  <w:t>否</w:t>
                </w:r>
              </w:p>
            </w:tc>
          </w:sdtContent>
        </w:sdt>
        <w:tc>
          <w:tcPr>
            <w:tcW w:w="474" w:type="pct"/>
          </w:tcPr>
          <w:p w:rsidR="00597370" w:rsidRDefault="003C2EEE">
            <w:pPr>
              <w:pStyle w:val="Style106"/>
            </w:pPr>
            <w:r>
              <w:rPr>
                <w:rFonts w:hint="eastAsia"/>
              </w:rPr>
              <w:t>注</w:t>
            </w:r>
            <w:r>
              <w:t>6</w:t>
            </w:r>
          </w:p>
        </w:tc>
        <w:sdt>
          <w:sdtPr>
            <w:rPr>
              <w:color w:val="000000" w:themeColor="text1"/>
            </w:rPr>
            <w:alias w:val="与再融资相关的承诺-是否及时严格履行"/>
            <w:tag w:val="_GBC_d1b20eaba6ae4f6fa79aa8a484b852d3"/>
            <w:id w:val="-1672477509"/>
            <w:comboBox>
              <w:listItem w:displayText="是" w:value="true"/>
              <w:listItem w:displayText="否" w:value="false"/>
            </w:comboBox>
          </w:sdtPr>
          <w:sdtEndPr/>
          <w:sdtContent>
            <w:tc>
              <w:tcPr>
                <w:tcW w:w="474" w:type="pct"/>
                <w:shd w:val="clear" w:color="auto" w:fill="auto"/>
              </w:tcPr>
              <w:p w:rsidR="00597370" w:rsidRDefault="003C2EEE">
                <w:pPr>
                  <w:rPr>
                    <w:color w:val="000000" w:themeColor="text1"/>
                  </w:rPr>
                </w:pPr>
                <w:r>
                  <w:rPr>
                    <w:color w:val="000000" w:themeColor="text1"/>
                  </w:rPr>
                  <w:t>是</w:t>
                </w:r>
              </w:p>
            </w:tc>
          </w:sdtContent>
        </w:sdt>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r w:rsidR="00597370">
        <w:tc>
          <w:tcPr>
            <w:tcW w:w="738" w:type="pct"/>
            <w:vMerge/>
            <w:shd w:val="clear" w:color="auto" w:fill="auto"/>
            <w:vAlign w:val="center"/>
          </w:tcPr>
          <w:p w:rsidR="00597370" w:rsidRDefault="00597370">
            <w:pPr>
              <w:pStyle w:val="Style106"/>
            </w:pPr>
          </w:p>
        </w:tc>
        <w:sdt>
          <w:sdtPr>
            <w:rPr>
              <w:color w:val="000000" w:themeColor="text1"/>
            </w:rPr>
            <w:alias w:val="与股权激励相关的承诺-承诺类型"/>
            <w:tag w:val="_GBC_0081c906df4741619ccca15cd87ba14c"/>
            <w:id w:val="-801001721"/>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39" w:type="pct"/>
                <w:shd w:val="clear" w:color="auto" w:fill="auto"/>
              </w:tcPr>
              <w:p w:rsidR="00597370" w:rsidRDefault="003C2EEE">
                <w:pPr>
                  <w:rPr>
                    <w:color w:val="000000" w:themeColor="text1"/>
                  </w:rPr>
                </w:pPr>
                <w:r>
                  <w:rPr>
                    <w:color w:val="000000" w:themeColor="text1"/>
                  </w:rPr>
                  <w:t>其他</w:t>
                </w:r>
              </w:p>
            </w:tc>
          </w:sdtContent>
        </w:sdt>
        <w:tc>
          <w:tcPr>
            <w:tcW w:w="452" w:type="pct"/>
            <w:shd w:val="clear" w:color="auto" w:fill="auto"/>
          </w:tcPr>
          <w:p w:rsidR="00597370" w:rsidRDefault="003C2EEE">
            <w:pPr>
              <w:pStyle w:val="Style106"/>
            </w:pPr>
            <w:r>
              <w:rPr>
                <w:rFonts w:hint="eastAsia"/>
              </w:rPr>
              <w:t>公司、杨泽民、秦惠兰、杨耀、杨秦</w:t>
            </w:r>
          </w:p>
        </w:tc>
        <w:tc>
          <w:tcPr>
            <w:tcW w:w="471" w:type="pct"/>
            <w:shd w:val="clear" w:color="auto" w:fill="auto"/>
          </w:tcPr>
          <w:p w:rsidR="00597370" w:rsidRDefault="003C2EEE">
            <w:pPr>
              <w:pStyle w:val="Style106"/>
            </w:pPr>
            <w:r>
              <w:t>股份回购和股份购回的措施和承诺，详见注7</w:t>
            </w:r>
          </w:p>
        </w:tc>
        <w:tc>
          <w:tcPr>
            <w:tcW w:w="483" w:type="pct"/>
          </w:tcPr>
          <w:p w:rsidR="00597370" w:rsidRDefault="003C2EEE">
            <w:pPr>
              <w:pStyle w:val="Style106"/>
            </w:pPr>
            <w:r>
              <w:t>注7</w:t>
            </w:r>
          </w:p>
        </w:tc>
        <w:sdt>
          <w:sdtPr>
            <w:rPr>
              <w:color w:val="000000" w:themeColor="text1"/>
            </w:rPr>
            <w:alias w:val="与股权激励相关的承诺-是否有履行期限"/>
            <w:tag w:val="_GBC_90b6a63e745f4779958260594e4a421c"/>
            <w:id w:val="-216590948"/>
            <w:comboBox>
              <w:listItem w:displayText="是" w:value="true"/>
              <w:listItem w:displayText="否" w:value="false"/>
            </w:comboBox>
          </w:sdtPr>
          <w:sdtEndPr/>
          <w:sdtContent>
            <w:tc>
              <w:tcPr>
                <w:tcW w:w="483" w:type="pct"/>
                <w:shd w:val="clear" w:color="auto" w:fill="auto"/>
              </w:tcPr>
              <w:p w:rsidR="00597370" w:rsidRDefault="003C2EEE">
                <w:pPr>
                  <w:rPr>
                    <w:color w:val="000000" w:themeColor="text1"/>
                  </w:rPr>
                </w:pPr>
                <w:r>
                  <w:rPr>
                    <w:color w:val="000000" w:themeColor="text1"/>
                  </w:rPr>
                  <w:t>否</w:t>
                </w:r>
              </w:p>
            </w:tc>
          </w:sdtContent>
        </w:sdt>
        <w:tc>
          <w:tcPr>
            <w:tcW w:w="474" w:type="pct"/>
          </w:tcPr>
          <w:p w:rsidR="00597370" w:rsidRDefault="003C2EEE">
            <w:pPr>
              <w:pStyle w:val="Style106"/>
            </w:pPr>
            <w:r>
              <w:rPr>
                <w:rFonts w:hint="eastAsia"/>
              </w:rPr>
              <w:t>注</w:t>
            </w:r>
            <w:r>
              <w:t>7</w:t>
            </w:r>
          </w:p>
        </w:tc>
        <w:sdt>
          <w:sdtPr>
            <w:rPr>
              <w:color w:val="000000" w:themeColor="text1"/>
            </w:rPr>
            <w:alias w:val="与股权激励相关的承诺-是否及时严格履行"/>
            <w:tag w:val="_GBC_ca7bd4436d9d403aa53079f6db5953d5"/>
            <w:id w:val="1068686276"/>
            <w:comboBox>
              <w:listItem w:displayText="是" w:value="true"/>
              <w:listItem w:displayText="否" w:value="false"/>
            </w:comboBox>
          </w:sdtPr>
          <w:sdtEndPr/>
          <w:sdtContent>
            <w:tc>
              <w:tcPr>
                <w:tcW w:w="474" w:type="pct"/>
                <w:shd w:val="clear" w:color="auto" w:fill="auto"/>
              </w:tcPr>
              <w:p w:rsidR="00597370" w:rsidRDefault="003C2EEE">
                <w:pPr>
                  <w:rPr>
                    <w:color w:val="000000" w:themeColor="text1"/>
                  </w:rPr>
                </w:pPr>
                <w:r>
                  <w:rPr>
                    <w:color w:val="000000" w:themeColor="text1"/>
                  </w:rPr>
                  <w:t>是</w:t>
                </w:r>
              </w:p>
            </w:tc>
          </w:sdtContent>
        </w:sdt>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r w:rsidR="00597370">
        <w:tc>
          <w:tcPr>
            <w:tcW w:w="738" w:type="pct"/>
            <w:vMerge/>
            <w:shd w:val="clear" w:color="auto" w:fill="auto"/>
            <w:vAlign w:val="center"/>
          </w:tcPr>
          <w:p w:rsidR="00597370" w:rsidRDefault="00597370">
            <w:pPr>
              <w:pStyle w:val="Style106"/>
            </w:pPr>
          </w:p>
        </w:tc>
        <w:sdt>
          <w:sdtPr>
            <w:rPr>
              <w:color w:val="000000" w:themeColor="text1"/>
            </w:rPr>
            <w:alias w:val="其他对公司中小股东所作承诺-承诺类型"/>
            <w:tag w:val="_GBC_982202f7049947c092d154a51d36840e"/>
            <w:id w:val="1521273435"/>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39" w:type="pct"/>
                <w:shd w:val="clear" w:color="auto" w:fill="auto"/>
              </w:tcPr>
              <w:p w:rsidR="00597370" w:rsidRDefault="003C2EEE">
                <w:pPr>
                  <w:rPr>
                    <w:color w:val="000000" w:themeColor="text1"/>
                  </w:rPr>
                </w:pPr>
                <w:r>
                  <w:rPr>
                    <w:color w:val="000000" w:themeColor="text1"/>
                  </w:rPr>
                  <w:t>其他</w:t>
                </w:r>
              </w:p>
            </w:tc>
          </w:sdtContent>
        </w:sdt>
        <w:tc>
          <w:tcPr>
            <w:tcW w:w="452" w:type="pct"/>
            <w:shd w:val="clear" w:color="auto" w:fill="auto"/>
          </w:tcPr>
          <w:p w:rsidR="00597370" w:rsidRDefault="003C2EEE">
            <w:pPr>
              <w:pStyle w:val="Style106"/>
            </w:pPr>
            <w:r>
              <w:rPr>
                <w:rFonts w:hint="eastAsia"/>
              </w:rPr>
              <w:t>公司、杨泽民、秦惠兰、杨耀、杨</w:t>
            </w:r>
            <w:r>
              <w:rPr>
                <w:rFonts w:hint="eastAsia"/>
              </w:rPr>
              <w:lastRenderedPageBreak/>
              <w:t>秦、平潭普思广和一号股权投资合伙企业（有限合伙）、</w:t>
            </w:r>
            <w:proofErr w:type="gramStart"/>
            <w:r>
              <w:rPr>
                <w:rFonts w:hint="eastAsia"/>
              </w:rPr>
              <w:t>董监高</w:t>
            </w:r>
            <w:proofErr w:type="gramEnd"/>
          </w:p>
        </w:tc>
        <w:tc>
          <w:tcPr>
            <w:tcW w:w="471" w:type="pct"/>
            <w:shd w:val="clear" w:color="auto" w:fill="auto"/>
          </w:tcPr>
          <w:p w:rsidR="00597370" w:rsidRDefault="003C2EEE">
            <w:pPr>
              <w:pStyle w:val="Style106"/>
            </w:pPr>
            <w:r>
              <w:lastRenderedPageBreak/>
              <w:t>未履行承诺的约束措施的承诺，详见注8</w:t>
            </w:r>
          </w:p>
        </w:tc>
        <w:tc>
          <w:tcPr>
            <w:tcW w:w="483" w:type="pct"/>
          </w:tcPr>
          <w:p w:rsidR="00597370" w:rsidRDefault="003C2EEE">
            <w:pPr>
              <w:pStyle w:val="Style106"/>
            </w:pPr>
            <w:r>
              <w:t>注8</w:t>
            </w:r>
          </w:p>
        </w:tc>
        <w:sdt>
          <w:sdtPr>
            <w:rPr>
              <w:color w:val="000000" w:themeColor="text1"/>
            </w:rPr>
            <w:alias w:val="其他对公司中小股东所作承诺-是否有履行期限"/>
            <w:tag w:val="_GBC_2de957f968dd451bb6ab4413b49b5fef"/>
            <w:id w:val="2005479143"/>
            <w:comboBox>
              <w:listItem w:displayText="是" w:value="true"/>
              <w:listItem w:displayText="否" w:value="false"/>
            </w:comboBox>
          </w:sdtPr>
          <w:sdtEndPr/>
          <w:sdtContent>
            <w:tc>
              <w:tcPr>
                <w:tcW w:w="483" w:type="pct"/>
                <w:shd w:val="clear" w:color="auto" w:fill="auto"/>
              </w:tcPr>
              <w:p w:rsidR="00597370" w:rsidRDefault="003C2EEE">
                <w:pPr>
                  <w:rPr>
                    <w:color w:val="000000" w:themeColor="text1"/>
                  </w:rPr>
                </w:pPr>
                <w:r>
                  <w:rPr>
                    <w:color w:val="000000" w:themeColor="text1"/>
                  </w:rPr>
                  <w:t>否</w:t>
                </w:r>
              </w:p>
            </w:tc>
          </w:sdtContent>
        </w:sdt>
        <w:tc>
          <w:tcPr>
            <w:tcW w:w="474" w:type="pct"/>
          </w:tcPr>
          <w:p w:rsidR="00597370" w:rsidRDefault="003C2EEE">
            <w:pPr>
              <w:pStyle w:val="Style106"/>
            </w:pPr>
            <w:r>
              <w:rPr>
                <w:rFonts w:hint="eastAsia"/>
              </w:rPr>
              <w:t>注</w:t>
            </w:r>
            <w:r>
              <w:t>8</w:t>
            </w:r>
          </w:p>
        </w:tc>
        <w:sdt>
          <w:sdtPr>
            <w:rPr>
              <w:color w:val="000000" w:themeColor="text1"/>
            </w:rPr>
            <w:alias w:val="其他对公司中小股东所作承诺-是否及时严格履行"/>
            <w:tag w:val="_GBC_90648972c0b243b4a299b83695a8d6f6"/>
            <w:id w:val="-1296450337"/>
            <w:comboBox>
              <w:listItem w:displayText="是" w:value="true"/>
              <w:listItem w:displayText="否" w:value="false"/>
            </w:comboBox>
          </w:sdtPr>
          <w:sdtEndPr/>
          <w:sdtContent>
            <w:tc>
              <w:tcPr>
                <w:tcW w:w="474" w:type="pct"/>
                <w:shd w:val="clear" w:color="auto" w:fill="auto"/>
              </w:tcPr>
              <w:p w:rsidR="00597370" w:rsidRDefault="003C2EEE">
                <w:pPr>
                  <w:rPr>
                    <w:color w:val="000000" w:themeColor="text1"/>
                  </w:rPr>
                </w:pPr>
                <w:r>
                  <w:rPr>
                    <w:color w:val="000000" w:themeColor="text1"/>
                  </w:rPr>
                  <w:t>是</w:t>
                </w:r>
              </w:p>
            </w:tc>
          </w:sdtContent>
        </w:sdt>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r w:rsidR="00597370">
        <w:tc>
          <w:tcPr>
            <w:tcW w:w="738" w:type="pct"/>
            <w:vMerge/>
            <w:shd w:val="clear" w:color="auto" w:fill="auto"/>
            <w:vAlign w:val="center"/>
          </w:tcPr>
          <w:p w:rsidR="00597370" w:rsidRDefault="00597370">
            <w:pPr>
              <w:rPr>
                <w:color w:val="000000" w:themeColor="text1"/>
              </w:rPr>
            </w:pPr>
          </w:p>
        </w:tc>
        <w:sdt>
          <w:sdtPr>
            <w:rPr>
              <w:color w:val="000000" w:themeColor="text1"/>
            </w:rPr>
            <w:alias w:val="其他承诺相关方的承诺事项-承诺类型"/>
            <w:tag w:val="_GBC_81c4e403d3a94f6eac0573e66d407fbf"/>
            <w:id w:val="65140561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39" w:type="pct"/>
                <w:shd w:val="clear" w:color="auto" w:fill="auto"/>
              </w:tcPr>
              <w:p w:rsidR="00597370" w:rsidRDefault="003C2EEE">
                <w:pPr>
                  <w:rPr>
                    <w:color w:val="000000" w:themeColor="text1"/>
                  </w:rPr>
                </w:pPr>
                <w:r>
                  <w:rPr>
                    <w:color w:val="000000" w:themeColor="text1"/>
                  </w:rPr>
                  <w:t>其他</w:t>
                </w:r>
              </w:p>
            </w:tc>
          </w:sdtContent>
        </w:sdt>
        <w:tc>
          <w:tcPr>
            <w:tcW w:w="452" w:type="pct"/>
            <w:shd w:val="clear" w:color="auto" w:fill="auto"/>
          </w:tcPr>
          <w:p w:rsidR="00597370" w:rsidRDefault="003C2EEE">
            <w:pPr>
              <w:pStyle w:val="Style106"/>
            </w:pPr>
            <w:r>
              <w:rPr>
                <w:rFonts w:hint="eastAsia"/>
              </w:rPr>
              <w:t>公司、杨泽民、秦惠兰、董事（不含独立董事）、高级管理人员</w:t>
            </w:r>
          </w:p>
        </w:tc>
        <w:tc>
          <w:tcPr>
            <w:tcW w:w="471" w:type="pct"/>
            <w:shd w:val="clear" w:color="auto" w:fill="auto"/>
          </w:tcPr>
          <w:p w:rsidR="00597370" w:rsidRDefault="003C2EEE">
            <w:pPr>
              <w:pStyle w:val="Style106"/>
            </w:pPr>
            <w:r>
              <w:t>稳定股价及相应约束措施的承诺，详见注9</w:t>
            </w:r>
          </w:p>
        </w:tc>
        <w:tc>
          <w:tcPr>
            <w:tcW w:w="483" w:type="pct"/>
          </w:tcPr>
          <w:p w:rsidR="00597370" w:rsidRDefault="003C2EEE">
            <w:pPr>
              <w:pStyle w:val="Style106"/>
            </w:pPr>
            <w:r>
              <w:t>注9</w:t>
            </w:r>
          </w:p>
        </w:tc>
        <w:sdt>
          <w:sdtPr>
            <w:rPr>
              <w:color w:val="000000" w:themeColor="text1"/>
            </w:rPr>
            <w:alias w:val="其他承诺相关方的承诺事项-是否有履行期限"/>
            <w:tag w:val="_GBC_53c721e8b7ba452fb3b1ab4897356c91"/>
            <w:id w:val="636997819"/>
            <w:comboBox>
              <w:listItem w:displayText="是" w:value="true"/>
              <w:listItem w:displayText="否" w:value="false"/>
            </w:comboBox>
          </w:sdtPr>
          <w:sdtEndPr/>
          <w:sdtContent>
            <w:tc>
              <w:tcPr>
                <w:tcW w:w="483" w:type="pct"/>
                <w:shd w:val="clear" w:color="auto" w:fill="auto"/>
              </w:tcPr>
              <w:p w:rsidR="00597370" w:rsidRDefault="003C2EEE">
                <w:pPr>
                  <w:rPr>
                    <w:color w:val="000000" w:themeColor="text1"/>
                  </w:rPr>
                </w:pPr>
                <w:r>
                  <w:rPr>
                    <w:color w:val="000000" w:themeColor="text1"/>
                  </w:rPr>
                  <w:t>是</w:t>
                </w:r>
              </w:p>
            </w:tc>
          </w:sdtContent>
        </w:sdt>
        <w:tc>
          <w:tcPr>
            <w:tcW w:w="474" w:type="pct"/>
          </w:tcPr>
          <w:p w:rsidR="00597370" w:rsidRDefault="003C2EEE">
            <w:pPr>
              <w:pStyle w:val="Style106"/>
            </w:pPr>
            <w:r>
              <w:rPr>
                <w:rFonts w:hint="eastAsia"/>
              </w:rPr>
              <w:t>注</w:t>
            </w:r>
            <w:r>
              <w:t>9</w:t>
            </w:r>
          </w:p>
        </w:tc>
        <w:sdt>
          <w:sdtPr>
            <w:rPr>
              <w:color w:val="000000" w:themeColor="text1"/>
            </w:rPr>
            <w:alias w:val="其他承诺相关方的承诺事项-是否及时严格履行"/>
            <w:tag w:val="_GBC_428e2c83eb8e4ee2b2c7303f7dd67a15"/>
            <w:id w:val="-189835175"/>
            <w:comboBox>
              <w:listItem w:displayText="是" w:value="true"/>
              <w:listItem w:displayText="否" w:value="false"/>
            </w:comboBox>
          </w:sdtPr>
          <w:sdtEndPr/>
          <w:sdtContent>
            <w:tc>
              <w:tcPr>
                <w:tcW w:w="474" w:type="pct"/>
                <w:shd w:val="clear" w:color="auto" w:fill="auto"/>
              </w:tcPr>
              <w:p w:rsidR="00597370" w:rsidRDefault="003C2EEE">
                <w:pPr>
                  <w:rPr>
                    <w:color w:val="000000" w:themeColor="text1"/>
                  </w:rPr>
                </w:pPr>
                <w:r>
                  <w:rPr>
                    <w:color w:val="000000" w:themeColor="text1"/>
                  </w:rPr>
                  <w:t>是</w:t>
                </w:r>
              </w:p>
            </w:tc>
          </w:sdtContent>
        </w:sdt>
        <w:tc>
          <w:tcPr>
            <w:tcW w:w="548" w:type="pct"/>
            <w:shd w:val="clear" w:color="auto" w:fill="auto"/>
          </w:tcPr>
          <w:p w:rsidR="00597370" w:rsidRDefault="003C2EEE">
            <w:pPr>
              <w:pStyle w:val="Style106"/>
            </w:pPr>
            <w:r>
              <w:rPr>
                <w:rFonts w:hint="eastAsia"/>
              </w:rPr>
              <w:t>不适用</w:t>
            </w:r>
          </w:p>
        </w:tc>
        <w:tc>
          <w:tcPr>
            <w:tcW w:w="438" w:type="pct"/>
            <w:shd w:val="clear" w:color="auto" w:fill="auto"/>
          </w:tcPr>
          <w:p w:rsidR="00597370" w:rsidRDefault="003C2EEE">
            <w:pPr>
              <w:pStyle w:val="Style106"/>
            </w:pPr>
            <w:r>
              <w:t>不适用</w:t>
            </w:r>
          </w:p>
        </w:tc>
      </w:tr>
    </w:tbl>
    <w:p w:rsidR="00597370" w:rsidRDefault="003C2EEE">
      <w:pPr>
        <w:pStyle w:val="affc"/>
        <w:adjustRightInd w:val="0"/>
        <w:snapToGrid w:val="0"/>
        <w:spacing w:beforeLines="0" w:after="0" w:afterAutospacing="0"/>
        <w:ind w:firstLine="420"/>
      </w:pPr>
      <w:r>
        <w:rPr>
          <w:rFonts w:hint="eastAsia"/>
        </w:rPr>
        <w:t>注1：关于股份锁定的承诺</w:t>
      </w:r>
    </w:p>
    <w:p w:rsidR="00597370" w:rsidRDefault="003C2EEE">
      <w:pPr>
        <w:pStyle w:val="affc"/>
        <w:adjustRightInd w:val="0"/>
        <w:snapToGrid w:val="0"/>
        <w:spacing w:beforeLines="0" w:after="0" w:afterAutospacing="0"/>
        <w:ind w:firstLine="420"/>
      </w:pPr>
      <w:r>
        <w:rPr>
          <w:rFonts w:hint="eastAsia"/>
        </w:rPr>
        <w:t>1、公司控股股东、实际控制人、董事长、总经理杨泽民，公司股东、董事、公司实际控制人一致行动人杨厚群，公司股东、公司实际控制人一致行动人皮天彬分别承诺：</w:t>
      </w:r>
    </w:p>
    <w:p w:rsidR="00597370" w:rsidRDefault="003C2EEE">
      <w:pPr>
        <w:pStyle w:val="affc"/>
        <w:adjustRightInd w:val="0"/>
        <w:snapToGrid w:val="0"/>
        <w:spacing w:beforeLines="0" w:after="0" w:afterAutospacing="0"/>
        <w:ind w:firstLine="420"/>
      </w:pPr>
      <w:r>
        <w:rPr>
          <w:rFonts w:hint="eastAsia"/>
        </w:rPr>
        <w:t>“1、自公司股票上市之日起36个月内，不转让或者委托他人管理本人直接和间接持有的公司公开发行股票前已发行的股份，也不提议由公司回购本人直接或间接持有的公司公开发行股票前已发行的股份。</w:t>
      </w:r>
    </w:p>
    <w:p w:rsidR="00597370" w:rsidRDefault="003C2EEE">
      <w:pPr>
        <w:pStyle w:val="affc"/>
        <w:adjustRightInd w:val="0"/>
        <w:snapToGrid w:val="0"/>
        <w:spacing w:beforeLines="0" w:after="0" w:afterAutospacing="0"/>
        <w:ind w:firstLine="420"/>
      </w:pPr>
      <w:r>
        <w:rPr>
          <w:rFonts w:hint="eastAsia"/>
        </w:rPr>
        <w:t>2、本人所持公司上述股份在锁定期满后两年内减持的，减</w:t>
      </w:r>
      <w:proofErr w:type="gramStart"/>
      <w:r>
        <w:rPr>
          <w:rFonts w:hint="eastAsia"/>
        </w:rPr>
        <w:t>持价格</w:t>
      </w:r>
      <w:proofErr w:type="gramEnd"/>
      <w:r>
        <w:rPr>
          <w:rFonts w:hint="eastAsia"/>
        </w:rPr>
        <w:t>不低于发行价。公司上市后6个月内如公司股票连续20个交易日的收盘价均低于发行价，或者上市后6个月期末（如该日不是交易日，则为该日后第一个交易日）收盘价低于发行价，本人所持上述股份的锁定期限自动延长6个月。在延长锁定期内，本人不转让或者委托他人管理本人直接或者间接持有的公司首次公开发行股票前已发行的股份，也不提议由公司回购该等股份。</w:t>
      </w:r>
    </w:p>
    <w:p w:rsidR="00597370" w:rsidRDefault="003C2EEE">
      <w:pPr>
        <w:pStyle w:val="affc"/>
        <w:adjustRightInd w:val="0"/>
        <w:snapToGrid w:val="0"/>
        <w:spacing w:beforeLines="0" w:after="0" w:afterAutospacing="0"/>
        <w:ind w:firstLine="420"/>
      </w:pPr>
      <w:r>
        <w:rPr>
          <w:rFonts w:hint="eastAsia"/>
        </w:rPr>
        <w:t>上述发行价指公司首次公开发行股票的发行价格，如果因派发现金红利、送股、转增股本、增发新股等原因进行除权、除息的，则按照相关规定作除权、除息处理。</w:t>
      </w:r>
    </w:p>
    <w:p w:rsidR="00597370" w:rsidRDefault="003C2EEE">
      <w:pPr>
        <w:pStyle w:val="affc"/>
        <w:adjustRightInd w:val="0"/>
        <w:snapToGrid w:val="0"/>
        <w:spacing w:beforeLines="0" w:after="0" w:afterAutospacing="0"/>
        <w:ind w:firstLine="420"/>
      </w:pPr>
      <w:r>
        <w:rPr>
          <w:rFonts w:hint="eastAsia"/>
        </w:rPr>
        <w:lastRenderedPageBreak/>
        <w:t>3、在上述锁定期满后，在本人担任公司董事或高级管理人员期间，本人将向公司申报所持有的公司股份及其变动情况，在任职期间每年转让的公司股份不超过本人持有的公司股份总数的25%；在任期届满前离职的，在本人就任时确定的任期内和任期届满后6个月内，遵守下列限制性规定：（1）每年转让的公司股份不超过本人持有的公司股份总数的25%；（2）自本人离职之日起6个月内，不转让本人持有的公司股份。</w:t>
      </w:r>
    </w:p>
    <w:p w:rsidR="00597370" w:rsidRDefault="003C2EEE">
      <w:pPr>
        <w:pStyle w:val="affc"/>
        <w:adjustRightInd w:val="0"/>
        <w:snapToGrid w:val="0"/>
        <w:spacing w:beforeLines="0" w:after="0" w:afterAutospacing="0"/>
        <w:ind w:firstLine="420"/>
      </w:pPr>
      <w:r>
        <w:rPr>
          <w:rFonts w:hint="eastAsia"/>
        </w:rPr>
        <w:t>4、本人不会因职务变更、离职等原因而拒绝履行上述承诺。</w:t>
      </w:r>
    </w:p>
    <w:p w:rsidR="00597370" w:rsidRDefault="003C2EEE">
      <w:pPr>
        <w:pStyle w:val="affc"/>
        <w:adjustRightInd w:val="0"/>
        <w:snapToGrid w:val="0"/>
        <w:spacing w:beforeLines="0" w:after="0" w:afterAutospacing="0"/>
        <w:ind w:firstLine="420"/>
      </w:pPr>
      <w:r>
        <w:rPr>
          <w:rFonts w:hint="eastAsia"/>
        </w:rPr>
        <w:t>5、法律、行政法规、中国证监会行政规章、证券交易所业务规则及其他规范性文件对本人转让公司股份存在其他限制的，本人承诺同意一并遵守。在本人持股期间，</w:t>
      </w:r>
      <w:proofErr w:type="gramStart"/>
      <w:r>
        <w:rPr>
          <w:rFonts w:hint="eastAsia"/>
        </w:rPr>
        <w:t>若股份</w:t>
      </w:r>
      <w:proofErr w:type="gramEnd"/>
      <w:r>
        <w:rPr>
          <w:rFonts w:hint="eastAsia"/>
        </w:rPr>
        <w:t>锁定和减持的法律、法规、规范性文件、政策及证券监管机构的要求发生变化，则本人愿意自动适用变更后的法律、法规、规范性文件、政策及证券监管机构的要求。”</w:t>
      </w:r>
    </w:p>
    <w:p w:rsidR="00597370" w:rsidRDefault="003C2EEE">
      <w:pPr>
        <w:pStyle w:val="affc"/>
        <w:adjustRightInd w:val="0"/>
        <w:snapToGrid w:val="0"/>
        <w:spacing w:beforeLines="0" w:after="0" w:afterAutospacing="0"/>
        <w:ind w:firstLine="420"/>
      </w:pPr>
      <w:r>
        <w:rPr>
          <w:rFonts w:hint="eastAsia"/>
        </w:rPr>
        <w:t>2、公司控股股东、实际控制人秦惠兰，公司持股5%以上股东、实际控制人杨耀、杨秦，公司实际控制人一致行动人秦勇、杨小林、隆志</w:t>
      </w:r>
      <w:proofErr w:type="gramStart"/>
      <w:r>
        <w:rPr>
          <w:rFonts w:hint="eastAsia"/>
        </w:rPr>
        <w:t>钢分别</w:t>
      </w:r>
      <w:proofErr w:type="gramEnd"/>
      <w:r>
        <w:rPr>
          <w:rFonts w:hint="eastAsia"/>
        </w:rPr>
        <w:t>承诺：</w:t>
      </w:r>
    </w:p>
    <w:p w:rsidR="00597370" w:rsidRDefault="003C2EEE">
      <w:pPr>
        <w:pStyle w:val="affc"/>
        <w:adjustRightInd w:val="0"/>
        <w:snapToGrid w:val="0"/>
        <w:spacing w:beforeLines="0" w:after="0" w:afterAutospacing="0"/>
        <w:ind w:firstLine="420"/>
      </w:pPr>
      <w:r>
        <w:rPr>
          <w:rFonts w:hint="eastAsia"/>
        </w:rPr>
        <w:t>“1、自公司股票上市之日起36个月内，不转让或者委托他人管理本人直接和间接持有的公司公开发行股票前已发行的股份，也不提议由公司回购本人直接或间接持有的公司公开发行股票前已发行的股份。</w:t>
      </w:r>
    </w:p>
    <w:p w:rsidR="00597370" w:rsidRDefault="003C2EEE">
      <w:pPr>
        <w:pStyle w:val="affc"/>
        <w:adjustRightInd w:val="0"/>
        <w:snapToGrid w:val="0"/>
        <w:spacing w:beforeLines="0" w:after="0" w:afterAutospacing="0"/>
        <w:ind w:firstLine="420"/>
      </w:pPr>
      <w:r>
        <w:rPr>
          <w:rFonts w:hint="eastAsia"/>
        </w:rPr>
        <w:t>2、本人所持公司上述股份在锁定期满后两年内减持的，减</w:t>
      </w:r>
      <w:proofErr w:type="gramStart"/>
      <w:r>
        <w:rPr>
          <w:rFonts w:hint="eastAsia"/>
        </w:rPr>
        <w:t>持价格</w:t>
      </w:r>
      <w:proofErr w:type="gramEnd"/>
      <w:r>
        <w:rPr>
          <w:rFonts w:hint="eastAsia"/>
        </w:rPr>
        <w:t>不低于发行价。公司上市后6个月内如公司股票连续20个交易日的收盘价均低于发行价，或者上市后6个月期末（如该日不是交易日，则为该日后第一个交易日）收盘价低于发行价，本人所持上述股份的锁定期限自动延长6个月。在延长锁定期内，本人不转让或者委托他人管理本人直接或者间接持有的公司首次公开发行股票前已发行的股份，也不提议由公司回购该等股份。</w:t>
      </w:r>
    </w:p>
    <w:p w:rsidR="00597370" w:rsidRDefault="003C2EEE">
      <w:pPr>
        <w:pStyle w:val="affc"/>
        <w:adjustRightInd w:val="0"/>
        <w:snapToGrid w:val="0"/>
        <w:spacing w:beforeLines="0" w:after="0" w:afterAutospacing="0"/>
        <w:ind w:firstLine="420"/>
      </w:pPr>
      <w:r>
        <w:rPr>
          <w:rFonts w:hint="eastAsia"/>
        </w:rPr>
        <w:t>上述发行价指公司首次公开发行股票的发行价格，如果因派发现金红利、送股、转增股本、增发新股等原因进行除权、除息的，则按照相关规定作除权、除息处理。</w:t>
      </w:r>
    </w:p>
    <w:p w:rsidR="00597370" w:rsidRDefault="003C2EEE">
      <w:pPr>
        <w:pStyle w:val="affc"/>
        <w:adjustRightInd w:val="0"/>
        <w:snapToGrid w:val="0"/>
        <w:spacing w:beforeLines="0" w:after="0" w:afterAutospacing="0"/>
        <w:ind w:firstLine="420"/>
      </w:pPr>
      <w:r>
        <w:rPr>
          <w:rFonts w:hint="eastAsia"/>
        </w:rPr>
        <w:t>3、法律、行政法规、中国证监会行政规章、证券交易所业务规则及其他规范性文件对本人转让公司股份存在其他限制的，本人承诺同意一并遵守。在本人持股期间，</w:t>
      </w:r>
      <w:proofErr w:type="gramStart"/>
      <w:r>
        <w:rPr>
          <w:rFonts w:hint="eastAsia"/>
        </w:rPr>
        <w:t>若股份</w:t>
      </w:r>
      <w:proofErr w:type="gramEnd"/>
      <w:r>
        <w:rPr>
          <w:rFonts w:hint="eastAsia"/>
        </w:rPr>
        <w:t>锁定和减持的法律、法规、规范性文件、政策及证券监管机构的要求发生变化，则本人愿意自动适用变更后的法律、法规、规范性文件、政策及证券监管机构的要求。”</w:t>
      </w:r>
    </w:p>
    <w:p w:rsidR="00597370" w:rsidRDefault="003C2EEE">
      <w:pPr>
        <w:pStyle w:val="affc"/>
        <w:adjustRightInd w:val="0"/>
        <w:snapToGrid w:val="0"/>
        <w:spacing w:beforeLines="0" w:after="0" w:afterAutospacing="0"/>
        <w:ind w:firstLine="420"/>
      </w:pPr>
      <w:r>
        <w:rPr>
          <w:rFonts w:hint="eastAsia"/>
        </w:rPr>
        <w:t>3、公司持股董事、高级管理人员分别承诺：</w:t>
      </w:r>
    </w:p>
    <w:p w:rsidR="00597370" w:rsidRDefault="003C2EEE">
      <w:pPr>
        <w:pStyle w:val="affc"/>
        <w:adjustRightInd w:val="0"/>
        <w:snapToGrid w:val="0"/>
        <w:spacing w:beforeLines="0" w:after="0" w:afterAutospacing="0"/>
        <w:ind w:firstLine="420"/>
      </w:pPr>
      <w:r>
        <w:rPr>
          <w:rFonts w:hint="eastAsia"/>
        </w:rPr>
        <w:t>“1、自公司股票上市之日起12个月内，不转让或者委托他人管理本人持有的公司公开发行股票前已发行的股份，也不提议由公司回购本人持有的</w:t>
      </w:r>
      <w:r>
        <w:rPr>
          <w:rFonts w:hint="eastAsia"/>
        </w:rPr>
        <w:lastRenderedPageBreak/>
        <w:t>公司公开发行股票前已发行的股份。</w:t>
      </w:r>
    </w:p>
    <w:p w:rsidR="00597370" w:rsidRDefault="003C2EEE">
      <w:pPr>
        <w:pStyle w:val="affc"/>
        <w:adjustRightInd w:val="0"/>
        <w:snapToGrid w:val="0"/>
        <w:spacing w:beforeLines="0" w:after="0" w:afterAutospacing="0"/>
        <w:ind w:firstLine="420"/>
      </w:pPr>
      <w:r>
        <w:rPr>
          <w:rFonts w:hint="eastAsia"/>
        </w:rPr>
        <w:t>2、本人所持公司上述股份在锁定期满后两年内减持的，减</w:t>
      </w:r>
      <w:proofErr w:type="gramStart"/>
      <w:r>
        <w:rPr>
          <w:rFonts w:hint="eastAsia"/>
        </w:rPr>
        <w:t>持价格</w:t>
      </w:r>
      <w:proofErr w:type="gramEnd"/>
      <w:r>
        <w:rPr>
          <w:rFonts w:hint="eastAsia"/>
        </w:rPr>
        <w:t>不低于发行价。公司上市后6个月内如公司股票连续20个交易日的收盘价均低于发行价，或者上市后6个月期末（如该日不是交易日，则为该日后第一个交易日）收盘价低于发行价，本人所持上述股份的锁定期限自动延长6个月。在延长锁定期内，本人不转让或者委托他人管理本人持有的公司首次公开发行股票前已发行的股份，也不提议由公司回购该等股份。</w:t>
      </w:r>
    </w:p>
    <w:p w:rsidR="00597370" w:rsidRDefault="003C2EEE">
      <w:pPr>
        <w:pStyle w:val="affc"/>
        <w:adjustRightInd w:val="0"/>
        <w:snapToGrid w:val="0"/>
        <w:spacing w:beforeLines="0" w:after="0" w:afterAutospacing="0"/>
        <w:ind w:firstLine="420"/>
      </w:pPr>
      <w:r>
        <w:rPr>
          <w:rFonts w:hint="eastAsia"/>
        </w:rPr>
        <w:t>上述发行价指公司首次公开发行股票的发行价格，如果因派发现金红利、送股、转增股本、增发新股等原因进行除权、除息的，则按照相关规定作除权、除息处理。</w:t>
      </w:r>
    </w:p>
    <w:p w:rsidR="00597370" w:rsidRDefault="003C2EEE">
      <w:pPr>
        <w:pStyle w:val="affc"/>
        <w:adjustRightInd w:val="0"/>
        <w:snapToGrid w:val="0"/>
        <w:spacing w:beforeLines="0" w:after="0" w:afterAutospacing="0"/>
        <w:ind w:firstLine="420"/>
      </w:pPr>
      <w:r>
        <w:rPr>
          <w:rFonts w:hint="eastAsia"/>
        </w:rPr>
        <w:t>3、在上述锁定期满后，在本人担任公司董事或高级管理人员期间，本人将向公司申报所持有的公司股份及其变动情况，在任职期间每年转让的公司股份不超过本人持有的公司股份总数的25%；在任期届满前离职的，在本人就任时确定的任期内和任期届满后6个月内，遵守下列限制性规定：（1）每年转让的公司股份不超过本人持有的公司股份总数的25%；（2）自本人离职之日起6个月内，不转让本人持有的公司股份。</w:t>
      </w:r>
    </w:p>
    <w:p w:rsidR="00597370" w:rsidRDefault="003C2EEE">
      <w:pPr>
        <w:pStyle w:val="affc"/>
        <w:adjustRightInd w:val="0"/>
        <w:snapToGrid w:val="0"/>
        <w:spacing w:beforeLines="0" w:after="0" w:afterAutospacing="0"/>
        <w:ind w:firstLine="420"/>
      </w:pPr>
      <w:r>
        <w:rPr>
          <w:rFonts w:hint="eastAsia"/>
        </w:rPr>
        <w:t>4、本人不会因职务变更、离职等原因而拒绝履行上述承诺。</w:t>
      </w:r>
    </w:p>
    <w:p w:rsidR="00597370" w:rsidRDefault="003C2EEE">
      <w:pPr>
        <w:pStyle w:val="affc"/>
        <w:adjustRightInd w:val="0"/>
        <w:snapToGrid w:val="0"/>
        <w:spacing w:beforeLines="0" w:after="0" w:afterAutospacing="0"/>
        <w:ind w:firstLine="420"/>
      </w:pPr>
      <w:r>
        <w:rPr>
          <w:rFonts w:hint="eastAsia"/>
        </w:rPr>
        <w:t>5、法律、行政法规、中国证监会行政规章、证券交易所业务规则及其他规范性文件对本人转让公司股份存在其他限制的，本人承诺同意一并遵守。在本人持股期间，</w:t>
      </w:r>
      <w:proofErr w:type="gramStart"/>
      <w:r>
        <w:rPr>
          <w:rFonts w:hint="eastAsia"/>
        </w:rPr>
        <w:t>若股份</w:t>
      </w:r>
      <w:proofErr w:type="gramEnd"/>
      <w:r>
        <w:rPr>
          <w:rFonts w:hint="eastAsia"/>
        </w:rPr>
        <w:t>锁定和减持的法律、法规、规范性文件、政策及证券监管机构的要求发生变化，则本人愿意自动适用变更后的法律、法规、规范性文件、政策及证券监管机构的要求。”</w:t>
      </w:r>
    </w:p>
    <w:p w:rsidR="00597370" w:rsidRDefault="003C2EEE">
      <w:pPr>
        <w:pStyle w:val="affc"/>
        <w:adjustRightInd w:val="0"/>
        <w:snapToGrid w:val="0"/>
        <w:spacing w:beforeLines="0" w:after="0" w:afterAutospacing="0"/>
        <w:ind w:firstLine="420"/>
      </w:pPr>
      <w:r>
        <w:rPr>
          <w:rFonts w:hint="eastAsia"/>
        </w:rPr>
        <w:t>注2：关于持股5%以上股东的减持意向承诺</w:t>
      </w:r>
    </w:p>
    <w:p w:rsidR="00597370" w:rsidRDefault="003C2EEE">
      <w:pPr>
        <w:pStyle w:val="affc"/>
        <w:adjustRightInd w:val="0"/>
        <w:snapToGrid w:val="0"/>
        <w:spacing w:beforeLines="0" w:after="0" w:afterAutospacing="0"/>
        <w:ind w:firstLine="420"/>
      </w:pPr>
      <w:r>
        <w:rPr>
          <w:rFonts w:hint="eastAsia"/>
        </w:rPr>
        <w:t>1、公司控股股东、实际控制人杨泽民、秦惠兰，公司持股5%以上股东、实际控制人杨耀、杨秦，公司实际控制人一致行动人杨厚群、秦勇、杨小林、皮天彬、隆志</w:t>
      </w:r>
      <w:proofErr w:type="gramStart"/>
      <w:r>
        <w:rPr>
          <w:rFonts w:hint="eastAsia"/>
        </w:rPr>
        <w:t>钢分别</w:t>
      </w:r>
      <w:proofErr w:type="gramEnd"/>
      <w:r>
        <w:rPr>
          <w:rFonts w:hint="eastAsia"/>
        </w:rPr>
        <w:t>承诺：</w:t>
      </w:r>
    </w:p>
    <w:p w:rsidR="00597370" w:rsidRDefault="003C2EEE">
      <w:pPr>
        <w:pStyle w:val="affc"/>
        <w:adjustRightInd w:val="0"/>
        <w:snapToGrid w:val="0"/>
        <w:spacing w:beforeLines="0" w:after="0" w:afterAutospacing="0"/>
        <w:ind w:firstLine="420"/>
      </w:pPr>
      <w:r>
        <w:rPr>
          <w:rFonts w:hint="eastAsia"/>
        </w:rPr>
        <w:t>“1、本人持续看好公司业务前景，拟长期持有公司股票。</w:t>
      </w:r>
    </w:p>
    <w:p w:rsidR="00597370" w:rsidRDefault="003C2EEE">
      <w:pPr>
        <w:pStyle w:val="affc"/>
        <w:adjustRightInd w:val="0"/>
        <w:snapToGrid w:val="0"/>
        <w:spacing w:beforeLines="0" w:after="0" w:afterAutospacing="0"/>
        <w:ind w:firstLine="420"/>
      </w:pPr>
      <w:r>
        <w:rPr>
          <w:rFonts w:hint="eastAsia"/>
        </w:rPr>
        <w:t>2、减持前提：如果在锁定期满后拟减持股票的，将认真遵守中国证监会、证券交易所关于股东减持的相关规定，结合公司稳定股价、开展经营、资本运作的需要，审慎制定股票减持计划，在股票锁定期满后逐步减持，且不违反在公司首次公开发行时所</w:t>
      </w:r>
      <w:proofErr w:type="gramStart"/>
      <w:r>
        <w:rPr>
          <w:rFonts w:hint="eastAsia"/>
        </w:rPr>
        <w:t>作出</w:t>
      </w:r>
      <w:proofErr w:type="gramEnd"/>
      <w:r>
        <w:rPr>
          <w:rFonts w:hint="eastAsia"/>
        </w:rPr>
        <w:t>的公开承诺。</w:t>
      </w:r>
    </w:p>
    <w:p w:rsidR="00597370" w:rsidRDefault="003C2EEE">
      <w:pPr>
        <w:pStyle w:val="affc"/>
        <w:adjustRightInd w:val="0"/>
        <w:snapToGrid w:val="0"/>
        <w:spacing w:beforeLines="0" w:after="0" w:afterAutospacing="0"/>
        <w:ind w:firstLine="420"/>
      </w:pPr>
      <w:r>
        <w:rPr>
          <w:rFonts w:hint="eastAsia"/>
        </w:rPr>
        <w:t>3、减持方式：本人减持所持有的公司股份的方式应符合届时适用的相关法律、法规、规章及规范性文件的规定，包括但不限于二级市场集中竞价交易、大宗交易、协议转让等。</w:t>
      </w:r>
    </w:p>
    <w:p w:rsidR="00597370" w:rsidRDefault="003C2EEE">
      <w:pPr>
        <w:pStyle w:val="affc"/>
        <w:adjustRightInd w:val="0"/>
        <w:snapToGrid w:val="0"/>
        <w:spacing w:beforeLines="0" w:after="0" w:afterAutospacing="0"/>
        <w:ind w:firstLine="420"/>
      </w:pPr>
      <w:r>
        <w:rPr>
          <w:rFonts w:hint="eastAsia"/>
        </w:rPr>
        <w:lastRenderedPageBreak/>
        <w:t>4、减持价格：本人所持股票在锁定期满后两年内减持的，减</w:t>
      </w:r>
      <w:proofErr w:type="gramStart"/>
      <w:r>
        <w:rPr>
          <w:rFonts w:hint="eastAsia"/>
        </w:rPr>
        <w:t>持价格</w:t>
      </w:r>
      <w:proofErr w:type="gramEnd"/>
      <w:r>
        <w:rPr>
          <w:rFonts w:hint="eastAsia"/>
        </w:rPr>
        <w:t>不低于公司首次公开发行股票时的发行价，若公司自股票上市至本人减持前有派息、送股、资本公积金转增股本、增发、配股等除权、除息事项，减</w:t>
      </w:r>
      <w:proofErr w:type="gramStart"/>
      <w:r>
        <w:rPr>
          <w:rFonts w:hint="eastAsia"/>
        </w:rPr>
        <w:t>持价格</w:t>
      </w:r>
      <w:proofErr w:type="gramEnd"/>
      <w:r>
        <w:rPr>
          <w:rFonts w:hint="eastAsia"/>
        </w:rPr>
        <w:t>下限和股份数将相应进行调整。若本人所持股票在锁定期满后两年内减</w:t>
      </w:r>
      <w:proofErr w:type="gramStart"/>
      <w:r>
        <w:rPr>
          <w:rFonts w:hint="eastAsia"/>
        </w:rPr>
        <w:t>持价格</w:t>
      </w:r>
      <w:proofErr w:type="gramEnd"/>
      <w:r>
        <w:rPr>
          <w:rFonts w:hint="eastAsia"/>
        </w:rPr>
        <w:t>低于发行价的，则减</w:t>
      </w:r>
      <w:proofErr w:type="gramStart"/>
      <w:r>
        <w:rPr>
          <w:rFonts w:hint="eastAsia"/>
        </w:rPr>
        <w:t>持价格</w:t>
      </w:r>
      <w:proofErr w:type="gramEnd"/>
      <w:r>
        <w:rPr>
          <w:rFonts w:hint="eastAsia"/>
        </w:rPr>
        <w:t>与发行价之间的差额由公司在现金分红时从本人应获得分配的当年及以后年度的现金分红中予以先行扣除，且扣除的现金分红归公司所有。</w:t>
      </w:r>
    </w:p>
    <w:p w:rsidR="00597370" w:rsidRDefault="003C2EEE">
      <w:pPr>
        <w:pStyle w:val="affc"/>
        <w:adjustRightInd w:val="0"/>
        <w:snapToGrid w:val="0"/>
        <w:spacing w:beforeLines="0" w:after="0" w:afterAutospacing="0"/>
        <w:ind w:firstLine="420"/>
      </w:pPr>
      <w:r>
        <w:rPr>
          <w:rFonts w:hint="eastAsia"/>
        </w:rPr>
        <w:t>5、减持公告：本人通过集中竞价交易方式减持的，应在首次卖出股份的15个交易日前向证券交易所报告备案减持计划，并予以公告。但届时本人持有公司股份比例低于5%时除外。本人通过其他方式减持公司股票，将提前3个交易日，并按照证券监管机构、证券交易所届时适用的规则及时、准确地履行信息披露义务。</w:t>
      </w:r>
    </w:p>
    <w:p w:rsidR="00597370" w:rsidRDefault="003C2EEE">
      <w:pPr>
        <w:pStyle w:val="affc"/>
        <w:adjustRightInd w:val="0"/>
        <w:snapToGrid w:val="0"/>
        <w:spacing w:beforeLines="0" w:after="0" w:afterAutospacing="0"/>
        <w:ind w:firstLine="420"/>
      </w:pPr>
      <w:r>
        <w:rPr>
          <w:rFonts w:hint="eastAsia"/>
        </w:rPr>
        <w:t>6、除上述限制外，本次发行上市后本人所持有公司股份的持股变动及申报工作将严格遵守《中华人民共和国公司法》《上海证券交易所股票上市规则》《上海证券交易所上市公司股东及董事、监事、高级管理人员减持股份实施细则》及其他法律、行政法规及规范性文件的相关规定。</w:t>
      </w:r>
    </w:p>
    <w:p w:rsidR="00597370" w:rsidRDefault="003C2EEE">
      <w:pPr>
        <w:pStyle w:val="affc"/>
        <w:adjustRightInd w:val="0"/>
        <w:snapToGrid w:val="0"/>
        <w:spacing w:beforeLines="0" w:after="0" w:afterAutospacing="0"/>
        <w:ind w:firstLine="420"/>
      </w:pPr>
      <w:r>
        <w:rPr>
          <w:rFonts w:hint="eastAsia"/>
        </w:rPr>
        <w:t>7、本人如未履行上述减持意向的承诺事项，将在公司股东大会及中国证监会指定的披露媒体上公开说明未履行承诺的具体原因并向公司的其他股东和社会公众投资者道歉；因违反上述承诺减持股票获得的收益归公司所有。”</w:t>
      </w:r>
    </w:p>
    <w:p w:rsidR="00597370" w:rsidRDefault="003C2EEE">
      <w:pPr>
        <w:pStyle w:val="affc"/>
        <w:adjustRightInd w:val="0"/>
        <w:snapToGrid w:val="0"/>
        <w:spacing w:beforeLines="0" w:after="0" w:afterAutospacing="0"/>
        <w:ind w:firstLine="420"/>
      </w:pPr>
      <w:r>
        <w:rPr>
          <w:rFonts w:hint="eastAsia"/>
        </w:rPr>
        <w:t>2、公司持股5%以上股东平潭普思广和一号股权投资合伙企业（有限合伙）承诺：</w:t>
      </w:r>
    </w:p>
    <w:p w:rsidR="00597370" w:rsidRDefault="003C2EEE">
      <w:pPr>
        <w:pStyle w:val="affc"/>
        <w:adjustRightInd w:val="0"/>
        <w:snapToGrid w:val="0"/>
        <w:spacing w:beforeLines="0" w:after="0" w:afterAutospacing="0"/>
        <w:ind w:firstLine="420"/>
      </w:pPr>
      <w:r>
        <w:rPr>
          <w:rFonts w:hint="eastAsia"/>
        </w:rPr>
        <w:t>“1、本企业所持公司股票在锁定期满后两年内，本企业将根据自身需要选择法律、法规规定的方式减持，减持股份数量最高可至本企业持有公司股份总数的100%。</w:t>
      </w:r>
    </w:p>
    <w:p w:rsidR="00597370" w:rsidRDefault="003C2EEE">
      <w:pPr>
        <w:pStyle w:val="affc"/>
        <w:adjustRightInd w:val="0"/>
        <w:snapToGrid w:val="0"/>
        <w:spacing w:beforeLines="0" w:after="0" w:afterAutospacing="0"/>
        <w:ind w:firstLine="420"/>
      </w:pPr>
      <w:r>
        <w:rPr>
          <w:rFonts w:hint="eastAsia"/>
        </w:rPr>
        <w:t>2、减持前提：如果在锁定期满后拟减持股票的，将认真遵守中国证监会、证券交易所关于股东减持的相关规定，结合公司稳定股价、开展经营、资本运作的需要，审慎制定股票减持计划，在股票锁定期满后逐步减持，且不违反在公司首次公开发行时所</w:t>
      </w:r>
      <w:proofErr w:type="gramStart"/>
      <w:r>
        <w:rPr>
          <w:rFonts w:hint="eastAsia"/>
        </w:rPr>
        <w:t>作出</w:t>
      </w:r>
      <w:proofErr w:type="gramEnd"/>
      <w:r>
        <w:rPr>
          <w:rFonts w:hint="eastAsia"/>
        </w:rPr>
        <w:t>的公开承诺。</w:t>
      </w:r>
    </w:p>
    <w:p w:rsidR="00597370" w:rsidRDefault="003C2EEE">
      <w:pPr>
        <w:pStyle w:val="affc"/>
        <w:adjustRightInd w:val="0"/>
        <w:snapToGrid w:val="0"/>
        <w:spacing w:beforeLines="0" w:after="0" w:afterAutospacing="0"/>
        <w:ind w:firstLine="420"/>
      </w:pPr>
      <w:r>
        <w:rPr>
          <w:rFonts w:hint="eastAsia"/>
        </w:rPr>
        <w:t>3、减持方式：本企业减持所持有的公司股份的方式应符合届时适用的相关法律、法规、规章及规范性文件的规定，包括但不限于二级市场集中竞价交易、大宗交易、协议转让等。</w:t>
      </w:r>
    </w:p>
    <w:p w:rsidR="00597370" w:rsidRDefault="003C2EEE">
      <w:pPr>
        <w:pStyle w:val="affc"/>
        <w:adjustRightInd w:val="0"/>
        <w:snapToGrid w:val="0"/>
        <w:spacing w:beforeLines="0" w:after="0" w:afterAutospacing="0"/>
        <w:ind w:firstLine="420"/>
      </w:pPr>
      <w:r>
        <w:rPr>
          <w:rFonts w:hint="eastAsia"/>
        </w:rPr>
        <w:t>4、减持价格：本人所持股票在锁定期满后两年内减持的，减</w:t>
      </w:r>
      <w:proofErr w:type="gramStart"/>
      <w:r>
        <w:rPr>
          <w:rFonts w:hint="eastAsia"/>
        </w:rPr>
        <w:t>持价格</w:t>
      </w:r>
      <w:proofErr w:type="gramEnd"/>
      <w:r>
        <w:rPr>
          <w:rFonts w:hint="eastAsia"/>
        </w:rPr>
        <w:t>不低于公司首次公开发行股票时的发行价，若公司自股票上市至本企业减持前有派息、送股、资本公积金转增股本、增发、配股等除权、除息事项，减</w:t>
      </w:r>
      <w:proofErr w:type="gramStart"/>
      <w:r>
        <w:rPr>
          <w:rFonts w:hint="eastAsia"/>
        </w:rPr>
        <w:t>持价格</w:t>
      </w:r>
      <w:proofErr w:type="gramEnd"/>
      <w:r>
        <w:rPr>
          <w:rFonts w:hint="eastAsia"/>
        </w:rPr>
        <w:t>下限和股份数将相应进行调整。若本企业所持股票在锁定期满后两年内减</w:t>
      </w:r>
      <w:proofErr w:type="gramStart"/>
      <w:r>
        <w:rPr>
          <w:rFonts w:hint="eastAsia"/>
        </w:rPr>
        <w:t>持价格</w:t>
      </w:r>
      <w:proofErr w:type="gramEnd"/>
      <w:r>
        <w:rPr>
          <w:rFonts w:hint="eastAsia"/>
        </w:rPr>
        <w:t>低于发行价的，则减</w:t>
      </w:r>
      <w:proofErr w:type="gramStart"/>
      <w:r>
        <w:rPr>
          <w:rFonts w:hint="eastAsia"/>
        </w:rPr>
        <w:t>持价格</w:t>
      </w:r>
      <w:proofErr w:type="gramEnd"/>
      <w:r>
        <w:rPr>
          <w:rFonts w:hint="eastAsia"/>
        </w:rPr>
        <w:t>与发行价之间的差额由公司在现金分红时从本企业应获得分配的当年及以后年度的现金分红中予以先行扣除，且扣除</w:t>
      </w:r>
      <w:r>
        <w:rPr>
          <w:rFonts w:hint="eastAsia"/>
        </w:rPr>
        <w:lastRenderedPageBreak/>
        <w:t>的现金分红归公司所有。</w:t>
      </w:r>
    </w:p>
    <w:p w:rsidR="00597370" w:rsidRDefault="003C2EEE">
      <w:pPr>
        <w:pStyle w:val="affc"/>
        <w:adjustRightInd w:val="0"/>
        <w:snapToGrid w:val="0"/>
        <w:spacing w:beforeLines="0" w:after="0" w:afterAutospacing="0"/>
        <w:ind w:firstLine="420"/>
      </w:pPr>
      <w:r>
        <w:rPr>
          <w:rFonts w:hint="eastAsia"/>
        </w:rPr>
        <w:t>5、减持公告：本企业通过集中竞价交易方式减持的，应在首次卖出股份的15个交易日前向证券交易所报告备案减持计划，并予以公告。但届时本企业持有公司股份比例低于5%时除外。本企业通过其他方式减持公司股票，将提前3个交易日，并按照证券监管机构、证券交易所届时适用的规则及时、准确地履行信息披露义务。</w:t>
      </w:r>
    </w:p>
    <w:p w:rsidR="00597370" w:rsidRDefault="003C2EEE">
      <w:pPr>
        <w:pStyle w:val="affc"/>
        <w:adjustRightInd w:val="0"/>
        <w:snapToGrid w:val="0"/>
        <w:spacing w:beforeLines="0" w:after="0" w:afterAutospacing="0"/>
        <w:ind w:firstLine="420"/>
      </w:pPr>
      <w:r>
        <w:rPr>
          <w:rFonts w:hint="eastAsia"/>
        </w:rPr>
        <w:t>6、除上述限制外，本次发行上市后本企业所持有公司股份的持股变动及申报工作将严格遵守《中华人民共和国公司法》《上海证券交易所股票上市规则》《上海证券交易所上市公司股东及董事、监事、高级管理人员减持股份实施细则》及其他法律、行政法规及规范性文件的相关规定。</w:t>
      </w:r>
    </w:p>
    <w:p w:rsidR="00597370" w:rsidRDefault="003C2EEE">
      <w:pPr>
        <w:pStyle w:val="affc"/>
        <w:adjustRightInd w:val="0"/>
        <w:snapToGrid w:val="0"/>
        <w:spacing w:beforeLines="0" w:after="0" w:afterAutospacing="0"/>
        <w:ind w:firstLine="420"/>
      </w:pPr>
      <w:r>
        <w:rPr>
          <w:rFonts w:hint="eastAsia"/>
        </w:rPr>
        <w:t>7、本企业如未履行上述减持意向的承诺事项，将在公司股东大会及中国证监会指定的披露媒体上公开说明未履行承诺的具体原因并向公司的其他股东和社会公众投资者道歉；因违反上述承诺减持股票获得的收益归公司所有。”</w:t>
      </w:r>
    </w:p>
    <w:p w:rsidR="00597370" w:rsidRDefault="003C2EEE">
      <w:pPr>
        <w:pStyle w:val="affc"/>
        <w:adjustRightInd w:val="0"/>
        <w:snapToGrid w:val="0"/>
        <w:spacing w:beforeLines="0" w:after="0" w:afterAutospacing="0"/>
        <w:ind w:firstLine="420"/>
      </w:pPr>
      <w:r>
        <w:rPr>
          <w:rFonts w:hint="eastAsia"/>
        </w:rPr>
        <w:t>注3：关于摊薄即期回报采取填补措施的承诺</w:t>
      </w:r>
    </w:p>
    <w:p w:rsidR="00597370" w:rsidRDefault="003C2EEE">
      <w:pPr>
        <w:pStyle w:val="affc"/>
        <w:adjustRightInd w:val="0"/>
        <w:snapToGrid w:val="0"/>
        <w:spacing w:beforeLines="0" w:after="0" w:afterAutospacing="0"/>
        <w:ind w:firstLine="420"/>
      </w:pPr>
      <w:r>
        <w:rPr>
          <w:rFonts w:hint="eastAsia"/>
        </w:rPr>
        <w:t>1、公司承诺：</w:t>
      </w:r>
    </w:p>
    <w:p w:rsidR="00597370" w:rsidRDefault="003C2EEE">
      <w:pPr>
        <w:pStyle w:val="affc"/>
        <w:adjustRightInd w:val="0"/>
        <w:snapToGrid w:val="0"/>
        <w:spacing w:beforeLines="0" w:after="0" w:afterAutospacing="0"/>
        <w:ind w:firstLine="420"/>
      </w:pPr>
      <w:r>
        <w:rPr>
          <w:rFonts w:hint="eastAsia"/>
        </w:rPr>
        <w:t>“1、迅速提升公司整体实力，扩大公司业务规模</w:t>
      </w:r>
    </w:p>
    <w:p w:rsidR="00597370" w:rsidRDefault="003C2EEE">
      <w:pPr>
        <w:pStyle w:val="affc"/>
        <w:adjustRightInd w:val="0"/>
        <w:snapToGrid w:val="0"/>
        <w:spacing w:beforeLines="0" w:after="0" w:afterAutospacing="0"/>
        <w:ind w:firstLine="420"/>
      </w:pPr>
      <w:r>
        <w:rPr>
          <w:rFonts w:hint="eastAsia"/>
        </w:rPr>
        <w:t>公司首次公开发行股票并上市完成后，公司的总资产将大幅度增加，抗风险能力和综合实力明显增强，市场价值明显提升。公司将借助资本市场和良好的发展机遇，不断拓展公司主营业务规模，充分发挥公司在客户忠诚</w:t>
      </w:r>
      <w:proofErr w:type="gramStart"/>
      <w:r>
        <w:rPr>
          <w:rFonts w:hint="eastAsia"/>
        </w:rPr>
        <w:t>度领域</w:t>
      </w:r>
      <w:proofErr w:type="gramEnd"/>
      <w:r>
        <w:rPr>
          <w:rFonts w:hint="eastAsia"/>
        </w:rPr>
        <w:t>的优势地位，推动公司持续、健康、稳定的发展。</w:t>
      </w:r>
    </w:p>
    <w:p w:rsidR="00597370" w:rsidRDefault="003C2EEE">
      <w:pPr>
        <w:pStyle w:val="affc"/>
        <w:adjustRightInd w:val="0"/>
        <w:snapToGrid w:val="0"/>
        <w:spacing w:beforeLines="0" w:after="0" w:afterAutospacing="0"/>
        <w:ind w:firstLine="420"/>
      </w:pPr>
      <w:r>
        <w:rPr>
          <w:rFonts w:hint="eastAsia"/>
        </w:rPr>
        <w:t>2、全面提升公司管理水平，提高资金使用效率</w:t>
      </w:r>
    </w:p>
    <w:p w:rsidR="00597370" w:rsidRDefault="003C2EEE">
      <w:pPr>
        <w:pStyle w:val="affc"/>
        <w:adjustRightInd w:val="0"/>
        <w:snapToGrid w:val="0"/>
        <w:spacing w:beforeLines="0" w:after="0" w:afterAutospacing="0"/>
        <w:ind w:firstLine="420"/>
      </w:pPr>
      <w:r>
        <w:rPr>
          <w:rFonts w:hint="eastAsia"/>
        </w:rPr>
        <w:t>公司将采取措施努力提高运营效率，加强预算管理，控制公司的各项费用支出，提升资金使用效率，全面有效地控制公司经营和管理风险，提升公司的经营效率和盈利能力。此外，公司将积极完善</w:t>
      </w:r>
      <w:proofErr w:type="gramStart"/>
      <w:r>
        <w:rPr>
          <w:rFonts w:hint="eastAsia"/>
        </w:rPr>
        <w:t>薪</w:t>
      </w:r>
      <w:proofErr w:type="gramEnd"/>
      <w:r>
        <w:rPr>
          <w:rFonts w:hint="eastAsia"/>
        </w:rPr>
        <w:t>酬和激励机制，引进市场优秀人才，最大限度的激发员工工作的积极性，充分提升员工创新意识，发挥员工的创造力。通过以上措施，公司将全面提升公司的运营效率，降低成本，进一步提升公司的经营业绩。</w:t>
      </w:r>
    </w:p>
    <w:p w:rsidR="00597370" w:rsidRDefault="003C2EEE">
      <w:pPr>
        <w:pStyle w:val="affc"/>
        <w:adjustRightInd w:val="0"/>
        <w:snapToGrid w:val="0"/>
        <w:spacing w:beforeLines="0" w:after="0" w:afterAutospacing="0"/>
        <w:ind w:firstLine="420"/>
      </w:pPr>
      <w:r>
        <w:rPr>
          <w:rFonts w:hint="eastAsia"/>
        </w:rPr>
        <w:t>3、加快募集资金投资项目建设，加强募集资金管理</w:t>
      </w:r>
    </w:p>
    <w:p w:rsidR="00597370" w:rsidRDefault="003C2EEE">
      <w:pPr>
        <w:pStyle w:val="affc"/>
        <w:adjustRightInd w:val="0"/>
        <w:snapToGrid w:val="0"/>
        <w:spacing w:beforeLines="0" w:after="0" w:afterAutospacing="0"/>
        <w:ind w:firstLine="420"/>
      </w:pPr>
      <w:r>
        <w:rPr>
          <w:rFonts w:hint="eastAsia"/>
        </w:rPr>
        <w:t>公司本次发行募集资金投资项目符合国家产业政策和公司的发展战略，具有良好的市场前景和经济效益。公司将结合自身的实际情况和需要，积极实施募集资金投资项目建设，争取早日建成并实现预期效益，增强以后年度的股东回报，降低本次发行导致的股东即期回报被摊薄的风险。公司将严格按照上海证券交易所关于募集资金管理的相关规定，将募集资金存放于董事会指定的专项账户，专户存储，专款专用，严格规范募集资金的管理和使用，</w:t>
      </w:r>
      <w:r>
        <w:rPr>
          <w:rFonts w:hint="eastAsia"/>
        </w:rPr>
        <w:lastRenderedPageBreak/>
        <w:t>保障募集资金得到充分、有效的利用。</w:t>
      </w:r>
    </w:p>
    <w:p w:rsidR="00597370" w:rsidRDefault="003C2EEE">
      <w:pPr>
        <w:pStyle w:val="affc"/>
        <w:adjustRightInd w:val="0"/>
        <w:snapToGrid w:val="0"/>
        <w:spacing w:beforeLines="0" w:after="0" w:afterAutospacing="0"/>
        <w:ind w:firstLine="420"/>
      </w:pPr>
      <w:r>
        <w:rPr>
          <w:rFonts w:hint="eastAsia"/>
        </w:rPr>
        <w:t>4、完善利润分配机制，强化投资者回报</w:t>
      </w:r>
    </w:p>
    <w:p w:rsidR="00597370" w:rsidRDefault="003C2EEE">
      <w:pPr>
        <w:pStyle w:val="affc"/>
        <w:adjustRightInd w:val="0"/>
        <w:snapToGrid w:val="0"/>
        <w:spacing w:beforeLines="0" w:after="0" w:afterAutospacing="0"/>
        <w:ind w:firstLine="420"/>
      </w:pPr>
      <w:r>
        <w:rPr>
          <w:rFonts w:hint="eastAsia"/>
        </w:rPr>
        <w:t>公司已根据中国证监会的相关规定制定了《重庆望变电气（集团）股份有限公司上市后三年股东分红回报规划》，明确了分红的原则、形式、条件、比例、决策程序和机制等，建立了较为完善的利润分配制度。未来，公司将进一步按照中国证监会的要求和公司自身的实际情况完善利润分配机制，强化投资者回报。”</w:t>
      </w:r>
    </w:p>
    <w:p w:rsidR="00597370" w:rsidRDefault="003C2EEE">
      <w:pPr>
        <w:pStyle w:val="affc"/>
        <w:adjustRightInd w:val="0"/>
        <w:snapToGrid w:val="0"/>
        <w:spacing w:beforeLines="0" w:after="0" w:afterAutospacing="0"/>
        <w:ind w:firstLine="420"/>
      </w:pPr>
      <w:r>
        <w:rPr>
          <w:rFonts w:hint="eastAsia"/>
        </w:rPr>
        <w:t>2、公司控股股东、实际控制人、董事长、总经理杨泽民承诺：</w:t>
      </w:r>
    </w:p>
    <w:p w:rsidR="00597370" w:rsidRDefault="003C2EEE">
      <w:pPr>
        <w:pStyle w:val="affc"/>
        <w:adjustRightInd w:val="0"/>
        <w:snapToGrid w:val="0"/>
        <w:spacing w:beforeLines="0" w:after="0" w:afterAutospacing="0"/>
        <w:ind w:firstLine="420"/>
      </w:pPr>
      <w:r>
        <w:rPr>
          <w:rFonts w:hint="eastAsia"/>
        </w:rPr>
        <w:t>“1、承诺将严格执行关于上市公司治理的各项法律、法规、规章制度，保护公司和公众利益，加强公司独立性，完善公司治理，不越权干预公司经营管理活动；2、承诺不以任何方式侵占公司利益；3、</w:t>
      </w:r>
      <w:proofErr w:type="gramStart"/>
      <w:r>
        <w:rPr>
          <w:rFonts w:hint="eastAsia"/>
        </w:rPr>
        <w:t>不</w:t>
      </w:r>
      <w:proofErr w:type="gramEnd"/>
      <w:r>
        <w:rPr>
          <w:rFonts w:hint="eastAsia"/>
        </w:rPr>
        <w:t>无偿或以不公平条件向其他单位或者个人输送利益，也不采用其他方式损害公司利益；4、对职务消费行为进行约束；5、不动用公司资产从事与履行职责无关的投资、消费活动；6、在自身职责和权限范围内，全力促使公司董事会或者薪酬与考核委员会制定的薪酬制度与公司填补回报措施的执行情况相挂钩，并对公司董事会和股东大会审议的相关议案投票赞成（如有表决权）；7、如果公司未来拟实施股权激励，在自身职责和权限范围内，全力促使公司</w:t>
      </w:r>
      <w:proofErr w:type="gramStart"/>
      <w:r>
        <w:rPr>
          <w:rFonts w:hint="eastAsia"/>
        </w:rPr>
        <w:t>拟公布</w:t>
      </w:r>
      <w:proofErr w:type="gramEnd"/>
      <w:r>
        <w:rPr>
          <w:rFonts w:hint="eastAsia"/>
        </w:rPr>
        <w:t>的股权激励行权条件与公司填补回报措施的执行情况相挂钩，并对公司董事会和股东大会审议的相关议案投票赞成（如有表决权）；8、在中国证监会、证券交易所另行发布摊薄即期填补回报措施及其承诺的相关意见及实施细则后，使得公司的相关规定及上述承诺与该等规定不符时，承诺将立即按照中国证监会及证券交易所的规定出具补充承诺，并积极推进公司</w:t>
      </w:r>
      <w:proofErr w:type="gramStart"/>
      <w:r>
        <w:rPr>
          <w:rFonts w:hint="eastAsia"/>
        </w:rPr>
        <w:t>作出</w:t>
      </w:r>
      <w:proofErr w:type="gramEnd"/>
      <w:r>
        <w:rPr>
          <w:rFonts w:hint="eastAsia"/>
        </w:rPr>
        <w:t>新的规定，以符合中国证监会及证券交易所的要求；9、全面、完整、及时履行公司制定的有关填补被摊薄即期回报措施以及公司对此</w:t>
      </w:r>
      <w:proofErr w:type="gramStart"/>
      <w:r>
        <w:rPr>
          <w:rFonts w:hint="eastAsia"/>
        </w:rPr>
        <w:t>作出</w:t>
      </w:r>
      <w:proofErr w:type="gramEnd"/>
      <w:r>
        <w:rPr>
          <w:rFonts w:hint="eastAsia"/>
        </w:rPr>
        <w:t>的任何有关填补被摊薄即期回报措施的承诺；10、若本人违反前述承诺或拒不履行前述承诺的，本人将在公司股东大会及中国证监会指定媒体上公开说明未履行承诺的具体原因并向股东和社会公众投资者道歉；对公司或其他股东造成损失的，本人将依法给予赔偿；11、若上述承诺适用的法律、法规、规范性文件、政策及证券监管机构的要求发生变化，则本人愿意自动适用变更后的法律、法规、规范性文件、政策及证券监管机构的要求。”</w:t>
      </w:r>
    </w:p>
    <w:p w:rsidR="00597370" w:rsidRDefault="003C2EEE">
      <w:pPr>
        <w:pStyle w:val="affc"/>
        <w:adjustRightInd w:val="0"/>
        <w:snapToGrid w:val="0"/>
        <w:spacing w:beforeLines="0" w:after="0" w:afterAutospacing="0"/>
        <w:ind w:firstLine="420"/>
      </w:pPr>
      <w:r>
        <w:rPr>
          <w:rFonts w:hint="eastAsia"/>
        </w:rPr>
        <w:t>3、公司控股股东、实际控制人秦惠兰，公司实际控制人杨耀、杨秦分别承诺：</w:t>
      </w:r>
    </w:p>
    <w:p w:rsidR="00597370" w:rsidRDefault="003C2EEE">
      <w:pPr>
        <w:pStyle w:val="affc"/>
        <w:adjustRightInd w:val="0"/>
        <w:snapToGrid w:val="0"/>
        <w:spacing w:beforeLines="0" w:after="0" w:afterAutospacing="0"/>
        <w:ind w:firstLine="420"/>
      </w:pPr>
      <w:r>
        <w:rPr>
          <w:rFonts w:hint="eastAsia"/>
        </w:rPr>
        <w:t>“1、承诺将严格执行关于上市公司治理的各项法律、法规、规章制度，保护公司和公众利益，加强公司独立性，完善公司治理，不越权干预公司经营管理活动；2、承诺不以任何方式侵占公司利益；3、若本人违反前述承诺或拒不履行前述承诺的，本人将在公司股东大会及中国证监会指定媒体上公开说明未履行承诺的具体原因并向股东和社会公众投资者道歉；对公司或其他股东造成损失的，本人将依法给予赔偿；4、若上述承诺适用的法律、法规、</w:t>
      </w:r>
      <w:r>
        <w:rPr>
          <w:rFonts w:hint="eastAsia"/>
        </w:rPr>
        <w:lastRenderedPageBreak/>
        <w:t>规范性文件、政策及证券监管机构的要求发生变化，则本人愿意自动适用变更后的法律、法规、规范性文件、政策及证券监管机构的要求。”</w:t>
      </w:r>
    </w:p>
    <w:p w:rsidR="00597370" w:rsidRDefault="003C2EEE">
      <w:pPr>
        <w:pStyle w:val="affc"/>
        <w:adjustRightInd w:val="0"/>
        <w:snapToGrid w:val="0"/>
        <w:spacing w:beforeLines="0" w:after="0" w:afterAutospacing="0"/>
        <w:ind w:firstLine="420"/>
      </w:pPr>
      <w:r>
        <w:rPr>
          <w:rFonts w:hint="eastAsia"/>
        </w:rPr>
        <w:t>4、公司全体董事（杨泽民除外）、高级管理人员分别承诺：</w:t>
      </w:r>
    </w:p>
    <w:p w:rsidR="00597370" w:rsidRDefault="003C2EEE">
      <w:pPr>
        <w:pStyle w:val="affc"/>
        <w:adjustRightInd w:val="0"/>
        <w:snapToGrid w:val="0"/>
        <w:spacing w:beforeLines="0" w:after="0" w:afterAutospacing="0"/>
        <w:ind w:firstLine="420"/>
      </w:pPr>
      <w:r>
        <w:rPr>
          <w:rFonts w:hint="eastAsia"/>
        </w:rPr>
        <w:t>“1、</w:t>
      </w:r>
      <w:proofErr w:type="gramStart"/>
      <w:r>
        <w:rPr>
          <w:rFonts w:hint="eastAsia"/>
        </w:rPr>
        <w:t>不</w:t>
      </w:r>
      <w:proofErr w:type="gramEnd"/>
      <w:r>
        <w:rPr>
          <w:rFonts w:hint="eastAsia"/>
        </w:rPr>
        <w:t>无偿或以不公平条件向其他单位或者个人输送利益，也不采用其他方式损害公司利益；2、对职务消费行为进行约束；3、不动用公司资产从事与履行职责无关的投资、消费活动；4、在自身职责和权限范围内，全力促使公司董事会或者薪酬与考核委员会制定的薪酬制度与公司填补回报措施的执行情况相挂钩，并对公司董事会和股东大会审议的相关议案投票赞成（如有表决权）；5、如果公司未来拟实施股权激励，在自身职责和权限范围内，全力促使公司</w:t>
      </w:r>
      <w:proofErr w:type="gramStart"/>
      <w:r>
        <w:rPr>
          <w:rFonts w:hint="eastAsia"/>
        </w:rPr>
        <w:t>拟公布</w:t>
      </w:r>
      <w:proofErr w:type="gramEnd"/>
      <w:r>
        <w:rPr>
          <w:rFonts w:hint="eastAsia"/>
        </w:rPr>
        <w:t>的股权激励行权条件与公司填补回报措施的执行情况相挂钩，并对公司董事会和股东大会审议的相关议案投票赞成（如有表决权）；6、在中国证监会、证券交易所另行发布摊薄即期填补回报措施及其承诺的相关意见及实施细则后，使得公司的相关规定及上述承诺与该等规定不符时，承诺将立即按照中国证监会及证券交易所的规定出具补充承诺，并积极推进公司</w:t>
      </w:r>
      <w:proofErr w:type="gramStart"/>
      <w:r>
        <w:rPr>
          <w:rFonts w:hint="eastAsia"/>
        </w:rPr>
        <w:t>作出</w:t>
      </w:r>
      <w:proofErr w:type="gramEnd"/>
      <w:r>
        <w:rPr>
          <w:rFonts w:hint="eastAsia"/>
        </w:rPr>
        <w:t>新的规定，以符合中国证监会及证券交易所的要求；7、全面、完整、及时履行公司制定的有关填补被摊薄即期回报措施以及公司对此</w:t>
      </w:r>
      <w:proofErr w:type="gramStart"/>
      <w:r>
        <w:rPr>
          <w:rFonts w:hint="eastAsia"/>
        </w:rPr>
        <w:t>作出</w:t>
      </w:r>
      <w:proofErr w:type="gramEnd"/>
      <w:r>
        <w:rPr>
          <w:rFonts w:hint="eastAsia"/>
        </w:rPr>
        <w:t>的任何有关填补被摊薄即期回报措施的承诺。</w:t>
      </w:r>
    </w:p>
    <w:p w:rsidR="00597370" w:rsidRDefault="003C2EEE">
      <w:pPr>
        <w:pStyle w:val="affc"/>
        <w:adjustRightInd w:val="0"/>
        <w:snapToGrid w:val="0"/>
        <w:spacing w:beforeLines="0" w:after="0" w:afterAutospacing="0"/>
        <w:ind w:firstLine="420"/>
      </w:pPr>
      <w:r>
        <w:rPr>
          <w:rFonts w:hint="eastAsia"/>
        </w:rPr>
        <w:t>如违反上述承诺或拒不履行上述承诺，本人同意按照中国证监会和证券交易所等证券监管机构制定或发布的有关规定、规则，对本人</w:t>
      </w:r>
      <w:proofErr w:type="gramStart"/>
      <w:r>
        <w:rPr>
          <w:rFonts w:hint="eastAsia"/>
        </w:rPr>
        <w:t>作出</w:t>
      </w:r>
      <w:proofErr w:type="gramEnd"/>
      <w:r>
        <w:rPr>
          <w:rFonts w:hint="eastAsia"/>
        </w:rPr>
        <w:t>相关处罚或采取相关管理措施。”</w:t>
      </w:r>
    </w:p>
    <w:p w:rsidR="00597370" w:rsidRDefault="003C2EEE">
      <w:pPr>
        <w:pStyle w:val="affc"/>
        <w:adjustRightInd w:val="0"/>
        <w:snapToGrid w:val="0"/>
        <w:spacing w:beforeLines="0" w:after="0" w:afterAutospacing="0"/>
        <w:ind w:firstLine="420"/>
      </w:pPr>
      <w:r>
        <w:rPr>
          <w:rFonts w:hint="eastAsia"/>
        </w:rPr>
        <w:t>注4：关于避免同业竞争的承诺</w:t>
      </w:r>
    </w:p>
    <w:p w:rsidR="00597370" w:rsidRDefault="003C2EEE">
      <w:pPr>
        <w:pStyle w:val="affc"/>
        <w:adjustRightInd w:val="0"/>
        <w:snapToGrid w:val="0"/>
        <w:spacing w:beforeLines="0" w:after="0" w:afterAutospacing="0"/>
        <w:ind w:firstLine="420"/>
      </w:pPr>
      <w:r>
        <w:rPr>
          <w:rFonts w:hint="eastAsia"/>
        </w:rPr>
        <w:t>公司控股股东、实际控制人杨泽民、秦惠兰，公司实际控制人杨耀、杨秦分别承诺：</w:t>
      </w:r>
    </w:p>
    <w:p w:rsidR="00597370" w:rsidRDefault="003C2EEE">
      <w:pPr>
        <w:pStyle w:val="affc"/>
        <w:adjustRightInd w:val="0"/>
        <w:snapToGrid w:val="0"/>
        <w:spacing w:beforeLines="0" w:after="0" w:afterAutospacing="0"/>
        <w:ind w:firstLine="420"/>
      </w:pPr>
      <w:r>
        <w:rPr>
          <w:rFonts w:hint="eastAsia"/>
        </w:rPr>
        <w:t>“1、本人及本人所控制的其他企业目前没有以任何形式于中国境内和境外从事与望变电气及其控制企业所从事的主营业务构成或可能构成直接或间接竞争关系的业务或活动。</w:t>
      </w:r>
    </w:p>
    <w:p w:rsidR="00597370" w:rsidRDefault="003C2EEE">
      <w:pPr>
        <w:pStyle w:val="affc"/>
        <w:adjustRightInd w:val="0"/>
        <w:snapToGrid w:val="0"/>
        <w:spacing w:beforeLines="0" w:after="0" w:afterAutospacing="0"/>
        <w:ind w:firstLine="420"/>
      </w:pPr>
      <w:r>
        <w:rPr>
          <w:rFonts w:hint="eastAsia"/>
        </w:rPr>
        <w:t>2、自</w:t>
      </w:r>
      <w:proofErr w:type="gramStart"/>
      <w:r>
        <w:rPr>
          <w:rFonts w:hint="eastAsia"/>
        </w:rPr>
        <w:t>本承诺函签署</w:t>
      </w:r>
      <w:proofErr w:type="gramEnd"/>
      <w:r>
        <w:rPr>
          <w:rFonts w:hint="eastAsia"/>
        </w:rPr>
        <w:t>之日起，本人及本人所控制的其他企业在中国境内和境外将继续不直接或间接从事或参与对望变电气及其控制企业从事的主营业务构成直接或间接竞争关系的业务或活动。</w:t>
      </w:r>
    </w:p>
    <w:p w:rsidR="00597370" w:rsidRDefault="003C2EEE">
      <w:pPr>
        <w:pStyle w:val="affc"/>
        <w:adjustRightInd w:val="0"/>
        <w:snapToGrid w:val="0"/>
        <w:spacing w:beforeLines="0" w:after="0" w:afterAutospacing="0"/>
        <w:ind w:firstLine="420"/>
      </w:pPr>
      <w:r>
        <w:rPr>
          <w:rFonts w:hint="eastAsia"/>
        </w:rPr>
        <w:t>3、对本人直接或间接控制的其他企业，本人将通过各公司的股东（大）会、董事会（执行董事）等公司治理机制和派出机构及人员（包括但不限于董事、高级管理人员）敦促该等企业履行</w:t>
      </w:r>
      <w:proofErr w:type="gramStart"/>
      <w:r>
        <w:rPr>
          <w:rFonts w:hint="eastAsia"/>
        </w:rPr>
        <w:t>本承诺项</w:t>
      </w:r>
      <w:proofErr w:type="gramEnd"/>
      <w:r>
        <w:rPr>
          <w:rFonts w:hint="eastAsia"/>
        </w:rPr>
        <w:t>下的义务，并愿意对违反上述承诺而</w:t>
      </w:r>
      <w:proofErr w:type="gramStart"/>
      <w:r>
        <w:rPr>
          <w:rFonts w:hint="eastAsia"/>
        </w:rPr>
        <w:t>给望变</w:t>
      </w:r>
      <w:proofErr w:type="gramEnd"/>
      <w:r>
        <w:rPr>
          <w:rFonts w:hint="eastAsia"/>
        </w:rPr>
        <w:t>电气或其控制企业造成的经济损失承担赔偿责任。</w:t>
      </w:r>
    </w:p>
    <w:p w:rsidR="00597370" w:rsidRDefault="003C2EEE">
      <w:pPr>
        <w:pStyle w:val="affc"/>
        <w:adjustRightInd w:val="0"/>
        <w:snapToGrid w:val="0"/>
        <w:spacing w:beforeLines="0" w:after="0" w:afterAutospacing="0"/>
        <w:ind w:firstLine="420"/>
      </w:pPr>
      <w:r>
        <w:rPr>
          <w:rFonts w:hint="eastAsia"/>
        </w:rPr>
        <w:t>4、本人保证不为自身或者他人谋取</w:t>
      </w:r>
      <w:proofErr w:type="gramStart"/>
      <w:r>
        <w:rPr>
          <w:rFonts w:hint="eastAsia"/>
        </w:rPr>
        <w:t>属于望变电气</w:t>
      </w:r>
      <w:proofErr w:type="gramEnd"/>
      <w:r>
        <w:rPr>
          <w:rFonts w:hint="eastAsia"/>
        </w:rPr>
        <w:t>或其控制企业的商业机会，自营或者为他人经营</w:t>
      </w:r>
      <w:proofErr w:type="gramStart"/>
      <w:r>
        <w:rPr>
          <w:rFonts w:hint="eastAsia"/>
        </w:rPr>
        <w:t>与望变电气</w:t>
      </w:r>
      <w:proofErr w:type="gramEnd"/>
      <w:r>
        <w:rPr>
          <w:rFonts w:hint="eastAsia"/>
        </w:rPr>
        <w:t>或其控制企业从事的主营业务。如从任何第三方获得的商业机会</w:t>
      </w:r>
      <w:proofErr w:type="gramStart"/>
      <w:r>
        <w:rPr>
          <w:rFonts w:hint="eastAsia"/>
        </w:rPr>
        <w:t>与望变电气</w:t>
      </w:r>
      <w:proofErr w:type="gramEnd"/>
      <w:r>
        <w:rPr>
          <w:rFonts w:hint="eastAsia"/>
        </w:rPr>
        <w:t>或其控制企业经营的主营业务构成竞争或可能构成竞争，本人将立即</w:t>
      </w:r>
      <w:proofErr w:type="gramStart"/>
      <w:r>
        <w:rPr>
          <w:rFonts w:hint="eastAsia"/>
        </w:rPr>
        <w:t>通知望变电气</w:t>
      </w:r>
      <w:proofErr w:type="gramEnd"/>
      <w:r>
        <w:rPr>
          <w:rFonts w:hint="eastAsia"/>
        </w:rPr>
        <w:t>，并应促成将该商业机会</w:t>
      </w:r>
      <w:proofErr w:type="gramStart"/>
      <w:r>
        <w:rPr>
          <w:rFonts w:hint="eastAsia"/>
        </w:rPr>
        <w:t>让予望</w:t>
      </w:r>
      <w:r>
        <w:rPr>
          <w:rFonts w:hint="eastAsia"/>
        </w:rPr>
        <w:lastRenderedPageBreak/>
        <w:t>变电气</w:t>
      </w:r>
      <w:proofErr w:type="gramEnd"/>
      <w:r>
        <w:rPr>
          <w:rFonts w:hint="eastAsia"/>
        </w:rPr>
        <w:t>及其控制企业或采用任何其他可以被监管部门所认可的方案，以最终排除</w:t>
      </w:r>
      <w:proofErr w:type="gramStart"/>
      <w:r>
        <w:rPr>
          <w:rFonts w:hint="eastAsia"/>
        </w:rPr>
        <w:t>本承诺</w:t>
      </w:r>
      <w:proofErr w:type="gramEnd"/>
      <w:r>
        <w:rPr>
          <w:rFonts w:hint="eastAsia"/>
        </w:rPr>
        <w:t>人对该等商业机会所涉及资产/股权/业务之实际管理、运营权，从而避免</w:t>
      </w:r>
      <w:proofErr w:type="gramStart"/>
      <w:r>
        <w:rPr>
          <w:rFonts w:hint="eastAsia"/>
        </w:rPr>
        <w:t>与望变电气</w:t>
      </w:r>
      <w:proofErr w:type="gramEnd"/>
      <w:r>
        <w:rPr>
          <w:rFonts w:hint="eastAsia"/>
        </w:rPr>
        <w:t>及其控制企业所从事主营业务形成同业竞争的情况。</w:t>
      </w:r>
    </w:p>
    <w:p w:rsidR="00597370" w:rsidRDefault="003C2EEE">
      <w:pPr>
        <w:pStyle w:val="affc"/>
        <w:adjustRightInd w:val="0"/>
        <w:snapToGrid w:val="0"/>
        <w:spacing w:beforeLines="0" w:after="0" w:afterAutospacing="0"/>
        <w:ind w:firstLine="420"/>
      </w:pPr>
      <w:r>
        <w:rPr>
          <w:rFonts w:hint="eastAsia"/>
        </w:rPr>
        <w:t>5、本人保证有权签署</w:t>
      </w:r>
      <w:proofErr w:type="gramStart"/>
      <w:r>
        <w:rPr>
          <w:rFonts w:hint="eastAsia"/>
        </w:rPr>
        <w:t>本承诺</w:t>
      </w:r>
      <w:proofErr w:type="gramEnd"/>
      <w:r>
        <w:rPr>
          <w:rFonts w:hint="eastAsia"/>
        </w:rPr>
        <w:t>函，且</w:t>
      </w:r>
      <w:proofErr w:type="gramStart"/>
      <w:r>
        <w:rPr>
          <w:rFonts w:hint="eastAsia"/>
        </w:rPr>
        <w:t>本承诺</w:t>
      </w:r>
      <w:proofErr w:type="gramEnd"/>
      <w:r>
        <w:rPr>
          <w:rFonts w:hint="eastAsia"/>
        </w:rPr>
        <w:t>函一经本人签署，即对本人构成有效的、合法的、具有约束力的责任。</w:t>
      </w:r>
      <w:proofErr w:type="gramStart"/>
      <w:r>
        <w:rPr>
          <w:rFonts w:hint="eastAsia"/>
        </w:rPr>
        <w:t>本承诺</w:t>
      </w:r>
      <w:proofErr w:type="gramEnd"/>
      <w:r>
        <w:rPr>
          <w:rFonts w:hint="eastAsia"/>
        </w:rPr>
        <w:t>函所载承诺事项在本人</w:t>
      </w:r>
      <w:proofErr w:type="gramStart"/>
      <w:r>
        <w:rPr>
          <w:rFonts w:hint="eastAsia"/>
        </w:rPr>
        <w:t>作为望变电气</w:t>
      </w:r>
      <w:proofErr w:type="gramEnd"/>
      <w:r>
        <w:rPr>
          <w:rFonts w:hint="eastAsia"/>
        </w:rPr>
        <w:t>控股股东/实际控制</w:t>
      </w:r>
      <w:proofErr w:type="gramStart"/>
      <w:r>
        <w:rPr>
          <w:rFonts w:hint="eastAsia"/>
        </w:rPr>
        <w:t>人期间</w:t>
      </w:r>
      <w:proofErr w:type="gramEnd"/>
      <w:r>
        <w:rPr>
          <w:rFonts w:hint="eastAsia"/>
        </w:rPr>
        <w:t>持续有效，且不可撤销。如违反以上承诺，本人愿意承担由此产生的全部责任，充分赔偿或补偿由此</w:t>
      </w:r>
      <w:proofErr w:type="gramStart"/>
      <w:r>
        <w:rPr>
          <w:rFonts w:hint="eastAsia"/>
        </w:rPr>
        <w:t>给望变</w:t>
      </w:r>
      <w:proofErr w:type="gramEnd"/>
      <w:r>
        <w:rPr>
          <w:rFonts w:hint="eastAsia"/>
        </w:rPr>
        <w:t>电气及其控制企业造成的所有直接或间接损失。”</w:t>
      </w:r>
    </w:p>
    <w:p w:rsidR="00597370" w:rsidRDefault="003C2EEE">
      <w:pPr>
        <w:pStyle w:val="affc"/>
        <w:adjustRightInd w:val="0"/>
        <w:snapToGrid w:val="0"/>
        <w:spacing w:beforeLines="0" w:after="0" w:afterAutospacing="0"/>
        <w:ind w:firstLine="420"/>
      </w:pPr>
      <w:r>
        <w:rPr>
          <w:rFonts w:hint="eastAsia"/>
        </w:rPr>
        <w:t>注5：关于规范和减少关联交易的承诺</w:t>
      </w:r>
    </w:p>
    <w:p w:rsidR="00597370" w:rsidRDefault="003C2EEE">
      <w:pPr>
        <w:pStyle w:val="affc"/>
        <w:adjustRightInd w:val="0"/>
        <w:snapToGrid w:val="0"/>
        <w:spacing w:beforeLines="0" w:after="0" w:afterAutospacing="0"/>
        <w:ind w:firstLine="420"/>
      </w:pPr>
      <w:r>
        <w:rPr>
          <w:rFonts w:hint="eastAsia"/>
        </w:rPr>
        <w:t>1、公司控股股东、实际控制人杨泽民、秦惠兰，公司实际控制人杨耀、杨秦分别承诺：</w:t>
      </w:r>
    </w:p>
    <w:p w:rsidR="00597370" w:rsidRDefault="003C2EEE">
      <w:pPr>
        <w:pStyle w:val="affc"/>
        <w:adjustRightInd w:val="0"/>
        <w:snapToGrid w:val="0"/>
        <w:spacing w:beforeLines="0" w:after="0" w:afterAutospacing="0"/>
        <w:ind w:firstLine="420"/>
      </w:pPr>
      <w:r>
        <w:rPr>
          <w:rFonts w:hint="eastAsia"/>
        </w:rPr>
        <w:t>“1、本人控制的其他企业与公司及其控股子公司之间不存在严重影响独立性或者显失公平的关联交易；本人及本人控制的其他企业将尽量减少并避免与公司及其控股子公司之间的关联交易；对于确有必要且无法避免的关联交易，保证按照公平、公允和等价有偿的原则进行，依法签署相关交易协议，并按相关法律法规以及规范性文件的规定履行交易程序及信息披露义务，保证不通过关联交易损害公司及其他股东的合法权益。</w:t>
      </w:r>
    </w:p>
    <w:p w:rsidR="00597370" w:rsidRDefault="003C2EEE">
      <w:pPr>
        <w:pStyle w:val="affc"/>
        <w:adjustRightInd w:val="0"/>
        <w:snapToGrid w:val="0"/>
        <w:spacing w:beforeLines="0" w:after="0" w:afterAutospacing="0"/>
        <w:ind w:firstLine="420"/>
      </w:pPr>
      <w:r>
        <w:rPr>
          <w:rFonts w:hint="eastAsia"/>
        </w:rPr>
        <w:t>2、不利用自身对望变电气的重大影响，</w:t>
      </w:r>
      <w:proofErr w:type="gramStart"/>
      <w:r>
        <w:rPr>
          <w:rFonts w:hint="eastAsia"/>
        </w:rPr>
        <w:t>谋求望变电气</w:t>
      </w:r>
      <w:proofErr w:type="gramEnd"/>
      <w:r>
        <w:rPr>
          <w:rFonts w:hint="eastAsia"/>
        </w:rPr>
        <w:t>在业务合作等方面给予本人及本人所控制的企业优于市场第三方的权利或</w:t>
      </w:r>
      <w:proofErr w:type="gramStart"/>
      <w:r>
        <w:rPr>
          <w:rFonts w:hint="eastAsia"/>
        </w:rPr>
        <w:t>与望变电气</w:t>
      </w:r>
      <w:proofErr w:type="gramEnd"/>
      <w:r>
        <w:rPr>
          <w:rFonts w:hint="eastAsia"/>
        </w:rPr>
        <w:t>达成交易的优先权利。</w:t>
      </w:r>
    </w:p>
    <w:p w:rsidR="00597370" w:rsidRDefault="003C2EEE">
      <w:pPr>
        <w:pStyle w:val="affc"/>
        <w:adjustRightInd w:val="0"/>
        <w:snapToGrid w:val="0"/>
        <w:spacing w:beforeLines="0" w:after="0" w:afterAutospacing="0"/>
        <w:ind w:firstLine="420"/>
      </w:pPr>
      <w:r>
        <w:rPr>
          <w:rFonts w:hint="eastAsia"/>
        </w:rPr>
        <w:t>3、不利用自身对望变电气的重大影响公司的独立性，保证不利用关联交易非法转移公司的资金、利润、谋取其他任何不正当利益或使公司承担任何不正当的义务。</w:t>
      </w:r>
    </w:p>
    <w:p w:rsidR="00597370" w:rsidRDefault="003C2EEE">
      <w:pPr>
        <w:pStyle w:val="affc"/>
        <w:adjustRightInd w:val="0"/>
        <w:snapToGrid w:val="0"/>
        <w:spacing w:beforeLines="0" w:after="0" w:afterAutospacing="0"/>
        <w:ind w:firstLine="420"/>
      </w:pPr>
      <w:r>
        <w:rPr>
          <w:rFonts w:hint="eastAsia"/>
        </w:rPr>
        <w:t>4、本人保证有权签署</w:t>
      </w:r>
      <w:proofErr w:type="gramStart"/>
      <w:r>
        <w:rPr>
          <w:rFonts w:hint="eastAsia"/>
        </w:rPr>
        <w:t>本承诺</w:t>
      </w:r>
      <w:proofErr w:type="gramEnd"/>
      <w:r>
        <w:rPr>
          <w:rFonts w:hint="eastAsia"/>
        </w:rPr>
        <w:t>函，且</w:t>
      </w:r>
      <w:proofErr w:type="gramStart"/>
      <w:r>
        <w:rPr>
          <w:rFonts w:hint="eastAsia"/>
        </w:rPr>
        <w:t>本承诺</w:t>
      </w:r>
      <w:proofErr w:type="gramEnd"/>
      <w:r>
        <w:rPr>
          <w:rFonts w:hint="eastAsia"/>
        </w:rPr>
        <w:t>函一经本人签署，即依上述所述前提对本人构成有效的、合法的、具有约束力的责任，且依上述所述前提持续有效，不可撤销。若由于本人的上述承诺与实际不符给公司或其投资人造成损失的，本人将依法承担相应的法律责任。”</w:t>
      </w:r>
    </w:p>
    <w:p w:rsidR="00597370" w:rsidRDefault="003C2EEE">
      <w:pPr>
        <w:pStyle w:val="affc"/>
        <w:adjustRightInd w:val="0"/>
        <w:snapToGrid w:val="0"/>
        <w:spacing w:beforeLines="0" w:after="0" w:afterAutospacing="0"/>
        <w:ind w:firstLine="420"/>
      </w:pPr>
      <w:r>
        <w:rPr>
          <w:rFonts w:hint="eastAsia"/>
        </w:rPr>
        <w:t>2、公司持股5%以上股东普思广和承诺：</w:t>
      </w:r>
    </w:p>
    <w:p w:rsidR="00597370" w:rsidRDefault="003C2EEE">
      <w:pPr>
        <w:pStyle w:val="affc"/>
        <w:adjustRightInd w:val="0"/>
        <w:snapToGrid w:val="0"/>
        <w:spacing w:beforeLines="0" w:after="0" w:afterAutospacing="0"/>
        <w:ind w:firstLine="420"/>
      </w:pPr>
      <w:r>
        <w:rPr>
          <w:rFonts w:hint="eastAsia"/>
        </w:rPr>
        <w:t>“1、本企业控制的其他企业与公司及其控股子公司之间不存在严重影响独立性或者显失公平的关联交易；本企业及本企业控制的其他企业将尽量减少并避免与公司及其控股子公司之间的关联交易；对于确有必要且无法避免的关联交易，保证按照公平、公允和等价有偿的原则进行，依法签署相关交易协议，并按相关法律法规以及规范性文件的规定履行交易程序及信息披露义务，保证不通过关联交易损害公司及其他股东的合法权益。</w:t>
      </w:r>
    </w:p>
    <w:p w:rsidR="00597370" w:rsidRDefault="003C2EEE">
      <w:pPr>
        <w:pStyle w:val="affc"/>
        <w:adjustRightInd w:val="0"/>
        <w:snapToGrid w:val="0"/>
        <w:spacing w:beforeLines="0" w:after="0" w:afterAutospacing="0"/>
        <w:ind w:firstLine="420"/>
      </w:pPr>
      <w:r>
        <w:rPr>
          <w:rFonts w:hint="eastAsia"/>
        </w:rPr>
        <w:t>2、不利用自身对望变电气的重大影响，</w:t>
      </w:r>
      <w:proofErr w:type="gramStart"/>
      <w:r>
        <w:rPr>
          <w:rFonts w:hint="eastAsia"/>
        </w:rPr>
        <w:t>谋求望变电气</w:t>
      </w:r>
      <w:proofErr w:type="gramEnd"/>
      <w:r>
        <w:rPr>
          <w:rFonts w:hint="eastAsia"/>
        </w:rPr>
        <w:t>在业务合作等方面给予本企业及本企业所控制的企业优于市场第三方的权利或</w:t>
      </w:r>
      <w:proofErr w:type="gramStart"/>
      <w:r>
        <w:rPr>
          <w:rFonts w:hint="eastAsia"/>
        </w:rPr>
        <w:t>与望变电气</w:t>
      </w:r>
      <w:proofErr w:type="gramEnd"/>
      <w:r>
        <w:rPr>
          <w:rFonts w:hint="eastAsia"/>
        </w:rPr>
        <w:t>达成</w:t>
      </w:r>
      <w:r>
        <w:rPr>
          <w:rFonts w:hint="eastAsia"/>
        </w:rPr>
        <w:lastRenderedPageBreak/>
        <w:t>交易的优先权利。</w:t>
      </w:r>
    </w:p>
    <w:p w:rsidR="00597370" w:rsidRDefault="003C2EEE">
      <w:pPr>
        <w:pStyle w:val="affc"/>
        <w:adjustRightInd w:val="0"/>
        <w:snapToGrid w:val="0"/>
        <w:spacing w:beforeLines="0" w:after="0" w:afterAutospacing="0"/>
        <w:ind w:firstLine="420"/>
      </w:pPr>
      <w:r>
        <w:rPr>
          <w:rFonts w:hint="eastAsia"/>
        </w:rPr>
        <w:t>3、不利用自身对望变电气的重大影响影响公司的独立性，保证不利用关联交易非法转移公司的资金、利润、谋取其他任何不正当利益或使公司承担任何不正当的义务。</w:t>
      </w:r>
    </w:p>
    <w:p w:rsidR="00597370" w:rsidRDefault="003C2EEE">
      <w:pPr>
        <w:pStyle w:val="affc"/>
        <w:adjustRightInd w:val="0"/>
        <w:snapToGrid w:val="0"/>
        <w:spacing w:beforeLines="0" w:after="0" w:afterAutospacing="0"/>
        <w:ind w:firstLine="420"/>
      </w:pPr>
      <w:r>
        <w:rPr>
          <w:rFonts w:hint="eastAsia"/>
        </w:rPr>
        <w:t>4、本企业保证有权签署</w:t>
      </w:r>
      <w:proofErr w:type="gramStart"/>
      <w:r>
        <w:rPr>
          <w:rFonts w:hint="eastAsia"/>
        </w:rPr>
        <w:t>本承诺</w:t>
      </w:r>
      <w:proofErr w:type="gramEnd"/>
      <w:r>
        <w:rPr>
          <w:rFonts w:hint="eastAsia"/>
        </w:rPr>
        <w:t>函，且</w:t>
      </w:r>
      <w:proofErr w:type="gramStart"/>
      <w:r>
        <w:rPr>
          <w:rFonts w:hint="eastAsia"/>
        </w:rPr>
        <w:t>本承诺</w:t>
      </w:r>
      <w:proofErr w:type="gramEnd"/>
      <w:r>
        <w:rPr>
          <w:rFonts w:hint="eastAsia"/>
        </w:rPr>
        <w:t>函一经本企业签署，即依上述所述前提对本企业构成有效的、合法的、具有约束力的责任，且依上述所述前提持续有效，不可撤销。若由于本企业的上述承诺与实际不符给公司或其投资人造成损失的，本企业将依法承担相应的法律责任。”</w:t>
      </w:r>
    </w:p>
    <w:p w:rsidR="00597370" w:rsidRDefault="003C2EEE">
      <w:pPr>
        <w:pStyle w:val="affc"/>
        <w:adjustRightInd w:val="0"/>
        <w:snapToGrid w:val="0"/>
        <w:spacing w:beforeLines="0" w:after="0" w:afterAutospacing="0"/>
        <w:ind w:firstLine="420"/>
      </w:pPr>
      <w:r>
        <w:rPr>
          <w:rFonts w:hint="eastAsia"/>
        </w:rPr>
        <w:t>3、公司全体董事、监事、高级管理人员承诺：</w:t>
      </w:r>
    </w:p>
    <w:p w:rsidR="00597370" w:rsidRDefault="003C2EEE">
      <w:pPr>
        <w:pStyle w:val="affc"/>
        <w:adjustRightInd w:val="0"/>
        <w:snapToGrid w:val="0"/>
        <w:spacing w:beforeLines="0" w:after="0" w:afterAutospacing="0"/>
        <w:ind w:firstLine="420"/>
      </w:pPr>
      <w:r>
        <w:rPr>
          <w:rFonts w:hint="eastAsia"/>
        </w:rPr>
        <w:t>“1、本人控制的其他企业与公司及其控股子公司之间不存在严重影响独立性或者显失公平的关联交易；本人及本人控制的其他企业将尽量减少并避免与公司及其控股子公司之间的关联交易；对于确有必要且无法避免的关联交易，保证按照公平、公允和等价有偿的原则进行，依法签署相关交易协议，并按相关法律法规以及规范性文件的规定履行交易程序及信息披露义务，保证不通过关联交易损害公司及其他股东的合法权益。</w:t>
      </w:r>
    </w:p>
    <w:p w:rsidR="00597370" w:rsidRDefault="003C2EEE">
      <w:pPr>
        <w:pStyle w:val="affc"/>
        <w:adjustRightInd w:val="0"/>
        <w:snapToGrid w:val="0"/>
        <w:spacing w:beforeLines="0" w:after="0" w:afterAutospacing="0"/>
        <w:ind w:firstLine="420"/>
      </w:pPr>
      <w:r>
        <w:rPr>
          <w:rFonts w:hint="eastAsia"/>
        </w:rPr>
        <w:t>2、不利用自身对望变电气的重大影响，</w:t>
      </w:r>
      <w:proofErr w:type="gramStart"/>
      <w:r>
        <w:rPr>
          <w:rFonts w:hint="eastAsia"/>
        </w:rPr>
        <w:t>谋求望变电气</w:t>
      </w:r>
      <w:proofErr w:type="gramEnd"/>
      <w:r>
        <w:rPr>
          <w:rFonts w:hint="eastAsia"/>
        </w:rPr>
        <w:t>在业务合作等方面给予本人及本人所控制的企业优于市场第三方的权利或</w:t>
      </w:r>
      <w:proofErr w:type="gramStart"/>
      <w:r>
        <w:rPr>
          <w:rFonts w:hint="eastAsia"/>
        </w:rPr>
        <w:t>与望变电气</w:t>
      </w:r>
      <w:proofErr w:type="gramEnd"/>
      <w:r>
        <w:rPr>
          <w:rFonts w:hint="eastAsia"/>
        </w:rPr>
        <w:t>达成交易的优先权利。</w:t>
      </w:r>
    </w:p>
    <w:p w:rsidR="00597370" w:rsidRDefault="003C2EEE">
      <w:pPr>
        <w:pStyle w:val="affc"/>
        <w:adjustRightInd w:val="0"/>
        <w:snapToGrid w:val="0"/>
        <w:spacing w:beforeLines="0" w:after="0" w:afterAutospacing="0"/>
        <w:ind w:firstLine="420"/>
      </w:pPr>
      <w:r>
        <w:rPr>
          <w:rFonts w:hint="eastAsia"/>
        </w:rPr>
        <w:t>3、不利用自身对望变电气的重大影响公司的独立性，保证不利用关联交易非法转移公司的资金、利润、谋取其他任何不正当利益或使公司承担任何不正当的义务。</w:t>
      </w:r>
    </w:p>
    <w:p w:rsidR="00597370" w:rsidRDefault="003C2EEE">
      <w:pPr>
        <w:pStyle w:val="affc"/>
        <w:adjustRightInd w:val="0"/>
        <w:snapToGrid w:val="0"/>
        <w:spacing w:beforeLines="0" w:after="0" w:afterAutospacing="0"/>
        <w:ind w:firstLine="420"/>
      </w:pPr>
      <w:r>
        <w:rPr>
          <w:rFonts w:hint="eastAsia"/>
        </w:rPr>
        <w:t>4、本人保证有权签署</w:t>
      </w:r>
      <w:proofErr w:type="gramStart"/>
      <w:r>
        <w:rPr>
          <w:rFonts w:hint="eastAsia"/>
        </w:rPr>
        <w:t>本承诺</w:t>
      </w:r>
      <w:proofErr w:type="gramEnd"/>
      <w:r>
        <w:rPr>
          <w:rFonts w:hint="eastAsia"/>
        </w:rPr>
        <w:t>函，且</w:t>
      </w:r>
      <w:proofErr w:type="gramStart"/>
      <w:r>
        <w:rPr>
          <w:rFonts w:hint="eastAsia"/>
        </w:rPr>
        <w:t>本承诺</w:t>
      </w:r>
      <w:proofErr w:type="gramEnd"/>
      <w:r>
        <w:rPr>
          <w:rFonts w:hint="eastAsia"/>
        </w:rPr>
        <w:t>函一经本人签署，即依上述所述前提对本人构成有效的、合法的、具有约束力的责任，且依上述所述前提持续有效，不可撤销。若由于本人的上述承诺与实际不符给公司或其投资人造成损失的，本人将依法承担相应的法律责任。”</w:t>
      </w:r>
    </w:p>
    <w:p w:rsidR="00597370" w:rsidRDefault="003C2EEE">
      <w:pPr>
        <w:pStyle w:val="affc"/>
        <w:adjustRightInd w:val="0"/>
        <w:snapToGrid w:val="0"/>
        <w:spacing w:beforeLines="0" w:after="0" w:afterAutospacing="0"/>
        <w:ind w:firstLine="420"/>
      </w:pPr>
      <w:r>
        <w:rPr>
          <w:rFonts w:hint="eastAsia"/>
        </w:rPr>
        <w:t>注6：关于避免资金占用的承诺</w:t>
      </w:r>
    </w:p>
    <w:p w:rsidR="00597370" w:rsidRDefault="003C2EEE">
      <w:pPr>
        <w:pStyle w:val="affc"/>
        <w:adjustRightInd w:val="0"/>
        <w:snapToGrid w:val="0"/>
        <w:spacing w:beforeLines="0" w:after="0" w:afterAutospacing="0"/>
        <w:ind w:firstLine="420"/>
      </w:pPr>
      <w:r>
        <w:rPr>
          <w:rFonts w:hint="eastAsia"/>
        </w:rPr>
        <w:t>公司控股股东、实际控制人杨泽民、秦惠兰，公司实际控制人杨耀、杨秦分别承诺：</w:t>
      </w:r>
    </w:p>
    <w:p w:rsidR="00597370" w:rsidRDefault="003C2EEE">
      <w:pPr>
        <w:pStyle w:val="affc"/>
        <w:adjustRightInd w:val="0"/>
        <w:snapToGrid w:val="0"/>
        <w:spacing w:beforeLines="0" w:after="0" w:afterAutospacing="0"/>
        <w:ind w:firstLine="420"/>
      </w:pPr>
      <w:r>
        <w:rPr>
          <w:rFonts w:hint="eastAsia"/>
        </w:rPr>
        <w:t>“1、截至本承诺函出具之日，本人及本人直接或间接控制的企业（以下简称‘本人控制的企业’）不存在占用望变电气及其子公司资金的情况。</w:t>
      </w:r>
    </w:p>
    <w:p w:rsidR="00597370" w:rsidRDefault="003C2EEE">
      <w:pPr>
        <w:pStyle w:val="affc"/>
        <w:adjustRightInd w:val="0"/>
        <w:snapToGrid w:val="0"/>
        <w:spacing w:beforeLines="0" w:after="0" w:afterAutospacing="0"/>
        <w:ind w:firstLine="420"/>
      </w:pPr>
      <w:r>
        <w:rPr>
          <w:rFonts w:hint="eastAsia"/>
        </w:rPr>
        <w:t>2、自</w:t>
      </w:r>
      <w:proofErr w:type="gramStart"/>
      <w:r>
        <w:rPr>
          <w:rFonts w:hint="eastAsia"/>
        </w:rPr>
        <w:t>本承诺</w:t>
      </w:r>
      <w:proofErr w:type="gramEnd"/>
      <w:r>
        <w:rPr>
          <w:rFonts w:hint="eastAsia"/>
        </w:rPr>
        <w:t>函出具之日起，本人及本人控制的企业将不以借款、代偿债务、代垫款项或其他任何方式</w:t>
      </w:r>
      <w:proofErr w:type="gramStart"/>
      <w:r>
        <w:rPr>
          <w:rFonts w:hint="eastAsia"/>
        </w:rPr>
        <w:t>占用望变电气</w:t>
      </w:r>
      <w:proofErr w:type="gramEnd"/>
      <w:r>
        <w:rPr>
          <w:rFonts w:hint="eastAsia"/>
        </w:rPr>
        <w:t>及其子公司的资金，且将严格遵守法律、法规关于上市公司法人治理的相关规定，避免</w:t>
      </w:r>
      <w:proofErr w:type="gramStart"/>
      <w:r>
        <w:rPr>
          <w:rFonts w:hint="eastAsia"/>
        </w:rPr>
        <w:t>与望变电气</w:t>
      </w:r>
      <w:proofErr w:type="gramEnd"/>
      <w:r>
        <w:rPr>
          <w:rFonts w:hint="eastAsia"/>
        </w:rPr>
        <w:t>及其子公司发生与正常生产经营无关的资金往来。</w:t>
      </w:r>
    </w:p>
    <w:p w:rsidR="00597370" w:rsidRDefault="003C2EEE">
      <w:pPr>
        <w:pStyle w:val="affc"/>
        <w:adjustRightInd w:val="0"/>
        <w:snapToGrid w:val="0"/>
        <w:spacing w:beforeLines="0" w:after="0" w:afterAutospacing="0"/>
        <w:ind w:firstLine="420"/>
      </w:pPr>
      <w:r>
        <w:rPr>
          <w:rFonts w:hint="eastAsia"/>
        </w:rPr>
        <w:t>3、若本人违反</w:t>
      </w:r>
      <w:proofErr w:type="gramStart"/>
      <w:r>
        <w:rPr>
          <w:rFonts w:hint="eastAsia"/>
        </w:rPr>
        <w:t>本承诺函给望变</w:t>
      </w:r>
      <w:proofErr w:type="gramEnd"/>
      <w:r>
        <w:rPr>
          <w:rFonts w:hint="eastAsia"/>
        </w:rPr>
        <w:t>电气造成损失的，本人愿意承担由此产生的全部责任，充分赔偿或补偿由此</w:t>
      </w:r>
      <w:proofErr w:type="gramStart"/>
      <w:r>
        <w:rPr>
          <w:rFonts w:hint="eastAsia"/>
        </w:rPr>
        <w:t>给望变</w:t>
      </w:r>
      <w:proofErr w:type="gramEnd"/>
      <w:r>
        <w:rPr>
          <w:rFonts w:hint="eastAsia"/>
        </w:rPr>
        <w:t>电气造成的所有直接或间接损失。”</w:t>
      </w:r>
    </w:p>
    <w:p w:rsidR="00597370" w:rsidRDefault="003C2EEE">
      <w:pPr>
        <w:pStyle w:val="affc"/>
        <w:adjustRightInd w:val="0"/>
        <w:snapToGrid w:val="0"/>
        <w:spacing w:beforeLines="0" w:after="0" w:afterAutospacing="0"/>
        <w:ind w:firstLine="420"/>
      </w:pPr>
      <w:r>
        <w:rPr>
          <w:rFonts w:hint="eastAsia"/>
        </w:rPr>
        <w:lastRenderedPageBreak/>
        <w:t>注7：关于股份回购和股份购回的措施和承诺</w:t>
      </w:r>
    </w:p>
    <w:p w:rsidR="00597370" w:rsidRDefault="003C2EEE">
      <w:pPr>
        <w:pStyle w:val="affc"/>
        <w:adjustRightInd w:val="0"/>
        <w:snapToGrid w:val="0"/>
        <w:spacing w:beforeLines="0" w:after="0" w:afterAutospacing="0"/>
        <w:ind w:firstLine="420"/>
      </w:pPr>
      <w:r>
        <w:rPr>
          <w:rFonts w:hint="eastAsia"/>
        </w:rPr>
        <w:t>1、公司承诺：</w:t>
      </w:r>
    </w:p>
    <w:p w:rsidR="00597370" w:rsidRDefault="003C2EEE">
      <w:pPr>
        <w:pStyle w:val="affc"/>
        <w:adjustRightInd w:val="0"/>
        <w:snapToGrid w:val="0"/>
        <w:spacing w:beforeLines="0" w:after="0" w:afterAutospacing="0"/>
        <w:ind w:firstLine="420"/>
      </w:pPr>
      <w:r>
        <w:rPr>
          <w:rFonts w:hint="eastAsia"/>
        </w:rPr>
        <w:t>“1、启动股份回购及购回措施的条件本次公开发行完成后，如本次公开发行的招股说明书及其他申报文件被中国证监会、证券交易所或司法机关认定为有虚假记载、误导性陈述或者重大遗漏的，对判断发行人是否符合法律规定的发行条件构成重大且实质性影响的，公司将依法从投资者手中回购及购回本次公开发行的股票以及转让的限售股。</w:t>
      </w:r>
    </w:p>
    <w:p w:rsidR="00597370" w:rsidRDefault="003C2EEE">
      <w:pPr>
        <w:pStyle w:val="affc"/>
        <w:adjustRightInd w:val="0"/>
        <w:snapToGrid w:val="0"/>
        <w:spacing w:beforeLines="0" w:after="0" w:afterAutospacing="0"/>
        <w:ind w:firstLine="420"/>
      </w:pPr>
      <w:r>
        <w:rPr>
          <w:rFonts w:hint="eastAsia"/>
        </w:rPr>
        <w:t>2、股份回购及购回措施的启动程序</w:t>
      </w:r>
    </w:p>
    <w:p w:rsidR="00597370" w:rsidRDefault="003C2EEE">
      <w:pPr>
        <w:pStyle w:val="affc"/>
        <w:adjustRightInd w:val="0"/>
        <w:snapToGrid w:val="0"/>
        <w:spacing w:beforeLines="0" w:after="0" w:afterAutospacing="0"/>
        <w:ind w:firstLine="420"/>
      </w:pPr>
      <w:r>
        <w:rPr>
          <w:rFonts w:hint="eastAsia"/>
        </w:rPr>
        <w:t>（1）若上述情形发生于公司本次公开发行的新股已完成发行但未上市交易的阶段内，则公司将于上述情形发生之日起5个工作日内，将本次公开发行的募集资金，按照发行价并加算银行同期存款利息返还已缴纳股票申购款的投资者。</w:t>
      </w:r>
    </w:p>
    <w:p w:rsidR="00597370" w:rsidRDefault="003C2EEE">
      <w:pPr>
        <w:pStyle w:val="affc"/>
        <w:adjustRightInd w:val="0"/>
        <w:snapToGrid w:val="0"/>
        <w:spacing w:beforeLines="0" w:after="0" w:afterAutospacing="0"/>
        <w:ind w:firstLine="420"/>
      </w:pPr>
      <w:r>
        <w:rPr>
          <w:rFonts w:hint="eastAsia"/>
        </w:rPr>
        <w:t>（2）若上述情形发生于公司本次公开发行的新股已完成上市交易之后，公司董事会将在中国证监会或其他有权部门依法对上述事实</w:t>
      </w:r>
      <w:proofErr w:type="gramStart"/>
      <w:r>
        <w:rPr>
          <w:rFonts w:hint="eastAsia"/>
        </w:rPr>
        <w:t>作出</w:t>
      </w:r>
      <w:proofErr w:type="gramEnd"/>
      <w:r>
        <w:rPr>
          <w:rFonts w:hint="eastAsia"/>
        </w:rPr>
        <w:t>最终认定或处罚决定后10个工作日内，制订股份回购方案并提交股东大会审议批准，依法回购本次公开发行的全部新股，按照发行价格加新股上市日至回购日期间的同期银行活期存款利息，或不低于中国证监会对公司招股说明书及其他信息披露材料存在虚假记载、误导性陈述或者重大遗漏问题进行立案稽查之日前30个交易日公司股票的每日加权平均价格的算术平均值（公司如有分红、派息、送股、资本公积金转增股本、配股等除权除息事项，前述价格应相应调整），或中国证监会认可的其他价格，通过证券交易所交易系统回购公司本次公开发行的全部新股。</w:t>
      </w:r>
    </w:p>
    <w:p w:rsidR="00597370" w:rsidRDefault="003C2EEE">
      <w:pPr>
        <w:pStyle w:val="affc"/>
        <w:adjustRightInd w:val="0"/>
        <w:snapToGrid w:val="0"/>
        <w:spacing w:beforeLines="0" w:after="0" w:afterAutospacing="0"/>
        <w:ind w:firstLine="420"/>
      </w:pPr>
      <w:r>
        <w:rPr>
          <w:rFonts w:hint="eastAsia"/>
        </w:rPr>
        <w:t>（3）当公司未来涉及股份回购时，公司应同时遵守中国证监会及证券交易所等证券监管机构的相关规定。</w:t>
      </w:r>
    </w:p>
    <w:p w:rsidR="00597370" w:rsidRDefault="003C2EEE">
      <w:pPr>
        <w:pStyle w:val="affc"/>
        <w:adjustRightInd w:val="0"/>
        <w:snapToGrid w:val="0"/>
        <w:spacing w:beforeLines="0" w:after="0" w:afterAutospacing="0"/>
        <w:ind w:firstLine="420"/>
      </w:pPr>
      <w:r>
        <w:rPr>
          <w:rFonts w:hint="eastAsia"/>
        </w:rPr>
        <w:t>3、约束措施</w:t>
      </w:r>
    </w:p>
    <w:p w:rsidR="00597370" w:rsidRDefault="003C2EEE">
      <w:pPr>
        <w:pStyle w:val="affc"/>
        <w:adjustRightInd w:val="0"/>
        <w:snapToGrid w:val="0"/>
        <w:spacing w:beforeLines="0" w:after="0" w:afterAutospacing="0"/>
        <w:ind w:firstLine="420"/>
      </w:pPr>
      <w:r>
        <w:rPr>
          <w:rFonts w:hint="eastAsia"/>
        </w:rPr>
        <w:t>（1）公司将严格履行在本次发行时已</w:t>
      </w:r>
      <w:proofErr w:type="gramStart"/>
      <w:r>
        <w:rPr>
          <w:rFonts w:hint="eastAsia"/>
        </w:rPr>
        <w:t>作出</w:t>
      </w:r>
      <w:proofErr w:type="gramEnd"/>
      <w:r>
        <w:rPr>
          <w:rFonts w:hint="eastAsia"/>
        </w:rPr>
        <w:t>的关于股份回购、购回措施的相应承诺。</w:t>
      </w:r>
    </w:p>
    <w:p w:rsidR="00597370" w:rsidRDefault="003C2EEE">
      <w:pPr>
        <w:pStyle w:val="affc"/>
        <w:adjustRightInd w:val="0"/>
        <w:snapToGrid w:val="0"/>
        <w:spacing w:beforeLines="0" w:after="0" w:afterAutospacing="0"/>
        <w:ind w:firstLine="420"/>
      </w:pPr>
      <w:r>
        <w:rPr>
          <w:rFonts w:hint="eastAsia"/>
        </w:rPr>
        <w:t>（2）公司自愿接受中国证监会及证券交易所等证券监管机构对股份回购、购回预案的制定、实施等进行监督，并承担法律责任。在启动股份回购、购回措施的条件满足时，如果公司未采取上述股份回购、购回的具体措施的，公司承诺接受以下约束措施：</w:t>
      </w:r>
    </w:p>
    <w:p w:rsidR="00597370" w:rsidRDefault="003C2EEE">
      <w:pPr>
        <w:pStyle w:val="affc"/>
        <w:adjustRightInd w:val="0"/>
        <w:snapToGrid w:val="0"/>
        <w:spacing w:beforeLines="0" w:after="0" w:afterAutospacing="0"/>
        <w:ind w:firstLine="420"/>
      </w:pPr>
      <w:r>
        <w:rPr>
          <w:rFonts w:hint="eastAsia"/>
        </w:rPr>
        <w:t>1）在中国证监会指定媒体上公开说明承诺未能履行、无法履行或无法按期履行的具体原因，并提出补充承诺或替代承诺，以尽可能保护投资者的权益。</w:t>
      </w:r>
    </w:p>
    <w:p w:rsidR="00597370" w:rsidRDefault="003C2EEE">
      <w:pPr>
        <w:pStyle w:val="affc"/>
        <w:adjustRightInd w:val="0"/>
        <w:snapToGrid w:val="0"/>
        <w:spacing w:beforeLines="0" w:after="0" w:afterAutospacing="0"/>
        <w:ind w:firstLine="420"/>
      </w:pPr>
      <w:r>
        <w:rPr>
          <w:rFonts w:hint="eastAsia"/>
        </w:rPr>
        <w:t>2）因未能履行该项承诺造成投资者损失的，公司将依据证券监管部门或司法机关认定的方式及金额进行赔偿。”</w:t>
      </w:r>
    </w:p>
    <w:p w:rsidR="00597370" w:rsidRDefault="003C2EEE">
      <w:pPr>
        <w:pStyle w:val="affc"/>
        <w:adjustRightInd w:val="0"/>
        <w:snapToGrid w:val="0"/>
        <w:spacing w:beforeLines="0" w:after="0" w:afterAutospacing="0"/>
        <w:ind w:firstLine="420"/>
      </w:pPr>
      <w:r>
        <w:rPr>
          <w:rFonts w:hint="eastAsia"/>
        </w:rPr>
        <w:lastRenderedPageBreak/>
        <w:t>2、公司实际控制人杨泽民、秦惠兰、杨耀、杨秦分别承诺：</w:t>
      </w:r>
    </w:p>
    <w:p w:rsidR="00597370" w:rsidRDefault="003C2EEE">
      <w:pPr>
        <w:pStyle w:val="affc"/>
        <w:adjustRightInd w:val="0"/>
        <w:snapToGrid w:val="0"/>
        <w:spacing w:beforeLines="0" w:after="0" w:afterAutospacing="0"/>
        <w:ind w:firstLine="420"/>
      </w:pPr>
      <w:r>
        <w:rPr>
          <w:rFonts w:hint="eastAsia"/>
        </w:rPr>
        <w:t>“1、本次公开发行完成后，如本次公开发行的招股说明书及其他申报文件被中国证监会、证券交易所或司法机关认定为有虚假记载、误导性陈述或者重大遗漏的，对判断发行人是否符合法律规定的发行条件构成重大且实质性影响的，则本人承诺将极力督促望变电气依法从投资者手中回购及购回本次公开发行的股票以及转让的限售股。</w:t>
      </w:r>
    </w:p>
    <w:p w:rsidR="00597370" w:rsidRDefault="003C2EEE">
      <w:pPr>
        <w:pStyle w:val="affc"/>
        <w:adjustRightInd w:val="0"/>
        <w:snapToGrid w:val="0"/>
        <w:spacing w:beforeLines="0" w:after="0" w:afterAutospacing="0"/>
        <w:ind w:firstLine="420"/>
      </w:pPr>
      <w:r>
        <w:rPr>
          <w:rFonts w:hint="eastAsia"/>
        </w:rPr>
        <w:t>2、若中国证监会或其他有权部门认定招股说明书及其他信息披露材料所载之内容存在任何虚假记载、误导性陈述或者重大遗漏之情形，致使投资者在证券交易中遭受损失的，本人将依据证券监管部门或司法机关认定的方式及金额进行赔偿。”</w:t>
      </w:r>
    </w:p>
    <w:p w:rsidR="00597370" w:rsidRDefault="003C2EEE">
      <w:pPr>
        <w:pStyle w:val="affc"/>
        <w:adjustRightInd w:val="0"/>
        <w:snapToGrid w:val="0"/>
        <w:spacing w:beforeLines="0" w:after="0" w:afterAutospacing="0"/>
        <w:ind w:firstLine="420"/>
      </w:pPr>
      <w:r>
        <w:rPr>
          <w:rFonts w:hint="eastAsia"/>
        </w:rPr>
        <w:t>注8：关于未履行承诺的约束措施的承诺</w:t>
      </w:r>
    </w:p>
    <w:p w:rsidR="00597370" w:rsidRDefault="003C2EEE">
      <w:pPr>
        <w:pStyle w:val="affc"/>
        <w:adjustRightInd w:val="0"/>
        <w:snapToGrid w:val="0"/>
        <w:spacing w:beforeLines="0" w:after="0" w:afterAutospacing="0"/>
        <w:ind w:firstLine="420"/>
      </w:pPr>
      <w:r>
        <w:rPr>
          <w:rFonts w:hint="eastAsia"/>
        </w:rPr>
        <w:t>1、公司承诺：</w:t>
      </w:r>
    </w:p>
    <w:p w:rsidR="00597370" w:rsidRDefault="003C2EEE">
      <w:pPr>
        <w:pStyle w:val="affc"/>
        <w:adjustRightInd w:val="0"/>
        <w:snapToGrid w:val="0"/>
        <w:spacing w:beforeLines="0" w:after="0" w:afterAutospacing="0"/>
        <w:ind w:firstLine="420"/>
      </w:pPr>
      <w:r>
        <w:rPr>
          <w:rFonts w:hint="eastAsia"/>
        </w:rPr>
        <w:t>“1、本公司在招股说明书中公开</w:t>
      </w:r>
      <w:proofErr w:type="gramStart"/>
      <w:r>
        <w:rPr>
          <w:rFonts w:hint="eastAsia"/>
        </w:rPr>
        <w:t>作出</w:t>
      </w:r>
      <w:proofErr w:type="gramEnd"/>
      <w:r>
        <w:rPr>
          <w:rFonts w:hint="eastAsia"/>
        </w:rPr>
        <w:t>的相关承诺中已经包含约束措施的，则以该等承诺中的约束措施为准；若本公司违反该等承诺，本公司同意采取该等承诺中已经明确的约束措施；</w:t>
      </w:r>
    </w:p>
    <w:p w:rsidR="00597370" w:rsidRDefault="003C2EEE">
      <w:pPr>
        <w:pStyle w:val="affc"/>
        <w:adjustRightInd w:val="0"/>
        <w:snapToGrid w:val="0"/>
        <w:spacing w:beforeLines="0" w:after="0" w:afterAutospacing="0"/>
        <w:ind w:firstLine="420"/>
      </w:pPr>
      <w:r>
        <w:rPr>
          <w:rFonts w:hint="eastAsia"/>
        </w:rPr>
        <w:t>2、本公司在招股说明书中公开</w:t>
      </w:r>
      <w:proofErr w:type="gramStart"/>
      <w:r>
        <w:rPr>
          <w:rFonts w:hint="eastAsia"/>
        </w:rPr>
        <w:t>作出</w:t>
      </w:r>
      <w:proofErr w:type="gramEnd"/>
      <w:r>
        <w:rPr>
          <w:rFonts w:hint="eastAsia"/>
        </w:rPr>
        <w:t>的相关承诺未包含约束措施的，如本公司非因不可抗力原因导致未能履行公开承诺事项的，需提出新的承诺（相关承诺需按法律、法规、公司章程的规定履行相关审批程序）并接受如下约束措施，直至新的承诺履行完毕或相应补救措施实施完毕：</w:t>
      </w:r>
    </w:p>
    <w:p w:rsidR="00597370" w:rsidRDefault="003C2EEE">
      <w:pPr>
        <w:pStyle w:val="affc"/>
        <w:adjustRightInd w:val="0"/>
        <w:snapToGrid w:val="0"/>
        <w:spacing w:beforeLines="0" w:after="0" w:afterAutospacing="0"/>
        <w:ind w:firstLine="420"/>
      </w:pPr>
      <w:r>
        <w:rPr>
          <w:rFonts w:hint="eastAsia"/>
        </w:rPr>
        <w:t>（1）本公司将在股东大会及中国证监会指定报刊上公开说明未履行承诺的具体原因并向股东和社会公众投资者道歉；</w:t>
      </w:r>
    </w:p>
    <w:p w:rsidR="00597370" w:rsidRDefault="003C2EEE">
      <w:pPr>
        <w:pStyle w:val="affc"/>
        <w:adjustRightInd w:val="0"/>
        <w:snapToGrid w:val="0"/>
        <w:spacing w:beforeLines="0" w:after="0" w:afterAutospacing="0"/>
        <w:ind w:firstLine="420"/>
      </w:pPr>
      <w:r>
        <w:rPr>
          <w:rFonts w:hint="eastAsia"/>
        </w:rPr>
        <w:t>（2）及时、充分披露相关承诺未能履行、确已无法履行或无法按期履行的具体原因；</w:t>
      </w:r>
    </w:p>
    <w:p w:rsidR="00597370" w:rsidRDefault="003C2EEE">
      <w:pPr>
        <w:pStyle w:val="affc"/>
        <w:adjustRightInd w:val="0"/>
        <w:snapToGrid w:val="0"/>
        <w:spacing w:beforeLines="0" w:after="0" w:afterAutospacing="0"/>
        <w:ind w:firstLine="420"/>
      </w:pPr>
      <w:r>
        <w:rPr>
          <w:rFonts w:hint="eastAsia"/>
        </w:rPr>
        <w:t>（3）对该等未履行承诺的行为负有个人责任的董事、监事、高级管理人员调减或停发薪酬或津贴；</w:t>
      </w:r>
    </w:p>
    <w:p w:rsidR="00597370" w:rsidRDefault="003C2EEE">
      <w:pPr>
        <w:pStyle w:val="affc"/>
        <w:adjustRightInd w:val="0"/>
        <w:snapToGrid w:val="0"/>
        <w:spacing w:beforeLines="0" w:after="0" w:afterAutospacing="0"/>
        <w:ind w:firstLine="420"/>
      </w:pPr>
      <w:r>
        <w:rPr>
          <w:rFonts w:hint="eastAsia"/>
        </w:rPr>
        <w:t>（4）向投资者提出补充承诺或替代承诺，以尽可能保护投资者的权益；并同意将上述补充承诺或替代承诺提交股东大会审议；</w:t>
      </w:r>
    </w:p>
    <w:p w:rsidR="00597370" w:rsidRDefault="003C2EEE">
      <w:pPr>
        <w:pStyle w:val="affc"/>
        <w:adjustRightInd w:val="0"/>
        <w:snapToGrid w:val="0"/>
        <w:spacing w:beforeLines="0" w:after="0" w:afterAutospacing="0"/>
        <w:ind w:firstLine="420"/>
      </w:pPr>
      <w:r>
        <w:rPr>
          <w:rFonts w:hint="eastAsia"/>
        </w:rPr>
        <w:t>（5）如违反相关承诺给投资者造成损失的，将依法赔偿投资者的损失。如该等已违反的承诺仍可继续履行，本公司将继续履行该等承诺。”</w:t>
      </w:r>
    </w:p>
    <w:p w:rsidR="00597370" w:rsidRDefault="003C2EEE">
      <w:pPr>
        <w:pStyle w:val="affc"/>
        <w:adjustRightInd w:val="0"/>
        <w:snapToGrid w:val="0"/>
        <w:spacing w:beforeLines="0" w:after="0" w:afterAutospacing="0"/>
        <w:ind w:firstLine="420"/>
      </w:pPr>
      <w:r>
        <w:rPr>
          <w:rFonts w:hint="eastAsia"/>
        </w:rPr>
        <w:t>2、公司实际控制人杨泽民、秦惠兰、杨耀、杨秦，持股5%以上股东平潭普思广和一号股权投资合伙企业（有限合伙），全体董事、监事、高级管理人员分别承诺：</w:t>
      </w:r>
    </w:p>
    <w:p w:rsidR="00597370" w:rsidRDefault="003C2EEE">
      <w:pPr>
        <w:pStyle w:val="affc"/>
        <w:adjustRightInd w:val="0"/>
        <w:snapToGrid w:val="0"/>
        <w:spacing w:beforeLines="0" w:after="0" w:afterAutospacing="0"/>
        <w:ind w:firstLine="420"/>
      </w:pPr>
      <w:r>
        <w:rPr>
          <w:rFonts w:hint="eastAsia"/>
        </w:rPr>
        <w:t>“1、本人在招股说明书中公开</w:t>
      </w:r>
      <w:proofErr w:type="gramStart"/>
      <w:r>
        <w:rPr>
          <w:rFonts w:hint="eastAsia"/>
        </w:rPr>
        <w:t>作出</w:t>
      </w:r>
      <w:proofErr w:type="gramEnd"/>
      <w:r>
        <w:rPr>
          <w:rFonts w:hint="eastAsia"/>
        </w:rPr>
        <w:t>的相关承诺中已经包含约束措施的，则以该等承诺中的约束措施为准；若本人违反该等承诺，本人同意采取该等承诺中已经明确的约束措施；</w:t>
      </w:r>
    </w:p>
    <w:p w:rsidR="00597370" w:rsidRDefault="003C2EEE">
      <w:pPr>
        <w:pStyle w:val="affc"/>
        <w:adjustRightInd w:val="0"/>
        <w:snapToGrid w:val="0"/>
        <w:spacing w:beforeLines="0" w:after="0" w:afterAutospacing="0"/>
        <w:ind w:firstLine="420"/>
      </w:pPr>
      <w:r>
        <w:rPr>
          <w:rFonts w:hint="eastAsia"/>
        </w:rPr>
        <w:lastRenderedPageBreak/>
        <w:t>2、本人在招股说明书中公开</w:t>
      </w:r>
      <w:proofErr w:type="gramStart"/>
      <w:r>
        <w:rPr>
          <w:rFonts w:hint="eastAsia"/>
        </w:rPr>
        <w:t>作出</w:t>
      </w:r>
      <w:proofErr w:type="gramEnd"/>
      <w:r>
        <w:rPr>
          <w:rFonts w:hint="eastAsia"/>
        </w:rPr>
        <w:t>的相关承诺未包含约束措施的，如本人非因不可抗力原因导致未能履行公开承诺事项的，需提出新的承诺（相关承诺需按法律、法规、公司章程的规定履行相关审批程序）并接受如下约束措施，直至新的承诺履行完毕或相应补救措施实施完毕：</w:t>
      </w:r>
    </w:p>
    <w:p w:rsidR="00597370" w:rsidRDefault="003C2EEE">
      <w:pPr>
        <w:pStyle w:val="affc"/>
        <w:adjustRightInd w:val="0"/>
        <w:snapToGrid w:val="0"/>
        <w:spacing w:beforeLines="0" w:after="0" w:afterAutospacing="0"/>
        <w:ind w:firstLine="420"/>
      </w:pPr>
      <w:r>
        <w:rPr>
          <w:rFonts w:hint="eastAsia"/>
        </w:rPr>
        <w:t>（1）本人将在股东大会及中国证监会指定报刊上公开说明未履行承诺的具体原因并向股东和社会公众投资者道歉；</w:t>
      </w:r>
    </w:p>
    <w:p w:rsidR="00597370" w:rsidRDefault="003C2EEE">
      <w:pPr>
        <w:pStyle w:val="affc"/>
        <w:adjustRightInd w:val="0"/>
        <w:snapToGrid w:val="0"/>
        <w:spacing w:beforeLines="0" w:after="0" w:afterAutospacing="0"/>
        <w:ind w:firstLine="420"/>
      </w:pPr>
      <w:r>
        <w:rPr>
          <w:rFonts w:hint="eastAsia"/>
        </w:rPr>
        <w:t>（2）及时、充分披露相关承诺未能履行、确已无法履行或无法按期履行的具体原因；</w:t>
      </w:r>
    </w:p>
    <w:p w:rsidR="00597370" w:rsidRDefault="003C2EEE">
      <w:pPr>
        <w:pStyle w:val="affc"/>
        <w:adjustRightInd w:val="0"/>
        <w:snapToGrid w:val="0"/>
        <w:spacing w:beforeLines="0" w:after="0" w:afterAutospacing="0"/>
        <w:ind w:firstLine="420"/>
      </w:pPr>
      <w:r>
        <w:rPr>
          <w:rFonts w:hint="eastAsia"/>
        </w:rPr>
        <w:t>（3）如本人未能履行相关承诺事项，公司有权在前述事项发生之日起10个交易日内，停止对本人进行现金分红，并停发本人应在公司领取的薪酬、津贴（如有），直至本人履行相关承诺；</w:t>
      </w:r>
    </w:p>
    <w:p w:rsidR="00597370" w:rsidRDefault="003C2EEE">
      <w:pPr>
        <w:pStyle w:val="affc"/>
        <w:adjustRightInd w:val="0"/>
        <w:snapToGrid w:val="0"/>
        <w:spacing w:beforeLines="0" w:after="0" w:afterAutospacing="0"/>
        <w:ind w:firstLine="420"/>
      </w:pPr>
      <w:r>
        <w:rPr>
          <w:rFonts w:hint="eastAsia"/>
        </w:rPr>
        <w:t>（4）不转让直接或间接持有的发行人的股份（如持有）。因继承、被强制执行、上市公司重组、为履行保护投资者利益承诺等必须转股的情形除外；</w:t>
      </w:r>
    </w:p>
    <w:p w:rsidR="00597370" w:rsidRDefault="003C2EEE">
      <w:pPr>
        <w:pStyle w:val="affc"/>
        <w:adjustRightInd w:val="0"/>
        <w:snapToGrid w:val="0"/>
        <w:spacing w:beforeLines="0" w:after="0" w:afterAutospacing="0"/>
        <w:ind w:firstLine="420"/>
      </w:pPr>
      <w:r>
        <w:rPr>
          <w:rFonts w:hint="eastAsia"/>
        </w:rPr>
        <w:t>（5）向投资者提出补充承诺或替代承诺，以尽可能保护投资者的权益；并同意将上述补充承诺或替代承诺提交股东大会审议；</w:t>
      </w:r>
    </w:p>
    <w:p w:rsidR="00597370" w:rsidRDefault="003C2EEE">
      <w:pPr>
        <w:pStyle w:val="affc"/>
        <w:adjustRightInd w:val="0"/>
        <w:snapToGrid w:val="0"/>
        <w:spacing w:beforeLines="0" w:after="0" w:afterAutospacing="0"/>
        <w:ind w:firstLine="420"/>
      </w:pPr>
      <w:r>
        <w:rPr>
          <w:rFonts w:hint="eastAsia"/>
        </w:rPr>
        <w:t>（6）如违反相关承诺给投资者造成损失的，将依法赔偿投资者的损失。如该等已违反的承诺仍可继续履行，本人将继续履行该等承诺。”</w:t>
      </w:r>
    </w:p>
    <w:p w:rsidR="00597370" w:rsidRDefault="003C2EEE">
      <w:pPr>
        <w:pStyle w:val="affc"/>
        <w:adjustRightInd w:val="0"/>
        <w:snapToGrid w:val="0"/>
        <w:spacing w:beforeLines="0" w:after="0" w:afterAutospacing="0"/>
        <w:ind w:firstLine="420"/>
      </w:pPr>
      <w:r>
        <w:rPr>
          <w:rFonts w:hint="eastAsia"/>
        </w:rPr>
        <w:t>注9：稳定股价及相应约束措施的承诺</w:t>
      </w:r>
    </w:p>
    <w:p w:rsidR="00597370" w:rsidRDefault="003C2EEE">
      <w:pPr>
        <w:pStyle w:val="affc"/>
        <w:adjustRightInd w:val="0"/>
        <w:snapToGrid w:val="0"/>
        <w:spacing w:beforeLines="0" w:after="0" w:afterAutospacing="0"/>
        <w:ind w:firstLine="420"/>
      </w:pPr>
      <w:r>
        <w:rPr>
          <w:rFonts w:hint="eastAsia"/>
        </w:rPr>
        <w:t>1.公司承诺</w:t>
      </w:r>
    </w:p>
    <w:p w:rsidR="00597370" w:rsidRDefault="003C2EEE">
      <w:pPr>
        <w:pStyle w:val="affc"/>
        <w:adjustRightInd w:val="0"/>
        <w:snapToGrid w:val="0"/>
        <w:spacing w:beforeLines="0" w:after="0" w:afterAutospacing="0"/>
        <w:ind w:firstLine="420"/>
      </w:pPr>
      <w:r>
        <w:rPr>
          <w:rFonts w:hint="eastAsia"/>
        </w:rPr>
        <w:t>“自公司股票上市之日起3年内，当公司股票连续20个交易日的收盘价均低于公司最近一期经审计的每股净资产时，应实施相关稳定股价的措施。</w:t>
      </w:r>
    </w:p>
    <w:p w:rsidR="00597370" w:rsidRDefault="003C2EEE">
      <w:pPr>
        <w:pStyle w:val="affc"/>
        <w:adjustRightInd w:val="0"/>
        <w:snapToGrid w:val="0"/>
        <w:spacing w:beforeLines="0" w:after="0" w:afterAutospacing="0"/>
        <w:ind w:firstLine="420"/>
      </w:pPr>
      <w:r>
        <w:rPr>
          <w:rFonts w:hint="eastAsia"/>
        </w:rPr>
        <w:t>公司将提示及督促公司的控股股东、董事、高级管理人员（包括公司现任董事、高级管理人员，以及在本预案承诺签署时尚未就任的或者未来新选举或聘任的董事、高级管理人员）严格履行在公司首次公开发行股票并上市时公司、控股股东、董事、高级管理人员已</w:t>
      </w:r>
      <w:proofErr w:type="gramStart"/>
      <w:r>
        <w:rPr>
          <w:rFonts w:hint="eastAsia"/>
        </w:rPr>
        <w:t>作出</w:t>
      </w:r>
      <w:proofErr w:type="gramEnd"/>
      <w:r>
        <w:rPr>
          <w:rFonts w:hint="eastAsia"/>
        </w:rPr>
        <w:t>的关于股价稳定措施的相应承诺。本公司将通过合法自有资金履行股份回购义务，同时保证回购结果不会导致本公司的股权分布不符合上市条件。</w:t>
      </w:r>
    </w:p>
    <w:p w:rsidR="00597370" w:rsidRDefault="003C2EEE">
      <w:pPr>
        <w:pStyle w:val="affc"/>
        <w:adjustRightInd w:val="0"/>
        <w:snapToGrid w:val="0"/>
        <w:spacing w:beforeLines="0" w:after="0" w:afterAutospacing="0"/>
        <w:ind w:firstLine="420"/>
      </w:pPr>
      <w:r>
        <w:rPr>
          <w:rFonts w:hint="eastAsia"/>
        </w:rPr>
        <w:t>若公司违反上市后三年内稳定股价预案中的承诺，则公司应：(1)在公司股东大会及中国证监会指定媒体上公开说明未履行承诺的具体原因并向股东和社会公众投资者道歉，并提出补充承诺或替代承诺，以尽可能保护投资者的权益；(2)因未能履行该项承诺造成投资者损失的，公司将依法向投资者进行赔偿。”</w:t>
      </w:r>
    </w:p>
    <w:p w:rsidR="00597370" w:rsidRDefault="003C2EEE">
      <w:pPr>
        <w:pStyle w:val="affc"/>
        <w:adjustRightInd w:val="0"/>
        <w:snapToGrid w:val="0"/>
        <w:spacing w:beforeLines="0" w:after="0" w:afterAutospacing="0"/>
        <w:ind w:firstLine="420"/>
      </w:pPr>
      <w:r>
        <w:rPr>
          <w:rFonts w:hint="eastAsia"/>
        </w:rPr>
        <w:t>2、控股股东承诺</w:t>
      </w:r>
    </w:p>
    <w:p w:rsidR="00597370" w:rsidRDefault="003C2EEE">
      <w:pPr>
        <w:pStyle w:val="affc"/>
        <w:adjustRightInd w:val="0"/>
        <w:snapToGrid w:val="0"/>
        <w:spacing w:beforeLines="0" w:after="0" w:afterAutospacing="0"/>
        <w:ind w:firstLine="420"/>
      </w:pPr>
      <w:r>
        <w:rPr>
          <w:rFonts w:hint="eastAsia"/>
        </w:rPr>
        <w:t>“自公司股票上市之日起3年内，当公司股票连续20个交易日的收盘价均低于公司最近一期经审计的每股净资产时，且因(1)公司无法实施回购股票或回购股票议案未获得公司股东大会批准；（2）公司</w:t>
      </w:r>
      <w:proofErr w:type="gramStart"/>
      <w:r>
        <w:rPr>
          <w:rFonts w:hint="eastAsia"/>
        </w:rPr>
        <w:t>虽实施</w:t>
      </w:r>
      <w:proofErr w:type="gramEnd"/>
      <w:r>
        <w:rPr>
          <w:rFonts w:hint="eastAsia"/>
        </w:rPr>
        <w:t>股票回购计划但仍未满足“公司股票连续3个交易日的收盘价均已高于最近一期经审计的</w:t>
      </w:r>
      <w:r>
        <w:rPr>
          <w:rFonts w:hint="eastAsia"/>
        </w:rPr>
        <w:lastRenderedPageBreak/>
        <w:t>每股净资产”之条件时，控股股东将在符合《上市公司收购管理办法》及中国证监会相关规定的前提下增持公司股票。</w:t>
      </w:r>
    </w:p>
    <w:p w:rsidR="00597370" w:rsidRDefault="003C2EEE">
      <w:pPr>
        <w:pStyle w:val="affc"/>
        <w:adjustRightInd w:val="0"/>
        <w:snapToGrid w:val="0"/>
        <w:spacing w:beforeLines="0" w:after="0" w:afterAutospacing="0"/>
        <w:ind w:firstLine="420"/>
      </w:pPr>
      <w:r>
        <w:rPr>
          <w:rFonts w:hint="eastAsia"/>
        </w:rPr>
        <w:t>若本人/本公司违反上市后三年内稳定股价预案中的承诺，则控股股东应：（1）在公司股东大会及中国证监会指定媒体上公开说明未履行承诺的具体原因并向其他股东和社会公众投资者道歉，并提出补充承诺或者替代承诺，以尽可能保护投资者的权益；（2）控股股东所持限售股锁定期自期满后延长六个月，并将其在最近一个会计年度从公司分得的税后现金股利返还给公司。如未按期返还，公司可以从之后发放的现金股利中扣发，直至扣减金额累计达到应履行稳定股价义务的最近一个会计年度从公司已分得的税后现金股利总额。”</w:t>
      </w:r>
    </w:p>
    <w:p w:rsidR="00597370" w:rsidRDefault="003C2EEE">
      <w:pPr>
        <w:pStyle w:val="affc"/>
        <w:adjustRightInd w:val="0"/>
        <w:snapToGrid w:val="0"/>
        <w:spacing w:beforeLines="0" w:after="0" w:afterAutospacing="0"/>
        <w:ind w:firstLine="420"/>
      </w:pPr>
      <w:r>
        <w:rPr>
          <w:rFonts w:hint="eastAsia"/>
        </w:rPr>
        <w:t>3、董事（不含独立董事，下同）、高级管理人员承诺：</w:t>
      </w:r>
    </w:p>
    <w:p w:rsidR="00597370" w:rsidRDefault="003C2EEE">
      <w:pPr>
        <w:pStyle w:val="affc"/>
        <w:adjustRightInd w:val="0"/>
        <w:snapToGrid w:val="0"/>
        <w:spacing w:beforeLines="0" w:after="0" w:afterAutospacing="0"/>
        <w:ind w:firstLine="420"/>
      </w:pPr>
      <w:proofErr w:type="gramStart"/>
      <w:r>
        <w:rPr>
          <w:rFonts w:hint="eastAsia"/>
        </w:rPr>
        <w:t>“</w:t>
      </w:r>
      <w:proofErr w:type="gramEnd"/>
      <w:r>
        <w:rPr>
          <w:rFonts w:hint="eastAsia"/>
        </w:rPr>
        <w:t>在公司控股股东增持公司股票方案实施完成后，如公司股票仍未满足“公司股票连续3个交易日的收盘价均已高于公司最近一期经审计的每股净资产”之条件，并且董事和高级管理人员增持公司股票不会致使公司将不满足法定上市条件或促使控股股东履行要约收购义务时，董事或高级管理人员将在控股股东增持公司股票方案实施完成后90日内增持公司股票。</w:t>
      </w:r>
    </w:p>
    <w:p w:rsidR="00597370" w:rsidRDefault="003C2EEE">
      <w:pPr>
        <w:pStyle w:val="affc"/>
        <w:adjustRightInd w:val="0"/>
        <w:snapToGrid w:val="0"/>
        <w:spacing w:beforeLines="0" w:after="0" w:afterAutospacing="0"/>
        <w:ind w:firstLine="420"/>
      </w:pPr>
      <w:r>
        <w:rPr>
          <w:rFonts w:hint="eastAsia"/>
        </w:rPr>
        <w:t>在公司控股股东增持公司股票方案实施完成后，如公司股票仍未满足“公司股票连续3个交易日的收盘价均已高于公司最近一期经审计的每股净资产”之条件，并且董事和高级管理人员增持公司股票不会致使公司将不满足法定上市条件或促使控股股东履行要约收购义务时，董事或高级管理人员将在控股股东增持公司股票方案实施完成后90日内增持公司股票。</w:t>
      </w:r>
    </w:p>
    <w:p w:rsidR="00597370" w:rsidRDefault="003C2EEE">
      <w:pPr>
        <w:pStyle w:val="affc"/>
        <w:adjustRightInd w:val="0"/>
        <w:snapToGrid w:val="0"/>
        <w:spacing w:beforeLines="0" w:after="0" w:afterAutospacing="0"/>
        <w:ind w:firstLine="420"/>
      </w:pPr>
      <w:r>
        <w:rPr>
          <w:rFonts w:hint="eastAsia"/>
        </w:rPr>
        <w:t>若本人违反上市后三年内稳定股价预案中的承诺，则应：（1）在公司股东大会及中国证监会指定媒体上公开说明未履行承诺的具体原因并向股东和社会公众投资者道歉，并提出补充承诺或替代承诺，以尽可能保护投资者的权益；（2）公司应当自本人未能履行稳定股价承诺当月起，扣减本人每月税后薪酬的20%，直至累计扣减金额达到应履行稳定股价义务的最近一个会计年度从公司已获得税后薪酬的20%。”</w:t>
      </w:r>
      <w:bookmarkEnd w:id="56"/>
    </w:p>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报告期内控股股东及其他关联方非经营性占用资金情况</w:t>
      </w:r>
    </w:p>
    <w:sdt>
      <w:sdtPr>
        <w:rPr>
          <w:color w:val="000000" w:themeColor="text1"/>
        </w:rPr>
        <w:alias w:val="是否适用：资金被占用情况及清欠进展情况[双击切换]"/>
        <w:tag w:val="_GBC_ae82394ae54d49eba71e8d8d6447c499"/>
        <w:id w:val="-163624872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违规担保情况</w:t>
      </w:r>
    </w:p>
    <w:sdt>
      <w:sdtPr>
        <w:rPr>
          <w:color w:val="000000" w:themeColor="text1"/>
        </w:rPr>
        <w:alias w:val="是否适用：违规担保情况[双击切换]"/>
        <w:tag w:val="_GBC_725722c7a37d40c28caf80b13d948933"/>
        <w:id w:val="167406687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sectPr w:rsidR="00597370">
          <w:pgSz w:w="16838" w:h="11906" w:orient="landscape"/>
          <w:pgMar w:top="1797" w:right="1525" w:bottom="1276" w:left="1440" w:header="851" w:footer="992" w:gutter="0"/>
          <w:cols w:space="425"/>
          <w:docGrid w:linePitch="312"/>
        </w:sectPr>
      </w:pPr>
      <w:bookmarkStart w:id="57" w:name="_Hlk74646368"/>
      <w:bookmarkEnd w:id="57"/>
    </w:p>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lastRenderedPageBreak/>
        <w:t>半年报审计情况</w:t>
      </w:r>
    </w:p>
    <w:sdt>
      <w:sdtPr>
        <w:rPr>
          <w:color w:val="000000" w:themeColor="text1"/>
        </w:rPr>
        <w:alias w:val="是否适用：半年报审计情况  [双击切换]"/>
        <w:tag w:val="_GBC_b2faf86be7fd4060a2a7ad4018aaf033"/>
        <w:id w:val="57332303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上年年度报告非标准审计意见涉及事项的变化及处理情况</w:t>
      </w:r>
    </w:p>
    <w:sdt>
      <w:sdtPr>
        <w:rPr>
          <w:rFonts w:hint="eastAsia"/>
          <w:color w:val="000000" w:themeColor="text1"/>
        </w:rPr>
        <w:alias w:val="是否适用：公司对上年年度报告中的财务报告被注册会计师出具“非标准审计报告”的说明 [双击切换]"/>
        <w:tag w:val="_GBC_06e0811c47124b6da79369103f766350"/>
        <w:id w:val="-10774103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破产重整相关事项</w:t>
      </w:r>
    </w:p>
    <w:sdt>
      <w:sdtPr>
        <w:rPr>
          <w:rFonts w:hint="eastAsia"/>
          <w:color w:val="000000" w:themeColor="text1"/>
        </w:rPr>
        <w:alias w:val="是否适用：破产重整相关事项[双击切换]"/>
        <w:tag w:val="_GBC_c4fc8890d63b44b19353d2188a5bce59"/>
        <w:id w:val="-159546459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重大诉讼、仲裁事项</w:t>
      </w:r>
    </w:p>
    <w:sdt>
      <w:sdtPr>
        <w:rPr>
          <w:color w:val="000000" w:themeColor="text1"/>
        </w:rPr>
        <w:alias w:val="本年度公司有无重大诉讼、仲裁事项"/>
        <w:tag w:val="_GBC_0fcf1cd2d0814185bde747855edf5227"/>
        <w:id w:val="184073259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□本报告期公司有重大诉讼、仲裁事项 </w:instrText>
          </w:r>
          <w:r>
            <w:rPr>
              <w:color w:val="000000" w:themeColor="text1"/>
            </w:rPr>
            <w:fldChar w:fldCharType="end"/>
          </w:r>
          <w:r>
            <w:rPr>
              <w:color w:val="000000" w:themeColor="text1"/>
            </w:rPr>
            <w:fldChar w:fldCharType="begin"/>
          </w:r>
          <w:r>
            <w:rPr>
              <w:color w:val="000000" w:themeColor="text1"/>
            </w:rPr>
            <w:instrText xml:space="preserve"> MACROBUTTON  SnrToggleCheckbox √本报告期公司无重大诉讼、仲裁事项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上市公司及其董事、监事、高级管理人员、控股股东、实际控制人涉嫌违法违规、受到处罚及整改情况</w:t>
      </w:r>
    </w:p>
    <w:sdt>
      <w:sdtPr>
        <w:rPr>
          <w:rFonts w:hint="eastAsia"/>
          <w:color w:val="000000" w:themeColor="text1"/>
        </w:rPr>
        <w:alias w:val="是否适用：上市公司及其董事、监事、高级管理人员、持有5%以上股份的股东、实际控制人、收购人处罚及整改情况[双击切换]"/>
        <w:tag w:val="_GBC_05b097ae59254d13916df227f563a3ed"/>
        <w:id w:val="-118566267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报告期内公司及其控股股东、实际控制人诚信状况的说明</w:t>
      </w:r>
    </w:p>
    <w:sdt>
      <w:sdtPr>
        <w:rPr>
          <w:rFonts w:hint="eastAsia"/>
          <w:color w:val="000000" w:themeColor="text1"/>
        </w:rPr>
        <w:alias w:val="是否适用：报告期内公司及其控股股东、实际控制人诚信状况的说明[双击切换]"/>
        <w:tag w:val="_GBC_650ef1e21808426d806ee2024dd14590"/>
        <w:id w:val="4227746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重大关联交易</w:t>
      </w:r>
    </w:p>
    <w:p w:rsidR="00597370" w:rsidRDefault="003C2EEE">
      <w:pPr>
        <w:pStyle w:val="Style109"/>
        <w:numPr>
          <w:ilvl w:val="2"/>
          <w:numId w:val="21"/>
        </w:numPr>
        <w:rPr>
          <w:rFonts w:ascii="宋体" w:hAnsi="宋体"/>
          <w:color w:val="000000" w:themeColor="text1"/>
        </w:rPr>
      </w:pPr>
      <w:r>
        <w:rPr>
          <w:rFonts w:ascii="宋体" w:hAnsi="宋体" w:hint="eastAsia"/>
          <w:color w:val="000000" w:themeColor="text1"/>
        </w:rPr>
        <w:t>与日常经营相关的关联交易</w:t>
      </w:r>
    </w:p>
    <w:p w:rsidR="00597370" w:rsidRDefault="003C2EEE">
      <w:pPr>
        <w:pStyle w:val="Style110"/>
        <w:numPr>
          <w:ilvl w:val="2"/>
          <w:numId w:val="22"/>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与日常经营相关的关联交易[双击切换]"/>
        <w:tag w:val="_GBC_9cce66e2c46445bea6fd259dd8b5277c"/>
        <w:id w:val="-1709243579"/>
        <w:placeholder>
          <w:docPart w:val="GBC22222222222222222222222222222"/>
        </w:placeholder>
      </w:sdtPr>
      <w:sdtEndPr/>
      <w:sdtContent>
        <w:p w:rsidR="00597370" w:rsidRDefault="003C2EEE">
          <w:pPr>
            <w:pStyle w:val="Style106"/>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2"/>
          <w:numId w:val="22"/>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与日常经营相关的关联交易[双击切换]"/>
        <w:tag w:val="_GBC_3d236e76c44140259dd09a3aed77ca15"/>
        <w:id w:val="-129082019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与日常经营相关的关联交易事项已在临时报告披露，后续实施的进展或变化"/>
        <w:tag w:val="_GBC_0a4da36928c04bc784d8c97bc6a4a9d9"/>
        <w:id w:val="-1769763354"/>
      </w:sdtPr>
      <w:sdtEndPr/>
      <w:sdtContent>
        <w:p w:rsidR="00597370" w:rsidRDefault="00597370">
          <w:pPr>
            <w:rPr>
              <w:color w:val="000000" w:themeColor="text1"/>
            </w:rPr>
          </w:pPr>
        </w:p>
        <w:tbl>
          <w:tblPr>
            <w:tblStyle w:val="aff2"/>
            <w:tblW w:w="5002" w:type="pct"/>
            <w:jc w:val="center"/>
            <w:tblLayout w:type="fixed"/>
            <w:tblCellMar>
              <w:left w:w="0" w:type="dxa"/>
              <w:right w:w="28" w:type="dxa"/>
            </w:tblCellMar>
            <w:tblLook w:val="04A0" w:firstRow="1" w:lastRow="0" w:firstColumn="1" w:lastColumn="0" w:noHBand="0" w:noVBand="1"/>
          </w:tblPr>
          <w:tblGrid>
            <w:gridCol w:w="1054"/>
            <w:gridCol w:w="1054"/>
            <w:gridCol w:w="1054"/>
            <w:gridCol w:w="1053"/>
            <w:gridCol w:w="1053"/>
            <w:gridCol w:w="1425"/>
            <w:gridCol w:w="1081"/>
            <w:gridCol w:w="1053"/>
          </w:tblGrid>
          <w:tr w:rsidR="00597370">
            <w:trPr>
              <w:trHeight w:val="397"/>
              <w:jc w:val="center"/>
            </w:trPr>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关联交易方</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关联关系</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关联交易类型</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关联交易内容</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关联交易定价原则</w:t>
                </w:r>
              </w:p>
            </w:tc>
            <w:tc>
              <w:tcPr>
                <w:tcW w:w="1431"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关联交易金额（万元）</w:t>
                </w:r>
              </w:p>
            </w:tc>
            <w:tc>
              <w:tcPr>
                <w:tcW w:w="1086"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占同类交易金额的比例（%）</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关联交易结算方式</w:t>
                </w:r>
              </w:p>
            </w:tc>
          </w:tr>
          <w:tr w:rsidR="00597370">
            <w:trPr>
              <w:trHeight w:val="397"/>
              <w:jc w:val="center"/>
            </w:trPr>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四川明珠电工材料有限责任公司</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其他</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购买商品</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采购原材料</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参照市场价格协商确定</w:t>
                </w:r>
              </w:p>
            </w:tc>
            <w:tc>
              <w:tcPr>
                <w:tcW w:w="1431" w:type="dxa"/>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2,962.37</w:t>
                </w:r>
              </w:p>
            </w:tc>
            <w:tc>
              <w:tcPr>
                <w:tcW w:w="1086" w:type="dxa"/>
                <w:vAlign w:val="center"/>
              </w:tcPr>
              <w:p w:rsidR="00597370" w:rsidRDefault="003C2EEE">
                <w:pPr>
                  <w:widowControl/>
                  <w:jc w:val="right"/>
                  <w:textAlignment w:val="center"/>
                  <w:rPr>
                    <w:rFonts w:asciiTheme="minorEastAsia" w:eastAsiaTheme="minorEastAsia" w:hAnsiTheme="minorEastAsia"/>
                    <w:color w:val="000000" w:themeColor="text1"/>
                  </w:rPr>
                </w:pPr>
                <w:r>
                  <w:rPr>
                    <w:rFonts w:hint="eastAsia"/>
                    <w:color w:val="000000"/>
                    <w:sz w:val="22"/>
                    <w:szCs w:val="22"/>
                    <w:lang w:bidi="ar"/>
                  </w:rPr>
                  <w:t>2.29</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银行转账</w:t>
                </w:r>
              </w:p>
            </w:tc>
          </w:tr>
          <w:tr w:rsidR="00597370">
            <w:trPr>
              <w:trHeight w:val="397"/>
              <w:jc w:val="center"/>
            </w:trPr>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重庆能投长寿经开区售电有限公司</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其他</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购买商品</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其他</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参照市场价格协商确定</w:t>
                </w:r>
              </w:p>
            </w:tc>
            <w:tc>
              <w:tcPr>
                <w:tcW w:w="1431" w:type="dxa"/>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 xml:space="preserve"> 0.30 </w:t>
                </w:r>
              </w:p>
            </w:tc>
            <w:tc>
              <w:tcPr>
                <w:tcW w:w="1086" w:type="dxa"/>
                <w:vAlign w:val="center"/>
              </w:tcPr>
              <w:p w:rsidR="00597370" w:rsidRDefault="003C2EEE">
                <w:pPr>
                  <w:widowControl/>
                  <w:jc w:val="right"/>
                  <w:textAlignment w:val="center"/>
                  <w:rPr>
                    <w:rFonts w:asciiTheme="minorEastAsia" w:eastAsiaTheme="minorEastAsia" w:hAnsiTheme="minorEastAsia"/>
                    <w:color w:val="000000" w:themeColor="text1"/>
                  </w:rPr>
                </w:pPr>
                <w:r>
                  <w:rPr>
                    <w:rFonts w:hint="eastAsia"/>
                    <w:color w:val="000000"/>
                    <w:sz w:val="22"/>
                    <w:szCs w:val="22"/>
                    <w:lang w:bidi="ar"/>
                  </w:rPr>
                  <w:t>0</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银行转账</w:t>
                </w:r>
              </w:p>
            </w:tc>
          </w:tr>
          <w:tr w:rsidR="00597370">
            <w:trPr>
              <w:trHeight w:val="397"/>
              <w:jc w:val="center"/>
            </w:trPr>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重庆能投长寿经开区售电有限公司</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其他</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销售服务</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其他</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参照市场价格协商确定</w:t>
                </w:r>
              </w:p>
            </w:tc>
            <w:tc>
              <w:tcPr>
                <w:tcW w:w="1431" w:type="dxa"/>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14.16</w:t>
                </w:r>
              </w:p>
            </w:tc>
            <w:tc>
              <w:tcPr>
                <w:tcW w:w="1086" w:type="dxa"/>
                <w:vAlign w:val="center"/>
              </w:tcPr>
              <w:p w:rsidR="00597370" w:rsidRDefault="003C2EEE">
                <w:pPr>
                  <w:widowControl/>
                  <w:jc w:val="right"/>
                  <w:textAlignment w:val="center"/>
                  <w:rPr>
                    <w:rFonts w:asciiTheme="minorEastAsia" w:eastAsiaTheme="minorEastAsia" w:hAnsiTheme="minorEastAsia"/>
                    <w:color w:val="000000" w:themeColor="text1"/>
                  </w:rPr>
                </w:pPr>
                <w:r>
                  <w:rPr>
                    <w:rFonts w:hint="eastAsia"/>
                    <w:color w:val="000000"/>
                    <w:sz w:val="22"/>
                    <w:szCs w:val="22"/>
                    <w:lang w:bidi="ar"/>
                  </w:rPr>
                  <w:t xml:space="preserve"> 0.32 </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银行转账</w:t>
                </w:r>
              </w:p>
            </w:tc>
          </w:tr>
          <w:tr w:rsidR="00597370">
            <w:trPr>
              <w:trHeight w:val="397"/>
              <w:jc w:val="center"/>
            </w:trPr>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福泉市金山电力开发有限责任公司</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其他</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销售商品</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输配电及控制设备</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参照市场价格协商确定</w:t>
                </w:r>
              </w:p>
            </w:tc>
            <w:tc>
              <w:tcPr>
                <w:tcW w:w="1431" w:type="dxa"/>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 xml:space="preserve"> 6.00 </w:t>
                </w:r>
              </w:p>
            </w:tc>
            <w:tc>
              <w:tcPr>
                <w:tcW w:w="1086" w:type="dxa"/>
                <w:vAlign w:val="center"/>
              </w:tcPr>
              <w:p w:rsidR="00597370" w:rsidRDefault="003C2EEE">
                <w:pPr>
                  <w:widowControl/>
                  <w:jc w:val="right"/>
                  <w:textAlignment w:val="center"/>
                  <w:rPr>
                    <w:rFonts w:asciiTheme="minorEastAsia" w:eastAsiaTheme="minorEastAsia" w:hAnsiTheme="minorEastAsia"/>
                    <w:color w:val="000000" w:themeColor="text1"/>
                  </w:rPr>
                </w:pPr>
                <w:r>
                  <w:rPr>
                    <w:rFonts w:hint="eastAsia"/>
                    <w:color w:val="000000"/>
                    <w:sz w:val="22"/>
                    <w:szCs w:val="22"/>
                    <w:lang w:bidi="ar"/>
                  </w:rPr>
                  <w:t xml:space="preserve"> 0.01 </w:t>
                </w:r>
              </w:p>
            </w:tc>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rPr>
                  <w:t>银行转账</w:t>
                </w:r>
              </w:p>
            </w:tc>
          </w:tr>
          <w:tr w:rsidR="00597370">
            <w:trPr>
              <w:trHeight w:val="397"/>
              <w:jc w:val="center"/>
            </w:trPr>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hint="eastAsia"/>
                  </w:rPr>
                  <w:t>重庆圣耀电力工程有限责任公司</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输配电及控制设备</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销售商品</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输配电及控制设备</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参照市场价格协商确定</w:t>
                </w:r>
              </w:p>
            </w:tc>
            <w:tc>
              <w:tcPr>
                <w:tcW w:w="1431" w:type="dxa"/>
                <w:vAlign w:val="center"/>
              </w:tcPr>
              <w:p w:rsidR="00597370" w:rsidRDefault="003C2EEE">
                <w:pPr>
                  <w:jc w:val="right"/>
                  <w:rPr>
                    <w:rFonts w:asciiTheme="minorEastAsia" w:eastAsiaTheme="minorEastAsia" w:hAnsiTheme="minorEastAsia"/>
                    <w:color w:val="000000"/>
                  </w:rPr>
                </w:pPr>
                <w:r>
                  <w:rPr>
                    <w:rFonts w:asciiTheme="minorEastAsia" w:eastAsiaTheme="minorEastAsia" w:hAnsiTheme="minorEastAsia"/>
                  </w:rPr>
                  <w:t>177.39</w:t>
                </w:r>
              </w:p>
            </w:tc>
            <w:tc>
              <w:tcPr>
                <w:tcW w:w="1086" w:type="dxa"/>
                <w:vAlign w:val="center"/>
              </w:tcPr>
              <w:p w:rsidR="00597370" w:rsidRDefault="003C2EEE">
                <w:pPr>
                  <w:widowControl/>
                  <w:jc w:val="right"/>
                  <w:textAlignment w:val="center"/>
                  <w:rPr>
                    <w:rFonts w:asciiTheme="minorEastAsia" w:eastAsiaTheme="minorEastAsia" w:hAnsiTheme="minorEastAsia"/>
                    <w:color w:val="000000"/>
                  </w:rPr>
                </w:pPr>
                <w:r>
                  <w:rPr>
                    <w:rFonts w:hint="eastAsia"/>
                    <w:color w:val="000000"/>
                    <w:sz w:val="22"/>
                    <w:szCs w:val="22"/>
                    <w:lang w:bidi="ar"/>
                  </w:rPr>
                  <w:t xml:space="preserve"> 0.23 </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银行转账</w:t>
                </w:r>
              </w:p>
            </w:tc>
          </w:tr>
          <w:tr w:rsidR="00597370">
            <w:trPr>
              <w:trHeight w:val="397"/>
              <w:jc w:val="center"/>
            </w:trPr>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hint="eastAsia"/>
                  </w:rPr>
                  <w:t>重庆圣耀电力工程有限责任</w:t>
                </w:r>
                <w:r>
                  <w:rPr>
                    <w:rFonts w:asciiTheme="minorEastAsia" w:eastAsiaTheme="minorEastAsia" w:hAnsiTheme="minorEastAsia" w:hint="eastAsia"/>
                  </w:rPr>
                  <w:lastRenderedPageBreak/>
                  <w:t>公司  </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lastRenderedPageBreak/>
                  <w:t>其他</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销售服务</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其他</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参照市场价格协商确定</w:t>
                </w:r>
              </w:p>
            </w:tc>
            <w:tc>
              <w:tcPr>
                <w:tcW w:w="1431" w:type="dxa"/>
                <w:vAlign w:val="center"/>
              </w:tcPr>
              <w:p w:rsidR="00597370" w:rsidRDefault="003C2EEE">
                <w:pPr>
                  <w:jc w:val="right"/>
                  <w:rPr>
                    <w:rFonts w:asciiTheme="minorEastAsia" w:eastAsiaTheme="minorEastAsia" w:hAnsiTheme="minorEastAsia"/>
                    <w:color w:val="000000"/>
                  </w:rPr>
                </w:pPr>
                <w:r>
                  <w:rPr>
                    <w:rFonts w:asciiTheme="minorEastAsia" w:eastAsiaTheme="minorEastAsia" w:hAnsiTheme="minorEastAsia"/>
                  </w:rPr>
                  <w:t>7.19</w:t>
                </w:r>
              </w:p>
            </w:tc>
            <w:tc>
              <w:tcPr>
                <w:tcW w:w="1086" w:type="dxa"/>
                <w:vAlign w:val="center"/>
              </w:tcPr>
              <w:p w:rsidR="00597370" w:rsidRDefault="003C2EEE">
                <w:pPr>
                  <w:widowControl/>
                  <w:jc w:val="right"/>
                  <w:textAlignment w:val="center"/>
                  <w:rPr>
                    <w:rFonts w:asciiTheme="minorEastAsia" w:eastAsiaTheme="minorEastAsia" w:hAnsiTheme="minorEastAsia"/>
                    <w:color w:val="000000"/>
                  </w:rPr>
                </w:pPr>
                <w:r>
                  <w:rPr>
                    <w:rFonts w:hint="eastAsia"/>
                    <w:color w:val="000000"/>
                    <w:sz w:val="22"/>
                    <w:szCs w:val="22"/>
                    <w:lang w:bidi="ar"/>
                  </w:rPr>
                  <w:t xml:space="preserve"> 0.16 </w:t>
                </w:r>
              </w:p>
            </w:tc>
            <w:tc>
              <w:tcPr>
                <w:tcW w:w="1058" w:type="dxa"/>
                <w:vAlign w:val="center"/>
              </w:tcPr>
              <w:p w:rsidR="00597370" w:rsidRDefault="003C2EEE">
                <w:pPr>
                  <w:rPr>
                    <w:rFonts w:asciiTheme="minorEastAsia" w:eastAsiaTheme="minorEastAsia" w:hAnsiTheme="minorEastAsia"/>
                    <w:color w:val="000000"/>
                  </w:rPr>
                </w:pPr>
                <w:r>
                  <w:rPr>
                    <w:rFonts w:asciiTheme="minorEastAsia" w:eastAsiaTheme="minorEastAsia" w:hAnsiTheme="minorEastAsia"/>
                  </w:rPr>
                  <w:t>银行转账</w:t>
                </w:r>
              </w:p>
            </w:tc>
          </w:tr>
          <w:tr w:rsidR="00597370">
            <w:trPr>
              <w:trHeight w:val="397"/>
              <w:jc w:val="center"/>
            </w:trPr>
            <w:tc>
              <w:tcPr>
                <w:tcW w:w="1058" w:type="dxa"/>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合计</w:t>
                </w:r>
              </w:p>
            </w:tc>
            <w:tc>
              <w:tcPr>
                <w:tcW w:w="1058" w:type="dxa"/>
                <w:vAlign w:val="center"/>
              </w:tcPr>
              <w:p w:rsidR="00597370" w:rsidRDefault="00597370">
                <w:pPr>
                  <w:rPr>
                    <w:rFonts w:asciiTheme="minorEastAsia" w:eastAsiaTheme="minorEastAsia" w:hAnsiTheme="minorEastAsia"/>
                    <w:color w:val="000000" w:themeColor="text1"/>
                  </w:rPr>
                </w:pPr>
              </w:p>
            </w:tc>
            <w:tc>
              <w:tcPr>
                <w:tcW w:w="1058" w:type="dxa"/>
                <w:vAlign w:val="center"/>
              </w:tcPr>
              <w:p w:rsidR="00597370" w:rsidRDefault="00597370">
                <w:pPr>
                  <w:rPr>
                    <w:rFonts w:asciiTheme="minorEastAsia" w:eastAsiaTheme="minorEastAsia" w:hAnsiTheme="minorEastAsia"/>
                    <w:color w:val="000000" w:themeColor="text1"/>
                  </w:rPr>
                </w:pPr>
              </w:p>
            </w:tc>
            <w:tc>
              <w:tcPr>
                <w:tcW w:w="1058" w:type="dxa"/>
                <w:vAlign w:val="center"/>
              </w:tcPr>
              <w:p w:rsidR="00597370" w:rsidRDefault="00597370">
                <w:pPr>
                  <w:rPr>
                    <w:rFonts w:asciiTheme="minorEastAsia" w:eastAsiaTheme="minorEastAsia" w:hAnsiTheme="minorEastAsia"/>
                    <w:color w:val="000000" w:themeColor="text1"/>
                  </w:rPr>
                </w:pPr>
              </w:p>
            </w:tc>
            <w:tc>
              <w:tcPr>
                <w:tcW w:w="1058" w:type="dxa"/>
                <w:vAlign w:val="center"/>
              </w:tcPr>
              <w:p w:rsidR="00597370" w:rsidRDefault="00597370">
                <w:pPr>
                  <w:rPr>
                    <w:rFonts w:asciiTheme="minorEastAsia" w:eastAsiaTheme="minorEastAsia" w:hAnsiTheme="minorEastAsia"/>
                    <w:color w:val="000000" w:themeColor="text1"/>
                  </w:rPr>
                </w:pPr>
              </w:p>
            </w:tc>
            <w:tc>
              <w:tcPr>
                <w:tcW w:w="1431" w:type="dxa"/>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3,167.41</w:t>
                </w:r>
              </w:p>
            </w:tc>
            <w:tc>
              <w:tcPr>
                <w:tcW w:w="1086" w:type="dxa"/>
                <w:vAlign w:val="center"/>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w:t>
                </w:r>
              </w:p>
            </w:tc>
            <w:tc>
              <w:tcPr>
                <w:tcW w:w="1058" w:type="dxa"/>
                <w:vAlign w:val="center"/>
              </w:tcPr>
              <w:p w:rsidR="00597370" w:rsidRDefault="00597370">
                <w:pPr>
                  <w:rPr>
                    <w:rFonts w:asciiTheme="minorEastAsia" w:eastAsiaTheme="minorEastAsia" w:hAnsiTheme="minorEastAsia"/>
                    <w:color w:val="000000" w:themeColor="text1"/>
                  </w:rPr>
                </w:pPr>
              </w:p>
            </w:tc>
          </w:tr>
        </w:tbl>
        <w:p w:rsidR="00597370" w:rsidRDefault="006840ED">
          <w:pPr>
            <w:rPr>
              <w:color w:val="000000" w:themeColor="text1"/>
            </w:rPr>
          </w:pPr>
        </w:p>
      </w:sdtContent>
    </w:sdt>
    <w:p w:rsidR="00597370" w:rsidRDefault="003C2EEE">
      <w:pPr>
        <w:pStyle w:val="Style110"/>
        <w:numPr>
          <w:ilvl w:val="2"/>
          <w:numId w:val="22"/>
        </w:numPr>
        <w:rPr>
          <w:rFonts w:ascii="宋体" w:hAnsi="宋体"/>
          <w:color w:val="000000" w:themeColor="text1"/>
        </w:rPr>
      </w:pPr>
      <w:r>
        <w:rPr>
          <w:rFonts w:ascii="宋体" w:hAnsi="宋体"/>
          <w:color w:val="000000" w:themeColor="text1"/>
        </w:rPr>
        <w:t>临时公告未披露的事项</w:t>
      </w:r>
    </w:p>
    <w:sdt>
      <w:sdtPr>
        <w:rPr>
          <w:color w:val="000000" w:themeColor="text1"/>
        </w:rPr>
        <w:alias w:val="是否适用：与日常经营相关的关联交易_临时公告未披露的事项[双击切换]"/>
        <w:tag w:val="_GBC_91ad548daaa84603a8faa6c0ce358499"/>
        <w:id w:val="389926875"/>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21"/>
        </w:numPr>
        <w:rPr>
          <w:rFonts w:ascii="宋体" w:hAnsi="宋体"/>
          <w:color w:val="000000" w:themeColor="text1"/>
        </w:rPr>
      </w:pPr>
      <w:r>
        <w:rPr>
          <w:rFonts w:ascii="宋体" w:hAnsi="宋体" w:hint="eastAsia"/>
          <w:color w:val="000000" w:themeColor="text1"/>
        </w:rPr>
        <w:t>资产收购或股权收购、出售发生的关联交易</w:t>
      </w:r>
    </w:p>
    <w:p w:rsidR="00597370" w:rsidRDefault="003C2EEE">
      <w:pPr>
        <w:pStyle w:val="Style110"/>
        <w:numPr>
          <w:ilvl w:val="0"/>
          <w:numId w:val="23"/>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资产或股权收购、出售发生的关联交易[双击切换]"/>
        <w:tag w:val="_GBC_208b69178a984ade8f4f4dd7a3362ae3"/>
        <w:id w:val="167623305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3"/>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资产或股权收购、出售发生的关联交易[双击切换]"/>
        <w:tag w:val="_GBC_b72de17637e74020b42aa0636b393f25"/>
        <w:id w:val="895934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3"/>
        </w:numPr>
        <w:rPr>
          <w:rFonts w:ascii="宋体" w:hAnsi="宋体"/>
          <w:color w:val="000000" w:themeColor="text1"/>
        </w:rPr>
      </w:pPr>
      <w:r>
        <w:rPr>
          <w:rFonts w:ascii="宋体" w:hAnsi="宋体"/>
          <w:color w:val="000000" w:themeColor="text1"/>
        </w:rPr>
        <w:t>临时公告未披露的事项</w:t>
      </w:r>
    </w:p>
    <w:sdt>
      <w:sdtPr>
        <w:rPr>
          <w:color w:val="000000" w:themeColor="text1"/>
        </w:rPr>
        <w:alias w:val="是否适用：资产收购、出售发生的关联交易_临时公告未披露的事项[双击切换]"/>
        <w:tag w:val="_GBC_d3f1f3f5ce564209aee49197432643af"/>
        <w:id w:val="172594668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3"/>
        </w:numPr>
        <w:rPr>
          <w:rFonts w:ascii="宋体" w:hAnsi="宋体"/>
          <w:color w:val="000000" w:themeColor="text1"/>
        </w:rPr>
      </w:pPr>
      <w:r>
        <w:rPr>
          <w:rFonts w:ascii="宋体" w:hAnsi="宋体"/>
          <w:color w:val="000000" w:themeColor="text1"/>
        </w:rPr>
        <w:t>涉及业绩约定的，应当披露报告期内的业绩实现情况</w:t>
      </w:r>
    </w:p>
    <w:sdt>
      <w:sdtPr>
        <w:rPr>
          <w:color w:val="000000" w:themeColor="text1"/>
        </w:rPr>
        <w:alias w:val="是否适用：涉及业绩约定的，应当披露报告期内的业绩实现情况[双击切换]"/>
        <w:tag w:val="_GBC_0640a8fc3526461ca1eed7810b087c23"/>
        <w:id w:val="-17107945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21"/>
        </w:numPr>
        <w:rPr>
          <w:rFonts w:ascii="宋体" w:hAnsi="宋体"/>
          <w:color w:val="000000" w:themeColor="text1"/>
        </w:rPr>
      </w:pPr>
      <w:r>
        <w:rPr>
          <w:rFonts w:ascii="宋体" w:hAnsi="宋体" w:hint="eastAsia"/>
          <w:color w:val="000000" w:themeColor="text1"/>
        </w:rPr>
        <w:t>共同对外投资的重大关联交易</w:t>
      </w:r>
    </w:p>
    <w:p w:rsidR="00597370" w:rsidRDefault="003C2EEE">
      <w:pPr>
        <w:pStyle w:val="Style110"/>
        <w:numPr>
          <w:ilvl w:val="0"/>
          <w:numId w:val="24"/>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共同对外投资的重大关联交易[双击切换]"/>
        <w:tag w:val="_GBC_dda9192a67f44f8698afb5d0b3e3c767"/>
        <w:id w:val="35832330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4"/>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共同对外投资的重大关联交易[双击切换]"/>
        <w:tag w:val="_GBC_f5354c189ecd4cad9ef1e263c325c0db"/>
        <w:id w:val="196191100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4"/>
        </w:numPr>
        <w:rPr>
          <w:rFonts w:ascii="宋体" w:hAnsi="宋体"/>
          <w:color w:val="000000" w:themeColor="text1"/>
        </w:rPr>
      </w:pPr>
      <w:r>
        <w:rPr>
          <w:rFonts w:ascii="宋体" w:hAnsi="宋体"/>
          <w:color w:val="000000" w:themeColor="text1"/>
        </w:rPr>
        <w:t>临时公告未披露的事项</w:t>
      </w:r>
    </w:p>
    <w:sdt>
      <w:sdtPr>
        <w:rPr>
          <w:rFonts w:hint="eastAsia"/>
          <w:color w:val="000000" w:themeColor="text1"/>
        </w:rPr>
        <w:alias w:val="是否适用：共同对外投资的重大关联交易_临时公告未披露的事项[双击切换]"/>
        <w:tag w:val="_GBC_3ac28148c3754202ba544078ad581a24"/>
        <w:id w:val="-20511488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21"/>
        </w:numPr>
        <w:rPr>
          <w:rFonts w:ascii="宋体" w:hAnsi="宋体"/>
          <w:color w:val="000000" w:themeColor="text1"/>
        </w:rPr>
      </w:pPr>
      <w:r>
        <w:rPr>
          <w:rFonts w:ascii="宋体" w:hAnsi="宋体" w:hint="eastAsia"/>
          <w:color w:val="000000" w:themeColor="text1"/>
        </w:rPr>
        <w:t>关联债权债务往来</w:t>
      </w:r>
    </w:p>
    <w:p w:rsidR="00597370" w:rsidRDefault="003C2EEE">
      <w:pPr>
        <w:pStyle w:val="Style110"/>
        <w:numPr>
          <w:ilvl w:val="0"/>
          <w:numId w:val="25"/>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关联债权债务往来[双击切换]"/>
        <w:tag w:val="_GBC_480ccdae6247445ca78cf6327eb0e24f"/>
        <w:id w:val="19902837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5"/>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关联债权债务往来[双击切换]"/>
        <w:tag w:val="_GBC_06dcfbbd6aed49aa878ab07a09b2270b"/>
        <w:id w:val="-74919083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5"/>
        </w:numPr>
        <w:rPr>
          <w:rFonts w:ascii="宋体" w:hAnsi="宋体"/>
          <w:color w:val="000000" w:themeColor="text1"/>
        </w:rPr>
      </w:pPr>
      <w:r>
        <w:rPr>
          <w:rFonts w:ascii="宋体" w:hAnsi="宋体"/>
          <w:color w:val="000000" w:themeColor="text1"/>
        </w:rPr>
        <w:t>临时公告未披露的事项</w:t>
      </w:r>
    </w:p>
    <w:sdt>
      <w:sdtPr>
        <w:rPr>
          <w:color w:val="000000" w:themeColor="text1"/>
        </w:rPr>
        <w:alias w:val="是否适用：关联债权债务往来_临时公告未披露的事项[双击切换]"/>
        <w:tag w:val="_GBC_0f4a6802ca704b49a413888379a91f0b"/>
        <w:id w:val="-130969952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21"/>
        </w:numPr>
        <w:rPr>
          <w:rFonts w:ascii="宋体" w:hAnsi="宋体"/>
          <w:color w:val="000000" w:themeColor="text1"/>
        </w:rPr>
      </w:pPr>
      <w:r>
        <w:rPr>
          <w:rFonts w:ascii="宋体" w:hAnsi="宋体" w:hint="eastAsia"/>
          <w:color w:val="000000" w:themeColor="text1"/>
        </w:rPr>
        <w:t>公司与存在关联关系的财务公司、公司控股财务公司与关联方之间的金融业务</w:t>
      </w:r>
    </w:p>
    <w:sdt>
      <w:sdtPr>
        <w:rPr>
          <w:color w:val="000000" w:themeColor="text1"/>
        </w:rPr>
        <w:alias w:val="是否适用：公司与存在关联关系的财务公司、公司控股财务公司与关联方之间的金融业务 [双击切换]"/>
        <w:tag w:val="_GBC_918ef76103ad41b4a79075b59fdb8bf4"/>
        <w:id w:val="145690693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21"/>
        </w:numPr>
        <w:rPr>
          <w:rFonts w:ascii="宋体" w:hAnsi="宋体"/>
          <w:color w:val="000000" w:themeColor="text1"/>
        </w:rPr>
      </w:pPr>
      <w:bookmarkStart w:id="58" w:name="_Hlk41316022"/>
      <w:bookmarkEnd w:id="58"/>
      <w:r>
        <w:rPr>
          <w:rFonts w:ascii="宋体" w:hAnsi="宋体" w:hint="eastAsia"/>
          <w:color w:val="000000" w:themeColor="text1"/>
        </w:rPr>
        <w:t>其他重大关联交易</w:t>
      </w:r>
    </w:p>
    <w:sdt>
      <w:sdtPr>
        <w:rPr>
          <w:rFonts w:hint="eastAsia"/>
          <w:color w:val="000000" w:themeColor="text1"/>
        </w:rPr>
        <w:alias w:val="是否适用：重大关联交易其他说明[双击切换]"/>
        <w:tag w:val="_GBC_7dd39ac420a244dcb8ea88c29ac07190"/>
        <w:id w:val="107516399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21"/>
        </w:numPr>
        <w:rPr>
          <w:rFonts w:ascii="宋体" w:hAnsi="宋体"/>
          <w:color w:val="000000" w:themeColor="text1"/>
        </w:rPr>
      </w:pPr>
      <w:r>
        <w:rPr>
          <w:rFonts w:ascii="宋体" w:hAnsi="宋体" w:hint="eastAsia"/>
          <w:color w:val="000000" w:themeColor="text1"/>
        </w:rPr>
        <w:t>其他</w:t>
      </w:r>
    </w:p>
    <w:sdt>
      <w:sdtPr>
        <w:rPr>
          <w:rFonts w:hint="eastAsia"/>
          <w:color w:val="000000" w:themeColor="text1"/>
        </w:rPr>
        <w:alias w:val="是否适用：重大关联交易事项其他补充说明[双击切换]"/>
        <w:tag w:val="_GBC_272061194cde466a9c566f0881c76d0d"/>
        <w:id w:val="212241667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r>
        <w:rPr>
          <w:rFonts w:ascii="宋体" w:hAnsi="宋体" w:hint="eastAsia"/>
          <w:color w:val="000000" w:themeColor="text1"/>
        </w:rPr>
        <w:t>重大合同及其履行情况</w:t>
      </w:r>
    </w:p>
    <w:p w:rsidR="00597370" w:rsidRDefault="003C2EEE">
      <w:pPr>
        <w:pStyle w:val="Style109"/>
        <w:numPr>
          <w:ilvl w:val="0"/>
          <w:numId w:val="26"/>
        </w:numPr>
        <w:rPr>
          <w:rFonts w:ascii="宋体" w:hAnsi="宋体"/>
          <w:color w:val="000000" w:themeColor="text1"/>
        </w:rPr>
      </w:pPr>
      <w:r>
        <w:rPr>
          <w:rFonts w:ascii="宋体" w:hAnsi="宋体"/>
          <w:color w:val="000000" w:themeColor="text1"/>
        </w:rPr>
        <w:t>托管、承包、租赁事项</w:t>
      </w:r>
    </w:p>
    <w:p w:rsidR="00597370" w:rsidRDefault="006840ED">
      <w:pPr>
        <w:rPr>
          <w:color w:val="000000" w:themeColor="text1"/>
          <w:shd w:val="pct10" w:color="auto" w:fill="FFFFFF"/>
        </w:rPr>
      </w:pPr>
      <w:sdt>
        <w:sdtPr>
          <w:rPr>
            <w:color w:val="000000" w:themeColor="text1"/>
          </w:rPr>
          <w:alias w:val="是否适用：托管、承包、租赁事项[双击切换]"/>
          <w:tag w:val="_GBC_daed561e68674d828a348a97bffbc154"/>
          <w:id w:val="-514376965"/>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597370">
      <w:pPr>
        <w:rPr>
          <w:color w:val="000000" w:themeColor="text1"/>
          <w:shd w:val="pct10" w:color="auto" w:fill="FFFFFF"/>
        </w:rPr>
        <w:sectPr w:rsidR="00597370">
          <w:pgSz w:w="11906" w:h="16838"/>
          <w:pgMar w:top="1525" w:right="1276" w:bottom="1440" w:left="1797" w:header="851" w:footer="992" w:gutter="0"/>
          <w:cols w:space="425"/>
          <w:docGrid w:linePitch="312"/>
        </w:sectPr>
      </w:pPr>
    </w:p>
    <w:p w:rsidR="00597370" w:rsidRDefault="003C2EEE">
      <w:pPr>
        <w:pStyle w:val="Style109"/>
        <w:numPr>
          <w:ilvl w:val="0"/>
          <w:numId w:val="26"/>
        </w:numPr>
        <w:rPr>
          <w:rFonts w:ascii="宋体" w:hAnsi="宋体"/>
          <w:color w:val="000000" w:themeColor="text1"/>
        </w:rPr>
      </w:pPr>
      <w:r>
        <w:rPr>
          <w:rFonts w:ascii="宋体" w:hAnsi="宋体"/>
          <w:color w:val="000000" w:themeColor="text1"/>
        </w:rPr>
        <w:lastRenderedPageBreak/>
        <w:t>报告期内履行的及尚未履行完毕的重大担保情况</w:t>
      </w:r>
    </w:p>
    <w:sdt>
      <w:sdtPr>
        <w:rPr>
          <w:color w:val="000000" w:themeColor="text1"/>
        </w:rPr>
        <w:alias w:val="是否适用：担保情况[双击切换]"/>
        <w:tag w:val="_GBC_aae98b3e30bd49e4b2e1d2643f200047"/>
        <w:id w:val="292256822"/>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rightChars="-150" w:right="-315"/>
        <w:jc w:val="right"/>
        <w:rPr>
          <w:color w:val="000000" w:themeColor="text1"/>
        </w:rPr>
      </w:pPr>
      <w:bookmarkStart w:id="59" w:name="_Hlk42868045"/>
      <w:r>
        <w:rPr>
          <w:rFonts w:hint="eastAsia"/>
          <w:color w:val="000000" w:themeColor="text1"/>
        </w:rPr>
        <w:t>单位</w:t>
      </w:r>
      <w:r>
        <w:rPr>
          <w:color w:val="000000" w:themeColor="text1"/>
        </w:rPr>
        <w:t xml:space="preserve">： </w:t>
      </w:r>
      <w:sdt>
        <w:sdtPr>
          <w:rPr>
            <w:color w:val="000000" w:themeColor="text1"/>
          </w:rPr>
          <w:alias w:val="单位：担保情况"/>
          <w:tag w:val="_GBC_27c8b92380c14fd7885db4b4050dbded"/>
          <w:id w:val="-20175196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万元</w:t>
          </w:r>
        </w:sdtContent>
      </w:sdt>
      <w:r>
        <w:rPr>
          <w:rFonts w:hint="eastAsia"/>
          <w:color w:val="000000" w:themeColor="text1"/>
        </w:rPr>
        <w:t>币种</w:t>
      </w:r>
      <w:r>
        <w:rPr>
          <w:color w:val="000000" w:themeColor="text1"/>
        </w:rPr>
        <w:t xml:space="preserve">： </w:t>
      </w:r>
      <w:sdt>
        <w:sdtPr>
          <w:rPr>
            <w:color w:val="000000" w:themeColor="text1"/>
          </w:rPr>
          <w:alias w:val="币种：担保情况"/>
          <w:tag w:val="_GBC_a5bed87537d146398206f22cc051cc03"/>
          <w:id w:val="-5931631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820"/>
        <w:gridCol w:w="859"/>
        <w:gridCol w:w="859"/>
        <w:gridCol w:w="950"/>
        <w:gridCol w:w="859"/>
        <w:gridCol w:w="857"/>
        <w:gridCol w:w="743"/>
        <w:gridCol w:w="965"/>
        <w:gridCol w:w="860"/>
        <w:gridCol w:w="860"/>
        <w:gridCol w:w="860"/>
        <w:gridCol w:w="860"/>
        <w:gridCol w:w="945"/>
        <w:gridCol w:w="860"/>
        <w:gridCol w:w="860"/>
        <w:gridCol w:w="846"/>
      </w:tblGrid>
      <w:tr w:rsidR="00597370">
        <w:trPr>
          <w:trHeight w:val="293"/>
        </w:trPr>
        <w:sdt>
          <w:sdtPr>
            <w:rPr>
              <w:color w:val="000000" w:themeColor="text1"/>
            </w:rPr>
            <w:tag w:val="_PLD_e4c50adfca70424b94b9e8ceed3333ed"/>
            <w:id w:val="-1514599205"/>
          </w:sdtPr>
          <w:sdtEndPr/>
          <w:sdtContent>
            <w:tc>
              <w:tcPr>
                <w:tcW w:w="5000" w:type="pct"/>
                <w:gridSpan w:val="16"/>
                <w:tcBorders>
                  <w:top w:val="single" w:sz="4" w:space="0" w:color="auto"/>
                  <w:bottom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公司对外担保情况（不包括对子公司的担保）</w:t>
                </w:r>
              </w:p>
            </w:tc>
          </w:sdtContent>
        </w:sdt>
      </w:tr>
      <w:tr w:rsidR="00597370">
        <w:trPr>
          <w:trHeight w:val="293"/>
        </w:trPr>
        <w:sdt>
          <w:sdtPr>
            <w:rPr>
              <w:color w:val="000000" w:themeColor="text1"/>
            </w:rPr>
            <w:tag w:val="_PLD_b5e3bfe83f5247d8b2e96e12bee8662f"/>
            <w:id w:val="1870336609"/>
          </w:sdtPr>
          <w:sdtEndPr/>
          <w:sdtContent>
            <w:tc>
              <w:tcPr>
                <w:tcW w:w="296" w:type="pct"/>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担保方</w:t>
                </w:r>
              </w:p>
            </w:tc>
          </w:sdtContent>
        </w:sdt>
        <w:sdt>
          <w:sdtPr>
            <w:rPr>
              <w:color w:val="000000" w:themeColor="text1"/>
            </w:rPr>
            <w:tag w:val="_PLD_11e8ec3aaba140989322530dbb4ee821"/>
            <w:id w:val="1659959079"/>
          </w:sdtPr>
          <w:sdtEndPr/>
          <w:sdtContent>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担保方与上市公司的关系</w:t>
                </w:r>
              </w:p>
            </w:tc>
          </w:sdtContent>
        </w:sdt>
        <w:sdt>
          <w:sdtPr>
            <w:rPr>
              <w:color w:val="000000" w:themeColor="text1"/>
            </w:rPr>
            <w:tag w:val="_PLD_0a624167897e488eac102851cdaa2dd6"/>
            <w:id w:val="127588094"/>
          </w:sdtPr>
          <w:sdtEndPr/>
          <w:sdtContent>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被担保方</w:t>
                </w:r>
              </w:p>
            </w:tc>
          </w:sdtContent>
        </w:sdt>
        <w:sdt>
          <w:sdtPr>
            <w:rPr>
              <w:color w:val="000000" w:themeColor="text1"/>
            </w:rPr>
            <w:tag w:val="_PLD_d74521a92aaa42b5808e61f4fb826446"/>
            <w:id w:val="672915422"/>
          </w:sdtPr>
          <w:sdtEndPr/>
          <w:sdtContent>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担保金额</w:t>
                </w:r>
              </w:p>
            </w:tc>
          </w:sdtContent>
        </w:sdt>
        <w:sdt>
          <w:sdtPr>
            <w:rPr>
              <w:color w:val="000000" w:themeColor="text1"/>
            </w:rPr>
            <w:tag w:val="_PLD_6741824a509a46cebcb644a6151b055d"/>
            <w:id w:val="-1343080182"/>
          </w:sdtPr>
          <w:sdtEndPr/>
          <w:sdtContent>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担保发生日期</w:t>
                </w:r>
                <w:r>
                  <w:rPr>
                    <w:color w:val="000000" w:themeColor="text1"/>
                  </w:rPr>
                  <w:t>(</w:t>
                </w:r>
                <w:r>
                  <w:rPr>
                    <w:rFonts w:hint="eastAsia"/>
                    <w:color w:val="000000" w:themeColor="text1"/>
                  </w:rPr>
                  <w:t>协议签署日</w:t>
                </w:r>
                <w:r>
                  <w:rPr>
                    <w:color w:val="000000" w:themeColor="text1"/>
                  </w:rPr>
                  <w:t>)</w:t>
                </w:r>
              </w:p>
            </w:tc>
          </w:sdtContent>
        </w:sdt>
        <w:sdt>
          <w:sdtPr>
            <w:rPr>
              <w:color w:val="000000" w:themeColor="text1"/>
            </w:rPr>
            <w:tag w:val="_PLD_0e011a3a87e14e378e635db52fd873bd"/>
            <w:id w:val="2084413103"/>
          </w:sdtPr>
          <w:sdtEndPr/>
          <w:sdtContent>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w:t>
                </w:r>
              </w:p>
              <w:p w:rsidR="00597370" w:rsidRDefault="003C2EEE">
                <w:pPr>
                  <w:autoSpaceDE w:val="0"/>
                  <w:autoSpaceDN w:val="0"/>
                  <w:adjustRightInd w:val="0"/>
                  <w:jc w:val="center"/>
                  <w:rPr>
                    <w:color w:val="000000" w:themeColor="text1"/>
                  </w:rPr>
                </w:pPr>
                <w:r>
                  <w:rPr>
                    <w:rFonts w:hint="eastAsia"/>
                    <w:color w:val="000000" w:themeColor="text1"/>
                  </w:rPr>
                  <w:t>起始日</w:t>
                </w:r>
              </w:p>
            </w:tc>
          </w:sdtContent>
        </w:sdt>
        <w:sdt>
          <w:sdtPr>
            <w:rPr>
              <w:color w:val="000000" w:themeColor="text1"/>
            </w:rPr>
            <w:tag w:val="_PLD_938a1d93f58f4900b7afb7849e3e6a58"/>
            <w:id w:val="-225999026"/>
          </w:sdtPr>
          <w:sdtEndPr/>
          <w:sdtContent>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w:t>
                </w:r>
              </w:p>
              <w:p w:rsidR="00597370" w:rsidRDefault="003C2EEE">
                <w:pPr>
                  <w:autoSpaceDE w:val="0"/>
                  <w:autoSpaceDN w:val="0"/>
                  <w:adjustRightInd w:val="0"/>
                  <w:jc w:val="center"/>
                  <w:rPr>
                    <w:color w:val="000000" w:themeColor="text1"/>
                  </w:rPr>
                </w:pPr>
                <w:r>
                  <w:rPr>
                    <w:rFonts w:hint="eastAsia"/>
                    <w:color w:val="000000" w:themeColor="text1"/>
                  </w:rPr>
                  <w:t>到期日</w:t>
                </w:r>
              </w:p>
            </w:tc>
          </w:sdtContent>
        </w:sdt>
        <w:sdt>
          <w:sdtPr>
            <w:rPr>
              <w:color w:val="000000" w:themeColor="text1"/>
            </w:rPr>
            <w:tag w:val="_PLD_51fa31228c524c01adac764c60a6999c"/>
            <w:id w:val="262501848"/>
          </w:sdtPr>
          <w:sdtEndPr/>
          <w:sdtContent>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担保类型</w:t>
                </w:r>
              </w:p>
            </w:tc>
          </w:sdtContent>
        </w:sdt>
        <w:sdt>
          <w:sdtPr>
            <w:rPr>
              <w:rFonts w:hint="eastAsia"/>
              <w:color w:val="000000" w:themeColor="text1"/>
            </w:rPr>
            <w:tag w:val="_PLD_1f3f8cca8d8c4b94a8d81954f7951552"/>
            <w:id w:val="1171459977"/>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主债务情况</w:t>
                </w:r>
              </w:p>
            </w:tc>
          </w:sdtContent>
        </w:sdt>
        <w:sdt>
          <w:sdtPr>
            <w:rPr>
              <w:rFonts w:hint="eastAsia"/>
              <w:color w:val="000000" w:themeColor="text1"/>
            </w:rPr>
            <w:tag w:val="_PLD_cd7b5ab30a06466e9c30b0ca1035b8c8"/>
            <w:id w:val="1222641767"/>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担保物（如有）</w:t>
                </w:r>
              </w:p>
            </w:tc>
          </w:sdtContent>
        </w:sdt>
        <w:sdt>
          <w:sdtPr>
            <w:rPr>
              <w:color w:val="000000" w:themeColor="text1"/>
            </w:rPr>
            <w:tag w:val="_PLD_a4bc1e9d84484ec38af3f5d7a2752067"/>
            <w:id w:val="-1365281291"/>
          </w:sdtPr>
          <w:sdtEndPr/>
          <w:sdtContent>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担保是否已经履行完毕</w:t>
                </w:r>
              </w:p>
            </w:tc>
          </w:sdtContent>
        </w:sdt>
        <w:sdt>
          <w:sdtPr>
            <w:rPr>
              <w:color w:val="000000" w:themeColor="text1"/>
            </w:rPr>
            <w:tag w:val="_PLD_3adcf1d50e504a54949358562441ef7b"/>
            <w:id w:val="-1670551068"/>
          </w:sdtPr>
          <w:sdtEndPr/>
          <w:sdtContent>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担保是否逾期</w:t>
                </w:r>
              </w:p>
            </w:tc>
          </w:sdtContent>
        </w:sdt>
        <w:sdt>
          <w:sdtPr>
            <w:rPr>
              <w:color w:val="000000" w:themeColor="text1"/>
            </w:rPr>
            <w:tag w:val="_PLD_3860b2e281fb4e30b2945d128cc96939"/>
            <w:id w:val="-1330435942"/>
          </w:sdtPr>
          <w:sdtEndPr/>
          <w:sdtContent>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担保逾期金额</w:t>
                </w:r>
              </w:p>
            </w:tc>
          </w:sdtContent>
        </w:sdt>
        <w:tc>
          <w:tcPr>
            <w:tcW w:w="310" w:type="pct"/>
            <w:tcBorders>
              <w:top w:val="single" w:sz="4" w:space="0" w:color="auto"/>
              <w:left w:val="single" w:sz="4" w:space="0" w:color="auto"/>
              <w:bottom w:val="single" w:sz="4" w:space="0" w:color="auto"/>
              <w:right w:val="single" w:sz="4" w:space="0" w:color="auto"/>
            </w:tcBorders>
            <w:vAlign w:val="center"/>
          </w:tcPr>
          <w:sdt>
            <w:sdtPr>
              <w:rPr>
                <w:rFonts w:hint="eastAsia"/>
                <w:color w:val="000000" w:themeColor="text1"/>
              </w:rPr>
              <w:tag w:val="_PLD_63e29615db7e439fbe446447d9abc680"/>
              <w:id w:val="-341696223"/>
            </w:sdtPr>
            <w:sdtEndPr/>
            <w:sdtContent>
              <w:p w:rsidR="00597370" w:rsidRDefault="003C2EEE">
                <w:pPr>
                  <w:autoSpaceDE w:val="0"/>
                  <w:autoSpaceDN w:val="0"/>
                  <w:adjustRightInd w:val="0"/>
                  <w:jc w:val="center"/>
                  <w:rPr>
                    <w:color w:val="000000" w:themeColor="text1"/>
                  </w:rPr>
                </w:pPr>
                <w:r>
                  <w:rPr>
                    <w:rFonts w:hint="eastAsia"/>
                    <w:color w:val="000000" w:themeColor="text1"/>
                  </w:rPr>
                  <w:t>反担保情况</w:t>
                </w:r>
              </w:p>
            </w:sdtContent>
          </w:sdt>
        </w:tc>
        <w:sdt>
          <w:sdtPr>
            <w:rPr>
              <w:color w:val="000000" w:themeColor="text1"/>
            </w:rPr>
            <w:tag w:val="_PLD_0f93b7a8a3684e3ba874246a93cd5173"/>
            <w:id w:val="1165512922"/>
          </w:sdtPr>
          <w:sdtEndPr/>
          <w:sdtContent>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是否为关联方担保</w:t>
                </w:r>
              </w:p>
            </w:tc>
          </w:sdtContent>
        </w:sdt>
        <w:sdt>
          <w:sdtPr>
            <w:rPr>
              <w:color w:val="000000" w:themeColor="text1"/>
            </w:rPr>
            <w:tag w:val="_PLD_fd1e6b8b28d64a7ea7816d45bcfc0699"/>
            <w:id w:val="276988877"/>
          </w:sdtPr>
          <w:sdtEndPr/>
          <w:sdtContent>
            <w:tc>
              <w:tcPr>
                <w:tcW w:w="305" w:type="pct"/>
                <w:tcBorders>
                  <w:top w:val="single" w:sz="4" w:space="0" w:color="auto"/>
                  <w:left w:val="single" w:sz="4" w:space="0" w:color="auto"/>
                  <w:bottom w:val="single" w:sz="4" w:space="0" w:color="auto"/>
                </w:tcBorders>
                <w:shd w:val="clear" w:color="auto" w:fill="auto"/>
                <w:vAlign w:val="center"/>
              </w:tcPr>
              <w:p w:rsidR="00597370" w:rsidRDefault="003C2EEE">
                <w:pPr>
                  <w:autoSpaceDE w:val="0"/>
                  <w:autoSpaceDN w:val="0"/>
                  <w:adjustRightInd w:val="0"/>
                  <w:jc w:val="center"/>
                  <w:rPr>
                    <w:color w:val="000000" w:themeColor="text1"/>
                  </w:rPr>
                </w:pPr>
                <w:r>
                  <w:rPr>
                    <w:rFonts w:hint="eastAsia"/>
                    <w:color w:val="000000" w:themeColor="text1"/>
                  </w:rPr>
                  <w:t>关联</w:t>
                </w:r>
              </w:p>
              <w:p w:rsidR="00597370" w:rsidRDefault="003C2EEE">
                <w:pPr>
                  <w:autoSpaceDE w:val="0"/>
                  <w:autoSpaceDN w:val="0"/>
                  <w:adjustRightInd w:val="0"/>
                  <w:jc w:val="center"/>
                  <w:rPr>
                    <w:color w:val="000000" w:themeColor="text1"/>
                  </w:rPr>
                </w:pPr>
                <w:r>
                  <w:rPr>
                    <w:rFonts w:hint="eastAsia"/>
                    <w:color w:val="000000" w:themeColor="text1"/>
                  </w:rPr>
                  <w:t>关系</w:t>
                </w:r>
              </w:p>
            </w:tc>
          </w:sdtContent>
        </w:sdt>
      </w:tr>
      <w:tr w:rsidR="00597370">
        <w:trPr>
          <w:trHeight w:val="293"/>
        </w:trPr>
        <w:tc>
          <w:tcPr>
            <w:tcW w:w="296" w:type="pct"/>
            <w:tcBorders>
              <w:top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rPr>
                <w:color w:val="000000" w:themeColor="text1"/>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pP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ind w:rightChars="40" w:right="84"/>
              <w:jc w:val="right"/>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rPr>
                <w:color w:val="000000" w:themeColor="text1"/>
              </w:rPr>
            </w:pPr>
          </w:p>
        </w:tc>
        <w:tc>
          <w:tcPr>
            <w:tcW w:w="310"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pPr>
          </w:p>
        </w:tc>
        <w:tc>
          <w:tcPr>
            <w:tcW w:w="310"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rPr>
                <w:color w:val="000000" w:themeColor="text1"/>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rPr>
                <w:color w:val="000000" w:themeColor="text1"/>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ind w:rightChars="40" w:right="84"/>
              <w:jc w:val="right"/>
            </w:pPr>
          </w:p>
        </w:tc>
        <w:tc>
          <w:tcPr>
            <w:tcW w:w="310"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autoSpaceDE w:val="0"/>
              <w:autoSpaceDN w:val="0"/>
              <w:adjustRightInd w:val="0"/>
              <w:rPr>
                <w:color w:val="000000" w:themeColor="text1"/>
              </w:rPr>
            </w:pPr>
          </w:p>
        </w:tc>
        <w:tc>
          <w:tcPr>
            <w:tcW w:w="305" w:type="pct"/>
            <w:tcBorders>
              <w:top w:val="single" w:sz="4" w:space="0" w:color="auto"/>
              <w:left w:val="single" w:sz="4" w:space="0" w:color="auto"/>
              <w:bottom w:val="single" w:sz="4" w:space="0" w:color="auto"/>
            </w:tcBorders>
            <w:shd w:val="clear" w:color="auto" w:fill="auto"/>
            <w:vAlign w:val="center"/>
          </w:tcPr>
          <w:p w:rsidR="00597370" w:rsidRDefault="00597370">
            <w:pPr>
              <w:autoSpaceDE w:val="0"/>
              <w:autoSpaceDN w:val="0"/>
              <w:adjustRightInd w:val="0"/>
              <w:jc w:val="center"/>
              <w:rPr>
                <w:color w:val="000000" w:themeColor="text1"/>
              </w:rPr>
            </w:pP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rPr>
                <w:color w:val="000000" w:themeColor="text1"/>
              </w:rPr>
            </w:pPr>
            <w:r>
              <w:rPr>
                <w:rFonts w:hint="eastAsia"/>
                <w:color w:val="000000" w:themeColor="text1"/>
              </w:rPr>
              <w:t>报告期内担保发生额合计（不包括对子公司的担保）</w:t>
            </w:r>
          </w:p>
        </w:tc>
        <w:tc>
          <w:tcPr>
            <w:tcW w:w="2855" w:type="pct"/>
            <w:gridSpan w:val="9"/>
            <w:tcBorders>
              <w:top w:val="single" w:sz="4" w:space="0" w:color="auto"/>
              <w:left w:val="single" w:sz="4" w:space="0" w:color="auto"/>
              <w:bottom w:val="single" w:sz="4" w:space="0" w:color="auto"/>
            </w:tcBorders>
            <w:shd w:val="clear" w:color="auto" w:fill="auto"/>
            <w:vAlign w:val="center"/>
          </w:tcPr>
          <w:p w:rsidR="00597370" w:rsidRDefault="00597370">
            <w:pPr>
              <w:ind w:rightChars="40" w:right="84"/>
              <w:jc w:val="right"/>
            </w:pP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rPr>
                <w:color w:val="000000" w:themeColor="text1"/>
              </w:rPr>
            </w:pPr>
            <w:r>
              <w:rPr>
                <w:rFonts w:hint="eastAsia"/>
                <w:color w:val="000000" w:themeColor="text1"/>
              </w:rPr>
              <w:t>报告期末担保余额合计（</w:t>
            </w:r>
            <w:r>
              <w:rPr>
                <w:color w:val="000000" w:themeColor="text1"/>
              </w:rPr>
              <w:t>A</w:t>
            </w:r>
            <w:r>
              <w:rPr>
                <w:rFonts w:hint="eastAsia"/>
                <w:color w:val="000000" w:themeColor="text1"/>
              </w:rPr>
              <w:t>）（不包括对子公司的担保）</w:t>
            </w:r>
          </w:p>
        </w:tc>
        <w:tc>
          <w:tcPr>
            <w:tcW w:w="2855" w:type="pct"/>
            <w:gridSpan w:val="9"/>
            <w:tcBorders>
              <w:top w:val="single" w:sz="4" w:space="0" w:color="auto"/>
              <w:left w:val="single" w:sz="4" w:space="0" w:color="auto"/>
              <w:bottom w:val="single" w:sz="4" w:space="0" w:color="auto"/>
            </w:tcBorders>
            <w:shd w:val="clear" w:color="auto" w:fill="auto"/>
            <w:vAlign w:val="center"/>
          </w:tcPr>
          <w:p w:rsidR="00597370" w:rsidRDefault="00597370">
            <w:pPr>
              <w:autoSpaceDE w:val="0"/>
              <w:autoSpaceDN w:val="0"/>
              <w:adjustRightInd w:val="0"/>
              <w:ind w:rightChars="40" w:right="84"/>
              <w:jc w:val="right"/>
            </w:pPr>
          </w:p>
        </w:tc>
      </w:tr>
      <w:tr w:rsidR="00597370">
        <w:trPr>
          <w:trHeight w:val="308"/>
        </w:trPr>
        <w:tc>
          <w:tcPr>
            <w:tcW w:w="5000" w:type="pct"/>
            <w:gridSpan w:val="16"/>
            <w:tcBorders>
              <w:top w:val="single" w:sz="4" w:space="0" w:color="auto"/>
              <w:bottom w:val="single" w:sz="4" w:space="0" w:color="auto"/>
            </w:tcBorders>
            <w:shd w:val="clear" w:color="auto" w:fill="auto"/>
            <w:vAlign w:val="center"/>
          </w:tcPr>
          <w:p w:rsidR="00597370" w:rsidRDefault="006840ED">
            <w:pPr>
              <w:autoSpaceDE w:val="0"/>
              <w:autoSpaceDN w:val="0"/>
              <w:adjustRightInd w:val="0"/>
              <w:ind w:rightChars="40" w:right="84"/>
              <w:jc w:val="center"/>
              <w:rPr>
                <w:color w:val="000000" w:themeColor="text1"/>
              </w:rPr>
            </w:pPr>
            <w:sdt>
              <w:sdtPr>
                <w:rPr>
                  <w:rFonts w:hint="eastAsia"/>
                  <w:color w:val="000000" w:themeColor="text1"/>
                </w:rPr>
                <w:tag w:val="_PLD_05f81595191b432fba2f5467a459f70b"/>
                <w:id w:val="-1467121712"/>
              </w:sdtPr>
              <w:sdtEndPr/>
              <w:sdtContent>
                <w:r w:rsidR="003C2EEE">
                  <w:rPr>
                    <w:rFonts w:hint="eastAsia"/>
                    <w:color w:val="000000" w:themeColor="text1"/>
                  </w:rPr>
                  <w:t>公司对子公司的担保情况</w:t>
                </w:r>
              </w:sdtContent>
            </w:sdt>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ind w:rightChars="40" w:right="84"/>
              <w:rPr>
                <w:color w:val="000000" w:themeColor="text1"/>
              </w:rPr>
            </w:pPr>
            <w:r>
              <w:rPr>
                <w:rFonts w:hint="eastAsia"/>
                <w:color w:val="000000" w:themeColor="text1"/>
              </w:rPr>
              <w:t>报告期内对子公司担保发生额合计</w:t>
            </w:r>
          </w:p>
        </w:tc>
        <w:tc>
          <w:tcPr>
            <w:tcW w:w="2855" w:type="pct"/>
            <w:gridSpan w:val="9"/>
            <w:tcBorders>
              <w:top w:val="single" w:sz="4" w:space="0" w:color="auto"/>
              <w:left w:val="single" w:sz="4" w:space="0" w:color="auto"/>
              <w:bottom w:val="single" w:sz="4" w:space="0" w:color="auto"/>
            </w:tcBorders>
            <w:shd w:val="clear" w:color="auto" w:fill="auto"/>
            <w:vAlign w:val="bottom"/>
          </w:tcPr>
          <w:p w:rsidR="00597370" w:rsidRDefault="003C2EEE">
            <w:pPr>
              <w:ind w:rightChars="40" w:right="84"/>
              <w:jc w:val="right"/>
            </w:pPr>
            <w:r>
              <w:rPr>
                <w:color w:val="000000"/>
              </w:rPr>
              <w:t>11,000.00</w:t>
            </w: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ind w:rightChars="40" w:right="84"/>
              <w:rPr>
                <w:color w:val="000000" w:themeColor="text1"/>
              </w:rPr>
            </w:pPr>
            <w:r>
              <w:rPr>
                <w:rFonts w:hint="eastAsia"/>
                <w:color w:val="000000" w:themeColor="text1"/>
              </w:rPr>
              <w:t>报告</w:t>
            </w:r>
            <w:proofErr w:type="gramStart"/>
            <w:r>
              <w:rPr>
                <w:rFonts w:hint="eastAsia"/>
                <w:color w:val="000000" w:themeColor="text1"/>
              </w:rPr>
              <w:t>期末对</w:t>
            </w:r>
            <w:proofErr w:type="gramEnd"/>
            <w:r>
              <w:rPr>
                <w:rFonts w:hint="eastAsia"/>
                <w:color w:val="000000" w:themeColor="text1"/>
              </w:rPr>
              <w:t>子公司担保余额合计（</w:t>
            </w:r>
            <w:r>
              <w:rPr>
                <w:color w:val="000000" w:themeColor="text1"/>
              </w:rPr>
              <w:t>B</w:t>
            </w:r>
            <w:r>
              <w:rPr>
                <w:rFonts w:hint="eastAsia"/>
                <w:color w:val="000000" w:themeColor="text1"/>
              </w:rPr>
              <w:t>）</w:t>
            </w:r>
          </w:p>
        </w:tc>
        <w:tc>
          <w:tcPr>
            <w:tcW w:w="2855" w:type="pct"/>
            <w:gridSpan w:val="9"/>
            <w:tcBorders>
              <w:top w:val="single" w:sz="4" w:space="0" w:color="auto"/>
              <w:left w:val="single" w:sz="4" w:space="0" w:color="auto"/>
              <w:bottom w:val="single" w:sz="4" w:space="0" w:color="auto"/>
            </w:tcBorders>
            <w:shd w:val="clear" w:color="auto" w:fill="auto"/>
            <w:vAlign w:val="bottom"/>
          </w:tcPr>
          <w:p w:rsidR="00597370" w:rsidRDefault="003C2EEE">
            <w:pPr>
              <w:tabs>
                <w:tab w:val="center" w:pos="2466"/>
                <w:tab w:val="right" w:pos="4932"/>
              </w:tabs>
              <w:autoSpaceDE w:val="0"/>
              <w:autoSpaceDN w:val="0"/>
              <w:adjustRightInd w:val="0"/>
              <w:ind w:rightChars="40" w:right="84"/>
              <w:jc w:val="right"/>
            </w:pPr>
            <w:r>
              <w:rPr>
                <w:rFonts w:hint="eastAsia"/>
                <w:color w:val="000000"/>
              </w:rPr>
              <w:t xml:space="preserve"> 5,359.49 </w:t>
            </w:r>
          </w:p>
        </w:tc>
      </w:tr>
      <w:tr w:rsidR="00597370">
        <w:trPr>
          <w:trHeight w:val="308"/>
        </w:trPr>
        <w:sdt>
          <w:sdtPr>
            <w:rPr>
              <w:color w:val="000000" w:themeColor="text1"/>
            </w:rPr>
            <w:tag w:val="_PLD_7934b7db222a4b859de67adddfbf4ea4"/>
            <w:id w:val="-1295748836"/>
          </w:sdtPr>
          <w:sdtEndPr/>
          <w:sdtContent>
            <w:tc>
              <w:tcPr>
                <w:tcW w:w="5000" w:type="pct"/>
                <w:gridSpan w:val="16"/>
                <w:tcBorders>
                  <w:top w:val="single" w:sz="4" w:space="0" w:color="auto"/>
                  <w:bottom w:val="single" w:sz="4" w:space="0" w:color="auto"/>
                </w:tcBorders>
                <w:shd w:val="clear" w:color="auto" w:fill="auto"/>
                <w:vAlign w:val="center"/>
              </w:tcPr>
              <w:p w:rsidR="00597370" w:rsidRDefault="003C2EEE">
                <w:pPr>
                  <w:autoSpaceDE w:val="0"/>
                  <w:autoSpaceDN w:val="0"/>
                  <w:adjustRightInd w:val="0"/>
                  <w:ind w:rightChars="40" w:right="84"/>
                  <w:jc w:val="center"/>
                  <w:rPr>
                    <w:color w:val="000000" w:themeColor="text1"/>
                  </w:rPr>
                </w:pPr>
                <w:r>
                  <w:rPr>
                    <w:rFonts w:hint="eastAsia"/>
                    <w:color w:val="000000" w:themeColor="text1"/>
                  </w:rPr>
                  <w:t>公司担保总额情况（包括对子公司的担保）</w:t>
                </w:r>
              </w:p>
            </w:tc>
          </w:sdtContent>
        </w:sdt>
      </w:tr>
      <w:tr w:rsidR="00597370">
        <w:trPr>
          <w:trHeight w:val="470"/>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ind w:rightChars="40" w:right="84"/>
              <w:rPr>
                <w:color w:val="000000" w:themeColor="text1"/>
              </w:rPr>
            </w:pPr>
            <w:r>
              <w:rPr>
                <w:rFonts w:hint="eastAsia"/>
                <w:color w:val="000000" w:themeColor="text1"/>
              </w:rPr>
              <w:t>担保总额（</w:t>
            </w:r>
            <w:r>
              <w:rPr>
                <w:color w:val="000000" w:themeColor="text1"/>
              </w:rPr>
              <w:t>A+B</w:t>
            </w:r>
            <w:r>
              <w:rPr>
                <w:rFonts w:hint="eastAsia"/>
                <w:color w:val="000000" w:themeColor="text1"/>
              </w:rPr>
              <w:t>）</w:t>
            </w:r>
          </w:p>
        </w:tc>
        <w:tc>
          <w:tcPr>
            <w:tcW w:w="2855" w:type="pct"/>
            <w:gridSpan w:val="9"/>
            <w:tcBorders>
              <w:top w:val="single" w:sz="4" w:space="0" w:color="auto"/>
              <w:left w:val="single" w:sz="4" w:space="0" w:color="auto"/>
              <w:bottom w:val="single" w:sz="4" w:space="0" w:color="auto"/>
            </w:tcBorders>
            <w:shd w:val="clear" w:color="auto" w:fill="auto"/>
            <w:vAlign w:val="bottom"/>
          </w:tcPr>
          <w:p w:rsidR="00597370" w:rsidRDefault="003C2EEE">
            <w:pPr>
              <w:autoSpaceDE w:val="0"/>
              <w:autoSpaceDN w:val="0"/>
              <w:adjustRightInd w:val="0"/>
              <w:ind w:rightChars="40" w:right="84"/>
              <w:jc w:val="right"/>
            </w:pPr>
            <w:r>
              <w:rPr>
                <w:rFonts w:hint="eastAsia"/>
              </w:rPr>
              <w:t xml:space="preserve"> 5,359.49 </w:t>
            </w: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ind w:rightChars="40" w:right="84"/>
              <w:rPr>
                <w:color w:val="000000" w:themeColor="text1"/>
              </w:rPr>
            </w:pPr>
            <w:r>
              <w:rPr>
                <w:rFonts w:hint="eastAsia"/>
                <w:color w:val="000000" w:themeColor="text1"/>
              </w:rPr>
              <w:t>担保总额占公司净资产的比例</w:t>
            </w:r>
            <w:r>
              <w:rPr>
                <w:color w:val="000000" w:themeColor="text1"/>
              </w:rPr>
              <w:t>(%)</w:t>
            </w:r>
          </w:p>
        </w:tc>
        <w:tc>
          <w:tcPr>
            <w:tcW w:w="2855" w:type="pct"/>
            <w:gridSpan w:val="9"/>
            <w:tcBorders>
              <w:top w:val="single" w:sz="4" w:space="0" w:color="auto"/>
              <w:left w:val="single" w:sz="4" w:space="0" w:color="auto"/>
              <w:bottom w:val="single" w:sz="4" w:space="0" w:color="auto"/>
            </w:tcBorders>
            <w:shd w:val="clear" w:color="auto" w:fill="auto"/>
            <w:vAlign w:val="bottom"/>
          </w:tcPr>
          <w:p w:rsidR="00597370" w:rsidRDefault="003C2EEE">
            <w:pPr>
              <w:autoSpaceDE w:val="0"/>
              <w:autoSpaceDN w:val="0"/>
              <w:adjustRightInd w:val="0"/>
              <w:ind w:rightChars="40" w:right="84"/>
              <w:jc w:val="right"/>
            </w:pPr>
            <w:r>
              <w:rPr>
                <w:rFonts w:hint="eastAsia"/>
              </w:rPr>
              <w:t xml:space="preserve"> 2.13 </w:t>
            </w:r>
          </w:p>
        </w:tc>
      </w:tr>
      <w:tr w:rsidR="00597370">
        <w:trPr>
          <w:trHeight w:val="308"/>
        </w:trPr>
        <w:sdt>
          <w:sdtPr>
            <w:rPr>
              <w:rFonts w:ascii="宋体" w:hAnsi="宋体"/>
              <w:color w:val="000000" w:themeColor="text1"/>
            </w:rPr>
            <w:tag w:val="_PLD_a773089c19754364bad6c8803a7c8022"/>
            <w:id w:val="-1498419197"/>
          </w:sdtPr>
          <w:sdtEndPr/>
          <w:sdtContent>
            <w:tc>
              <w:tcPr>
                <w:tcW w:w="5000" w:type="pct"/>
                <w:gridSpan w:val="16"/>
                <w:tcBorders>
                  <w:top w:val="single" w:sz="4" w:space="0" w:color="auto"/>
                  <w:bottom w:val="single" w:sz="4" w:space="0" w:color="auto"/>
                </w:tcBorders>
                <w:shd w:val="clear" w:color="auto" w:fill="auto"/>
                <w:vAlign w:val="center"/>
              </w:tcPr>
              <w:p w:rsidR="00597370" w:rsidRDefault="003C2EEE">
                <w:pPr>
                  <w:pStyle w:val="Style120"/>
                  <w:autoSpaceDE w:val="0"/>
                  <w:autoSpaceDN w:val="0"/>
                  <w:adjustRightInd w:val="0"/>
                  <w:ind w:rightChars="40" w:right="84"/>
                  <w:rPr>
                    <w:rFonts w:ascii="宋体" w:hAnsi="宋体"/>
                    <w:color w:val="000000" w:themeColor="text1"/>
                  </w:rPr>
                </w:pPr>
                <w:r>
                  <w:rPr>
                    <w:rFonts w:ascii="宋体" w:hAnsi="宋体" w:hint="eastAsia"/>
                    <w:color w:val="000000" w:themeColor="text1"/>
                  </w:rPr>
                  <w:t>其中：</w:t>
                </w:r>
              </w:p>
            </w:tc>
          </w:sdtContent>
        </w:sdt>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rPr>
                <w:color w:val="000000" w:themeColor="text1"/>
              </w:rPr>
            </w:pPr>
            <w:r>
              <w:rPr>
                <w:rFonts w:hint="eastAsia"/>
                <w:color w:val="000000" w:themeColor="text1"/>
              </w:rPr>
              <w:t>为股东、实际控制人及其关联方提供担保的金额（</w:t>
            </w:r>
            <w:r>
              <w:rPr>
                <w:color w:val="000000" w:themeColor="text1"/>
              </w:rPr>
              <w:t>C</w:t>
            </w:r>
            <w:r>
              <w:rPr>
                <w:rFonts w:hint="eastAsia"/>
                <w:color w:val="000000" w:themeColor="text1"/>
              </w:rPr>
              <w:t>）</w:t>
            </w:r>
          </w:p>
        </w:tc>
        <w:tc>
          <w:tcPr>
            <w:tcW w:w="2855" w:type="pct"/>
            <w:gridSpan w:val="9"/>
            <w:tcBorders>
              <w:top w:val="single" w:sz="4" w:space="0" w:color="auto"/>
              <w:left w:val="single" w:sz="4" w:space="0" w:color="auto"/>
              <w:bottom w:val="single" w:sz="4" w:space="0" w:color="auto"/>
            </w:tcBorders>
            <w:shd w:val="clear" w:color="auto" w:fill="auto"/>
            <w:vAlign w:val="center"/>
          </w:tcPr>
          <w:p w:rsidR="00597370" w:rsidRDefault="00597370">
            <w:pPr>
              <w:ind w:rightChars="40" w:right="84"/>
              <w:jc w:val="right"/>
            </w:pP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rPr>
                <w:color w:val="000000" w:themeColor="text1"/>
              </w:rPr>
            </w:pPr>
            <w:r>
              <w:rPr>
                <w:rFonts w:hint="eastAsia"/>
                <w:color w:val="000000" w:themeColor="text1"/>
              </w:rPr>
              <w:t>直接或间接为资产负债率超过</w:t>
            </w:r>
            <w:r>
              <w:rPr>
                <w:color w:val="000000" w:themeColor="text1"/>
              </w:rPr>
              <w:t>70</w:t>
            </w:r>
            <w:r>
              <w:rPr>
                <w:rFonts w:hint="eastAsia"/>
                <w:color w:val="000000" w:themeColor="text1"/>
              </w:rPr>
              <w:t>%的被担保对象提供的债务担保金额（</w:t>
            </w:r>
            <w:r>
              <w:rPr>
                <w:color w:val="000000" w:themeColor="text1"/>
              </w:rPr>
              <w:t>D</w:t>
            </w:r>
            <w:r>
              <w:rPr>
                <w:rFonts w:hint="eastAsia"/>
                <w:color w:val="000000" w:themeColor="text1"/>
              </w:rPr>
              <w:t>）</w:t>
            </w:r>
          </w:p>
        </w:tc>
        <w:tc>
          <w:tcPr>
            <w:tcW w:w="2855" w:type="pct"/>
            <w:gridSpan w:val="9"/>
            <w:tcBorders>
              <w:top w:val="single" w:sz="4" w:space="0" w:color="auto"/>
              <w:left w:val="single" w:sz="4" w:space="0" w:color="auto"/>
              <w:bottom w:val="single" w:sz="4" w:space="0" w:color="auto"/>
            </w:tcBorders>
            <w:shd w:val="clear" w:color="auto" w:fill="auto"/>
            <w:vAlign w:val="center"/>
          </w:tcPr>
          <w:p w:rsidR="00597370" w:rsidRDefault="00597370">
            <w:pPr>
              <w:autoSpaceDE w:val="0"/>
              <w:autoSpaceDN w:val="0"/>
              <w:adjustRightInd w:val="0"/>
              <w:ind w:rightChars="40" w:right="84"/>
              <w:jc w:val="right"/>
            </w:pP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rPr>
                <w:color w:val="000000" w:themeColor="text1"/>
              </w:rPr>
            </w:pPr>
            <w:r>
              <w:rPr>
                <w:rFonts w:hint="eastAsia"/>
                <w:color w:val="000000" w:themeColor="text1"/>
              </w:rPr>
              <w:t>担保总额超过净资产</w:t>
            </w:r>
            <w:r>
              <w:rPr>
                <w:color w:val="000000" w:themeColor="text1"/>
              </w:rPr>
              <w:t>50</w:t>
            </w:r>
            <w:r>
              <w:rPr>
                <w:rFonts w:hint="eastAsia"/>
                <w:color w:val="000000" w:themeColor="text1"/>
              </w:rPr>
              <w:t>%部分的金额（</w:t>
            </w:r>
            <w:r>
              <w:rPr>
                <w:color w:val="000000" w:themeColor="text1"/>
              </w:rPr>
              <w:t>E</w:t>
            </w:r>
            <w:r>
              <w:rPr>
                <w:rFonts w:hint="eastAsia"/>
                <w:color w:val="000000" w:themeColor="text1"/>
              </w:rPr>
              <w:t>）</w:t>
            </w:r>
          </w:p>
        </w:tc>
        <w:tc>
          <w:tcPr>
            <w:tcW w:w="2855" w:type="pct"/>
            <w:gridSpan w:val="9"/>
            <w:tcBorders>
              <w:top w:val="single" w:sz="4" w:space="0" w:color="auto"/>
              <w:left w:val="single" w:sz="4" w:space="0" w:color="auto"/>
              <w:bottom w:val="single" w:sz="4" w:space="0" w:color="auto"/>
            </w:tcBorders>
            <w:shd w:val="clear" w:color="auto" w:fill="auto"/>
            <w:vAlign w:val="center"/>
          </w:tcPr>
          <w:p w:rsidR="00597370" w:rsidRDefault="00597370">
            <w:pPr>
              <w:ind w:rightChars="40" w:right="84"/>
              <w:jc w:val="right"/>
            </w:pP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rPr>
                <w:color w:val="000000" w:themeColor="text1"/>
              </w:rPr>
            </w:pPr>
            <w:r>
              <w:rPr>
                <w:rFonts w:hint="eastAsia"/>
                <w:color w:val="000000" w:themeColor="text1"/>
              </w:rPr>
              <w:t>上述三项担保金额合计（</w:t>
            </w:r>
            <w:r>
              <w:rPr>
                <w:color w:val="000000" w:themeColor="text1"/>
              </w:rPr>
              <w:t>C+D+E</w:t>
            </w:r>
            <w:r>
              <w:rPr>
                <w:rFonts w:hint="eastAsia"/>
                <w:color w:val="000000" w:themeColor="text1"/>
              </w:rPr>
              <w:t>）</w:t>
            </w:r>
          </w:p>
        </w:tc>
        <w:tc>
          <w:tcPr>
            <w:tcW w:w="2855" w:type="pct"/>
            <w:gridSpan w:val="9"/>
            <w:tcBorders>
              <w:top w:val="single" w:sz="4" w:space="0" w:color="auto"/>
              <w:left w:val="single" w:sz="4" w:space="0" w:color="auto"/>
              <w:bottom w:val="single" w:sz="4" w:space="0" w:color="auto"/>
            </w:tcBorders>
            <w:shd w:val="clear" w:color="auto" w:fill="auto"/>
            <w:vAlign w:val="center"/>
          </w:tcPr>
          <w:p w:rsidR="00597370" w:rsidRDefault="00597370">
            <w:pPr>
              <w:autoSpaceDE w:val="0"/>
              <w:autoSpaceDN w:val="0"/>
              <w:adjustRightInd w:val="0"/>
              <w:ind w:rightChars="40" w:right="84"/>
              <w:jc w:val="right"/>
            </w:pP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pStyle w:val="Style120"/>
              <w:autoSpaceDE w:val="0"/>
              <w:autoSpaceDN w:val="0"/>
              <w:adjustRightInd w:val="0"/>
              <w:rPr>
                <w:rFonts w:ascii="宋体" w:hAnsi="宋体"/>
                <w:color w:val="000000" w:themeColor="text1"/>
              </w:rPr>
            </w:pPr>
            <w:r>
              <w:rPr>
                <w:rFonts w:ascii="宋体" w:hAnsi="宋体" w:hint="eastAsia"/>
                <w:color w:val="000000" w:themeColor="text1"/>
              </w:rPr>
              <w:t>未到期担保可能承担连带清偿责任说明</w:t>
            </w:r>
          </w:p>
        </w:tc>
        <w:tc>
          <w:tcPr>
            <w:tcW w:w="2855" w:type="pct"/>
            <w:gridSpan w:val="9"/>
            <w:tcBorders>
              <w:top w:val="single" w:sz="4" w:space="0" w:color="auto"/>
              <w:left w:val="single" w:sz="4" w:space="0" w:color="auto"/>
              <w:bottom w:val="single" w:sz="4" w:space="0" w:color="auto"/>
            </w:tcBorders>
            <w:shd w:val="clear" w:color="auto" w:fill="auto"/>
            <w:vAlign w:val="center"/>
          </w:tcPr>
          <w:p w:rsidR="00597370" w:rsidRDefault="00597370">
            <w:pPr>
              <w:autoSpaceDE w:val="0"/>
              <w:autoSpaceDN w:val="0"/>
              <w:adjustRightInd w:val="0"/>
            </w:pPr>
          </w:p>
        </w:tc>
      </w:tr>
      <w:tr w:rsidR="00597370">
        <w:trPr>
          <w:trHeight w:val="308"/>
        </w:trPr>
        <w:tc>
          <w:tcPr>
            <w:tcW w:w="2145" w:type="pct"/>
            <w:gridSpan w:val="7"/>
            <w:tcBorders>
              <w:top w:val="single" w:sz="4" w:space="0" w:color="auto"/>
              <w:bottom w:val="single" w:sz="4" w:space="0" w:color="auto"/>
              <w:right w:val="single" w:sz="4" w:space="0" w:color="auto"/>
            </w:tcBorders>
            <w:shd w:val="clear" w:color="auto" w:fill="auto"/>
            <w:vAlign w:val="center"/>
          </w:tcPr>
          <w:p w:rsidR="00597370" w:rsidRDefault="003C2EEE">
            <w:pPr>
              <w:autoSpaceDE w:val="0"/>
              <w:autoSpaceDN w:val="0"/>
              <w:adjustRightInd w:val="0"/>
              <w:rPr>
                <w:color w:val="000000" w:themeColor="text1"/>
              </w:rPr>
            </w:pPr>
            <w:r>
              <w:rPr>
                <w:rFonts w:hint="eastAsia"/>
                <w:color w:val="000000" w:themeColor="text1"/>
              </w:rPr>
              <w:t>担保情况说明</w:t>
            </w:r>
          </w:p>
        </w:tc>
        <w:tc>
          <w:tcPr>
            <w:tcW w:w="2855" w:type="pct"/>
            <w:gridSpan w:val="9"/>
            <w:tcBorders>
              <w:top w:val="single" w:sz="4" w:space="0" w:color="auto"/>
              <w:left w:val="single" w:sz="4" w:space="0" w:color="auto"/>
              <w:bottom w:val="single" w:sz="4" w:space="0" w:color="auto"/>
            </w:tcBorders>
            <w:shd w:val="clear" w:color="auto" w:fill="auto"/>
            <w:vAlign w:val="center"/>
          </w:tcPr>
          <w:p w:rsidR="00597370" w:rsidRDefault="00597370">
            <w:pPr>
              <w:autoSpaceDE w:val="0"/>
              <w:autoSpaceDN w:val="0"/>
              <w:adjustRightInd w:val="0"/>
            </w:pPr>
          </w:p>
        </w:tc>
      </w:tr>
    </w:tbl>
    <w:p w:rsidR="00597370" w:rsidRDefault="00597370">
      <w:pPr>
        <w:rPr>
          <w:color w:val="000000" w:themeColor="text1"/>
        </w:rPr>
      </w:pPr>
    </w:p>
    <w:bookmarkEnd w:id="59"/>
    <w:p w:rsidR="00597370" w:rsidRDefault="00597370">
      <w:pPr>
        <w:rPr>
          <w:color w:val="000000" w:themeColor="text1"/>
        </w:rPr>
        <w:sectPr w:rsidR="00597370">
          <w:pgSz w:w="16838" w:h="11906" w:orient="landscape"/>
          <w:pgMar w:top="1797" w:right="1525" w:bottom="1276" w:left="1440" w:header="851" w:footer="992" w:gutter="0"/>
          <w:cols w:space="425"/>
          <w:docGrid w:linePitch="312"/>
        </w:sectPr>
      </w:pPr>
    </w:p>
    <w:p w:rsidR="00597370" w:rsidRDefault="003C2EEE">
      <w:pPr>
        <w:pStyle w:val="Style109"/>
        <w:numPr>
          <w:ilvl w:val="0"/>
          <w:numId w:val="26"/>
        </w:numPr>
        <w:rPr>
          <w:rFonts w:ascii="宋体" w:hAnsi="宋体"/>
          <w:color w:val="000000" w:themeColor="text1"/>
        </w:rPr>
      </w:pPr>
      <w:r>
        <w:rPr>
          <w:rFonts w:ascii="宋体" w:hAnsi="宋体"/>
          <w:color w:val="000000" w:themeColor="text1"/>
        </w:rPr>
        <w:lastRenderedPageBreak/>
        <w:t>其他重大合同</w:t>
      </w:r>
    </w:p>
    <w:sdt>
      <w:sdtPr>
        <w:rPr>
          <w:color w:val="000000" w:themeColor="text1"/>
        </w:rPr>
        <w:alias w:val="是否适用：其他重大合同[双击切换]"/>
        <w:tag w:val="_GBC_23289ac36e3b4aeeaff6a4f1df0c3165"/>
        <w:id w:val="53702183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bookmarkStart w:id="60" w:name="_Hlk72846301"/>
      <w:bookmarkStart w:id="61" w:name="_Hlk170215658"/>
      <w:bookmarkStart w:id="62" w:name="_Hlk170206295"/>
      <w:r>
        <w:rPr>
          <w:rFonts w:ascii="宋体" w:hAnsi="宋体" w:hint="eastAsia"/>
          <w:color w:val="000000" w:themeColor="text1"/>
        </w:rPr>
        <w:t>募集资金使用进展说明</w:t>
      </w:r>
    </w:p>
    <w:sdt>
      <w:sdtPr>
        <w:rPr>
          <w:color w:val="000000" w:themeColor="text1"/>
        </w:rPr>
        <w:alias w:val="是否适用：募集资金使用进展说明[双击切换]"/>
        <w:tag w:val="_GBC_680b9390780e4e2096adf48e91fa95ca"/>
        <w:id w:val="-1508985237"/>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F14858" w:rsidRDefault="00F14858" w:rsidP="00F14858">
      <w:pPr>
        <w:pStyle w:val="3"/>
        <w:numPr>
          <w:ilvl w:val="0"/>
          <w:numId w:val="123"/>
        </w:numPr>
        <w:tabs>
          <w:tab w:val="num" w:pos="360"/>
        </w:tabs>
        <w:ind w:left="450" w:hanging="450"/>
        <w:rPr>
          <w:rFonts w:ascii="宋体" w:hAnsi="宋体"/>
          <w:color w:val="000000" w:themeColor="text1"/>
        </w:rPr>
      </w:pPr>
      <w:bookmarkStart w:id="63" w:name="_Hlk90391863"/>
      <w:bookmarkStart w:id="64" w:name="_Hlk151129531"/>
      <w:bookmarkStart w:id="65" w:name="_Hlk168575638"/>
      <w:bookmarkStart w:id="66" w:name="_Hlk106290436"/>
      <w:bookmarkStart w:id="67" w:name="_Hlk106701941"/>
      <w:bookmarkEnd w:id="60"/>
      <w:r>
        <w:rPr>
          <w:rFonts w:ascii="宋体" w:hAnsi="宋体" w:hint="eastAsia"/>
          <w:color w:val="000000" w:themeColor="text1"/>
        </w:rPr>
        <w:t>募集资金整体使用情况</w:t>
      </w:r>
    </w:p>
    <w:sdt>
      <w:sdtPr>
        <w:rPr>
          <w:color w:val="000000" w:themeColor="text1"/>
        </w:rPr>
        <w:alias w:val="是否适用：募集资金整体使用情况[双击切换]"/>
        <w:tag w:val="_GBC_affe1942e3224d96a0ead0c0fea90bed"/>
        <w:id w:val="-1753962058"/>
      </w:sdtPr>
      <w:sdtEndPr/>
      <w:sdtContent>
        <w:p w:rsidR="00F14858" w:rsidRDefault="00F14858">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MACROBUTTON  SnrToggleCheckbox □不适用 </w:instrText>
          </w:r>
          <w:r>
            <w:rPr>
              <w:color w:val="000000" w:themeColor="text1"/>
            </w:rPr>
            <w:fldChar w:fldCharType="end"/>
          </w:r>
        </w:p>
      </w:sdtContent>
    </w:sdt>
    <w:p w:rsidR="00F14858" w:rsidRDefault="00F14858">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总体使用情况"/>
          <w:tag w:val="_GBC_26eaa9e5fa464eaa9da9ac4c42fc263a"/>
          <w:id w:val="588896186"/>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万元</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480"/>
        <w:gridCol w:w="811"/>
        <w:gridCol w:w="811"/>
        <w:gridCol w:w="811"/>
        <w:gridCol w:w="546"/>
        <w:gridCol w:w="811"/>
        <w:gridCol w:w="546"/>
        <w:gridCol w:w="679"/>
        <w:gridCol w:w="679"/>
        <w:gridCol w:w="745"/>
        <w:gridCol w:w="745"/>
        <w:gridCol w:w="811"/>
      </w:tblGrid>
      <w:tr w:rsidR="00F14858" w:rsidTr="00F14858">
        <w:trPr>
          <w:trHeight w:val="996"/>
          <w:jc w:val="center"/>
        </w:trPr>
        <w:sdt>
          <w:sdtPr>
            <w:rPr>
              <w:rFonts w:hint="eastAsia"/>
              <w:bCs w:val="0"/>
              <w:color w:val="000000" w:themeColor="text1"/>
            </w:rPr>
            <w:tag w:val="_PLD_c6a2050ecf4545f2bfc43d4ad52b51c1"/>
            <w:id w:val="1192489011"/>
          </w:sdtPr>
          <w:sdtEndPr>
            <w:rPr>
              <w:rFonts w:hint="default"/>
            </w:rPr>
          </w:sdtEndPr>
          <w:sdtContent>
            <w:tc>
              <w:tcPr>
                <w:tcW w:w="197" w:type="pct"/>
                <w:shd w:val="clear" w:color="auto" w:fill="auto"/>
                <w:vAlign w:val="center"/>
                <w:hideMark/>
              </w:tcPr>
              <w:p w:rsidR="00F14858" w:rsidRDefault="00F14858">
                <w:pPr>
                  <w:jc w:val="center"/>
                  <w:rPr>
                    <w:bCs w:val="0"/>
                    <w:color w:val="000000" w:themeColor="text1"/>
                  </w:rPr>
                </w:pPr>
                <w:r>
                  <w:rPr>
                    <w:rFonts w:hint="eastAsia"/>
                    <w:color w:val="000000" w:themeColor="text1"/>
                  </w:rPr>
                  <w:t>募集资金</w:t>
                </w:r>
                <w:r>
                  <w:rPr>
                    <w:color w:val="000000" w:themeColor="text1"/>
                  </w:rPr>
                  <w:t>来源</w:t>
                </w:r>
              </w:p>
            </w:tc>
          </w:sdtContent>
        </w:sdt>
        <w:tc>
          <w:tcPr>
            <w:tcW w:w="272" w:type="pct"/>
            <w:vAlign w:val="center"/>
          </w:tcPr>
          <w:sdt>
            <w:sdtPr>
              <w:rPr>
                <w:rFonts w:hint="eastAsia"/>
                <w:bCs w:val="0"/>
                <w:color w:val="000000" w:themeColor="text1"/>
              </w:rPr>
              <w:tag w:val="_PLD_4411287f2aa0421c9bfeffa92dc4cb47"/>
              <w:id w:val="1340340932"/>
            </w:sdtPr>
            <w:sdtEndPr/>
            <w:sdtContent>
              <w:p w:rsidR="00F14858" w:rsidRDefault="00F14858">
                <w:pPr>
                  <w:jc w:val="center"/>
                  <w:rPr>
                    <w:bCs w:val="0"/>
                    <w:color w:val="000000" w:themeColor="text1"/>
                  </w:rPr>
                </w:pPr>
                <w:r>
                  <w:rPr>
                    <w:rFonts w:hint="eastAsia"/>
                    <w:color w:val="000000" w:themeColor="text1"/>
                  </w:rPr>
                  <w:t>募集资金到位时间</w:t>
                </w:r>
              </w:p>
            </w:sdtContent>
          </w:sdt>
        </w:tc>
        <w:sdt>
          <w:sdtPr>
            <w:rPr>
              <w:rFonts w:hint="eastAsia"/>
              <w:bCs w:val="0"/>
              <w:color w:val="000000" w:themeColor="text1"/>
            </w:rPr>
            <w:tag w:val="_PLD_656190b7a5dc4b4cb1384a69abbe92b5"/>
            <w:id w:val="-1364357697"/>
          </w:sdtPr>
          <w:sdtEndPr/>
          <w:sdtContent>
            <w:tc>
              <w:tcPr>
                <w:tcW w:w="460" w:type="pct"/>
                <w:vAlign w:val="center"/>
              </w:tcPr>
              <w:p w:rsidR="00F14858" w:rsidRDefault="00F14858">
                <w:pPr>
                  <w:jc w:val="center"/>
                  <w:rPr>
                    <w:bCs w:val="0"/>
                    <w:color w:val="000000" w:themeColor="text1"/>
                  </w:rPr>
                </w:pPr>
                <w:r>
                  <w:rPr>
                    <w:rFonts w:hint="eastAsia"/>
                    <w:color w:val="000000" w:themeColor="text1"/>
                  </w:rPr>
                  <w:t>募集资金总额</w:t>
                </w:r>
              </w:p>
            </w:tc>
          </w:sdtContent>
        </w:sdt>
        <w:sdt>
          <w:sdtPr>
            <w:rPr>
              <w:rFonts w:hint="eastAsia"/>
              <w:bCs w:val="0"/>
              <w:color w:val="000000" w:themeColor="text1"/>
            </w:rPr>
            <w:tag w:val="_PLD_63af71134e514c03bfc82b3cf3959fc0"/>
            <w:id w:val="847918733"/>
          </w:sdtPr>
          <w:sdtEndPr/>
          <w:sdtContent>
            <w:tc>
              <w:tcPr>
                <w:tcW w:w="460" w:type="pct"/>
                <w:shd w:val="clear" w:color="auto" w:fill="auto"/>
                <w:vAlign w:val="center"/>
                <w:hideMark/>
              </w:tcPr>
              <w:p w:rsidR="00F14858" w:rsidRDefault="00F14858">
                <w:pPr>
                  <w:jc w:val="center"/>
                  <w:rPr>
                    <w:bCs w:val="0"/>
                    <w:color w:val="000000" w:themeColor="text1"/>
                  </w:rPr>
                </w:pPr>
                <w:r>
                  <w:rPr>
                    <w:rFonts w:hint="eastAsia"/>
                    <w:color w:val="000000" w:themeColor="text1"/>
                  </w:rPr>
                  <w:t>扣除发行费用后募集资金净额（1）</w:t>
                </w:r>
              </w:p>
            </w:tc>
          </w:sdtContent>
        </w:sdt>
        <w:sdt>
          <w:sdtPr>
            <w:rPr>
              <w:rFonts w:hint="eastAsia"/>
              <w:bCs w:val="0"/>
              <w:color w:val="000000" w:themeColor="text1"/>
            </w:rPr>
            <w:tag w:val="_PLD_8463ec4fd51b4edaacd95b275603317e"/>
            <w:id w:val="111182503"/>
          </w:sdtPr>
          <w:sdtEndPr/>
          <w:sdtContent>
            <w:tc>
              <w:tcPr>
                <w:tcW w:w="460" w:type="pct"/>
                <w:shd w:val="clear" w:color="auto" w:fill="auto"/>
                <w:vAlign w:val="center"/>
                <w:hideMark/>
              </w:tcPr>
              <w:p w:rsidR="00F14858" w:rsidRDefault="00F14858">
                <w:pPr>
                  <w:jc w:val="center"/>
                  <w:rPr>
                    <w:bCs w:val="0"/>
                    <w:color w:val="000000" w:themeColor="text1"/>
                  </w:rPr>
                </w:pPr>
                <w:r>
                  <w:rPr>
                    <w:rFonts w:hint="eastAsia"/>
                    <w:color w:val="000000" w:themeColor="text1"/>
                  </w:rPr>
                  <w:t>招股书或募集说明书中募集资金承诺投资总额（2</w:t>
                </w:r>
                <w:r>
                  <w:rPr>
                    <w:color w:val="000000" w:themeColor="text1"/>
                  </w:rPr>
                  <w:t>）</w:t>
                </w:r>
              </w:p>
            </w:tc>
          </w:sdtContent>
        </w:sdt>
        <w:sdt>
          <w:sdtPr>
            <w:rPr>
              <w:rFonts w:hint="eastAsia"/>
              <w:bCs w:val="0"/>
              <w:color w:val="000000" w:themeColor="text1"/>
            </w:rPr>
            <w:tag w:val="_PLD_07e8896197174c55be1e6f916192bead"/>
            <w:id w:val="1444036169"/>
          </w:sdtPr>
          <w:sdtEndPr>
            <w:rPr>
              <w:rFonts w:hint="default"/>
            </w:rPr>
          </w:sdtEndPr>
          <w:sdtContent>
            <w:tc>
              <w:tcPr>
                <w:tcW w:w="309" w:type="pct"/>
                <w:vAlign w:val="center"/>
              </w:tcPr>
              <w:p w:rsidR="00F14858" w:rsidRDefault="00F14858">
                <w:pPr>
                  <w:jc w:val="center"/>
                  <w:rPr>
                    <w:bCs w:val="0"/>
                    <w:color w:val="000000" w:themeColor="text1"/>
                  </w:rPr>
                </w:pPr>
                <w:r>
                  <w:rPr>
                    <w:rFonts w:hint="eastAsia"/>
                    <w:color w:val="000000" w:themeColor="text1"/>
                  </w:rPr>
                  <w:t>超募资金总额（</w:t>
                </w:r>
                <w:r>
                  <w:rPr>
                    <w:color w:val="000000" w:themeColor="text1"/>
                  </w:rPr>
                  <w:t>3）=（1）-（2）</w:t>
                </w:r>
              </w:p>
            </w:tc>
          </w:sdtContent>
        </w:sdt>
        <w:sdt>
          <w:sdtPr>
            <w:rPr>
              <w:rFonts w:hint="eastAsia"/>
              <w:bCs w:val="0"/>
              <w:color w:val="000000" w:themeColor="text1"/>
            </w:rPr>
            <w:tag w:val="_PLD_92bfc250c83d4aea9d2b49165150ce49"/>
            <w:id w:val="-560167915"/>
          </w:sdtPr>
          <w:sdtEndPr/>
          <w:sdtContent>
            <w:tc>
              <w:tcPr>
                <w:tcW w:w="460" w:type="pct"/>
                <w:shd w:val="clear" w:color="auto" w:fill="auto"/>
                <w:vAlign w:val="center"/>
                <w:hideMark/>
              </w:tcPr>
              <w:p w:rsidR="00F14858" w:rsidRDefault="00F14858">
                <w:pPr>
                  <w:jc w:val="center"/>
                  <w:rPr>
                    <w:bCs w:val="0"/>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累计投入募集资金总额（4）</w:t>
                </w:r>
              </w:p>
            </w:tc>
          </w:sdtContent>
        </w:sdt>
        <w:sdt>
          <w:sdtPr>
            <w:rPr>
              <w:rFonts w:hint="eastAsia"/>
              <w:bCs w:val="0"/>
              <w:color w:val="000000" w:themeColor="text1"/>
            </w:rPr>
            <w:tag w:val="_PLD_cb256178110b4d5dbfb10922f68015a3"/>
            <w:id w:val="1279299674"/>
          </w:sdtPr>
          <w:sdtEndPr>
            <w:rPr>
              <w:rFonts w:hint="default"/>
            </w:rPr>
          </w:sdtEndPr>
          <w:sdtContent>
            <w:tc>
              <w:tcPr>
                <w:tcW w:w="309" w:type="pct"/>
                <w:vAlign w:val="center"/>
              </w:tcPr>
              <w:p w:rsidR="00F14858" w:rsidRDefault="00F14858">
                <w:pPr>
                  <w:jc w:val="center"/>
                  <w:rPr>
                    <w:bCs w:val="0"/>
                    <w:color w:val="000000" w:themeColor="text1"/>
                  </w:rPr>
                </w:pPr>
                <w:r>
                  <w:rPr>
                    <w:rFonts w:hint="eastAsia"/>
                    <w:color w:val="000000" w:themeColor="text1"/>
                  </w:rPr>
                  <w:t>其中：截至报告期末超募资金累计投入总额</w:t>
                </w:r>
                <w:r>
                  <w:rPr>
                    <w:color w:val="000000" w:themeColor="text1"/>
                  </w:rPr>
                  <w:t xml:space="preserve"> （5）</w:t>
                </w:r>
              </w:p>
            </w:tc>
          </w:sdtContent>
        </w:sdt>
        <w:sdt>
          <w:sdtPr>
            <w:rPr>
              <w:rFonts w:hint="eastAsia"/>
              <w:bCs w:val="0"/>
              <w:color w:val="000000" w:themeColor="text1"/>
            </w:rPr>
            <w:tag w:val="_PLD_a2c09288f6984c8db92752ba2d47150b"/>
            <w:id w:val="2111471196"/>
          </w:sdtPr>
          <w:sdtEndPr/>
          <w:sdtContent>
            <w:tc>
              <w:tcPr>
                <w:tcW w:w="385" w:type="pct"/>
                <w:shd w:val="clear" w:color="auto" w:fill="auto"/>
                <w:vAlign w:val="center"/>
                <w:hideMark/>
              </w:tcPr>
              <w:p w:rsidR="00F14858" w:rsidRDefault="00F14858">
                <w:pPr>
                  <w:jc w:val="center"/>
                  <w:rPr>
                    <w:bCs w:val="0"/>
                    <w:color w:val="000000" w:themeColor="text1"/>
                  </w:rPr>
                </w:pPr>
                <w:r>
                  <w:rPr>
                    <w:rFonts w:hint="eastAsia"/>
                    <w:color w:val="000000" w:themeColor="text1"/>
                  </w:rPr>
                  <w:t>截至报告期末募集资金累计投入进度（</w:t>
                </w:r>
                <w:r>
                  <w:rPr>
                    <w:color w:val="000000" w:themeColor="text1"/>
                  </w:rPr>
                  <w:t>%）(6)＝(4)/(1)</w:t>
                </w:r>
              </w:p>
            </w:tc>
          </w:sdtContent>
        </w:sdt>
        <w:sdt>
          <w:sdtPr>
            <w:rPr>
              <w:rFonts w:hint="eastAsia"/>
              <w:bCs w:val="0"/>
              <w:color w:val="000000" w:themeColor="text1"/>
            </w:rPr>
            <w:tag w:val="_PLD_76e6c02d9b5440b8b20238cb6124ceb2"/>
            <w:id w:val="-419101565"/>
          </w:sdtPr>
          <w:sdtEndPr>
            <w:rPr>
              <w:rFonts w:hint="default"/>
            </w:rPr>
          </w:sdtEndPr>
          <w:sdtContent>
            <w:tc>
              <w:tcPr>
                <w:tcW w:w="385" w:type="pct"/>
                <w:vAlign w:val="center"/>
              </w:tcPr>
              <w:p w:rsidR="00F14858" w:rsidRDefault="00F14858">
                <w:pPr>
                  <w:jc w:val="center"/>
                  <w:rPr>
                    <w:bCs w:val="0"/>
                    <w:color w:val="000000" w:themeColor="text1"/>
                  </w:rPr>
                </w:pPr>
                <w:r>
                  <w:rPr>
                    <w:rFonts w:hint="eastAsia"/>
                    <w:color w:val="000000" w:themeColor="text1"/>
                  </w:rPr>
                  <w:t>截至报告期末超募资金累计投入进度（</w:t>
                </w:r>
                <w:r>
                  <w:rPr>
                    <w:color w:val="000000" w:themeColor="text1"/>
                  </w:rPr>
                  <w:t>%）(7)＝(5)/(3)</w:t>
                </w:r>
              </w:p>
            </w:tc>
          </w:sdtContent>
        </w:sdt>
        <w:sdt>
          <w:sdtPr>
            <w:rPr>
              <w:rFonts w:hint="eastAsia"/>
              <w:bCs w:val="0"/>
              <w:color w:val="000000" w:themeColor="text1"/>
            </w:rPr>
            <w:tag w:val="_PLD_8603bc96c0364f298dd5b07119c8edfa"/>
            <w:id w:val="-301081681"/>
          </w:sdtPr>
          <w:sdtEndPr/>
          <w:sdtContent>
            <w:tc>
              <w:tcPr>
                <w:tcW w:w="422" w:type="pct"/>
                <w:shd w:val="clear" w:color="auto" w:fill="auto"/>
                <w:vAlign w:val="center"/>
                <w:hideMark/>
              </w:tcPr>
              <w:p w:rsidR="00F14858" w:rsidRDefault="00F14858">
                <w:pPr>
                  <w:jc w:val="center"/>
                  <w:rPr>
                    <w:bCs w:val="0"/>
                    <w:color w:val="000000" w:themeColor="text1"/>
                  </w:rPr>
                </w:pPr>
                <w:r>
                  <w:rPr>
                    <w:rFonts w:hint="eastAsia"/>
                    <w:color w:val="000000" w:themeColor="text1"/>
                  </w:rPr>
                  <w:t>本年度投入金额（8）</w:t>
                </w:r>
              </w:p>
            </w:tc>
          </w:sdtContent>
        </w:sdt>
        <w:sdt>
          <w:sdtPr>
            <w:rPr>
              <w:rFonts w:hint="eastAsia"/>
              <w:bCs w:val="0"/>
              <w:color w:val="000000" w:themeColor="text1"/>
            </w:rPr>
            <w:tag w:val="_PLD_36a372b435c74a038172885bf9c04359"/>
            <w:id w:val="1127276680"/>
          </w:sdtPr>
          <w:sdtEndPr/>
          <w:sdtContent>
            <w:tc>
              <w:tcPr>
                <w:tcW w:w="422" w:type="pct"/>
                <w:shd w:val="clear" w:color="auto" w:fill="auto"/>
                <w:vAlign w:val="center"/>
                <w:hideMark/>
              </w:tcPr>
              <w:p w:rsidR="00F14858" w:rsidRDefault="00F14858">
                <w:pPr>
                  <w:jc w:val="center"/>
                  <w:rPr>
                    <w:bCs w:val="0"/>
                    <w:color w:val="000000" w:themeColor="text1"/>
                  </w:rPr>
                </w:pPr>
                <w:r>
                  <w:rPr>
                    <w:rFonts w:hint="eastAsia"/>
                    <w:color w:val="000000" w:themeColor="text1"/>
                  </w:rPr>
                  <w:t>本年度投入金额占比（%）（</w:t>
                </w:r>
                <w:r>
                  <w:rPr>
                    <w:color w:val="000000" w:themeColor="text1"/>
                  </w:rPr>
                  <w:t>9）=(</w:t>
                </w:r>
                <w:r>
                  <w:rPr>
                    <w:rFonts w:hint="eastAsia"/>
                    <w:color w:val="000000" w:themeColor="text1"/>
                  </w:rPr>
                  <w:t>8</w:t>
                </w:r>
                <w:r>
                  <w:rPr>
                    <w:color w:val="000000" w:themeColor="text1"/>
                  </w:rPr>
                  <w:t>)/(1)</w:t>
                </w:r>
              </w:p>
            </w:tc>
          </w:sdtContent>
        </w:sdt>
        <w:tc>
          <w:tcPr>
            <w:tcW w:w="460" w:type="pct"/>
            <w:vAlign w:val="center"/>
          </w:tcPr>
          <w:sdt>
            <w:sdtPr>
              <w:rPr>
                <w:rFonts w:hint="eastAsia"/>
                <w:bCs w:val="0"/>
                <w:color w:val="000000" w:themeColor="text1"/>
              </w:rPr>
              <w:tag w:val="_PLD_55537c41dda84483a860ccba3abf175d"/>
              <w:id w:val="800353320"/>
            </w:sdtPr>
            <w:sdtEndPr/>
            <w:sdtContent>
              <w:p w:rsidR="00F14858" w:rsidRDefault="00F14858">
                <w:pPr>
                  <w:jc w:val="center"/>
                  <w:rPr>
                    <w:bCs w:val="0"/>
                    <w:color w:val="000000" w:themeColor="text1"/>
                  </w:rPr>
                </w:pPr>
                <w:r>
                  <w:rPr>
                    <w:rFonts w:hint="eastAsia"/>
                    <w:color w:val="000000" w:themeColor="text1"/>
                  </w:rPr>
                  <w:t>变更用途的募集资金总额</w:t>
                </w:r>
              </w:p>
            </w:sdtContent>
          </w:sdt>
        </w:tc>
      </w:tr>
      <w:bookmarkStart w:id="68" w:name="_Hlk169881517" w:displacedByCustomXml="next"/>
      <w:sdt>
        <w:sdtPr>
          <w:rPr>
            <w:bCs w:val="0"/>
            <w:color w:val="000000" w:themeColor="text1"/>
          </w:rPr>
          <w:alias w:val="募集资金整体使用情况"/>
          <w:tag w:val="_TUP_6e0f620f9afb4f5eb5a70e0d51a25675"/>
          <w:id w:val="758870013"/>
          <w:placeholder>
            <w:docPart w:val="5C074553206B4925AF0D07CD756CD013"/>
          </w:placeholder>
        </w:sdtPr>
        <w:sdtEndPr/>
        <w:sdtContent>
          <w:tr w:rsidR="00F14858" w:rsidTr="00F14858">
            <w:trPr>
              <w:trHeight w:val="194"/>
              <w:jc w:val="center"/>
            </w:trPr>
            <w:sdt>
              <w:sdtPr>
                <w:rPr>
                  <w:bCs w:val="0"/>
                  <w:color w:val="000000" w:themeColor="text1"/>
                </w:rPr>
                <w:alias w:val="募集资金整体使用情况_募集资金来源"/>
                <w:tag w:val="_GBC_fdbe627844564cbd920c54fa6f3e99f6"/>
                <w:id w:val="-2126147340"/>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197" w:type="pct"/>
                    <w:shd w:val="clear" w:color="auto" w:fill="auto"/>
                    <w:vAlign w:val="bottom"/>
                  </w:tcPr>
                  <w:p w:rsidR="00F14858" w:rsidRDefault="00F14858">
                    <w:pPr>
                      <w:rPr>
                        <w:bCs w:val="0"/>
                        <w:color w:val="000000" w:themeColor="text1"/>
                      </w:rPr>
                    </w:pPr>
                    <w:r>
                      <w:rPr>
                        <w:bCs w:val="0"/>
                        <w:color w:val="000000" w:themeColor="text1"/>
                      </w:rPr>
                      <w:t>首次公开发行股票</w:t>
                    </w:r>
                  </w:p>
                </w:tc>
              </w:sdtContent>
            </w:sdt>
            <w:sdt>
              <w:sdtPr>
                <w:rPr>
                  <w:bCs w:val="0"/>
                  <w:color w:val="000000" w:themeColor="text1"/>
                </w:rPr>
                <w:alias w:val="募集资金整体使用情况_募集资金到位时间"/>
                <w:tag w:val="_GBC_5cbdf31237894881b54b48da0d19e2ee"/>
                <w:id w:val="842752260"/>
                <w:date w:fullDate="2022-04-18T00:00:00Z">
                  <w:dateFormat w:val="yyyy'年'M'月'd'日'"/>
                  <w:lid w:val="zh-CN"/>
                  <w:storeMappedDataAs w:val="dateTime"/>
                  <w:calendar w:val="gregorian"/>
                </w:date>
              </w:sdtPr>
              <w:sdtEndPr/>
              <w:sdtContent>
                <w:tc>
                  <w:tcPr>
                    <w:tcW w:w="272" w:type="pct"/>
                    <w:vAlign w:val="center"/>
                  </w:tcPr>
                  <w:p w:rsidR="00F14858" w:rsidRDefault="00F14858">
                    <w:pPr>
                      <w:jc w:val="right"/>
                      <w:rPr>
                        <w:bCs w:val="0"/>
                        <w:color w:val="000000" w:themeColor="text1"/>
                      </w:rPr>
                    </w:pPr>
                    <w:r>
                      <w:rPr>
                        <w:bCs w:val="0"/>
                        <w:color w:val="000000" w:themeColor="text1"/>
                      </w:rPr>
                      <w:t>2022年4月18日</w:t>
                    </w:r>
                  </w:p>
                </w:tc>
              </w:sdtContent>
            </w:sdt>
            <w:tc>
              <w:tcPr>
                <w:tcW w:w="460" w:type="pct"/>
                <w:vAlign w:val="center"/>
              </w:tcPr>
              <w:p w:rsidR="00F14858" w:rsidRDefault="00F14858">
                <w:pPr>
                  <w:jc w:val="right"/>
                  <w:rPr>
                    <w:bCs w:val="0"/>
                  </w:rPr>
                </w:pPr>
                <w:r>
                  <w:rPr>
                    <w:rFonts w:hint="eastAsia"/>
                  </w:rPr>
                  <w:t>98,784.14</w:t>
                </w:r>
              </w:p>
            </w:tc>
            <w:tc>
              <w:tcPr>
                <w:tcW w:w="460" w:type="pct"/>
                <w:shd w:val="clear" w:color="auto" w:fill="auto"/>
                <w:vAlign w:val="center"/>
              </w:tcPr>
              <w:p w:rsidR="00F14858" w:rsidRDefault="00F14858">
                <w:pPr>
                  <w:jc w:val="right"/>
                  <w:rPr>
                    <w:bCs w:val="0"/>
                  </w:rPr>
                </w:pPr>
                <w:r>
                  <w:rPr>
                    <w:rFonts w:hint="eastAsia"/>
                  </w:rPr>
                  <w:t>85,456.18</w:t>
                </w:r>
              </w:p>
            </w:tc>
            <w:tc>
              <w:tcPr>
                <w:tcW w:w="460" w:type="pct"/>
                <w:shd w:val="clear" w:color="auto" w:fill="auto"/>
                <w:vAlign w:val="center"/>
              </w:tcPr>
              <w:p w:rsidR="00F14858" w:rsidRDefault="00F14858">
                <w:pPr>
                  <w:jc w:val="right"/>
                  <w:rPr>
                    <w:bCs w:val="0"/>
                  </w:rPr>
                </w:pPr>
                <w:r>
                  <w:rPr>
                    <w:rFonts w:hint="eastAsia"/>
                  </w:rPr>
                  <w:t>85,456.18</w:t>
                </w:r>
              </w:p>
            </w:tc>
            <w:tc>
              <w:tcPr>
                <w:tcW w:w="309" w:type="pct"/>
                <w:vAlign w:val="center"/>
              </w:tcPr>
              <w:p w:rsidR="00F14858" w:rsidRDefault="00F14858">
                <w:pPr>
                  <w:jc w:val="right"/>
                  <w:rPr>
                    <w:bCs w:val="0"/>
                  </w:rPr>
                </w:pPr>
              </w:p>
            </w:tc>
            <w:tc>
              <w:tcPr>
                <w:tcW w:w="460" w:type="pct"/>
                <w:shd w:val="clear" w:color="auto" w:fill="auto"/>
                <w:vAlign w:val="center"/>
              </w:tcPr>
              <w:p w:rsidR="00F14858" w:rsidRDefault="00F14858">
                <w:pPr>
                  <w:jc w:val="right"/>
                  <w:rPr>
                    <w:bCs w:val="0"/>
                  </w:rPr>
                </w:pPr>
                <w:r>
                  <w:rPr>
                    <w:rFonts w:hint="eastAsia"/>
                  </w:rPr>
                  <w:t>67,751.61</w:t>
                </w:r>
              </w:p>
            </w:tc>
            <w:tc>
              <w:tcPr>
                <w:tcW w:w="309" w:type="pct"/>
                <w:vAlign w:val="center"/>
              </w:tcPr>
              <w:p w:rsidR="00F14858" w:rsidRDefault="00F14858">
                <w:pPr>
                  <w:jc w:val="right"/>
                  <w:rPr>
                    <w:bCs w:val="0"/>
                  </w:rPr>
                </w:pPr>
              </w:p>
            </w:tc>
            <w:tc>
              <w:tcPr>
                <w:tcW w:w="385" w:type="pct"/>
                <w:shd w:val="clear" w:color="auto" w:fill="auto"/>
                <w:vAlign w:val="center"/>
              </w:tcPr>
              <w:p w:rsidR="00F14858" w:rsidRDefault="00F14858">
                <w:pPr>
                  <w:jc w:val="right"/>
                  <w:rPr>
                    <w:bCs w:val="0"/>
                  </w:rPr>
                </w:pPr>
                <w:r>
                  <w:rPr>
                    <w:rFonts w:hint="eastAsia"/>
                  </w:rPr>
                  <w:t>79.28</w:t>
                </w:r>
              </w:p>
            </w:tc>
            <w:tc>
              <w:tcPr>
                <w:tcW w:w="385" w:type="pct"/>
                <w:vAlign w:val="center"/>
              </w:tcPr>
              <w:p w:rsidR="00F14858" w:rsidRDefault="00F14858">
                <w:pPr>
                  <w:jc w:val="right"/>
                  <w:rPr>
                    <w:bCs w:val="0"/>
                  </w:rPr>
                </w:pPr>
              </w:p>
            </w:tc>
            <w:tc>
              <w:tcPr>
                <w:tcW w:w="422" w:type="pct"/>
                <w:shd w:val="clear" w:color="auto" w:fill="auto"/>
                <w:vAlign w:val="center"/>
              </w:tcPr>
              <w:p w:rsidR="00F14858" w:rsidRDefault="00F14858">
                <w:pPr>
                  <w:jc w:val="right"/>
                  <w:rPr>
                    <w:bCs w:val="0"/>
                  </w:rPr>
                </w:pPr>
                <w:r>
                  <w:rPr>
                    <w:rFonts w:hint="eastAsia"/>
                  </w:rPr>
                  <w:t>9,646.52</w:t>
                </w:r>
              </w:p>
            </w:tc>
            <w:tc>
              <w:tcPr>
                <w:tcW w:w="422" w:type="pct"/>
                <w:shd w:val="clear" w:color="auto" w:fill="auto"/>
                <w:vAlign w:val="center"/>
              </w:tcPr>
              <w:p w:rsidR="00F14858" w:rsidRDefault="00F14858">
                <w:pPr>
                  <w:jc w:val="right"/>
                  <w:rPr>
                    <w:bCs w:val="0"/>
                  </w:rPr>
                </w:pPr>
                <w:r>
                  <w:rPr>
                    <w:rFonts w:hint="eastAsia"/>
                  </w:rPr>
                  <w:t>11.29</w:t>
                </w:r>
              </w:p>
            </w:tc>
            <w:tc>
              <w:tcPr>
                <w:tcW w:w="460" w:type="pct"/>
                <w:vAlign w:val="center"/>
              </w:tcPr>
              <w:p w:rsidR="00F14858" w:rsidRDefault="00F14858">
                <w:pPr>
                  <w:jc w:val="right"/>
                  <w:rPr>
                    <w:bCs w:val="0"/>
                  </w:rPr>
                </w:pPr>
                <w:r>
                  <w:rPr>
                    <w:rFonts w:hint="eastAsia"/>
                  </w:rPr>
                  <w:t>14,774.44</w:t>
                </w:r>
              </w:p>
            </w:tc>
          </w:tr>
        </w:sdtContent>
      </w:sdt>
      <w:tr w:rsidR="00F14858" w:rsidTr="00F14858">
        <w:trPr>
          <w:trHeight w:val="194"/>
          <w:jc w:val="center"/>
        </w:trPr>
        <w:tc>
          <w:tcPr>
            <w:tcW w:w="197" w:type="pct"/>
            <w:shd w:val="clear" w:color="auto" w:fill="auto"/>
            <w:vAlign w:val="center"/>
          </w:tcPr>
          <w:bookmarkEnd w:id="68" w:displacedByCustomXml="next"/>
          <w:sdt>
            <w:sdtPr>
              <w:rPr>
                <w:rFonts w:hint="eastAsia"/>
                <w:bCs w:val="0"/>
                <w:color w:val="000000" w:themeColor="text1"/>
              </w:rPr>
              <w:tag w:val="_PLD_29482579bd234cecb104befde6ee53f7"/>
              <w:id w:val="-1588839302"/>
            </w:sdtPr>
            <w:sdtEndPr/>
            <w:sdtContent>
              <w:p w:rsidR="00F14858" w:rsidRDefault="00F14858" w:rsidP="00F14858">
                <w:pPr>
                  <w:jc w:val="center"/>
                  <w:rPr>
                    <w:bCs w:val="0"/>
                    <w:color w:val="000000" w:themeColor="text1"/>
                  </w:rPr>
                </w:pPr>
                <w:r>
                  <w:rPr>
                    <w:rFonts w:hint="eastAsia"/>
                    <w:color w:val="000000" w:themeColor="text1"/>
                  </w:rPr>
                  <w:t>合计</w:t>
                </w:r>
              </w:p>
            </w:sdtContent>
          </w:sdt>
        </w:tc>
        <w:tc>
          <w:tcPr>
            <w:tcW w:w="272" w:type="pct"/>
            <w:vAlign w:val="center"/>
          </w:tcPr>
          <w:p w:rsidR="00F14858" w:rsidRDefault="00F14858" w:rsidP="00F14858">
            <w:pPr>
              <w:jc w:val="right"/>
              <w:rPr>
                <w:bCs w:val="0"/>
                <w:color w:val="000000" w:themeColor="text1"/>
              </w:rPr>
            </w:pPr>
            <w:r>
              <w:rPr>
                <w:color w:val="000000" w:themeColor="text1"/>
              </w:rPr>
              <w:t>/</w:t>
            </w:r>
          </w:p>
        </w:tc>
        <w:tc>
          <w:tcPr>
            <w:tcW w:w="460" w:type="pct"/>
            <w:vAlign w:val="center"/>
          </w:tcPr>
          <w:p w:rsidR="00F14858" w:rsidRDefault="00F14858" w:rsidP="00F14858">
            <w:pPr>
              <w:jc w:val="right"/>
              <w:rPr>
                <w:bCs w:val="0"/>
              </w:rPr>
            </w:pPr>
            <w:r>
              <w:rPr>
                <w:rFonts w:hint="eastAsia"/>
              </w:rPr>
              <w:t>98,784.14</w:t>
            </w:r>
          </w:p>
        </w:tc>
        <w:tc>
          <w:tcPr>
            <w:tcW w:w="460" w:type="pct"/>
            <w:shd w:val="clear" w:color="auto" w:fill="auto"/>
            <w:vAlign w:val="center"/>
          </w:tcPr>
          <w:p w:rsidR="00F14858" w:rsidRDefault="00F14858" w:rsidP="00F14858">
            <w:pPr>
              <w:jc w:val="right"/>
              <w:rPr>
                <w:bCs w:val="0"/>
              </w:rPr>
            </w:pPr>
            <w:r>
              <w:rPr>
                <w:rFonts w:hint="eastAsia"/>
              </w:rPr>
              <w:t>85,456.18</w:t>
            </w:r>
          </w:p>
        </w:tc>
        <w:tc>
          <w:tcPr>
            <w:tcW w:w="460" w:type="pct"/>
            <w:shd w:val="clear" w:color="auto" w:fill="auto"/>
            <w:vAlign w:val="center"/>
          </w:tcPr>
          <w:p w:rsidR="00F14858" w:rsidRDefault="00F14858" w:rsidP="00F14858">
            <w:pPr>
              <w:jc w:val="right"/>
              <w:rPr>
                <w:bCs w:val="0"/>
              </w:rPr>
            </w:pPr>
            <w:r>
              <w:rPr>
                <w:rFonts w:hint="eastAsia"/>
              </w:rPr>
              <w:t>85,456.18</w:t>
            </w:r>
          </w:p>
        </w:tc>
        <w:tc>
          <w:tcPr>
            <w:tcW w:w="309" w:type="pct"/>
            <w:vAlign w:val="center"/>
          </w:tcPr>
          <w:p w:rsidR="00F14858" w:rsidRDefault="00F14858" w:rsidP="00F14858">
            <w:pPr>
              <w:jc w:val="right"/>
              <w:rPr>
                <w:bCs w:val="0"/>
              </w:rPr>
            </w:pPr>
          </w:p>
        </w:tc>
        <w:tc>
          <w:tcPr>
            <w:tcW w:w="460" w:type="pct"/>
            <w:shd w:val="clear" w:color="auto" w:fill="auto"/>
            <w:vAlign w:val="center"/>
          </w:tcPr>
          <w:p w:rsidR="00F14858" w:rsidRDefault="00F14858" w:rsidP="00F14858">
            <w:pPr>
              <w:jc w:val="right"/>
              <w:rPr>
                <w:bCs w:val="0"/>
              </w:rPr>
            </w:pPr>
            <w:r w:rsidRPr="00F14858">
              <w:rPr>
                <w:bCs w:val="0"/>
              </w:rPr>
              <w:t>67,751.61</w:t>
            </w:r>
          </w:p>
        </w:tc>
        <w:tc>
          <w:tcPr>
            <w:tcW w:w="309" w:type="pct"/>
            <w:vAlign w:val="center"/>
          </w:tcPr>
          <w:p w:rsidR="00F14858" w:rsidRDefault="00F14858" w:rsidP="00F14858">
            <w:pPr>
              <w:jc w:val="right"/>
              <w:rPr>
                <w:bCs w:val="0"/>
              </w:rPr>
            </w:pPr>
          </w:p>
        </w:tc>
        <w:tc>
          <w:tcPr>
            <w:tcW w:w="385" w:type="pct"/>
            <w:shd w:val="clear" w:color="auto" w:fill="auto"/>
            <w:vAlign w:val="center"/>
          </w:tcPr>
          <w:p w:rsidR="00F14858" w:rsidRDefault="00F14858" w:rsidP="00F14858">
            <w:pPr>
              <w:jc w:val="right"/>
              <w:rPr>
                <w:bCs w:val="0"/>
                <w:color w:val="000000" w:themeColor="text1"/>
              </w:rPr>
            </w:pPr>
            <w:r>
              <w:rPr>
                <w:color w:val="000000" w:themeColor="text1"/>
              </w:rPr>
              <w:t>/</w:t>
            </w:r>
          </w:p>
        </w:tc>
        <w:tc>
          <w:tcPr>
            <w:tcW w:w="385" w:type="pct"/>
            <w:vAlign w:val="center"/>
          </w:tcPr>
          <w:p w:rsidR="00F14858" w:rsidRDefault="00F14858" w:rsidP="00F14858">
            <w:pPr>
              <w:jc w:val="right"/>
              <w:rPr>
                <w:bCs w:val="0"/>
                <w:color w:val="000000" w:themeColor="text1"/>
              </w:rPr>
            </w:pPr>
            <w:r>
              <w:rPr>
                <w:color w:val="000000" w:themeColor="text1"/>
              </w:rPr>
              <w:t>/</w:t>
            </w:r>
          </w:p>
        </w:tc>
        <w:tc>
          <w:tcPr>
            <w:tcW w:w="422" w:type="pct"/>
            <w:shd w:val="clear" w:color="auto" w:fill="auto"/>
            <w:vAlign w:val="center"/>
          </w:tcPr>
          <w:p w:rsidR="00F14858" w:rsidRDefault="00F14858" w:rsidP="00F14858">
            <w:pPr>
              <w:jc w:val="right"/>
              <w:rPr>
                <w:bCs w:val="0"/>
              </w:rPr>
            </w:pPr>
            <w:r w:rsidRPr="00F14858">
              <w:rPr>
                <w:bCs w:val="0"/>
              </w:rPr>
              <w:t>9,646.52</w:t>
            </w:r>
          </w:p>
        </w:tc>
        <w:tc>
          <w:tcPr>
            <w:tcW w:w="422" w:type="pct"/>
            <w:shd w:val="clear" w:color="auto" w:fill="auto"/>
            <w:vAlign w:val="center"/>
          </w:tcPr>
          <w:p w:rsidR="00F14858" w:rsidRDefault="00F14858" w:rsidP="00F14858">
            <w:pPr>
              <w:jc w:val="right"/>
              <w:rPr>
                <w:bCs w:val="0"/>
                <w:color w:val="000000" w:themeColor="text1"/>
              </w:rPr>
            </w:pPr>
            <w:r>
              <w:rPr>
                <w:color w:val="000000" w:themeColor="text1"/>
              </w:rPr>
              <w:t>/</w:t>
            </w:r>
          </w:p>
        </w:tc>
        <w:tc>
          <w:tcPr>
            <w:tcW w:w="460" w:type="pct"/>
            <w:vAlign w:val="center"/>
          </w:tcPr>
          <w:p w:rsidR="00F14858" w:rsidRDefault="00F14858" w:rsidP="00F14858">
            <w:pPr>
              <w:jc w:val="right"/>
              <w:rPr>
                <w:bCs w:val="0"/>
              </w:rPr>
            </w:pPr>
            <w:r w:rsidRPr="00F14858">
              <w:rPr>
                <w:bCs w:val="0"/>
              </w:rPr>
              <w:t>14,774.44</w:t>
            </w:r>
          </w:p>
        </w:tc>
      </w:tr>
    </w:tbl>
    <w:p w:rsidR="00F14858" w:rsidRDefault="00F14858">
      <w:pPr>
        <w:rPr>
          <w:color w:val="000000" w:themeColor="text1"/>
        </w:rPr>
      </w:pPr>
    </w:p>
    <w:p w:rsidR="00F14858" w:rsidRDefault="00F14858">
      <w:pPr>
        <w:rPr>
          <w:color w:val="000000" w:themeColor="text1"/>
        </w:rPr>
      </w:pPr>
    </w:p>
    <w:p w:rsidR="00597370" w:rsidRDefault="003C2EEE">
      <w:pPr>
        <w:pStyle w:val="Style109"/>
        <w:numPr>
          <w:ilvl w:val="0"/>
          <w:numId w:val="27"/>
        </w:numPr>
        <w:tabs>
          <w:tab w:val="left" w:pos="360"/>
        </w:tabs>
        <w:ind w:left="450" w:hanging="450"/>
        <w:rPr>
          <w:rFonts w:ascii="宋体" w:hAnsi="宋体"/>
          <w:color w:val="000000" w:themeColor="text1"/>
        </w:rPr>
      </w:pPr>
      <w:bookmarkStart w:id="69" w:name="_Hlk170305543"/>
      <w:bookmarkEnd w:id="63"/>
      <w:proofErr w:type="gramStart"/>
      <w:r>
        <w:rPr>
          <w:rFonts w:ascii="宋体" w:hAnsi="宋体" w:hint="eastAsia"/>
          <w:color w:val="000000" w:themeColor="text1"/>
        </w:rPr>
        <w:t>募投项目</w:t>
      </w:r>
      <w:proofErr w:type="gramEnd"/>
      <w:r>
        <w:rPr>
          <w:rFonts w:ascii="宋体" w:hAnsi="宋体" w:hint="eastAsia"/>
          <w:color w:val="000000" w:themeColor="text1"/>
        </w:rPr>
        <w:t>明细</w:t>
      </w:r>
    </w:p>
    <w:sdt>
      <w:sdtPr>
        <w:rPr>
          <w:color w:val="000000" w:themeColor="text1"/>
        </w:rPr>
        <w:alias w:val="是否适用：募投项目明细[双击切换]"/>
        <w:tag w:val="_GBC_d62426eab3014f178b7d8906e6ab8d2c"/>
        <w:id w:val="343518648"/>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widowControl w:val="0"/>
        <w:numPr>
          <w:ilvl w:val="0"/>
          <w:numId w:val="28"/>
        </w:numPr>
        <w:jc w:val="both"/>
        <w:rPr>
          <w:color w:val="000000" w:themeColor="text1"/>
        </w:rPr>
      </w:pPr>
      <w:bookmarkStart w:id="70" w:name="_Hlk90391869"/>
      <w:bookmarkEnd w:id="69"/>
      <w:r>
        <w:rPr>
          <w:rFonts w:hint="eastAsia"/>
          <w:color w:val="000000" w:themeColor="text1"/>
        </w:rPr>
        <w:t>募集资金明细使用情况</w:t>
      </w:r>
    </w:p>
    <w:p w:rsidR="00597370" w:rsidRDefault="006840ED">
      <w:pPr>
        <w:rPr>
          <w:color w:val="000000" w:themeColor="text1"/>
        </w:rPr>
      </w:pPr>
      <w:sdt>
        <w:sdtPr>
          <w:rPr>
            <w:color w:val="000000" w:themeColor="text1"/>
          </w:rPr>
          <w:alias w:val="是否适用：募集资金明细使用情况[双击切换]"/>
          <w:tag w:val="_GBC_48d6f3756d1b47deab1d995ea0c46336"/>
          <w:id w:val="-991176647"/>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承诺项目情况"/>
          <w:tag w:val="_GBC_1ea65ddb72f7416ebfabefd4f6fde236"/>
          <w:id w:val="1710144894"/>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万元</w:t>
          </w:r>
        </w:sdtContent>
      </w:sdt>
    </w:p>
    <w:tbl>
      <w:tblPr>
        <w:tblStyle w:val="g2"/>
        <w:tblW w:w="5000" w:type="pct"/>
        <w:jc w:val="center"/>
        <w:tblInd w:w="0" w:type="dxa"/>
        <w:tblLayout w:type="fixed"/>
        <w:tblCellMar>
          <w:left w:w="0" w:type="dxa"/>
          <w:right w:w="28" w:type="dxa"/>
        </w:tblCellMar>
        <w:tblLook w:val="04A0" w:firstRow="1" w:lastRow="0" w:firstColumn="1" w:lastColumn="0" w:noHBand="0" w:noVBand="1"/>
      </w:tblPr>
      <w:tblGrid>
        <w:gridCol w:w="584"/>
        <w:gridCol w:w="708"/>
        <w:gridCol w:w="357"/>
        <w:gridCol w:w="472"/>
        <w:gridCol w:w="355"/>
        <w:gridCol w:w="818"/>
        <w:gridCol w:w="818"/>
        <w:gridCol w:w="935"/>
        <w:gridCol w:w="471"/>
        <w:gridCol w:w="356"/>
        <w:gridCol w:w="355"/>
        <w:gridCol w:w="355"/>
        <w:gridCol w:w="471"/>
        <w:gridCol w:w="471"/>
        <w:gridCol w:w="471"/>
        <w:gridCol w:w="471"/>
        <w:gridCol w:w="355"/>
      </w:tblGrid>
      <w:tr w:rsidR="00597370">
        <w:trPr>
          <w:trHeight w:val="397"/>
          <w:jc w:val="center"/>
        </w:trPr>
        <w:sdt>
          <w:sdtPr>
            <w:rPr>
              <w:rFonts w:asciiTheme="minorEastAsia" w:eastAsiaTheme="minorEastAsia" w:hAnsiTheme="minorEastAsia" w:hint="eastAsia"/>
              <w:color w:val="000000" w:themeColor="text1"/>
              <w:sz w:val="15"/>
              <w:szCs w:val="15"/>
            </w:rPr>
            <w:tag w:val="_PLD_ecc6f6cfd8d64c22abb3fa8a39189bf7"/>
            <w:id w:val="-397907164"/>
          </w:sdtPr>
          <w:sdtEndPr/>
          <w:sdtContent>
            <w:tc>
              <w:tcPr>
                <w:tcW w:w="584"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募集资金来源</w:t>
                </w:r>
              </w:p>
            </w:tc>
          </w:sdtContent>
        </w:sdt>
        <w:sdt>
          <w:sdtPr>
            <w:rPr>
              <w:rFonts w:asciiTheme="minorEastAsia" w:eastAsiaTheme="minorEastAsia" w:hAnsiTheme="minorEastAsia" w:hint="eastAsia"/>
              <w:color w:val="000000" w:themeColor="text1"/>
              <w:sz w:val="15"/>
              <w:szCs w:val="15"/>
            </w:rPr>
            <w:tag w:val="_PLD_761d189c80d14526a263d362eda71ece"/>
            <w:id w:val="-1559397232"/>
          </w:sdtPr>
          <w:sdtEndPr>
            <w:rPr>
              <w:rFonts w:hint="default"/>
            </w:rPr>
          </w:sdtEndPr>
          <w:sdtContent>
            <w:tc>
              <w:tcPr>
                <w:tcW w:w="708"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项目</w:t>
                </w:r>
                <w:r>
                  <w:rPr>
                    <w:rFonts w:asciiTheme="minorEastAsia" w:eastAsiaTheme="minorEastAsia" w:hAnsiTheme="minorEastAsia"/>
                    <w:color w:val="000000" w:themeColor="text1"/>
                    <w:sz w:val="15"/>
                    <w:szCs w:val="15"/>
                  </w:rPr>
                  <w:t>名称</w:t>
                </w:r>
              </w:p>
            </w:tc>
          </w:sdtContent>
        </w:sdt>
        <w:tc>
          <w:tcPr>
            <w:tcW w:w="357" w:type="dxa"/>
            <w:tcBorders>
              <w:top w:val="single" w:sz="4" w:space="0" w:color="auto"/>
              <w:left w:val="single" w:sz="4" w:space="0" w:color="auto"/>
              <w:bottom w:val="single" w:sz="4" w:space="0" w:color="auto"/>
              <w:right w:val="single" w:sz="4" w:space="0" w:color="auto"/>
            </w:tcBorders>
            <w:vAlign w:val="center"/>
          </w:tcPr>
          <w:sdt>
            <w:sdtPr>
              <w:rPr>
                <w:rFonts w:asciiTheme="minorEastAsia" w:eastAsiaTheme="minorEastAsia" w:hAnsiTheme="minorEastAsia" w:hint="eastAsia"/>
                <w:color w:val="000000" w:themeColor="text1"/>
                <w:sz w:val="15"/>
                <w:szCs w:val="15"/>
              </w:rPr>
              <w:tag w:val="_PLD_e9fb103224e24bc78010fc698d0d0d6e"/>
              <w:id w:val="167069091"/>
            </w:sdtPr>
            <w:sdtEndPr/>
            <w:sdtContent>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项目性质</w:t>
                </w:r>
              </w:p>
            </w:sdtContent>
          </w:sdt>
        </w:tc>
        <w:tc>
          <w:tcPr>
            <w:tcW w:w="472" w:type="dxa"/>
            <w:tcBorders>
              <w:top w:val="single" w:sz="4" w:space="0" w:color="auto"/>
              <w:left w:val="single" w:sz="4" w:space="0" w:color="auto"/>
              <w:bottom w:val="single" w:sz="4" w:space="0" w:color="auto"/>
              <w:right w:val="single" w:sz="4" w:space="0" w:color="auto"/>
            </w:tcBorders>
            <w:vAlign w:val="center"/>
          </w:tcPr>
          <w:sdt>
            <w:sdtPr>
              <w:rPr>
                <w:rFonts w:asciiTheme="minorEastAsia" w:eastAsiaTheme="minorEastAsia" w:hAnsiTheme="minorEastAsia" w:hint="eastAsia"/>
                <w:color w:val="000000" w:themeColor="text1"/>
                <w:sz w:val="15"/>
                <w:szCs w:val="15"/>
              </w:rPr>
              <w:tag w:val="_PLD_779903899f624d7e90d0b5905b454a25"/>
              <w:id w:val="-729997862"/>
            </w:sdtPr>
            <w:sdtEndPr/>
            <w:sdtContent>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是否为招股书或者募集</w:t>
                </w:r>
                <w:r>
                  <w:rPr>
                    <w:rFonts w:asciiTheme="minorEastAsia" w:eastAsiaTheme="minorEastAsia" w:hAnsiTheme="minorEastAsia" w:hint="eastAsia"/>
                    <w:color w:val="000000" w:themeColor="text1"/>
                    <w:sz w:val="15"/>
                    <w:szCs w:val="15"/>
                  </w:rPr>
                  <w:lastRenderedPageBreak/>
                  <w:t>说明书中的承诺投资项目</w:t>
                </w:r>
              </w:p>
            </w:sdtContent>
          </w:sdt>
        </w:tc>
        <w:sdt>
          <w:sdtPr>
            <w:rPr>
              <w:rFonts w:asciiTheme="minorEastAsia" w:eastAsiaTheme="minorEastAsia" w:hAnsiTheme="minorEastAsia" w:hint="eastAsia"/>
              <w:color w:val="000000" w:themeColor="text1"/>
              <w:sz w:val="15"/>
              <w:szCs w:val="15"/>
            </w:rPr>
            <w:tag w:val="_PLD_fb2d6d9915e449a092fe4c2b051d5573"/>
            <w:id w:val="-2116827298"/>
          </w:sdtPr>
          <w:sdtEndPr/>
          <w:sdtContent>
            <w:tc>
              <w:tcPr>
                <w:tcW w:w="355"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是否涉及变更投向</w:t>
                </w:r>
              </w:p>
            </w:tc>
          </w:sdtContent>
        </w:sdt>
        <w:tc>
          <w:tcPr>
            <w:tcW w:w="818" w:type="dxa"/>
            <w:tcBorders>
              <w:top w:val="single" w:sz="4" w:space="0" w:color="auto"/>
              <w:left w:val="nil"/>
              <w:bottom w:val="single" w:sz="4" w:space="0" w:color="auto"/>
              <w:right w:val="single" w:sz="4" w:space="0" w:color="auto"/>
            </w:tcBorders>
            <w:vAlign w:val="center"/>
          </w:tcPr>
          <w:sdt>
            <w:sdtPr>
              <w:rPr>
                <w:rFonts w:asciiTheme="minorEastAsia" w:eastAsiaTheme="minorEastAsia" w:hAnsiTheme="minorEastAsia" w:hint="eastAsia"/>
                <w:color w:val="000000" w:themeColor="text1"/>
                <w:sz w:val="15"/>
                <w:szCs w:val="15"/>
              </w:rPr>
              <w:tag w:val="_PLD_ecfc5a28e36143e79a5b25687b226292"/>
              <w:id w:val="-738400739"/>
            </w:sdtPr>
            <w:sdtEndPr>
              <w:rPr>
                <w:rFonts w:hint="default"/>
              </w:rPr>
            </w:sdtEndPr>
            <w:sdtContent>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募集资金计划投资总额</w:t>
                </w:r>
                <w:r>
                  <w:rPr>
                    <w:rFonts w:asciiTheme="minorEastAsia" w:eastAsiaTheme="minorEastAsia" w:hAnsiTheme="minorEastAsia"/>
                    <w:color w:val="000000" w:themeColor="text1"/>
                    <w:sz w:val="15"/>
                    <w:szCs w:val="15"/>
                  </w:rPr>
                  <w:t xml:space="preserve">  (1)</w:t>
                </w:r>
              </w:p>
            </w:sdtContent>
          </w:sdt>
        </w:tc>
        <w:sdt>
          <w:sdtPr>
            <w:rPr>
              <w:rFonts w:asciiTheme="minorEastAsia" w:eastAsiaTheme="minorEastAsia" w:hAnsiTheme="minorEastAsia" w:hint="eastAsia"/>
              <w:color w:val="000000" w:themeColor="text1"/>
              <w:sz w:val="15"/>
              <w:szCs w:val="15"/>
            </w:rPr>
            <w:tag w:val="_PLD_0298947df8014f3caa51b18d7ccb2eee"/>
            <w:id w:val="1655095733"/>
          </w:sdtPr>
          <w:sdtEndPr/>
          <w:sdtContent>
            <w:tc>
              <w:tcPr>
                <w:tcW w:w="818"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本年投入金额</w:t>
                </w:r>
              </w:p>
            </w:tc>
          </w:sdtContent>
        </w:sdt>
        <w:sdt>
          <w:sdtPr>
            <w:rPr>
              <w:rFonts w:asciiTheme="minorEastAsia" w:eastAsiaTheme="minorEastAsia" w:hAnsiTheme="minorEastAsia" w:hint="eastAsia"/>
              <w:color w:val="000000" w:themeColor="text1"/>
              <w:sz w:val="15"/>
              <w:szCs w:val="15"/>
            </w:rPr>
            <w:tag w:val="_PLD_dc2849e9008d4ae484b729fce1b8183c"/>
            <w:id w:val="-1445300005"/>
          </w:sdtPr>
          <w:sdtEndPr/>
          <w:sdtContent>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截至</w:t>
                </w:r>
                <w:r>
                  <w:rPr>
                    <w:rFonts w:asciiTheme="minorEastAsia" w:eastAsiaTheme="minorEastAsia" w:hAnsiTheme="minorEastAsia"/>
                    <w:color w:val="000000" w:themeColor="text1"/>
                    <w:sz w:val="15"/>
                    <w:szCs w:val="15"/>
                  </w:rPr>
                  <w:t>报告期末</w:t>
                </w:r>
                <w:r>
                  <w:rPr>
                    <w:rFonts w:asciiTheme="minorEastAsia" w:eastAsiaTheme="minorEastAsia" w:hAnsiTheme="minorEastAsia" w:hint="eastAsia"/>
                    <w:color w:val="000000" w:themeColor="text1"/>
                    <w:sz w:val="15"/>
                    <w:szCs w:val="15"/>
                  </w:rPr>
                  <w:t>累计投入募集资金总额（2）</w:t>
                </w:r>
              </w:p>
            </w:tc>
          </w:sdtContent>
        </w:sdt>
        <w:sdt>
          <w:sdtPr>
            <w:rPr>
              <w:rFonts w:asciiTheme="minorEastAsia" w:eastAsiaTheme="minorEastAsia" w:hAnsiTheme="minorEastAsia" w:hint="eastAsia"/>
              <w:color w:val="000000" w:themeColor="text1"/>
              <w:sz w:val="15"/>
              <w:szCs w:val="15"/>
            </w:rPr>
            <w:tag w:val="_PLD_59e643f837534f6ead9a2e2416f3979e"/>
            <w:id w:val="-1028793844"/>
          </w:sdtPr>
          <w:sdtEndPr/>
          <w:sdtContent>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截至报告期末累计投入</w:t>
                </w:r>
                <w:r>
                  <w:rPr>
                    <w:rFonts w:asciiTheme="minorEastAsia" w:eastAsiaTheme="minorEastAsia" w:hAnsiTheme="minorEastAsia" w:hint="eastAsia"/>
                    <w:color w:val="000000" w:themeColor="text1"/>
                    <w:sz w:val="15"/>
                    <w:szCs w:val="15"/>
                  </w:rPr>
                  <w:lastRenderedPageBreak/>
                  <w:t>进度（%）</w:t>
                </w:r>
              </w:p>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(3)＝(2)/(1)</w:t>
                </w:r>
              </w:p>
            </w:tc>
          </w:sdtContent>
        </w:sdt>
        <w:sdt>
          <w:sdtPr>
            <w:rPr>
              <w:rFonts w:asciiTheme="minorEastAsia" w:eastAsiaTheme="minorEastAsia" w:hAnsiTheme="minorEastAsia" w:hint="eastAsia"/>
              <w:color w:val="000000" w:themeColor="text1"/>
              <w:sz w:val="15"/>
              <w:szCs w:val="15"/>
            </w:rPr>
            <w:tag w:val="_PLD_01e8e5e4ca3d4d3aaaa7086276c1bc5c"/>
            <w:id w:val="1784226289"/>
          </w:sdtPr>
          <w:sdtEndPr/>
          <w:sdtContent>
            <w:tc>
              <w:tcPr>
                <w:tcW w:w="356"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项目达到预定可使用状</w:t>
                </w:r>
                <w:r>
                  <w:rPr>
                    <w:rFonts w:asciiTheme="minorEastAsia" w:eastAsiaTheme="minorEastAsia" w:hAnsiTheme="minorEastAsia" w:hint="eastAsia"/>
                    <w:color w:val="000000" w:themeColor="text1"/>
                    <w:sz w:val="15"/>
                    <w:szCs w:val="15"/>
                  </w:rPr>
                  <w:lastRenderedPageBreak/>
                  <w:t>态日期</w:t>
                </w:r>
              </w:p>
            </w:tc>
          </w:sdtContent>
        </w:sdt>
        <w:sdt>
          <w:sdtPr>
            <w:rPr>
              <w:rFonts w:asciiTheme="minorEastAsia" w:eastAsiaTheme="minorEastAsia" w:hAnsiTheme="minorEastAsia" w:hint="eastAsia"/>
              <w:color w:val="000000" w:themeColor="text1"/>
              <w:sz w:val="15"/>
              <w:szCs w:val="15"/>
            </w:rPr>
            <w:tag w:val="_PLD_5eddbee536aa4e52892af95cd659d94b"/>
            <w:id w:val="1670910259"/>
          </w:sdtPr>
          <w:sdtEndPr/>
          <w:sdtContent>
            <w:tc>
              <w:tcPr>
                <w:tcW w:w="355"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是否</w:t>
                </w:r>
                <w:proofErr w:type="gramStart"/>
                <w:r>
                  <w:rPr>
                    <w:rFonts w:asciiTheme="minorEastAsia" w:eastAsiaTheme="minorEastAsia" w:hAnsiTheme="minorEastAsia" w:hint="eastAsia"/>
                    <w:color w:val="000000" w:themeColor="text1"/>
                    <w:sz w:val="15"/>
                    <w:szCs w:val="15"/>
                  </w:rPr>
                  <w:t>已结项</w:t>
                </w:r>
                <w:proofErr w:type="gramEnd"/>
              </w:p>
            </w:tc>
          </w:sdtContent>
        </w:sdt>
        <w:sdt>
          <w:sdtPr>
            <w:rPr>
              <w:rFonts w:asciiTheme="minorEastAsia" w:eastAsiaTheme="minorEastAsia" w:hAnsiTheme="minorEastAsia" w:hint="eastAsia"/>
              <w:color w:val="000000" w:themeColor="text1"/>
              <w:sz w:val="15"/>
              <w:szCs w:val="15"/>
            </w:rPr>
            <w:tag w:val="_PLD_8467465a96b74acaab331c5d90e9ce0b"/>
            <w:id w:val="658975734"/>
          </w:sdtPr>
          <w:sdtEndPr/>
          <w:sdtContent>
            <w:tc>
              <w:tcPr>
                <w:tcW w:w="355"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投入进度是否符合计划</w:t>
                </w:r>
                <w:r>
                  <w:rPr>
                    <w:rFonts w:asciiTheme="minorEastAsia" w:eastAsiaTheme="minorEastAsia" w:hAnsiTheme="minorEastAsia" w:hint="eastAsia"/>
                    <w:color w:val="000000" w:themeColor="text1"/>
                    <w:sz w:val="15"/>
                    <w:szCs w:val="15"/>
                  </w:rPr>
                  <w:lastRenderedPageBreak/>
                  <w:t>的进度</w:t>
                </w:r>
              </w:p>
            </w:tc>
          </w:sdtContent>
        </w:sdt>
        <w:sdt>
          <w:sdtPr>
            <w:rPr>
              <w:rFonts w:asciiTheme="minorEastAsia" w:eastAsiaTheme="minorEastAsia" w:hAnsiTheme="minorEastAsia" w:hint="eastAsia"/>
              <w:color w:val="000000" w:themeColor="text1"/>
              <w:sz w:val="15"/>
              <w:szCs w:val="15"/>
            </w:rPr>
            <w:tag w:val="_PLD_1b7bf5771de14bcc9dd65c6fd485f737"/>
            <w:id w:val="-1169476821"/>
          </w:sdtPr>
          <w:sdtEndPr/>
          <w:sdtContent>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投入进度未达计划的具</w:t>
                </w:r>
                <w:r>
                  <w:rPr>
                    <w:rFonts w:asciiTheme="minorEastAsia" w:eastAsiaTheme="minorEastAsia" w:hAnsiTheme="minorEastAsia" w:hint="eastAsia"/>
                    <w:color w:val="000000" w:themeColor="text1"/>
                    <w:sz w:val="15"/>
                    <w:szCs w:val="15"/>
                  </w:rPr>
                  <w:lastRenderedPageBreak/>
                  <w:t>体原因</w:t>
                </w:r>
              </w:p>
            </w:tc>
          </w:sdtContent>
        </w:sdt>
        <w:sdt>
          <w:sdtPr>
            <w:rPr>
              <w:rFonts w:asciiTheme="minorEastAsia" w:eastAsiaTheme="minorEastAsia" w:hAnsiTheme="minorEastAsia" w:hint="eastAsia"/>
              <w:color w:val="000000" w:themeColor="text1"/>
              <w:sz w:val="15"/>
              <w:szCs w:val="15"/>
            </w:rPr>
            <w:tag w:val="_PLD_fbb430167f3547579a7577fe949992b0"/>
            <w:id w:val="941959167"/>
          </w:sdtPr>
          <w:sdtEndPr/>
          <w:sdtContent>
            <w:tc>
              <w:tcPr>
                <w:tcW w:w="471"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本年实现的效益</w:t>
                </w:r>
              </w:p>
            </w:tc>
          </w:sdtContent>
        </w:sdt>
        <w:sdt>
          <w:sdtPr>
            <w:rPr>
              <w:rFonts w:asciiTheme="minorEastAsia" w:eastAsiaTheme="minorEastAsia" w:hAnsiTheme="minorEastAsia" w:hint="eastAsia"/>
              <w:color w:val="000000" w:themeColor="text1"/>
              <w:sz w:val="15"/>
              <w:szCs w:val="15"/>
            </w:rPr>
            <w:tag w:val="_PLD_6f9a466456034ce1b5c52e7b5f84118e"/>
            <w:id w:val="-1604568921"/>
          </w:sdtPr>
          <w:sdtEndPr/>
          <w:sdtContent>
            <w:tc>
              <w:tcPr>
                <w:tcW w:w="4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本项目已实现的效益或</w:t>
                </w:r>
                <w:r>
                  <w:rPr>
                    <w:rFonts w:asciiTheme="minorEastAsia" w:eastAsiaTheme="minorEastAsia" w:hAnsiTheme="minorEastAsia" w:hint="eastAsia"/>
                    <w:color w:val="000000" w:themeColor="text1"/>
                    <w:sz w:val="15"/>
                    <w:szCs w:val="15"/>
                  </w:rPr>
                  <w:lastRenderedPageBreak/>
                  <w:t>者研发成果</w:t>
                </w:r>
              </w:p>
            </w:tc>
          </w:sdtContent>
        </w:sdt>
        <w:sdt>
          <w:sdtPr>
            <w:rPr>
              <w:rFonts w:asciiTheme="minorEastAsia" w:eastAsiaTheme="minorEastAsia" w:hAnsiTheme="minorEastAsia" w:hint="eastAsia"/>
              <w:color w:val="000000" w:themeColor="text1"/>
              <w:sz w:val="15"/>
              <w:szCs w:val="15"/>
            </w:rPr>
            <w:tag w:val="_PLD_a2bfc6b5def44414b3ea17747d5098bb"/>
            <w:id w:val="-1108264977"/>
          </w:sdtPr>
          <w:sdtEndPr>
            <w:rPr>
              <w:rFonts w:hint="default"/>
            </w:rPr>
          </w:sdtEndPr>
          <w:sdtContent>
            <w:tc>
              <w:tcPr>
                <w:tcW w:w="471"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项目可行性是否发生重</w:t>
                </w:r>
                <w:r>
                  <w:rPr>
                    <w:rFonts w:asciiTheme="minorEastAsia" w:eastAsiaTheme="minorEastAsia" w:hAnsiTheme="minorEastAsia" w:hint="eastAsia"/>
                    <w:color w:val="000000" w:themeColor="text1"/>
                    <w:sz w:val="15"/>
                    <w:szCs w:val="15"/>
                  </w:rPr>
                  <w:lastRenderedPageBreak/>
                  <w:t>大变化，</w:t>
                </w:r>
                <w:r>
                  <w:rPr>
                    <w:rFonts w:asciiTheme="minorEastAsia" w:eastAsiaTheme="minorEastAsia" w:hAnsiTheme="minorEastAsia"/>
                    <w:color w:val="000000" w:themeColor="text1"/>
                    <w:sz w:val="15"/>
                    <w:szCs w:val="15"/>
                  </w:rPr>
                  <w:t>如是，请说明具体情况</w:t>
                </w:r>
              </w:p>
            </w:tc>
          </w:sdtContent>
        </w:sdt>
        <w:sdt>
          <w:sdtPr>
            <w:rPr>
              <w:rFonts w:asciiTheme="minorEastAsia" w:eastAsiaTheme="minorEastAsia" w:hAnsiTheme="minorEastAsia" w:hint="eastAsia"/>
              <w:color w:val="000000" w:themeColor="text1"/>
              <w:sz w:val="15"/>
              <w:szCs w:val="15"/>
            </w:rPr>
            <w:tag w:val="_PLD_88cf0da5d9e243a788faa7cae609a675"/>
            <w:id w:val="236918439"/>
          </w:sdtPr>
          <w:sdtEndPr>
            <w:rPr>
              <w:rFonts w:hint="default"/>
            </w:rPr>
          </w:sdtEndPr>
          <w:sdtContent>
            <w:tc>
              <w:tcPr>
                <w:tcW w:w="355" w:type="dxa"/>
                <w:tcBorders>
                  <w:top w:val="single" w:sz="4" w:space="0" w:color="auto"/>
                  <w:left w:val="nil"/>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节余金额</w:t>
                </w:r>
              </w:p>
            </w:tc>
          </w:sdtContent>
        </w:sdt>
      </w:tr>
      <w:tr w:rsidR="00597370">
        <w:trPr>
          <w:trHeight w:val="397"/>
          <w:jc w:val="center"/>
        </w:trPr>
        <w:sdt>
          <w:sdtPr>
            <w:rPr>
              <w:rFonts w:asciiTheme="minorEastAsia" w:eastAsiaTheme="minorEastAsia" w:hAnsiTheme="minorEastAsia" w:cstheme="minorEastAsia" w:hint="eastAsia"/>
              <w:color w:val="000000" w:themeColor="text1"/>
              <w:sz w:val="15"/>
              <w:szCs w:val="15"/>
            </w:rPr>
            <w:alias w:val="募集资金使用进展明细_募集资金来源"/>
            <w:tag w:val="_GBC_638a92b01f424b558305ec2f2f71a9f3"/>
            <w:id w:val="1140854500"/>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584"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首次公开发行股票</w:t>
                </w:r>
              </w:p>
            </w:tc>
          </w:sdtContent>
        </w:sdt>
        <w:tc>
          <w:tcPr>
            <w:tcW w:w="708"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智能成套电气设备产业基地建设项目</w:t>
            </w:r>
          </w:p>
        </w:tc>
        <w:tc>
          <w:tcPr>
            <w:tcW w:w="357"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生产建设</w:t>
            </w:r>
          </w:p>
        </w:tc>
        <w:tc>
          <w:tcPr>
            <w:tcW w:w="472"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355"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818" w:type="dxa"/>
            <w:tcBorders>
              <w:top w:val="single" w:sz="4" w:space="0" w:color="auto"/>
              <w:left w:val="nil"/>
              <w:bottom w:val="single" w:sz="4" w:space="0" w:color="auto"/>
              <w:right w:val="single" w:sz="4" w:space="0" w:color="auto"/>
            </w:tcBorders>
            <w:vAlign w:val="center"/>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 xml:space="preserve"> 24,268.47 </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center"/>
              <w:rPr>
                <w:rFonts w:asciiTheme="minorEastAsia" w:eastAsiaTheme="minorEastAsia" w:hAnsiTheme="minorEastAsia" w:cstheme="minorEastAsia"/>
                <w:color w:val="000000"/>
                <w:sz w:val="15"/>
                <w:szCs w:val="15"/>
              </w:rPr>
            </w:pPr>
            <w:r>
              <w:rPr>
                <w:rFonts w:hint="eastAsia"/>
                <w:color w:val="000000"/>
                <w:sz w:val="15"/>
                <w:szCs w:val="15"/>
                <w:lang w:bidi="ar"/>
              </w:rPr>
              <w:t xml:space="preserve"> 2,200.64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21,007.22</w:t>
            </w:r>
          </w:p>
        </w:tc>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86.56</w:t>
            </w:r>
          </w:p>
        </w:tc>
        <w:tc>
          <w:tcPr>
            <w:tcW w:w="356" w:type="dxa"/>
            <w:tcBorders>
              <w:top w:val="single" w:sz="4" w:space="0" w:color="auto"/>
              <w:left w:val="nil"/>
              <w:bottom w:val="single" w:sz="4" w:space="0" w:color="auto"/>
              <w:right w:val="single" w:sz="4" w:space="0" w:color="auto"/>
            </w:tcBorders>
            <w:shd w:val="clear" w:color="auto" w:fill="auto"/>
            <w:vAlign w:val="bottom"/>
          </w:tcPr>
          <w:p w:rsidR="00597370" w:rsidRDefault="003C2EEE">
            <w:pPr>
              <w:jc w:val="right"/>
              <w:textAlignment w:val="bottom"/>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lang w:bidi="ar"/>
              </w:rPr>
              <w:t>2024年4月</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471"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注1</w:t>
            </w:r>
          </w:p>
        </w:tc>
        <w:tc>
          <w:tcPr>
            <w:tcW w:w="4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nil"/>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vAlign w:val="center"/>
          </w:tcPr>
          <w:p w:rsidR="00597370" w:rsidRDefault="00597370">
            <w:pPr>
              <w:jc w:val="right"/>
              <w:rPr>
                <w:rFonts w:asciiTheme="minorEastAsia" w:eastAsiaTheme="minorEastAsia" w:hAnsiTheme="minorEastAsia" w:cstheme="minorEastAsia"/>
                <w:sz w:val="15"/>
                <w:szCs w:val="15"/>
              </w:rPr>
            </w:pPr>
          </w:p>
        </w:tc>
      </w:tr>
      <w:tr w:rsidR="00597370">
        <w:trPr>
          <w:trHeight w:val="397"/>
          <w:jc w:val="center"/>
        </w:trPr>
        <w:sdt>
          <w:sdtPr>
            <w:rPr>
              <w:rFonts w:asciiTheme="minorEastAsia" w:eastAsiaTheme="minorEastAsia" w:hAnsiTheme="minorEastAsia" w:cstheme="minorEastAsia" w:hint="eastAsia"/>
              <w:color w:val="000000" w:themeColor="text1"/>
              <w:sz w:val="15"/>
              <w:szCs w:val="15"/>
            </w:rPr>
            <w:alias w:val="募集资金使用进展明细_募集资金来源"/>
            <w:tag w:val="_GBC_638a92b01f424b558305ec2f2f71a9f3"/>
            <w:id w:val="-1788959695"/>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584"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首次公开发行股票</w:t>
                </w:r>
              </w:p>
            </w:tc>
          </w:sdtContent>
        </w:sdt>
        <w:tc>
          <w:tcPr>
            <w:tcW w:w="708"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110kV及以下节能型变压器智能化工厂技改项目</w:t>
            </w:r>
          </w:p>
        </w:tc>
        <w:tc>
          <w:tcPr>
            <w:tcW w:w="357"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生产建设</w:t>
            </w:r>
          </w:p>
        </w:tc>
        <w:tc>
          <w:tcPr>
            <w:tcW w:w="472"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355"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818" w:type="dxa"/>
            <w:tcBorders>
              <w:top w:val="single" w:sz="4" w:space="0" w:color="auto"/>
              <w:left w:val="nil"/>
              <w:bottom w:val="single" w:sz="4" w:space="0" w:color="auto"/>
              <w:right w:val="single" w:sz="4" w:space="0" w:color="auto"/>
            </w:tcBorders>
            <w:vAlign w:val="center"/>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7,330.59</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center"/>
              <w:rPr>
                <w:rFonts w:asciiTheme="minorEastAsia" w:eastAsiaTheme="minorEastAsia" w:hAnsiTheme="minorEastAsia" w:cstheme="minorEastAsia"/>
                <w:sz w:val="15"/>
                <w:szCs w:val="15"/>
              </w:rPr>
            </w:pPr>
            <w:r>
              <w:rPr>
                <w:rFonts w:hint="eastAsia"/>
                <w:color w:val="000000"/>
                <w:sz w:val="15"/>
                <w:szCs w:val="15"/>
                <w:lang w:bidi="ar"/>
              </w:rPr>
              <w:t xml:space="preserve"> 1,128.04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4,364.97</w:t>
            </w:r>
          </w:p>
        </w:tc>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59.54</w:t>
            </w:r>
          </w:p>
        </w:tc>
        <w:tc>
          <w:tcPr>
            <w:tcW w:w="356" w:type="dxa"/>
            <w:tcBorders>
              <w:top w:val="single" w:sz="4" w:space="0" w:color="auto"/>
              <w:left w:val="nil"/>
              <w:bottom w:val="single" w:sz="4" w:space="0" w:color="auto"/>
              <w:right w:val="single" w:sz="4" w:space="0" w:color="auto"/>
            </w:tcBorders>
            <w:shd w:val="clear" w:color="auto" w:fill="auto"/>
            <w:vAlign w:val="bottom"/>
          </w:tcPr>
          <w:p w:rsidR="00597370" w:rsidRDefault="003C2EEE">
            <w:pPr>
              <w:jc w:val="right"/>
              <w:textAlignment w:val="bottom"/>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lang w:bidi="ar"/>
              </w:rPr>
              <w:t>2024年4月</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471"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注1</w:t>
            </w:r>
          </w:p>
        </w:tc>
        <w:tc>
          <w:tcPr>
            <w:tcW w:w="4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nil"/>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vAlign w:val="center"/>
          </w:tcPr>
          <w:p w:rsidR="00597370" w:rsidRDefault="00597370">
            <w:pPr>
              <w:jc w:val="right"/>
              <w:rPr>
                <w:rFonts w:asciiTheme="minorEastAsia" w:eastAsiaTheme="minorEastAsia" w:hAnsiTheme="minorEastAsia" w:cstheme="minorEastAsia"/>
                <w:sz w:val="15"/>
                <w:szCs w:val="15"/>
              </w:rPr>
            </w:pPr>
          </w:p>
        </w:tc>
      </w:tr>
      <w:tr w:rsidR="00597370">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首次公开发行股票</w:t>
            </w:r>
          </w:p>
        </w:tc>
        <w:tc>
          <w:tcPr>
            <w:tcW w:w="708"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低铁损高磁感硅钢铁心智能制造项目</w:t>
            </w:r>
          </w:p>
        </w:tc>
        <w:tc>
          <w:tcPr>
            <w:tcW w:w="357"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生产建设</w:t>
            </w:r>
          </w:p>
        </w:tc>
        <w:tc>
          <w:tcPr>
            <w:tcW w:w="472"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355"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818" w:type="dxa"/>
            <w:tcBorders>
              <w:top w:val="single" w:sz="4" w:space="0" w:color="auto"/>
              <w:left w:val="nil"/>
              <w:bottom w:val="single" w:sz="4" w:space="0" w:color="auto"/>
              <w:right w:val="single" w:sz="4" w:space="0" w:color="auto"/>
            </w:tcBorders>
            <w:vAlign w:val="center"/>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 xml:space="preserve"> 12,832.68 </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center"/>
              <w:rPr>
                <w:rFonts w:asciiTheme="minorEastAsia" w:eastAsiaTheme="minorEastAsia" w:hAnsiTheme="minorEastAsia" w:cstheme="minorEastAsia"/>
                <w:sz w:val="15"/>
                <w:szCs w:val="15"/>
              </w:rPr>
            </w:pPr>
            <w:r>
              <w:rPr>
                <w:rFonts w:hint="eastAsia"/>
                <w:color w:val="000000"/>
                <w:sz w:val="15"/>
                <w:szCs w:val="15"/>
                <w:lang w:bidi="ar"/>
              </w:rPr>
              <w:t xml:space="preserve"> -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13,007.87</w:t>
            </w:r>
          </w:p>
        </w:tc>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101.37</w:t>
            </w:r>
          </w:p>
        </w:tc>
        <w:tc>
          <w:tcPr>
            <w:tcW w:w="356" w:type="dxa"/>
            <w:tcBorders>
              <w:top w:val="single" w:sz="4" w:space="0" w:color="auto"/>
              <w:left w:val="nil"/>
              <w:bottom w:val="single" w:sz="4" w:space="0" w:color="auto"/>
              <w:right w:val="single" w:sz="4" w:space="0" w:color="auto"/>
            </w:tcBorders>
            <w:shd w:val="clear" w:color="auto" w:fill="auto"/>
            <w:vAlign w:val="bottom"/>
          </w:tcPr>
          <w:p w:rsidR="00597370" w:rsidRDefault="003C2EEE">
            <w:pPr>
              <w:jc w:val="right"/>
              <w:textAlignment w:val="bottom"/>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lang w:bidi="ar"/>
              </w:rPr>
              <w:t>2023年6月</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是</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471"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 xml:space="preserve"> 866.82 </w:t>
            </w:r>
          </w:p>
        </w:tc>
        <w:tc>
          <w:tcPr>
            <w:tcW w:w="4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color w:val="000000"/>
                <w:sz w:val="15"/>
                <w:szCs w:val="15"/>
              </w:rPr>
              <w:t>1,748.18</w:t>
            </w:r>
          </w:p>
        </w:tc>
        <w:tc>
          <w:tcPr>
            <w:tcW w:w="471" w:type="dxa"/>
            <w:tcBorders>
              <w:top w:val="single" w:sz="4" w:space="0" w:color="auto"/>
              <w:left w:val="nil"/>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vAlign w:val="center"/>
          </w:tcPr>
          <w:p w:rsidR="00597370" w:rsidRDefault="00597370">
            <w:pPr>
              <w:jc w:val="right"/>
              <w:rPr>
                <w:rFonts w:asciiTheme="minorEastAsia" w:eastAsiaTheme="minorEastAsia" w:hAnsiTheme="minorEastAsia" w:cstheme="minorEastAsia"/>
                <w:sz w:val="15"/>
                <w:szCs w:val="15"/>
              </w:rPr>
            </w:pPr>
          </w:p>
        </w:tc>
      </w:tr>
      <w:tr w:rsidR="00597370">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首次公开发行股票</w:t>
            </w:r>
          </w:p>
        </w:tc>
        <w:tc>
          <w:tcPr>
            <w:tcW w:w="708"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研发中心及信息化建设项目</w:t>
            </w:r>
          </w:p>
        </w:tc>
        <w:tc>
          <w:tcPr>
            <w:tcW w:w="357"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生产建设</w:t>
            </w:r>
          </w:p>
        </w:tc>
        <w:tc>
          <w:tcPr>
            <w:tcW w:w="472"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355"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818" w:type="dxa"/>
            <w:tcBorders>
              <w:top w:val="single" w:sz="4" w:space="0" w:color="auto"/>
              <w:left w:val="nil"/>
              <w:bottom w:val="single" w:sz="4" w:space="0" w:color="auto"/>
              <w:right w:val="single" w:sz="4" w:space="0" w:color="auto"/>
            </w:tcBorders>
            <w:vAlign w:val="center"/>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 xml:space="preserve"> 6,250.00 </w:t>
            </w:r>
          </w:p>
        </w:tc>
        <w:tc>
          <w:tcPr>
            <w:tcW w:w="818" w:type="dxa"/>
            <w:tcBorders>
              <w:top w:val="single" w:sz="4" w:space="0" w:color="auto"/>
              <w:left w:val="single" w:sz="4" w:space="0" w:color="auto"/>
              <w:bottom w:val="single" w:sz="4" w:space="0" w:color="auto"/>
              <w:right w:val="single" w:sz="4" w:space="0" w:color="auto"/>
            </w:tcBorders>
            <w:vAlign w:val="center"/>
          </w:tcPr>
          <w:p w:rsidR="00597370" w:rsidRDefault="003C2EEE">
            <w:pPr>
              <w:jc w:val="right"/>
              <w:textAlignment w:val="center"/>
              <w:rPr>
                <w:rFonts w:asciiTheme="minorEastAsia" w:eastAsiaTheme="minorEastAsia" w:hAnsiTheme="minorEastAsia" w:cstheme="minorEastAsia"/>
                <w:sz w:val="15"/>
                <w:szCs w:val="15"/>
              </w:rPr>
            </w:pPr>
            <w:r>
              <w:rPr>
                <w:rFonts w:hint="eastAsia"/>
                <w:color w:val="000000"/>
                <w:sz w:val="15"/>
                <w:szCs w:val="15"/>
                <w:lang w:bidi="ar"/>
              </w:rPr>
              <w:t xml:space="preserve"> 327.92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3,240.30</w:t>
            </w:r>
          </w:p>
        </w:tc>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51.84</w:t>
            </w:r>
          </w:p>
        </w:tc>
        <w:tc>
          <w:tcPr>
            <w:tcW w:w="356" w:type="dxa"/>
            <w:tcBorders>
              <w:top w:val="single" w:sz="4" w:space="0" w:color="auto"/>
              <w:left w:val="nil"/>
              <w:bottom w:val="single" w:sz="4" w:space="0" w:color="auto"/>
              <w:right w:val="single" w:sz="4" w:space="0" w:color="auto"/>
            </w:tcBorders>
            <w:shd w:val="clear" w:color="auto" w:fill="auto"/>
            <w:vAlign w:val="bottom"/>
          </w:tcPr>
          <w:p w:rsidR="00597370" w:rsidRDefault="003C2EEE">
            <w:pPr>
              <w:jc w:val="right"/>
              <w:textAlignment w:val="bottom"/>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lang w:bidi="ar"/>
              </w:rPr>
              <w:t>2024年4月</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471"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注</w:t>
            </w:r>
            <w:r>
              <w:rPr>
                <w:rFonts w:asciiTheme="minorEastAsia" w:eastAsiaTheme="minorEastAsia" w:hAnsiTheme="minorEastAsia" w:cstheme="minorEastAsia"/>
                <w:sz w:val="15"/>
                <w:szCs w:val="15"/>
              </w:rPr>
              <w:t>2</w:t>
            </w:r>
          </w:p>
        </w:tc>
        <w:tc>
          <w:tcPr>
            <w:tcW w:w="4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nil"/>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vAlign w:val="center"/>
          </w:tcPr>
          <w:p w:rsidR="00597370" w:rsidRDefault="00597370">
            <w:pPr>
              <w:jc w:val="right"/>
              <w:rPr>
                <w:rFonts w:asciiTheme="minorEastAsia" w:eastAsiaTheme="minorEastAsia" w:hAnsiTheme="minorEastAsia" w:cstheme="minorEastAsia"/>
                <w:sz w:val="15"/>
                <w:szCs w:val="15"/>
              </w:rPr>
            </w:pPr>
          </w:p>
        </w:tc>
      </w:tr>
      <w:tr w:rsidR="00597370">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首次公开发行股票</w:t>
            </w:r>
          </w:p>
        </w:tc>
        <w:tc>
          <w:tcPr>
            <w:tcW w:w="708"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proofErr w:type="gramStart"/>
            <w:r>
              <w:rPr>
                <w:rFonts w:asciiTheme="minorEastAsia" w:eastAsiaTheme="minorEastAsia" w:hAnsiTheme="minorEastAsia" w:cstheme="minorEastAsia" w:hint="eastAsia"/>
                <w:color w:val="000000"/>
                <w:sz w:val="15"/>
                <w:szCs w:val="15"/>
              </w:rPr>
              <w:t>智控设备</w:t>
            </w:r>
            <w:proofErr w:type="gramEnd"/>
            <w:r>
              <w:rPr>
                <w:rFonts w:asciiTheme="minorEastAsia" w:eastAsiaTheme="minorEastAsia" w:hAnsiTheme="minorEastAsia" w:cstheme="minorEastAsia" w:hint="eastAsia"/>
                <w:color w:val="000000"/>
                <w:sz w:val="15"/>
                <w:szCs w:val="15"/>
              </w:rPr>
              <w:t>及金属制品智能工厂建设项目（一期）</w:t>
            </w:r>
          </w:p>
        </w:tc>
        <w:tc>
          <w:tcPr>
            <w:tcW w:w="357"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生产建设</w:t>
            </w:r>
          </w:p>
        </w:tc>
        <w:tc>
          <w:tcPr>
            <w:tcW w:w="472"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355"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818" w:type="dxa"/>
            <w:tcBorders>
              <w:top w:val="single" w:sz="4" w:space="0" w:color="auto"/>
              <w:left w:val="nil"/>
              <w:bottom w:val="single" w:sz="4" w:space="0" w:color="auto"/>
              <w:right w:val="single" w:sz="4" w:space="0" w:color="auto"/>
            </w:tcBorders>
            <w:vAlign w:val="center"/>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 xml:space="preserve"> 14,774.44 </w:t>
            </w:r>
          </w:p>
        </w:tc>
        <w:tc>
          <w:tcPr>
            <w:tcW w:w="818" w:type="dxa"/>
            <w:tcBorders>
              <w:top w:val="single" w:sz="4" w:space="0" w:color="auto"/>
              <w:left w:val="single" w:sz="4" w:space="0" w:color="auto"/>
              <w:bottom w:val="single" w:sz="4" w:space="0" w:color="auto"/>
              <w:right w:val="single" w:sz="4" w:space="0" w:color="auto"/>
            </w:tcBorders>
            <w:vAlign w:val="center"/>
          </w:tcPr>
          <w:p w:rsidR="00597370" w:rsidRDefault="003C2EEE">
            <w:pPr>
              <w:jc w:val="right"/>
              <w:textAlignment w:val="center"/>
              <w:rPr>
                <w:rFonts w:asciiTheme="minorEastAsia" w:eastAsiaTheme="minorEastAsia" w:hAnsiTheme="minorEastAsia" w:cstheme="minorEastAsia"/>
                <w:sz w:val="15"/>
                <w:szCs w:val="15"/>
              </w:rPr>
            </w:pPr>
            <w:r>
              <w:rPr>
                <w:rFonts w:hint="eastAsia"/>
                <w:color w:val="000000"/>
                <w:sz w:val="15"/>
                <w:szCs w:val="15"/>
                <w:lang w:bidi="ar"/>
              </w:rPr>
              <w:t xml:space="preserve"> 5,989.91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6,131.24</w:t>
            </w:r>
          </w:p>
        </w:tc>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41.50</w:t>
            </w:r>
          </w:p>
        </w:tc>
        <w:tc>
          <w:tcPr>
            <w:tcW w:w="356" w:type="dxa"/>
            <w:tcBorders>
              <w:top w:val="single" w:sz="4" w:space="0" w:color="auto"/>
              <w:left w:val="nil"/>
              <w:bottom w:val="single" w:sz="4" w:space="0" w:color="auto"/>
              <w:right w:val="single" w:sz="4" w:space="0" w:color="auto"/>
            </w:tcBorders>
            <w:shd w:val="clear" w:color="auto" w:fill="auto"/>
            <w:vAlign w:val="bottom"/>
          </w:tcPr>
          <w:p w:rsidR="00597370" w:rsidRDefault="003C2EEE">
            <w:pPr>
              <w:jc w:val="right"/>
              <w:textAlignment w:val="bottom"/>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lang w:bidi="ar"/>
              </w:rPr>
              <w:t>2025年6月</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471"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nil"/>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vAlign w:val="center"/>
          </w:tcPr>
          <w:p w:rsidR="00597370" w:rsidRDefault="00597370">
            <w:pPr>
              <w:jc w:val="right"/>
              <w:rPr>
                <w:rFonts w:asciiTheme="minorEastAsia" w:eastAsiaTheme="minorEastAsia" w:hAnsiTheme="minorEastAsia" w:cstheme="minorEastAsia"/>
                <w:sz w:val="15"/>
                <w:szCs w:val="15"/>
              </w:rPr>
            </w:pPr>
          </w:p>
        </w:tc>
      </w:tr>
      <w:tr w:rsidR="00597370">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首次公开发行股票</w:t>
            </w:r>
          </w:p>
        </w:tc>
        <w:tc>
          <w:tcPr>
            <w:tcW w:w="708"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补充流动资金</w:t>
            </w:r>
          </w:p>
        </w:tc>
        <w:tc>
          <w:tcPr>
            <w:tcW w:w="357"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补流</w:t>
            </w:r>
          </w:p>
        </w:tc>
        <w:tc>
          <w:tcPr>
            <w:tcW w:w="472"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355" w:type="dxa"/>
            <w:tcBorders>
              <w:top w:val="single" w:sz="4" w:space="0" w:color="auto"/>
              <w:left w:val="single" w:sz="4" w:space="0" w:color="auto"/>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否</w:t>
            </w:r>
          </w:p>
        </w:tc>
        <w:tc>
          <w:tcPr>
            <w:tcW w:w="818" w:type="dxa"/>
            <w:tcBorders>
              <w:top w:val="single" w:sz="4" w:space="0" w:color="auto"/>
              <w:left w:val="nil"/>
              <w:bottom w:val="single" w:sz="4" w:space="0" w:color="auto"/>
              <w:right w:val="single" w:sz="4" w:space="0" w:color="auto"/>
            </w:tcBorders>
            <w:vAlign w:val="center"/>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 xml:space="preserve"> 20,000.00 </w:t>
            </w:r>
          </w:p>
        </w:tc>
        <w:tc>
          <w:tcPr>
            <w:tcW w:w="818" w:type="dxa"/>
            <w:tcBorders>
              <w:top w:val="single" w:sz="4" w:space="0" w:color="auto"/>
              <w:left w:val="single" w:sz="4" w:space="0" w:color="auto"/>
              <w:bottom w:val="single" w:sz="4" w:space="0" w:color="auto"/>
              <w:right w:val="single" w:sz="4" w:space="0" w:color="auto"/>
            </w:tcBorders>
            <w:vAlign w:val="center"/>
          </w:tcPr>
          <w:p w:rsidR="00597370" w:rsidRDefault="003C2EEE">
            <w:pPr>
              <w:jc w:val="right"/>
              <w:textAlignment w:val="center"/>
              <w:rPr>
                <w:rFonts w:asciiTheme="minorEastAsia" w:eastAsiaTheme="minorEastAsia" w:hAnsiTheme="minorEastAsia" w:cstheme="minorEastAsia"/>
                <w:sz w:val="15"/>
                <w:szCs w:val="15"/>
              </w:rPr>
            </w:pPr>
            <w:r>
              <w:rPr>
                <w:rFonts w:hint="eastAsia"/>
                <w:color w:val="000000"/>
                <w:sz w:val="15"/>
                <w:szCs w:val="15"/>
                <w:lang w:bidi="ar"/>
              </w:rPr>
              <w:t xml:space="preserve"> -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20,000.00</w:t>
            </w:r>
          </w:p>
        </w:tc>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100.00</w:t>
            </w:r>
          </w:p>
        </w:tc>
        <w:tc>
          <w:tcPr>
            <w:tcW w:w="356"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355"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sz w:val="15"/>
                <w:szCs w:val="15"/>
              </w:rPr>
              <w:t>是</w:t>
            </w:r>
          </w:p>
        </w:tc>
        <w:tc>
          <w:tcPr>
            <w:tcW w:w="471" w:type="dxa"/>
            <w:tcBorders>
              <w:top w:val="single" w:sz="4" w:space="0" w:color="auto"/>
              <w:left w:val="nil"/>
              <w:bottom w:val="single" w:sz="4" w:space="0" w:color="auto"/>
              <w:right w:val="single" w:sz="4" w:space="0" w:color="auto"/>
            </w:tcBorders>
            <w:shd w:val="clear" w:color="auto" w:fill="auto"/>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不适用</w:t>
            </w:r>
          </w:p>
        </w:tc>
        <w:tc>
          <w:tcPr>
            <w:tcW w:w="471" w:type="dxa"/>
            <w:tcBorders>
              <w:top w:val="single" w:sz="4" w:space="0" w:color="auto"/>
              <w:left w:val="nil"/>
              <w:bottom w:val="single" w:sz="4" w:space="0" w:color="auto"/>
              <w:right w:val="single" w:sz="4" w:space="0" w:color="auto"/>
            </w:tcBorders>
            <w:vAlign w:val="bottom"/>
          </w:tcPr>
          <w:p w:rsidR="00597370" w:rsidRDefault="003C2EEE">
            <w:pP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否</w:t>
            </w:r>
          </w:p>
        </w:tc>
        <w:tc>
          <w:tcPr>
            <w:tcW w:w="355" w:type="dxa"/>
            <w:tcBorders>
              <w:top w:val="single" w:sz="4" w:space="0" w:color="auto"/>
              <w:left w:val="nil"/>
              <w:bottom w:val="single" w:sz="4" w:space="0" w:color="auto"/>
              <w:right w:val="single" w:sz="4" w:space="0" w:color="auto"/>
            </w:tcBorders>
            <w:vAlign w:val="center"/>
          </w:tcPr>
          <w:p w:rsidR="00597370" w:rsidRDefault="00597370">
            <w:pPr>
              <w:jc w:val="right"/>
              <w:rPr>
                <w:rFonts w:asciiTheme="minorEastAsia" w:eastAsiaTheme="minorEastAsia" w:hAnsiTheme="minorEastAsia" w:cstheme="minorEastAsia"/>
                <w:sz w:val="15"/>
                <w:szCs w:val="15"/>
              </w:rPr>
            </w:pPr>
          </w:p>
        </w:tc>
      </w:tr>
      <w:tr w:rsidR="00597370">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合计</w:t>
            </w:r>
          </w:p>
        </w:tc>
        <w:tc>
          <w:tcPr>
            <w:tcW w:w="708"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357"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472"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355" w:type="dxa"/>
            <w:tcBorders>
              <w:top w:val="single" w:sz="4" w:space="0" w:color="auto"/>
              <w:left w:val="single" w:sz="4" w:space="0" w:color="auto"/>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818" w:type="dxa"/>
            <w:tcBorders>
              <w:top w:val="single" w:sz="4" w:space="0" w:color="auto"/>
              <w:left w:val="nil"/>
              <w:bottom w:val="single" w:sz="4" w:space="0" w:color="auto"/>
              <w:right w:val="single" w:sz="4" w:space="0" w:color="auto"/>
            </w:tcBorders>
            <w:vAlign w:val="center"/>
          </w:tcPr>
          <w:p w:rsidR="00597370" w:rsidRDefault="003C2EEE">
            <w:pPr>
              <w:jc w:val="righ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color w:val="000000"/>
                <w:sz w:val="15"/>
                <w:szCs w:val="15"/>
              </w:rPr>
              <w:t xml:space="preserve"> 85,456.18 </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center"/>
              <w:rPr>
                <w:rFonts w:asciiTheme="minorEastAsia" w:eastAsiaTheme="minorEastAsia" w:hAnsiTheme="minorEastAsia" w:cstheme="minorEastAsia"/>
                <w:color w:val="000000"/>
                <w:sz w:val="15"/>
                <w:szCs w:val="15"/>
              </w:rPr>
            </w:pPr>
            <w:r>
              <w:rPr>
                <w:rFonts w:hint="eastAsia"/>
                <w:color w:val="000000"/>
                <w:sz w:val="15"/>
                <w:szCs w:val="15"/>
                <w:lang w:bidi="ar"/>
              </w:rPr>
              <w:t xml:space="preserve"> 9,646.52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67,751.61</w:t>
            </w:r>
          </w:p>
        </w:tc>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sz w:val="13"/>
                <w:szCs w:val="13"/>
              </w:rPr>
            </w:pPr>
            <w:r>
              <w:rPr>
                <w:rFonts w:asciiTheme="minorEastAsia" w:eastAsiaTheme="minorEastAsia" w:hAnsiTheme="minorEastAsia"/>
                <w:sz w:val="13"/>
                <w:szCs w:val="13"/>
              </w:rPr>
              <w:t>79.28</w:t>
            </w:r>
          </w:p>
        </w:tc>
        <w:tc>
          <w:tcPr>
            <w:tcW w:w="356" w:type="dxa"/>
            <w:tcBorders>
              <w:top w:val="single" w:sz="4" w:space="0" w:color="auto"/>
              <w:left w:val="nil"/>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355" w:type="dxa"/>
            <w:tcBorders>
              <w:top w:val="single" w:sz="4" w:space="0" w:color="auto"/>
              <w:left w:val="nil"/>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355" w:type="dxa"/>
            <w:tcBorders>
              <w:top w:val="single" w:sz="4" w:space="0" w:color="auto"/>
              <w:left w:val="nil"/>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471" w:type="dxa"/>
            <w:tcBorders>
              <w:top w:val="single" w:sz="4" w:space="0" w:color="auto"/>
              <w:left w:val="nil"/>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471" w:type="dxa"/>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cstheme="minorEastAsia"/>
                <w:sz w:val="15"/>
                <w:szCs w:val="15"/>
              </w:rPr>
            </w:pPr>
          </w:p>
        </w:tc>
        <w:tc>
          <w:tcPr>
            <w:tcW w:w="4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471" w:type="dxa"/>
            <w:tcBorders>
              <w:top w:val="single" w:sz="4" w:space="0" w:color="auto"/>
              <w:left w:val="nil"/>
              <w:bottom w:val="single" w:sz="4" w:space="0" w:color="auto"/>
              <w:right w:val="single" w:sz="4" w:space="0" w:color="auto"/>
            </w:tcBorders>
            <w:vAlign w:val="center"/>
          </w:tcPr>
          <w:p w:rsidR="00597370" w:rsidRDefault="003C2EEE">
            <w:pP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themeColor="text1"/>
                <w:sz w:val="15"/>
                <w:szCs w:val="15"/>
              </w:rPr>
              <w:t>/</w:t>
            </w:r>
          </w:p>
        </w:tc>
        <w:tc>
          <w:tcPr>
            <w:tcW w:w="355" w:type="dxa"/>
            <w:tcBorders>
              <w:top w:val="single" w:sz="4" w:space="0" w:color="auto"/>
              <w:left w:val="nil"/>
              <w:bottom w:val="single" w:sz="4" w:space="0" w:color="auto"/>
              <w:right w:val="single" w:sz="4" w:space="0" w:color="auto"/>
            </w:tcBorders>
            <w:vAlign w:val="center"/>
          </w:tcPr>
          <w:p w:rsidR="00597370" w:rsidRDefault="00597370">
            <w:pPr>
              <w:jc w:val="right"/>
              <w:rPr>
                <w:rFonts w:asciiTheme="minorEastAsia" w:eastAsiaTheme="minorEastAsia" w:hAnsiTheme="minorEastAsia" w:cstheme="minorEastAsia"/>
                <w:sz w:val="15"/>
                <w:szCs w:val="15"/>
              </w:rPr>
            </w:pPr>
          </w:p>
        </w:tc>
      </w:tr>
    </w:tbl>
    <w:p w:rsidR="00597370" w:rsidRDefault="00597370">
      <w:pPr>
        <w:ind w:firstLineChars="200" w:firstLine="420"/>
        <w:rPr>
          <w:color w:val="000000" w:themeColor="text1"/>
        </w:rPr>
      </w:pPr>
    </w:p>
    <w:p w:rsidR="00597370" w:rsidRDefault="003C2EEE">
      <w:pPr>
        <w:spacing w:line="360" w:lineRule="auto"/>
        <w:ind w:firstLineChars="200" w:firstLine="420"/>
        <w:rPr>
          <w:color w:val="000000" w:themeColor="text1"/>
        </w:rPr>
      </w:pPr>
      <w:r>
        <w:rPr>
          <w:rFonts w:hint="eastAsia"/>
          <w:color w:val="000000" w:themeColor="text1"/>
        </w:rPr>
        <w:t>注</w:t>
      </w:r>
      <w:r>
        <w:rPr>
          <w:color w:val="000000" w:themeColor="text1"/>
        </w:rPr>
        <w:t>1：智能成套电气设备产业基地项目、110kV及以下节能型变压器智能化工厂技改项目2024年4月达到预定可使用状态，2024年5-6月主要以调试和试生产为主，未达到测算效益条件。</w:t>
      </w:r>
    </w:p>
    <w:p w:rsidR="00597370" w:rsidRDefault="003C2EEE">
      <w:pPr>
        <w:spacing w:line="360" w:lineRule="auto"/>
        <w:ind w:firstLineChars="200" w:firstLine="420"/>
        <w:rPr>
          <w:color w:val="000000" w:themeColor="text1"/>
        </w:rPr>
      </w:pPr>
      <w:r>
        <w:rPr>
          <w:rFonts w:hint="eastAsia"/>
          <w:color w:val="000000" w:themeColor="text1"/>
        </w:rPr>
        <w:t>注</w:t>
      </w:r>
      <w:r>
        <w:rPr>
          <w:color w:val="000000" w:themeColor="text1"/>
        </w:rPr>
        <w:t>2：研发中心及信息化建设项目2024年4月已达到预定可使用状态，截止期末投入进度为51.84%，与达到预定可使用状态相比投入进度偏低，主要因为该项目投资预算包括研发人员工资支出900万元和项目研发支出650万元，该两项支出与公司日常研发支出共同发生，因此没有用募集资金支付该两项费用支付，扣除该两项支出预算金额之后投入进度比例为70.44%。</w:t>
      </w:r>
    </w:p>
    <w:p w:rsidR="00597370" w:rsidRDefault="003C2EEE">
      <w:pPr>
        <w:widowControl w:val="0"/>
        <w:numPr>
          <w:ilvl w:val="0"/>
          <w:numId w:val="28"/>
        </w:numPr>
        <w:jc w:val="both"/>
        <w:rPr>
          <w:color w:val="000000" w:themeColor="text1"/>
        </w:rPr>
      </w:pPr>
      <w:bookmarkStart w:id="71" w:name="_Hlk169882642"/>
      <w:bookmarkEnd w:id="64"/>
      <w:bookmarkEnd w:id="70"/>
      <w:r>
        <w:rPr>
          <w:rFonts w:hint="eastAsia"/>
          <w:color w:val="000000" w:themeColor="text1"/>
        </w:rPr>
        <w:t>超募资金明细使用情况</w:t>
      </w:r>
    </w:p>
    <w:sdt>
      <w:sdtPr>
        <w:rPr>
          <w:rFonts w:hint="eastAsia"/>
          <w:color w:val="000000" w:themeColor="text1"/>
        </w:rPr>
        <w:alias w:val="是否适用：超募资金明细使用情况[双击切换]"/>
        <w:tag w:val="_GBC_2f45cae4211540beb20022acbb67dc6c"/>
        <w:id w:val="-1895265661"/>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27"/>
        </w:numPr>
        <w:tabs>
          <w:tab w:val="left" w:pos="360"/>
        </w:tabs>
        <w:ind w:left="450" w:hanging="450"/>
        <w:rPr>
          <w:rFonts w:ascii="宋体" w:hAnsi="宋体"/>
          <w:color w:val="000000" w:themeColor="text1"/>
        </w:rPr>
      </w:pPr>
      <w:bookmarkStart w:id="72" w:name="_Hlk90391874"/>
      <w:bookmarkEnd w:id="71"/>
      <w:r>
        <w:rPr>
          <w:rFonts w:ascii="宋体" w:hAnsi="宋体" w:hint="eastAsia"/>
          <w:color w:val="000000" w:themeColor="text1"/>
        </w:rPr>
        <w:t>报告期</w:t>
      </w:r>
      <w:proofErr w:type="gramStart"/>
      <w:r>
        <w:rPr>
          <w:rFonts w:ascii="宋体" w:hAnsi="宋体" w:hint="eastAsia"/>
          <w:color w:val="000000" w:themeColor="text1"/>
        </w:rPr>
        <w:t>内募投变更</w:t>
      </w:r>
      <w:proofErr w:type="gramEnd"/>
      <w:r>
        <w:rPr>
          <w:rFonts w:ascii="宋体" w:hAnsi="宋体" w:hint="eastAsia"/>
          <w:color w:val="000000" w:themeColor="text1"/>
        </w:rPr>
        <w:t>或终止情况</w:t>
      </w:r>
    </w:p>
    <w:sdt>
      <w:sdtPr>
        <w:rPr>
          <w:color w:val="000000" w:themeColor="text1"/>
        </w:rPr>
        <w:alias w:val="是否适用：报告期内募投变更情况  [双击切换]"/>
        <w:tag w:val="_GBC_8231ad1a0c034cb4a4249fecfe8a81b1"/>
        <w:id w:val="643234367"/>
      </w:sdtPr>
      <w:sdtEndPr/>
      <w:sdtContent>
        <w:p w:rsidR="00597370" w:rsidRDefault="003C2EEE">
          <w:pPr>
            <w:pStyle w:val="Style106"/>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65"/>
    <w:bookmarkEnd w:id="72"/>
    <w:p w:rsidR="00597370" w:rsidRDefault="00597370">
      <w:pPr>
        <w:rPr>
          <w:color w:val="000000" w:themeColor="text1"/>
        </w:rPr>
        <w:sectPr w:rsidR="00597370">
          <w:pgSz w:w="11906" w:h="16838"/>
          <w:pgMar w:top="1525" w:right="1276" w:bottom="1440" w:left="1797" w:header="851" w:footer="992" w:gutter="0"/>
          <w:cols w:space="425"/>
          <w:docGrid w:linePitch="312"/>
        </w:sectPr>
      </w:pPr>
    </w:p>
    <w:bookmarkEnd w:id="66"/>
    <w:p w:rsidR="00597370" w:rsidRDefault="003C2EEE">
      <w:pPr>
        <w:pStyle w:val="Style109"/>
        <w:numPr>
          <w:ilvl w:val="0"/>
          <w:numId w:val="27"/>
        </w:numPr>
        <w:tabs>
          <w:tab w:val="left" w:pos="360"/>
        </w:tabs>
        <w:ind w:left="450" w:hanging="450"/>
        <w:rPr>
          <w:rFonts w:ascii="宋体" w:hAnsi="宋体"/>
          <w:color w:val="000000" w:themeColor="text1"/>
        </w:rPr>
      </w:pPr>
      <w:r>
        <w:rPr>
          <w:rFonts w:ascii="宋体" w:hAnsi="宋体" w:hint="eastAsia"/>
          <w:color w:val="000000" w:themeColor="text1"/>
        </w:rPr>
        <w:lastRenderedPageBreak/>
        <w:t>报告期内募集资金使用的其他情况</w:t>
      </w:r>
    </w:p>
    <w:p w:rsidR="00597370" w:rsidRDefault="003C2EEE">
      <w:pPr>
        <w:pStyle w:val="Style110"/>
        <w:numPr>
          <w:ilvl w:val="0"/>
          <w:numId w:val="29"/>
        </w:numPr>
        <w:tabs>
          <w:tab w:val="left" w:pos="360"/>
        </w:tabs>
        <w:ind w:left="0" w:firstLine="0"/>
        <w:rPr>
          <w:b w:val="0"/>
          <w:color w:val="000000" w:themeColor="text1"/>
        </w:rPr>
      </w:pPr>
      <w:r>
        <w:rPr>
          <w:rFonts w:hint="eastAsia"/>
          <w:b w:val="0"/>
          <w:color w:val="000000" w:themeColor="text1"/>
        </w:rPr>
        <w:t>募集资金投资项目先期投入及置换情况</w:t>
      </w:r>
    </w:p>
    <w:sdt>
      <w:sdtPr>
        <w:rPr>
          <w:color w:val="000000" w:themeColor="text1"/>
        </w:rPr>
        <w:alias w:val="是否适用：募集资金投资项目先期投入及置换情况[双击切换]"/>
        <w:tag w:val="_GBC_3f629b5b9dcc464894de82f0af546b6e"/>
        <w:id w:val="-1316028913"/>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9"/>
        </w:numPr>
        <w:tabs>
          <w:tab w:val="left" w:pos="360"/>
        </w:tabs>
        <w:ind w:left="0" w:firstLine="0"/>
        <w:rPr>
          <w:b w:val="0"/>
          <w:color w:val="000000" w:themeColor="text1"/>
        </w:rPr>
      </w:pPr>
      <w:bookmarkStart w:id="73" w:name="_Hlk90391885"/>
      <w:bookmarkEnd w:id="55"/>
      <w:r>
        <w:rPr>
          <w:rFonts w:hint="eastAsia"/>
          <w:b w:val="0"/>
          <w:color w:val="000000" w:themeColor="text1"/>
        </w:rPr>
        <w:t>用闲置募集资金暂时补充流动资金情况</w:t>
      </w:r>
    </w:p>
    <w:sdt>
      <w:sdtPr>
        <w:rPr>
          <w:color w:val="000000" w:themeColor="text1"/>
        </w:rPr>
        <w:alias w:val="是否适用：用闲置募集资金暂时补充流动资金情况[双击切换]"/>
        <w:tag w:val="_GBC_534e659a4d4b40ed9b5a0d957eec69b9"/>
        <w:id w:val="-4976723"/>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29"/>
        </w:numPr>
        <w:tabs>
          <w:tab w:val="left" w:pos="360"/>
        </w:tabs>
        <w:ind w:left="0" w:firstLine="0"/>
        <w:rPr>
          <w:b w:val="0"/>
          <w:color w:val="000000" w:themeColor="text1"/>
        </w:rPr>
      </w:pPr>
      <w:bookmarkStart w:id="74" w:name="_Hlk168577344"/>
      <w:bookmarkStart w:id="75" w:name="_Hlk90391888"/>
      <w:bookmarkEnd w:id="73"/>
      <w:r>
        <w:rPr>
          <w:rFonts w:hint="eastAsia"/>
          <w:b w:val="0"/>
          <w:color w:val="000000" w:themeColor="text1"/>
        </w:rPr>
        <w:t>对闲置募集资金进行现金管理，投资相关产品情况</w:t>
      </w:r>
    </w:p>
    <w:sdt>
      <w:sdtPr>
        <w:rPr>
          <w:color w:val="000000" w:themeColor="text1"/>
        </w:rPr>
        <w:alias w:val="是否适用：对闲置募集资金进行现金管理，投资相关产品情况[双击切换]"/>
        <w:tag w:val="_GBC_4fa6ec824ff14602addc1e55058ae4e9"/>
        <w:id w:val="-1596546996"/>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对闲置募集资金进行管理的情况"/>
          <w:tag w:val="_GBC_de2d148898e84dfea45b9f272f102106"/>
          <w:id w:val="-318962277"/>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对闲置募集资金进行管理的情况"/>
          <w:tag w:val="_GBC_0256179076654ebf9e6fcfaf086da65a"/>
          <w:id w:val="155674908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3"/>
        <w:tblW w:w="0" w:type="auto"/>
        <w:tblLook w:val="04A0" w:firstRow="1" w:lastRow="0" w:firstColumn="1" w:lastColumn="0" w:noHBand="0" w:noVBand="1"/>
      </w:tblPr>
      <w:tblGrid>
        <w:gridCol w:w="1876"/>
        <w:gridCol w:w="1038"/>
        <w:gridCol w:w="1839"/>
        <w:gridCol w:w="1907"/>
        <w:gridCol w:w="1056"/>
        <w:gridCol w:w="1107"/>
      </w:tblGrid>
      <w:tr w:rsidR="00597370">
        <w:sdt>
          <w:sdtPr>
            <w:rPr>
              <w:rFonts w:ascii="Times New Roman" w:hAnsi="Times New Roman"/>
              <w:color w:val="000000" w:themeColor="text1"/>
            </w:rPr>
            <w:tag w:val="_PLD_e97d34c140a24cc895387d01d3e058e8"/>
            <w:id w:val="542488265"/>
          </w:sdtPr>
          <w:sdtEndPr/>
          <w:sdtContent>
            <w:tc>
              <w:tcPr>
                <w:tcW w:w="1876"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董事会审议日期</w:t>
                </w:r>
              </w:p>
            </w:tc>
          </w:sdtContent>
        </w:sdt>
        <w:sdt>
          <w:sdtPr>
            <w:rPr>
              <w:rFonts w:ascii="Times New Roman" w:hAnsi="Times New Roman"/>
              <w:color w:val="000000" w:themeColor="text1"/>
            </w:rPr>
            <w:tag w:val="_PLD_ad7d36ef6005441b8dba743b7dca0957"/>
            <w:id w:val="-1632937304"/>
          </w:sdtPr>
          <w:sdtEndPr/>
          <w:sdtContent>
            <w:tc>
              <w:tcPr>
                <w:tcW w:w="1038"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募集资金用于现金管理的有效审议额度</w:t>
                </w:r>
              </w:p>
            </w:tc>
          </w:sdtContent>
        </w:sdt>
        <w:sdt>
          <w:sdtPr>
            <w:rPr>
              <w:rFonts w:ascii="Times New Roman" w:hAnsi="Times New Roman"/>
              <w:color w:val="000000" w:themeColor="text1"/>
            </w:rPr>
            <w:tag w:val="_PLD_fe7e27efb8c642ac8fbbeda466e31e8c"/>
            <w:id w:val="811979554"/>
          </w:sdtPr>
          <w:sdtEndPr/>
          <w:sdtContent>
            <w:tc>
              <w:tcPr>
                <w:tcW w:w="1839"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起始日期</w:t>
                </w:r>
              </w:p>
            </w:tc>
          </w:sdtContent>
        </w:sdt>
        <w:sdt>
          <w:sdtPr>
            <w:rPr>
              <w:rFonts w:ascii="Times New Roman" w:hAnsi="Times New Roman"/>
              <w:color w:val="000000" w:themeColor="text1"/>
            </w:rPr>
            <w:tag w:val="_PLD_beab7fadaab44481b78896ed14ba9db7"/>
            <w:id w:val="974487082"/>
          </w:sdtPr>
          <w:sdtEndPr/>
          <w:sdtContent>
            <w:tc>
              <w:tcPr>
                <w:tcW w:w="1907"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结束日期</w:t>
                </w:r>
              </w:p>
            </w:tc>
          </w:sdtContent>
        </w:sdt>
        <w:sdt>
          <w:sdtPr>
            <w:rPr>
              <w:rFonts w:ascii="Times New Roman" w:hAnsi="Times New Roman"/>
              <w:color w:val="000000" w:themeColor="text1"/>
            </w:rPr>
            <w:tag w:val="_PLD_336d8f01918a44cc904a963abe7eca0d"/>
            <w:id w:val="1663513548"/>
          </w:sdtPr>
          <w:sdtEndPr/>
          <w:sdtContent>
            <w:tc>
              <w:tcPr>
                <w:tcW w:w="1056"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报告期末现金</w:t>
                </w:r>
                <w:proofErr w:type="gramStart"/>
                <w:r>
                  <w:rPr>
                    <w:rFonts w:ascii="Times New Roman" w:hAnsi="Times New Roman"/>
                    <w:color w:val="000000" w:themeColor="text1"/>
                  </w:rPr>
                  <w:t>管理余额</w:t>
                </w:r>
                <w:proofErr w:type="gramEnd"/>
              </w:p>
            </w:tc>
          </w:sdtContent>
        </w:sdt>
        <w:sdt>
          <w:sdtPr>
            <w:rPr>
              <w:rFonts w:ascii="Times New Roman" w:hAnsi="Times New Roman"/>
              <w:color w:val="000000" w:themeColor="text1"/>
            </w:rPr>
            <w:tag w:val="_PLD_2588dd27e2394b00b95518259f1c4a9c"/>
            <w:id w:val="1602917315"/>
          </w:sdtPr>
          <w:sdtEndPr/>
          <w:sdtContent>
            <w:tc>
              <w:tcPr>
                <w:tcW w:w="1107"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期间最高余额是否超出授权额度</w:t>
                </w:r>
              </w:p>
            </w:tc>
          </w:sdtContent>
        </w:sdt>
      </w:tr>
      <w:tr w:rsidR="00597370">
        <w:sdt>
          <w:sdtPr>
            <w:rPr>
              <w:rFonts w:ascii="Times New Roman" w:hAnsi="Times New Roman"/>
              <w:color w:val="000000" w:themeColor="text1"/>
            </w:rPr>
            <w:alias w:val="对闲置募集资金进行管理的情况明细_董事会审议日期"/>
            <w:tag w:val="_GBC_85b4246bb6bd449b8b09414d3e8206cc"/>
            <w:id w:val="-183132649"/>
            <w:date w:fullDate="2024-04-24T00:00:00Z">
              <w:dateFormat w:val="yyyy'年'M'月'd'日'"/>
              <w:lid w:val="zh-CN"/>
              <w:storeMappedDataAs w:val="dateTime"/>
              <w:calendar w:val="gregorian"/>
            </w:date>
          </w:sdtPr>
          <w:sdtEndPr/>
          <w:sdtContent>
            <w:tc>
              <w:tcPr>
                <w:tcW w:w="1876" w:type="dxa"/>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2024</w:t>
                </w:r>
                <w:r>
                  <w:rPr>
                    <w:rFonts w:ascii="Times New Roman" w:hAnsi="Times New Roman" w:hint="eastAsia"/>
                    <w:color w:val="000000" w:themeColor="text1"/>
                  </w:rPr>
                  <w:t>年</w:t>
                </w:r>
                <w:r>
                  <w:rPr>
                    <w:rFonts w:ascii="Times New Roman" w:hAnsi="Times New Roman" w:hint="eastAsia"/>
                    <w:color w:val="000000" w:themeColor="text1"/>
                  </w:rPr>
                  <w:t>4</w:t>
                </w:r>
                <w:r>
                  <w:rPr>
                    <w:rFonts w:ascii="Times New Roman" w:hAnsi="Times New Roman" w:hint="eastAsia"/>
                    <w:color w:val="000000" w:themeColor="text1"/>
                  </w:rPr>
                  <w:t>月</w:t>
                </w:r>
                <w:r>
                  <w:rPr>
                    <w:rFonts w:ascii="Times New Roman" w:hAnsi="Times New Roman" w:hint="eastAsia"/>
                    <w:color w:val="000000" w:themeColor="text1"/>
                  </w:rPr>
                  <w:t>24</w:t>
                </w:r>
                <w:r>
                  <w:rPr>
                    <w:rFonts w:ascii="Times New Roman" w:hAnsi="Times New Roman" w:hint="eastAsia"/>
                    <w:color w:val="000000" w:themeColor="text1"/>
                  </w:rPr>
                  <w:t>日</w:t>
                </w:r>
              </w:p>
            </w:tc>
          </w:sdtContent>
        </w:sdt>
        <w:tc>
          <w:tcPr>
            <w:tcW w:w="1038" w:type="dxa"/>
            <w:vAlign w:val="center"/>
          </w:tcPr>
          <w:p w:rsidR="00597370" w:rsidRDefault="003C2EEE">
            <w:pPr>
              <w:pStyle w:val="Style106"/>
              <w:rPr>
                <w:rFonts w:ascii="Times New Roman" w:hAnsi="Times New Roman"/>
              </w:rPr>
            </w:pPr>
            <w:r>
              <w:rPr>
                <w:rFonts w:ascii="Times New Roman" w:hAnsi="Times New Roman"/>
              </w:rPr>
              <w:t>29,000</w:t>
            </w:r>
          </w:p>
        </w:tc>
        <w:sdt>
          <w:sdtPr>
            <w:rPr>
              <w:rFonts w:ascii="Times New Roman" w:hAnsi="Times New Roman"/>
              <w:color w:val="000000" w:themeColor="text1"/>
            </w:rPr>
            <w:alias w:val="对闲置募集资金进行管理的情况明细_起始日期"/>
            <w:tag w:val="_GBC_694ed6b5e57c4bfbb17639e05d438d3c"/>
            <w:id w:val="1143847406"/>
            <w:date w:fullDate="2024-04-24T00:00:00Z">
              <w:dateFormat w:val="yyyy'年'M'月'd'日'"/>
              <w:lid w:val="zh-CN"/>
              <w:storeMappedDataAs w:val="dateTime"/>
              <w:calendar w:val="gregorian"/>
            </w:date>
          </w:sdtPr>
          <w:sdtEndPr/>
          <w:sdtContent>
            <w:tc>
              <w:tcPr>
                <w:tcW w:w="1839" w:type="dxa"/>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2024</w:t>
                </w:r>
                <w:r>
                  <w:rPr>
                    <w:rFonts w:ascii="Times New Roman" w:hAnsi="Times New Roman" w:hint="eastAsia"/>
                    <w:color w:val="000000" w:themeColor="text1"/>
                  </w:rPr>
                  <w:t>年</w:t>
                </w:r>
                <w:r>
                  <w:rPr>
                    <w:rFonts w:ascii="Times New Roman" w:hAnsi="Times New Roman" w:hint="eastAsia"/>
                    <w:color w:val="000000" w:themeColor="text1"/>
                  </w:rPr>
                  <w:t>4</w:t>
                </w:r>
                <w:r>
                  <w:rPr>
                    <w:rFonts w:ascii="Times New Roman" w:hAnsi="Times New Roman" w:hint="eastAsia"/>
                    <w:color w:val="000000" w:themeColor="text1"/>
                  </w:rPr>
                  <w:t>月</w:t>
                </w:r>
                <w:r>
                  <w:rPr>
                    <w:rFonts w:ascii="Times New Roman" w:hAnsi="Times New Roman" w:hint="eastAsia"/>
                    <w:color w:val="000000" w:themeColor="text1"/>
                  </w:rPr>
                  <w:t>24</w:t>
                </w:r>
                <w:r>
                  <w:rPr>
                    <w:rFonts w:ascii="Times New Roman" w:hAnsi="Times New Roman" w:hint="eastAsia"/>
                    <w:color w:val="000000" w:themeColor="text1"/>
                  </w:rPr>
                  <w:t>日</w:t>
                </w:r>
              </w:p>
            </w:tc>
          </w:sdtContent>
        </w:sdt>
        <w:sdt>
          <w:sdtPr>
            <w:rPr>
              <w:rFonts w:ascii="Times New Roman" w:hAnsi="Times New Roman"/>
              <w:color w:val="000000" w:themeColor="text1"/>
            </w:rPr>
            <w:alias w:val="对闲置募集资金进行管理的情况明细_结束日期"/>
            <w:tag w:val="_GBC_b6c4eb91b3c54b0497bc068ca3da22bb"/>
            <w:id w:val="1360316297"/>
            <w:date w:fullDate="2024-12-31T00:00:00Z">
              <w:dateFormat w:val="yyyy'年'M'月'd'日'"/>
              <w:lid w:val="zh-CN"/>
              <w:storeMappedDataAs w:val="dateTime"/>
              <w:calendar w:val="gregorian"/>
            </w:date>
          </w:sdtPr>
          <w:sdtEndPr/>
          <w:sdtContent>
            <w:tc>
              <w:tcPr>
                <w:tcW w:w="1907" w:type="dxa"/>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2024</w:t>
                </w:r>
                <w:r>
                  <w:rPr>
                    <w:rFonts w:ascii="Times New Roman" w:hAnsi="Times New Roman" w:hint="eastAsia"/>
                    <w:color w:val="000000" w:themeColor="text1"/>
                  </w:rPr>
                  <w:t>年</w:t>
                </w:r>
                <w:r>
                  <w:rPr>
                    <w:rFonts w:ascii="Times New Roman" w:hAnsi="Times New Roman" w:hint="eastAsia"/>
                    <w:color w:val="000000" w:themeColor="text1"/>
                  </w:rPr>
                  <w:t>12</w:t>
                </w:r>
                <w:r>
                  <w:rPr>
                    <w:rFonts w:ascii="Times New Roman" w:hAnsi="Times New Roman" w:hint="eastAsia"/>
                    <w:color w:val="000000" w:themeColor="text1"/>
                  </w:rPr>
                  <w:t>月</w:t>
                </w:r>
                <w:r>
                  <w:rPr>
                    <w:rFonts w:ascii="Times New Roman" w:hAnsi="Times New Roman" w:hint="eastAsia"/>
                    <w:color w:val="000000" w:themeColor="text1"/>
                  </w:rPr>
                  <w:t>31</w:t>
                </w:r>
                <w:r>
                  <w:rPr>
                    <w:rFonts w:ascii="Times New Roman" w:hAnsi="Times New Roman" w:hint="eastAsia"/>
                    <w:color w:val="000000" w:themeColor="text1"/>
                  </w:rPr>
                  <w:t>日</w:t>
                </w:r>
              </w:p>
            </w:tc>
          </w:sdtContent>
        </w:sdt>
        <w:tc>
          <w:tcPr>
            <w:tcW w:w="1056" w:type="dxa"/>
            <w:vAlign w:val="center"/>
          </w:tcPr>
          <w:p w:rsidR="00597370" w:rsidRDefault="003C2EEE">
            <w:pPr>
              <w:jc w:val="right"/>
              <w:rPr>
                <w:rFonts w:ascii="Times New Roman" w:hAnsi="Times New Roman"/>
              </w:rPr>
            </w:pPr>
            <w:r>
              <w:rPr>
                <w:rFonts w:ascii="Times New Roman" w:hAnsi="Times New Roman"/>
              </w:rPr>
              <w:t>20,146.17</w:t>
            </w:r>
          </w:p>
        </w:tc>
        <w:sdt>
          <w:sdtPr>
            <w:rPr>
              <w:rFonts w:ascii="Times New Roman" w:hAnsi="Times New Roman"/>
              <w:color w:val="000000" w:themeColor="text1"/>
            </w:rPr>
            <w:alias w:val="对闲置募集资金进行管理的情况明细_期间最高余额是否超出授权额度"/>
            <w:tag w:val="_GBC_7c20b8da44e64048b36ca5324c244c2f"/>
            <w:id w:val="656502933"/>
            <w:comboBox>
              <w:listItem w:displayText="是" w:value="是"/>
              <w:listItem w:displayText="否" w:value="否"/>
            </w:comboBox>
          </w:sdtPr>
          <w:sdtEndPr/>
          <w:sdtContent>
            <w:tc>
              <w:tcPr>
                <w:tcW w:w="1107" w:type="dxa"/>
                <w:vAlign w:val="center"/>
              </w:tcPr>
              <w:p w:rsidR="00597370" w:rsidRDefault="003C2EEE">
                <w:pPr>
                  <w:rPr>
                    <w:rFonts w:ascii="Times New Roman" w:hAnsi="Times New Roman"/>
                    <w:color w:val="000000" w:themeColor="text1"/>
                  </w:rPr>
                </w:pPr>
                <w:r>
                  <w:rPr>
                    <w:rFonts w:ascii="Times New Roman" w:hAnsi="Times New Roman"/>
                    <w:color w:val="000000" w:themeColor="text1"/>
                  </w:rPr>
                  <w:t>否</w:t>
                </w:r>
              </w:p>
            </w:tc>
          </w:sdtContent>
        </w:sdt>
      </w:tr>
    </w:tbl>
    <w:p w:rsidR="00597370" w:rsidRDefault="00597370">
      <w:pPr>
        <w:rPr>
          <w:color w:val="000000" w:themeColor="text1"/>
        </w:rPr>
      </w:pPr>
    </w:p>
    <w:p w:rsidR="00597370" w:rsidRDefault="003C2EEE">
      <w:pPr>
        <w:rPr>
          <w:color w:val="000000" w:themeColor="text1"/>
        </w:rPr>
      </w:pPr>
      <w:r>
        <w:rPr>
          <w:rFonts w:hint="eastAsia"/>
          <w:color w:val="000000" w:themeColor="text1"/>
        </w:rPr>
        <w:t>其他说明</w:t>
      </w:r>
    </w:p>
    <w:sdt>
      <w:sdtPr>
        <w:rPr>
          <w:color w:val="000000" w:themeColor="text1"/>
        </w:rPr>
        <w:alias w:val="对闲置募集资金进行现金管理投资相关产品情况"/>
        <w:tag w:val="_GBC_de48e94a046247c6bbe84f0d505547ec"/>
        <w:id w:val="1838725337"/>
      </w:sdtPr>
      <w:sdtEndPr/>
      <w:sdtContent>
        <w:p w:rsidR="00597370" w:rsidRDefault="003C2EEE">
          <w:pPr>
            <w:rPr>
              <w:color w:val="000000" w:themeColor="text1"/>
            </w:rPr>
          </w:pPr>
          <w:r>
            <w:rPr>
              <w:rFonts w:hint="eastAsia"/>
              <w:color w:val="000000" w:themeColor="text1"/>
            </w:rPr>
            <w:t>无</w:t>
          </w:r>
        </w:p>
      </w:sdtContent>
    </w:sdt>
    <w:bookmarkEnd w:id="74"/>
    <w:bookmarkEnd w:id="75"/>
    <w:p w:rsidR="00597370" w:rsidRDefault="003C2EEE">
      <w:pPr>
        <w:pStyle w:val="Style110"/>
        <w:numPr>
          <w:ilvl w:val="0"/>
          <w:numId w:val="29"/>
        </w:numPr>
        <w:tabs>
          <w:tab w:val="left" w:pos="360"/>
        </w:tabs>
        <w:ind w:left="0" w:firstLine="0"/>
        <w:rPr>
          <w:b w:val="0"/>
          <w:color w:val="000000" w:themeColor="text1"/>
        </w:rPr>
      </w:pPr>
      <w:r>
        <w:rPr>
          <w:rFonts w:hint="eastAsia"/>
          <w:b w:val="0"/>
          <w:color w:val="000000" w:themeColor="text1"/>
        </w:rPr>
        <w:t>其他</w:t>
      </w:r>
    </w:p>
    <w:sdt>
      <w:sdtPr>
        <w:rPr>
          <w:color w:val="000000" w:themeColor="text1"/>
        </w:rPr>
        <w:alias w:val="是否适用：募集资金使用的其他情况?[双击切换]"/>
        <w:tag w:val="_GBC_84b80dde77404abab8bdb87b147ee0d4"/>
        <w:id w:val="-1147746101"/>
      </w:sdtPr>
      <w:sdtEndPr/>
      <w:sdtContent>
        <w:p w:rsidR="00597370" w:rsidRDefault="003C2EEE">
          <w:pPr>
            <w:pStyle w:val="Style106"/>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19"/>
        </w:numPr>
        <w:tabs>
          <w:tab w:val="left" w:pos="426"/>
        </w:tabs>
        <w:ind w:firstLineChars="0"/>
        <w:jc w:val="left"/>
        <w:rPr>
          <w:rFonts w:ascii="宋体" w:hAnsi="宋体"/>
          <w:color w:val="000000" w:themeColor="text1"/>
        </w:rPr>
      </w:pPr>
      <w:bookmarkStart w:id="76" w:name="_Hlk74820557"/>
      <w:bookmarkStart w:id="77" w:name="_Hlk74904700"/>
      <w:bookmarkEnd w:id="61"/>
      <w:bookmarkEnd w:id="62"/>
      <w:bookmarkEnd w:id="67"/>
      <w:r>
        <w:rPr>
          <w:rFonts w:ascii="宋体" w:hAnsi="宋体" w:hint="eastAsia"/>
          <w:color w:val="000000" w:themeColor="text1"/>
        </w:rPr>
        <w:t>其他重大事项的说明</w:t>
      </w:r>
    </w:p>
    <w:sdt>
      <w:sdtPr>
        <w:rPr>
          <w:color w:val="000000" w:themeColor="text1"/>
        </w:rPr>
        <w:alias w:val="是否适用：其他重大事项的说明[双击切换]"/>
        <w:tag w:val="_GBC_60472543195d45309db4d042b8e09883"/>
        <w:id w:val="184319310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1"/>
        <w:numPr>
          <w:ilvl w:val="0"/>
          <w:numId w:val="2"/>
        </w:numPr>
        <w:rPr>
          <w:rFonts w:ascii="黑体" w:hAnsi="黑体"/>
          <w:color w:val="000000" w:themeColor="text1"/>
        </w:rPr>
      </w:pPr>
      <w:bookmarkStart w:id="78" w:name="_Toc392233016"/>
      <w:bookmarkStart w:id="79" w:name="_Toc76114278"/>
      <w:bookmarkStart w:id="80" w:name="_Toc142578261"/>
      <w:bookmarkEnd w:id="76"/>
      <w:bookmarkEnd w:id="77"/>
      <w:r>
        <w:rPr>
          <w:rFonts w:ascii="黑体" w:hAnsi="黑体" w:hint="eastAsia"/>
          <w:color w:val="000000" w:themeColor="text1"/>
        </w:rPr>
        <w:t>股份变动及股东情况</w:t>
      </w:r>
      <w:bookmarkEnd w:id="78"/>
      <w:bookmarkEnd w:id="79"/>
      <w:bookmarkEnd w:id="80"/>
    </w:p>
    <w:p w:rsidR="00597370" w:rsidRDefault="003C2EEE">
      <w:pPr>
        <w:pStyle w:val="2"/>
        <w:numPr>
          <w:ilvl w:val="0"/>
          <w:numId w:val="30"/>
        </w:numPr>
        <w:spacing w:line="360" w:lineRule="auto"/>
        <w:ind w:left="422" w:hanging="422"/>
        <w:rPr>
          <w:rFonts w:ascii="宋体" w:hAnsi="宋体"/>
          <w:color w:val="000000" w:themeColor="text1"/>
        </w:rPr>
      </w:pPr>
      <w:bookmarkStart w:id="81" w:name="_Toc342059476"/>
      <w:bookmarkStart w:id="82" w:name="_Toc342565989"/>
      <w:r>
        <w:rPr>
          <w:rFonts w:ascii="宋体" w:hAnsi="宋体"/>
          <w:color w:val="000000" w:themeColor="text1"/>
        </w:rPr>
        <w:t>股</w:t>
      </w:r>
      <w:r>
        <w:rPr>
          <w:rFonts w:ascii="宋体" w:hAnsi="宋体" w:hint="eastAsia"/>
          <w:color w:val="000000" w:themeColor="text1"/>
        </w:rPr>
        <w:t>本变动情况</w:t>
      </w:r>
      <w:bookmarkEnd w:id="81"/>
      <w:bookmarkEnd w:id="82"/>
    </w:p>
    <w:p w:rsidR="00597370" w:rsidRDefault="003C2EEE">
      <w:pPr>
        <w:pStyle w:val="3"/>
        <w:numPr>
          <w:ilvl w:val="1"/>
          <w:numId w:val="31"/>
        </w:numPr>
        <w:rPr>
          <w:rFonts w:ascii="宋体" w:hAnsi="宋体"/>
          <w:color w:val="000000" w:themeColor="text1"/>
        </w:rPr>
      </w:pPr>
      <w:bookmarkStart w:id="83" w:name="_Toc342059477"/>
      <w:bookmarkStart w:id="84" w:name="_Toc342565990"/>
      <w:r>
        <w:rPr>
          <w:rFonts w:ascii="宋体" w:hAnsi="宋体" w:hint="eastAsia"/>
          <w:color w:val="000000" w:themeColor="text1"/>
        </w:rPr>
        <w:t>股份变动情况表</w:t>
      </w:r>
      <w:bookmarkEnd w:id="83"/>
      <w:bookmarkEnd w:id="84"/>
    </w:p>
    <w:p w:rsidR="00597370" w:rsidRDefault="003C2EEE">
      <w:pPr>
        <w:pStyle w:val="4"/>
        <w:numPr>
          <w:ilvl w:val="2"/>
          <w:numId w:val="32"/>
        </w:numPr>
        <w:rPr>
          <w:rFonts w:ascii="宋体" w:hAnsi="宋体"/>
          <w:color w:val="000000" w:themeColor="text1"/>
        </w:rPr>
      </w:pPr>
      <w:r>
        <w:rPr>
          <w:rFonts w:ascii="宋体" w:hAnsi="宋体" w:hint="eastAsia"/>
          <w:color w:val="000000" w:themeColor="text1"/>
        </w:rPr>
        <w:t>股份变动情况表</w:t>
      </w:r>
    </w:p>
    <w:p w:rsidR="00597370" w:rsidRDefault="003C2EEE">
      <w:pPr>
        <w:jc w:val="right"/>
        <w:rPr>
          <w:color w:val="000000" w:themeColor="text1"/>
        </w:rPr>
      </w:pPr>
      <w:r>
        <w:rPr>
          <w:color w:val="000000" w:themeColor="text1"/>
        </w:rPr>
        <w:t>单位：</w:t>
      </w:r>
      <w:sdt>
        <w:sdtPr>
          <w:rPr>
            <w:rFonts w:hint="eastAsia"/>
            <w:color w:val="000000" w:themeColor="text1"/>
          </w:rPr>
          <w:alias w:val="单位：股份变动情况表"/>
          <w:tag w:val="_GBC_649f6bada42647f7be991e46e2b2e42d"/>
          <w:id w:val="-1871604852"/>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color w:val="000000" w:themeColor="text1"/>
            </w:rPr>
            <w:t>股</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298"/>
        <w:gridCol w:w="756"/>
        <w:gridCol w:w="396"/>
        <w:gridCol w:w="396"/>
        <w:gridCol w:w="396"/>
        <w:gridCol w:w="1116"/>
        <w:gridCol w:w="1116"/>
        <w:gridCol w:w="1235"/>
        <w:gridCol w:w="756"/>
      </w:tblGrid>
      <w:tr w:rsidR="00597370">
        <w:tc>
          <w:tcPr>
            <w:tcW w:w="793" w:type="pct"/>
            <w:vMerge w:val="restart"/>
            <w:shd w:val="clear" w:color="auto" w:fill="auto"/>
          </w:tcPr>
          <w:p w:rsidR="00597370" w:rsidRDefault="00597370">
            <w:pPr>
              <w:jc w:val="center"/>
              <w:rPr>
                <w:color w:val="000000" w:themeColor="text1"/>
                <w:sz w:val="18"/>
                <w:szCs w:val="18"/>
              </w:rPr>
            </w:pPr>
          </w:p>
        </w:tc>
        <w:sdt>
          <w:sdtPr>
            <w:rPr>
              <w:rFonts w:hAnsi="宋体"/>
              <w:color w:val="000000" w:themeColor="text1"/>
              <w:sz w:val="18"/>
              <w:szCs w:val="18"/>
            </w:rPr>
            <w:tag w:val="_PLD_1d3571976c514fb18cb081806befcec3"/>
            <w:id w:val="-1106954461"/>
          </w:sdtPr>
          <w:sdtEndPr/>
          <w:sdtContent>
            <w:tc>
              <w:tcPr>
                <w:tcW w:w="1167" w:type="pct"/>
                <w:gridSpan w:val="2"/>
                <w:shd w:val="clear" w:color="auto" w:fill="auto"/>
                <w:vAlign w:val="center"/>
              </w:tcPr>
              <w:p w:rsidR="00597370" w:rsidRDefault="003C2EEE">
                <w:pPr>
                  <w:pStyle w:val="a9"/>
                  <w:jc w:val="center"/>
                  <w:rPr>
                    <w:rFonts w:hAnsi="宋体"/>
                    <w:color w:val="000000" w:themeColor="text1"/>
                    <w:sz w:val="18"/>
                    <w:szCs w:val="18"/>
                  </w:rPr>
                </w:pPr>
                <w:r>
                  <w:rPr>
                    <w:rFonts w:hAnsi="宋体"/>
                    <w:color w:val="000000" w:themeColor="text1"/>
                    <w:sz w:val="18"/>
                    <w:szCs w:val="18"/>
                  </w:rPr>
                  <w:t>本次变动前</w:t>
                </w:r>
              </w:p>
            </w:tc>
          </w:sdtContent>
        </w:sdt>
        <w:sdt>
          <w:sdtPr>
            <w:rPr>
              <w:color w:val="000000" w:themeColor="text1"/>
              <w:sz w:val="18"/>
              <w:szCs w:val="18"/>
            </w:rPr>
            <w:tag w:val="_PLD_f954d926be3144c9ae3f8e8632aa9d60"/>
            <w:id w:val="-2136472358"/>
          </w:sdtPr>
          <w:sdtEndPr/>
          <w:sdtContent>
            <w:tc>
              <w:tcPr>
                <w:tcW w:w="1873" w:type="pct"/>
                <w:gridSpan w:val="5"/>
                <w:shd w:val="clear" w:color="auto" w:fill="auto"/>
                <w:vAlign w:val="center"/>
              </w:tcPr>
              <w:p w:rsidR="00597370" w:rsidRDefault="003C2EEE">
                <w:pPr>
                  <w:jc w:val="center"/>
                  <w:rPr>
                    <w:color w:val="000000" w:themeColor="text1"/>
                    <w:sz w:val="18"/>
                    <w:szCs w:val="18"/>
                  </w:rPr>
                </w:pPr>
                <w:r>
                  <w:rPr>
                    <w:color w:val="000000" w:themeColor="text1"/>
                    <w:sz w:val="18"/>
                    <w:szCs w:val="18"/>
                  </w:rPr>
                  <w:t>本次变动增减（</w:t>
                </w:r>
                <w:r>
                  <w:rPr>
                    <w:rFonts w:hint="eastAsia"/>
                    <w:color w:val="000000" w:themeColor="text1"/>
                    <w:sz w:val="18"/>
                    <w:szCs w:val="18"/>
                  </w:rPr>
                  <w:t>+，-</w:t>
                </w:r>
                <w:r>
                  <w:rPr>
                    <w:color w:val="000000" w:themeColor="text1"/>
                    <w:sz w:val="18"/>
                    <w:szCs w:val="18"/>
                  </w:rPr>
                  <w:t>）</w:t>
                </w:r>
              </w:p>
            </w:tc>
          </w:sdtContent>
        </w:sdt>
        <w:sdt>
          <w:sdtPr>
            <w:rPr>
              <w:color w:val="000000" w:themeColor="text1"/>
              <w:sz w:val="18"/>
              <w:szCs w:val="18"/>
            </w:rPr>
            <w:tag w:val="_PLD_cec7316485294778b9434173c325ba5e"/>
            <w:id w:val="1876894623"/>
          </w:sdtPr>
          <w:sdtEndPr/>
          <w:sdtContent>
            <w:tc>
              <w:tcPr>
                <w:tcW w:w="1167" w:type="pct"/>
                <w:gridSpan w:val="2"/>
                <w:shd w:val="clear" w:color="auto" w:fill="auto"/>
                <w:vAlign w:val="center"/>
              </w:tcPr>
              <w:p w:rsidR="00597370" w:rsidRDefault="003C2EEE">
                <w:pPr>
                  <w:jc w:val="center"/>
                  <w:rPr>
                    <w:color w:val="000000" w:themeColor="text1"/>
                    <w:sz w:val="18"/>
                    <w:szCs w:val="18"/>
                  </w:rPr>
                </w:pPr>
                <w:r>
                  <w:rPr>
                    <w:color w:val="000000" w:themeColor="text1"/>
                    <w:sz w:val="18"/>
                    <w:szCs w:val="18"/>
                  </w:rPr>
                  <w:t>本次变动后</w:t>
                </w:r>
              </w:p>
            </w:tc>
          </w:sdtContent>
        </w:sdt>
      </w:tr>
      <w:tr w:rsidR="00597370">
        <w:trPr>
          <w:trHeight w:val="273"/>
        </w:trPr>
        <w:tc>
          <w:tcPr>
            <w:tcW w:w="793" w:type="pct"/>
            <w:vMerge/>
            <w:shd w:val="clear" w:color="auto" w:fill="auto"/>
          </w:tcPr>
          <w:p w:rsidR="00597370" w:rsidRDefault="00597370">
            <w:pPr>
              <w:jc w:val="center"/>
              <w:rPr>
                <w:color w:val="000000" w:themeColor="text1"/>
                <w:sz w:val="18"/>
                <w:szCs w:val="18"/>
              </w:rPr>
            </w:pPr>
          </w:p>
        </w:tc>
        <w:sdt>
          <w:sdtPr>
            <w:rPr>
              <w:rFonts w:hAnsi="宋体"/>
              <w:color w:val="000000" w:themeColor="text1"/>
              <w:sz w:val="18"/>
              <w:szCs w:val="18"/>
            </w:rPr>
            <w:tag w:val="_PLD_988f8052801b48dbbfb8723a148d46cc"/>
            <w:id w:val="-806926536"/>
          </w:sdtPr>
          <w:sdtEndPr/>
          <w:sdtContent>
            <w:tc>
              <w:tcPr>
                <w:tcW w:w="758" w:type="pct"/>
                <w:shd w:val="clear" w:color="auto" w:fill="auto"/>
                <w:vAlign w:val="center"/>
              </w:tcPr>
              <w:p w:rsidR="00597370" w:rsidRDefault="003C2EEE">
                <w:pPr>
                  <w:pStyle w:val="a9"/>
                  <w:jc w:val="center"/>
                  <w:rPr>
                    <w:rFonts w:hAnsi="宋体"/>
                    <w:color w:val="000000" w:themeColor="text1"/>
                    <w:sz w:val="18"/>
                    <w:szCs w:val="18"/>
                  </w:rPr>
                </w:pPr>
                <w:r>
                  <w:rPr>
                    <w:rFonts w:hAnsi="宋体"/>
                    <w:color w:val="000000" w:themeColor="text1"/>
                    <w:sz w:val="18"/>
                    <w:szCs w:val="18"/>
                  </w:rPr>
                  <w:t>数量</w:t>
                </w:r>
              </w:p>
            </w:tc>
          </w:sdtContent>
        </w:sdt>
        <w:sdt>
          <w:sdtPr>
            <w:rPr>
              <w:rFonts w:hAnsi="宋体"/>
              <w:color w:val="000000" w:themeColor="text1"/>
              <w:sz w:val="18"/>
              <w:szCs w:val="18"/>
            </w:rPr>
            <w:tag w:val="_PLD_cc8dc17fd4d4489393b7d886bbaba2ae"/>
            <w:id w:val="-1785177398"/>
          </w:sdtPr>
          <w:sdtEndPr/>
          <w:sdtContent>
            <w:tc>
              <w:tcPr>
                <w:tcW w:w="409" w:type="pct"/>
                <w:shd w:val="clear" w:color="auto" w:fill="auto"/>
                <w:vAlign w:val="center"/>
              </w:tcPr>
              <w:p w:rsidR="00597370" w:rsidRDefault="003C2EEE">
                <w:pPr>
                  <w:pStyle w:val="a9"/>
                  <w:jc w:val="center"/>
                  <w:rPr>
                    <w:rFonts w:hAnsi="宋体"/>
                    <w:color w:val="000000" w:themeColor="text1"/>
                    <w:sz w:val="18"/>
                    <w:szCs w:val="18"/>
                  </w:rPr>
                </w:pPr>
                <w:r>
                  <w:rPr>
                    <w:rFonts w:hAnsi="宋体"/>
                    <w:color w:val="000000" w:themeColor="text1"/>
                    <w:sz w:val="18"/>
                    <w:szCs w:val="18"/>
                  </w:rPr>
                  <w:t>比例</w:t>
                </w:r>
                <w:r>
                  <w:rPr>
                    <w:rFonts w:hAnsi="宋体"/>
                    <w:color w:val="000000" w:themeColor="text1"/>
                    <w:sz w:val="18"/>
                    <w:szCs w:val="18"/>
                  </w:rPr>
                  <w:t>(%)</w:t>
                </w:r>
              </w:p>
            </w:tc>
          </w:sdtContent>
        </w:sdt>
        <w:sdt>
          <w:sdtPr>
            <w:rPr>
              <w:rFonts w:hAnsi="宋体"/>
              <w:color w:val="000000" w:themeColor="text1"/>
              <w:sz w:val="18"/>
              <w:szCs w:val="18"/>
            </w:rPr>
            <w:tag w:val="_PLD_819ab102e7454eaeaeeb2e735bb58a47"/>
            <w:id w:val="1012110540"/>
          </w:sdtPr>
          <w:sdtEndPr/>
          <w:sdtContent>
            <w:tc>
              <w:tcPr>
                <w:tcW w:w="235" w:type="pct"/>
                <w:shd w:val="clear" w:color="auto" w:fill="auto"/>
                <w:vAlign w:val="center"/>
              </w:tcPr>
              <w:p w:rsidR="00597370" w:rsidRDefault="003C2EEE">
                <w:pPr>
                  <w:pStyle w:val="a9"/>
                  <w:jc w:val="center"/>
                  <w:rPr>
                    <w:rFonts w:hAnsi="宋体"/>
                    <w:color w:val="000000" w:themeColor="text1"/>
                    <w:sz w:val="18"/>
                    <w:szCs w:val="18"/>
                  </w:rPr>
                </w:pPr>
                <w:r>
                  <w:rPr>
                    <w:rFonts w:hAnsi="宋体"/>
                    <w:color w:val="000000" w:themeColor="text1"/>
                    <w:sz w:val="18"/>
                    <w:szCs w:val="18"/>
                  </w:rPr>
                  <w:t>发行新股</w:t>
                </w:r>
              </w:p>
            </w:tc>
          </w:sdtContent>
        </w:sdt>
        <w:sdt>
          <w:sdtPr>
            <w:rPr>
              <w:color w:val="000000" w:themeColor="text1"/>
              <w:sz w:val="18"/>
              <w:szCs w:val="18"/>
            </w:rPr>
            <w:tag w:val="_PLD_ca852324ba5846e4a03f00a70d2419b6"/>
            <w:id w:val="-1546596406"/>
          </w:sdtPr>
          <w:sdtEndPr/>
          <w:sdtContent>
            <w:tc>
              <w:tcPr>
                <w:tcW w:w="235" w:type="pct"/>
                <w:shd w:val="clear" w:color="auto" w:fill="auto"/>
                <w:vAlign w:val="center"/>
              </w:tcPr>
              <w:p w:rsidR="00597370" w:rsidRDefault="003C2EEE">
                <w:pPr>
                  <w:jc w:val="center"/>
                  <w:rPr>
                    <w:color w:val="000000" w:themeColor="text1"/>
                    <w:sz w:val="18"/>
                    <w:szCs w:val="18"/>
                  </w:rPr>
                </w:pPr>
                <w:r>
                  <w:rPr>
                    <w:color w:val="000000" w:themeColor="text1"/>
                    <w:sz w:val="18"/>
                    <w:szCs w:val="18"/>
                  </w:rPr>
                  <w:t>送股</w:t>
                </w:r>
              </w:p>
            </w:tc>
          </w:sdtContent>
        </w:sdt>
        <w:sdt>
          <w:sdtPr>
            <w:rPr>
              <w:color w:val="000000" w:themeColor="text1"/>
              <w:sz w:val="18"/>
              <w:szCs w:val="18"/>
            </w:rPr>
            <w:tag w:val="_PLD_256901472d194e72bb27b5c58bda16f6"/>
            <w:id w:val="-220978023"/>
          </w:sdtPr>
          <w:sdtEndPr/>
          <w:sdtContent>
            <w:tc>
              <w:tcPr>
                <w:tcW w:w="235" w:type="pct"/>
                <w:shd w:val="clear" w:color="auto" w:fill="auto"/>
                <w:vAlign w:val="center"/>
              </w:tcPr>
              <w:p w:rsidR="00597370" w:rsidRDefault="003C2EEE">
                <w:pPr>
                  <w:jc w:val="center"/>
                  <w:rPr>
                    <w:color w:val="000000" w:themeColor="text1"/>
                    <w:sz w:val="18"/>
                    <w:szCs w:val="18"/>
                  </w:rPr>
                </w:pPr>
                <w:r>
                  <w:rPr>
                    <w:color w:val="000000" w:themeColor="text1"/>
                    <w:sz w:val="18"/>
                    <w:szCs w:val="18"/>
                  </w:rPr>
                  <w:t>公积金转股</w:t>
                </w:r>
              </w:p>
            </w:tc>
          </w:sdtContent>
        </w:sdt>
        <w:sdt>
          <w:sdtPr>
            <w:rPr>
              <w:rFonts w:hAnsi="宋体"/>
              <w:color w:val="000000" w:themeColor="text1"/>
              <w:sz w:val="18"/>
              <w:szCs w:val="18"/>
            </w:rPr>
            <w:tag w:val="_PLD_19719ecd361d42b8b1c40359981df642"/>
            <w:id w:val="1163121308"/>
          </w:sdtPr>
          <w:sdtEndPr/>
          <w:sdtContent>
            <w:tc>
              <w:tcPr>
                <w:tcW w:w="583" w:type="pct"/>
                <w:shd w:val="clear" w:color="auto" w:fill="auto"/>
                <w:vAlign w:val="center"/>
              </w:tcPr>
              <w:p w:rsidR="00597370" w:rsidRDefault="003C2EEE">
                <w:pPr>
                  <w:pStyle w:val="a9"/>
                  <w:jc w:val="center"/>
                  <w:rPr>
                    <w:rFonts w:hAnsi="宋体"/>
                    <w:color w:val="000000" w:themeColor="text1"/>
                    <w:sz w:val="18"/>
                    <w:szCs w:val="18"/>
                  </w:rPr>
                </w:pPr>
                <w:r>
                  <w:rPr>
                    <w:rFonts w:hAnsi="宋体"/>
                    <w:color w:val="000000" w:themeColor="text1"/>
                    <w:sz w:val="18"/>
                    <w:szCs w:val="18"/>
                  </w:rPr>
                  <w:t>其他</w:t>
                </w:r>
              </w:p>
            </w:tc>
          </w:sdtContent>
        </w:sdt>
        <w:sdt>
          <w:sdtPr>
            <w:rPr>
              <w:rFonts w:hAnsi="宋体"/>
              <w:color w:val="000000" w:themeColor="text1"/>
              <w:sz w:val="18"/>
              <w:szCs w:val="18"/>
            </w:rPr>
            <w:tag w:val="_PLD_3813d11427a043ca89700d021749eb26"/>
            <w:id w:val="646936927"/>
          </w:sdtPr>
          <w:sdtEndPr/>
          <w:sdtContent>
            <w:tc>
              <w:tcPr>
                <w:tcW w:w="583" w:type="pct"/>
                <w:shd w:val="clear" w:color="auto" w:fill="auto"/>
                <w:vAlign w:val="center"/>
              </w:tcPr>
              <w:p w:rsidR="00597370" w:rsidRDefault="003C2EEE">
                <w:pPr>
                  <w:pStyle w:val="a9"/>
                  <w:jc w:val="center"/>
                  <w:rPr>
                    <w:rFonts w:hAnsi="宋体"/>
                    <w:color w:val="000000" w:themeColor="text1"/>
                    <w:sz w:val="18"/>
                    <w:szCs w:val="18"/>
                  </w:rPr>
                </w:pPr>
                <w:r>
                  <w:rPr>
                    <w:rFonts w:hAnsi="宋体"/>
                    <w:color w:val="000000" w:themeColor="text1"/>
                    <w:sz w:val="18"/>
                    <w:szCs w:val="18"/>
                  </w:rPr>
                  <w:t>小计</w:t>
                </w:r>
              </w:p>
            </w:tc>
          </w:sdtContent>
        </w:sdt>
        <w:sdt>
          <w:sdtPr>
            <w:rPr>
              <w:rFonts w:hAnsi="宋体"/>
              <w:color w:val="000000" w:themeColor="text1"/>
              <w:sz w:val="18"/>
              <w:szCs w:val="18"/>
            </w:rPr>
            <w:tag w:val="_PLD_8ff8f75dfeaa4bf2a6068460efe092f4"/>
            <w:id w:val="2053725140"/>
          </w:sdtPr>
          <w:sdtEndPr/>
          <w:sdtContent>
            <w:tc>
              <w:tcPr>
                <w:tcW w:w="758" w:type="pct"/>
                <w:shd w:val="clear" w:color="auto" w:fill="auto"/>
                <w:vAlign w:val="center"/>
              </w:tcPr>
              <w:p w:rsidR="00597370" w:rsidRDefault="003C2EEE">
                <w:pPr>
                  <w:pStyle w:val="a9"/>
                  <w:jc w:val="center"/>
                  <w:rPr>
                    <w:rFonts w:hAnsi="宋体"/>
                    <w:color w:val="000000" w:themeColor="text1"/>
                    <w:sz w:val="18"/>
                    <w:szCs w:val="18"/>
                  </w:rPr>
                </w:pPr>
                <w:r>
                  <w:rPr>
                    <w:rFonts w:hAnsi="宋体"/>
                    <w:color w:val="000000" w:themeColor="text1"/>
                    <w:sz w:val="18"/>
                    <w:szCs w:val="18"/>
                  </w:rPr>
                  <w:t>数量</w:t>
                </w:r>
              </w:p>
            </w:tc>
          </w:sdtContent>
        </w:sdt>
        <w:sdt>
          <w:sdtPr>
            <w:rPr>
              <w:rFonts w:hAnsi="宋体"/>
              <w:color w:val="000000" w:themeColor="text1"/>
              <w:sz w:val="18"/>
              <w:szCs w:val="18"/>
            </w:rPr>
            <w:tag w:val="_PLD_e100c0c8ad354419b737193b7eb5de7f"/>
            <w:id w:val="604314675"/>
          </w:sdtPr>
          <w:sdtEndPr/>
          <w:sdtContent>
            <w:tc>
              <w:tcPr>
                <w:tcW w:w="409" w:type="pct"/>
                <w:shd w:val="clear" w:color="auto" w:fill="auto"/>
                <w:vAlign w:val="center"/>
              </w:tcPr>
              <w:p w:rsidR="00597370" w:rsidRDefault="003C2EEE">
                <w:pPr>
                  <w:pStyle w:val="a9"/>
                  <w:jc w:val="center"/>
                  <w:rPr>
                    <w:rFonts w:hAnsi="宋体"/>
                    <w:color w:val="000000" w:themeColor="text1"/>
                    <w:sz w:val="18"/>
                    <w:szCs w:val="18"/>
                  </w:rPr>
                </w:pPr>
                <w:r>
                  <w:rPr>
                    <w:rFonts w:hAnsi="宋体"/>
                    <w:color w:val="000000" w:themeColor="text1"/>
                    <w:sz w:val="18"/>
                    <w:szCs w:val="18"/>
                  </w:rPr>
                  <w:t>比例</w:t>
                </w:r>
                <w:r>
                  <w:rPr>
                    <w:rFonts w:hAnsi="宋体"/>
                    <w:color w:val="000000" w:themeColor="text1"/>
                    <w:sz w:val="18"/>
                    <w:szCs w:val="18"/>
                  </w:rPr>
                  <w:t>(%)</w:t>
                </w:r>
              </w:p>
            </w:tc>
          </w:sdtContent>
        </w:sdt>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一、有限</w:t>
            </w:r>
            <w:proofErr w:type="gramStart"/>
            <w:r>
              <w:rPr>
                <w:color w:val="000000" w:themeColor="text1"/>
                <w:sz w:val="18"/>
                <w:szCs w:val="18"/>
              </w:rPr>
              <w:t>售条件</w:t>
            </w:r>
            <w:proofErr w:type="gramEnd"/>
            <w:r>
              <w:rPr>
                <w:color w:val="000000" w:themeColor="text1"/>
                <w:sz w:val="18"/>
                <w:szCs w:val="18"/>
              </w:rPr>
              <w:t>股份</w:t>
            </w:r>
          </w:p>
        </w:tc>
        <w:tc>
          <w:tcPr>
            <w:tcW w:w="758" w:type="pct"/>
            <w:shd w:val="clear" w:color="auto" w:fill="auto"/>
            <w:vAlign w:val="center"/>
          </w:tcPr>
          <w:p w:rsidR="00597370" w:rsidRDefault="003C2EEE">
            <w:pPr>
              <w:jc w:val="right"/>
              <w:rPr>
                <w:sz w:val="18"/>
                <w:szCs w:val="18"/>
              </w:rPr>
            </w:pPr>
            <w:r>
              <w:rPr>
                <w:sz w:val="18"/>
                <w:szCs w:val="18"/>
              </w:rPr>
              <w:t>143,911,541</w:t>
            </w:r>
          </w:p>
        </w:tc>
        <w:tc>
          <w:tcPr>
            <w:tcW w:w="409" w:type="pct"/>
            <w:shd w:val="clear" w:color="auto" w:fill="auto"/>
            <w:vAlign w:val="center"/>
          </w:tcPr>
          <w:p w:rsidR="00597370" w:rsidRDefault="003C2EEE">
            <w:pPr>
              <w:jc w:val="right"/>
              <w:rPr>
                <w:sz w:val="18"/>
                <w:szCs w:val="18"/>
              </w:rPr>
            </w:pPr>
            <w:r>
              <w:rPr>
                <w:sz w:val="18"/>
                <w:szCs w:val="18"/>
              </w:rPr>
              <w:t>43.19</w:t>
            </w: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3C2EEE">
            <w:pPr>
              <w:jc w:val="right"/>
              <w:rPr>
                <w:sz w:val="18"/>
                <w:szCs w:val="18"/>
              </w:rPr>
            </w:pPr>
            <w:r>
              <w:rPr>
                <w:sz w:val="18"/>
                <w:szCs w:val="18"/>
              </w:rPr>
              <w:t>+2,550,000</w:t>
            </w:r>
          </w:p>
        </w:tc>
        <w:tc>
          <w:tcPr>
            <w:tcW w:w="583" w:type="pct"/>
            <w:shd w:val="clear" w:color="auto" w:fill="auto"/>
            <w:vAlign w:val="center"/>
          </w:tcPr>
          <w:p w:rsidR="00597370" w:rsidRDefault="003C2EEE">
            <w:pPr>
              <w:jc w:val="right"/>
              <w:rPr>
                <w:sz w:val="18"/>
                <w:szCs w:val="18"/>
              </w:rPr>
            </w:pPr>
            <w:r>
              <w:rPr>
                <w:sz w:val="18"/>
                <w:szCs w:val="18"/>
              </w:rPr>
              <w:t>+2,550,000</w:t>
            </w:r>
          </w:p>
        </w:tc>
        <w:tc>
          <w:tcPr>
            <w:tcW w:w="758" w:type="pct"/>
            <w:shd w:val="clear" w:color="auto" w:fill="auto"/>
            <w:vAlign w:val="center"/>
          </w:tcPr>
          <w:p w:rsidR="00597370" w:rsidRDefault="003C2EEE">
            <w:pPr>
              <w:jc w:val="right"/>
              <w:rPr>
                <w:sz w:val="18"/>
                <w:szCs w:val="18"/>
              </w:rPr>
            </w:pPr>
            <w:r>
              <w:rPr>
                <w:sz w:val="18"/>
                <w:szCs w:val="18"/>
              </w:rPr>
              <w:t>146,461,541</w:t>
            </w:r>
          </w:p>
        </w:tc>
        <w:tc>
          <w:tcPr>
            <w:tcW w:w="409" w:type="pct"/>
            <w:shd w:val="clear" w:color="auto" w:fill="auto"/>
            <w:vAlign w:val="center"/>
          </w:tcPr>
          <w:p w:rsidR="00597370" w:rsidRDefault="003C2EEE">
            <w:pPr>
              <w:jc w:val="right"/>
              <w:rPr>
                <w:sz w:val="18"/>
                <w:szCs w:val="18"/>
              </w:rPr>
            </w:pPr>
            <w:r>
              <w:rPr>
                <w:sz w:val="18"/>
                <w:szCs w:val="18"/>
              </w:rPr>
              <w:t>43.96</w:t>
            </w: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1、国家持股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2、国有法人持股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3、其他内资持股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其中：境内非国有法人持股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ind w:firstLineChars="300" w:firstLine="540"/>
              <w:rPr>
                <w:color w:val="000000" w:themeColor="text1"/>
                <w:sz w:val="18"/>
                <w:szCs w:val="18"/>
              </w:rPr>
            </w:pPr>
            <w:r>
              <w:rPr>
                <w:color w:val="000000" w:themeColor="text1"/>
                <w:sz w:val="18"/>
                <w:szCs w:val="18"/>
              </w:rPr>
              <w:t>境内自然人持股</w:t>
            </w:r>
          </w:p>
        </w:tc>
        <w:tc>
          <w:tcPr>
            <w:tcW w:w="758" w:type="pct"/>
            <w:shd w:val="clear" w:color="auto" w:fill="auto"/>
            <w:vAlign w:val="center"/>
          </w:tcPr>
          <w:p w:rsidR="00597370" w:rsidRDefault="003C2EEE">
            <w:pPr>
              <w:jc w:val="right"/>
              <w:rPr>
                <w:sz w:val="18"/>
                <w:szCs w:val="18"/>
              </w:rPr>
            </w:pPr>
            <w:r>
              <w:rPr>
                <w:sz w:val="18"/>
                <w:szCs w:val="18"/>
              </w:rPr>
              <w:t>143,911,541</w:t>
            </w:r>
          </w:p>
        </w:tc>
        <w:tc>
          <w:tcPr>
            <w:tcW w:w="409" w:type="pct"/>
            <w:shd w:val="clear" w:color="auto" w:fill="auto"/>
            <w:vAlign w:val="center"/>
          </w:tcPr>
          <w:p w:rsidR="00597370" w:rsidRDefault="003C2EEE">
            <w:pPr>
              <w:jc w:val="right"/>
              <w:rPr>
                <w:sz w:val="18"/>
                <w:szCs w:val="18"/>
              </w:rPr>
            </w:pPr>
            <w:r>
              <w:rPr>
                <w:sz w:val="18"/>
                <w:szCs w:val="18"/>
              </w:rPr>
              <w:t>43.19</w:t>
            </w: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3C2EEE">
            <w:pPr>
              <w:jc w:val="right"/>
              <w:rPr>
                <w:sz w:val="18"/>
                <w:szCs w:val="18"/>
              </w:rPr>
            </w:pPr>
            <w:r>
              <w:rPr>
                <w:sz w:val="18"/>
                <w:szCs w:val="18"/>
              </w:rPr>
              <w:t>+2,550,000</w:t>
            </w:r>
          </w:p>
        </w:tc>
        <w:tc>
          <w:tcPr>
            <w:tcW w:w="583" w:type="pct"/>
            <w:shd w:val="clear" w:color="auto" w:fill="auto"/>
            <w:vAlign w:val="center"/>
          </w:tcPr>
          <w:p w:rsidR="00597370" w:rsidRDefault="003C2EEE">
            <w:pPr>
              <w:jc w:val="right"/>
              <w:rPr>
                <w:sz w:val="18"/>
                <w:szCs w:val="18"/>
              </w:rPr>
            </w:pPr>
            <w:r>
              <w:rPr>
                <w:sz w:val="18"/>
                <w:szCs w:val="18"/>
              </w:rPr>
              <w:t>+2,550,000</w:t>
            </w:r>
          </w:p>
        </w:tc>
        <w:tc>
          <w:tcPr>
            <w:tcW w:w="758" w:type="pct"/>
            <w:shd w:val="clear" w:color="auto" w:fill="auto"/>
            <w:vAlign w:val="center"/>
          </w:tcPr>
          <w:p w:rsidR="00597370" w:rsidRDefault="003C2EEE">
            <w:pPr>
              <w:jc w:val="right"/>
              <w:rPr>
                <w:sz w:val="18"/>
                <w:szCs w:val="18"/>
              </w:rPr>
            </w:pPr>
            <w:r>
              <w:rPr>
                <w:sz w:val="18"/>
                <w:szCs w:val="18"/>
              </w:rPr>
              <w:t>146,461,541</w:t>
            </w:r>
          </w:p>
        </w:tc>
        <w:tc>
          <w:tcPr>
            <w:tcW w:w="409" w:type="pct"/>
            <w:shd w:val="clear" w:color="auto" w:fill="auto"/>
            <w:vAlign w:val="center"/>
          </w:tcPr>
          <w:p w:rsidR="00597370" w:rsidRDefault="003C2EEE">
            <w:pPr>
              <w:jc w:val="right"/>
              <w:rPr>
                <w:sz w:val="18"/>
                <w:szCs w:val="18"/>
              </w:rPr>
            </w:pPr>
            <w:r>
              <w:rPr>
                <w:sz w:val="18"/>
                <w:szCs w:val="18"/>
              </w:rPr>
              <w:t>43.96</w:t>
            </w:r>
          </w:p>
        </w:tc>
      </w:tr>
      <w:tr w:rsidR="00597370">
        <w:tc>
          <w:tcPr>
            <w:tcW w:w="793" w:type="pct"/>
            <w:shd w:val="clear" w:color="auto" w:fill="auto"/>
          </w:tcPr>
          <w:p w:rsidR="00597370" w:rsidRDefault="003C2EEE">
            <w:pPr>
              <w:rPr>
                <w:color w:val="000000" w:themeColor="text1"/>
                <w:sz w:val="18"/>
                <w:szCs w:val="18"/>
              </w:rPr>
            </w:pPr>
            <w:r>
              <w:rPr>
                <w:rFonts w:hint="eastAsia"/>
                <w:color w:val="000000" w:themeColor="text1"/>
                <w:sz w:val="18"/>
                <w:szCs w:val="18"/>
              </w:rPr>
              <w:t>4、</w:t>
            </w:r>
            <w:r>
              <w:rPr>
                <w:color w:val="000000" w:themeColor="text1"/>
                <w:sz w:val="18"/>
                <w:szCs w:val="18"/>
              </w:rPr>
              <w:t>外资持股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其中：境外法人持股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ind w:firstLineChars="300" w:firstLine="540"/>
              <w:rPr>
                <w:color w:val="000000" w:themeColor="text1"/>
                <w:sz w:val="18"/>
                <w:szCs w:val="18"/>
              </w:rPr>
            </w:pPr>
            <w:r>
              <w:rPr>
                <w:color w:val="000000" w:themeColor="text1"/>
                <w:sz w:val="18"/>
                <w:szCs w:val="18"/>
              </w:rPr>
              <w:lastRenderedPageBreak/>
              <w:t>境外自然人持股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二、无限</w:t>
            </w:r>
            <w:proofErr w:type="gramStart"/>
            <w:r>
              <w:rPr>
                <w:color w:val="000000" w:themeColor="text1"/>
                <w:sz w:val="18"/>
                <w:szCs w:val="18"/>
              </w:rPr>
              <w:t>售条件</w:t>
            </w:r>
            <w:proofErr w:type="gramEnd"/>
            <w:r>
              <w:rPr>
                <w:color w:val="000000" w:themeColor="text1"/>
                <w:sz w:val="18"/>
                <w:szCs w:val="18"/>
              </w:rPr>
              <w:t>流通股份</w:t>
            </w:r>
          </w:p>
        </w:tc>
        <w:tc>
          <w:tcPr>
            <w:tcW w:w="758" w:type="pct"/>
            <w:shd w:val="clear" w:color="auto" w:fill="auto"/>
            <w:vAlign w:val="center"/>
          </w:tcPr>
          <w:p w:rsidR="00597370" w:rsidRDefault="003C2EEE">
            <w:pPr>
              <w:jc w:val="right"/>
              <w:rPr>
                <w:sz w:val="18"/>
                <w:szCs w:val="18"/>
              </w:rPr>
            </w:pPr>
            <w:r>
              <w:rPr>
                <w:sz w:val="18"/>
                <w:szCs w:val="18"/>
              </w:rPr>
              <w:t>189,255,866</w:t>
            </w:r>
          </w:p>
        </w:tc>
        <w:tc>
          <w:tcPr>
            <w:tcW w:w="409" w:type="pct"/>
            <w:shd w:val="clear" w:color="auto" w:fill="auto"/>
            <w:vAlign w:val="center"/>
          </w:tcPr>
          <w:p w:rsidR="00597370" w:rsidRDefault="003C2EEE">
            <w:pPr>
              <w:jc w:val="right"/>
              <w:rPr>
                <w:sz w:val="18"/>
                <w:szCs w:val="18"/>
              </w:rPr>
            </w:pPr>
            <w:r>
              <w:rPr>
                <w:sz w:val="18"/>
                <w:szCs w:val="18"/>
              </w:rPr>
              <w:t>56.81</w:t>
            </w: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3C2EEE">
            <w:pPr>
              <w:jc w:val="right"/>
              <w:rPr>
                <w:sz w:val="18"/>
                <w:szCs w:val="18"/>
              </w:rPr>
            </w:pPr>
            <w:r>
              <w:rPr>
                <w:sz w:val="18"/>
                <w:szCs w:val="18"/>
              </w:rPr>
              <w:t>-2,550,000</w:t>
            </w:r>
          </w:p>
        </w:tc>
        <w:tc>
          <w:tcPr>
            <w:tcW w:w="583" w:type="pct"/>
            <w:shd w:val="clear" w:color="auto" w:fill="auto"/>
            <w:vAlign w:val="center"/>
          </w:tcPr>
          <w:p w:rsidR="00597370" w:rsidRDefault="003C2EEE">
            <w:pPr>
              <w:jc w:val="right"/>
              <w:rPr>
                <w:sz w:val="18"/>
                <w:szCs w:val="18"/>
              </w:rPr>
            </w:pPr>
            <w:r>
              <w:rPr>
                <w:sz w:val="18"/>
                <w:szCs w:val="18"/>
              </w:rPr>
              <w:t>-2,550,000</w:t>
            </w:r>
          </w:p>
        </w:tc>
        <w:tc>
          <w:tcPr>
            <w:tcW w:w="758" w:type="pct"/>
            <w:shd w:val="clear" w:color="auto" w:fill="auto"/>
            <w:vAlign w:val="center"/>
          </w:tcPr>
          <w:p w:rsidR="00597370" w:rsidRDefault="003C2EEE">
            <w:pPr>
              <w:jc w:val="right"/>
              <w:rPr>
                <w:sz w:val="18"/>
                <w:szCs w:val="18"/>
              </w:rPr>
            </w:pPr>
            <w:r>
              <w:rPr>
                <w:sz w:val="18"/>
                <w:szCs w:val="18"/>
              </w:rPr>
              <w:t>186,705,866</w:t>
            </w:r>
          </w:p>
        </w:tc>
        <w:tc>
          <w:tcPr>
            <w:tcW w:w="409" w:type="pct"/>
            <w:shd w:val="clear" w:color="auto" w:fill="auto"/>
            <w:vAlign w:val="center"/>
          </w:tcPr>
          <w:p w:rsidR="00597370" w:rsidRDefault="003C2EEE">
            <w:pPr>
              <w:jc w:val="right"/>
              <w:rPr>
                <w:sz w:val="18"/>
                <w:szCs w:val="18"/>
              </w:rPr>
            </w:pPr>
            <w:r>
              <w:rPr>
                <w:sz w:val="18"/>
                <w:szCs w:val="18"/>
              </w:rPr>
              <w:t>56.04</w:t>
            </w: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1、人民币普通股</w:t>
            </w:r>
          </w:p>
        </w:tc>
        <w:tc>
          <w:tcPr>
            <w:tcW w:w="758" w:type="pct"/>
            <w:shd w:val="clear" w:color="auto" w:fill="auto"/>
            <w:vAlign w:val="center"/>
          </w:tcPr>
          <w:p w:rsidR="00597370" w:rsidRDefault="003C2EEE">
            <w:pPr>
              <w:jc w:val="right"/>
              <w:rPr>
                <w:sz w:val="18"/>
                <w:szCs w:val="18"/>
              </w:rPr>
            </w:pPr>
            <w:r>
              <w:rPr>
                <w:sz w:val="18"/>
                <w:szCs w:val="18"/>
              </w:rPr>
              <w:t>189,255,866</w:t>
            </w:r>
          </w:p>
        </w:tc>
        <w:tc>
          <w:tcPr>
            <w:tcW w:w="409" w:type="pct"/>
            <w:shd w:val="clear" w:color="auto" w:fill="auto"/>
            <w:vAlign w:val="center"/>
          </w:tcPr>
          <w:p w:rsidR="00597370" w:rsidRDefault="003C2EEE">
            <w:pPr>
              <w:jc w:val="right"/>
              <w:rPr>
                <w:sz w:val="18"/>
                <w:szCs w:val="18"/>
              </w:rPr>
            </w:pPr>
            <w:r>
              <w:rPr>
                <w:sz w:val="18"/>
                <w:szCs w:val="18"/>
              </w:rPr>
              <w:t>56.81</w:t>
            </w: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3C2EEE">
            <w:pPr>
              <w:jc w:val="right"/>
              <w:rPr>
                <w:sz w:val="18"/>
                <w:szCs w:val="18"/>
              </w:rPr>
            </w:pPr>
            <w:r>
              <w:rPr>
                <w:sz w:val="18"/>
                <w:szCs w:val="18"/>
              </w:rPr>
              <w:t>-2,550,000</w:t>
            </w:r>
          </w:p>
        </w:tc>
        <w:tc>
          <w:tcPr>
            <w:tcW w:w="583" w:type="pct"/>
            <w:shd w:val="clear" w:color="auto" w:fill="auto"/>
            <w:vAlign w:val="center"/>
          </w:tcPr>
          <w:p w:rsidR="00597370" w:rsidRDefault="003C2EEE">
            <w:pPr>
              <w:jc w:val="right"/>
              <w:rPr>
                <w:sz w:val="18"/>
                <w:szCs w:val="18"/>
              </w:rPr>
            </w:pPr>
            <w:r>
              <w:rPr>
                <w:sz w:val="18"/>
                <w:szCs w:val="18"/>
              </w:rPr>
              <w:t>-2,550,000</w:t>
            </w:r>
          </w:p>
        </w:tc>
        <w:tc>
          <w:tcPr>
            <w:tcW w:w="758" w:type="pct"/>
            <w:shd w:val="clear" w:color="auto" w:fill="auto"/>
            <w:vAlign w:val="center"/>
          </w:tcPr>
          <w:p w:rsidR="00597370" w:rsidRDefault="003C2EEE">
            <w:pPr>
              <w:jc w:val="right"/>
              <w:rPr>
                <w:sz w:val="18"/>
                <w:szCs w:val="18"/>
              </w:rPr>
            </w:pPr>
            <w:r>
              <w:rPr>
                <w:sz w:val="18"/>
                <w:szCs w:val="18"/>
              </w:rPr>
              <w:t>186,705,866</w:t>
            </w:r>
          </w:p>
        </w:tc>
        <w:tc>
          <w:tcPr>
            <w:tcW w:w="409" w:type="pct"/>
            <w:shd w:val="clear" w:color="auto" w:fill="auto"/>
            <w:vAlign w:val="center"/>
          </w:tcPr>
          <w:p w:rsidR="00597370" w:rsidRDefault="003C2EEE">
            <w:pPr>
              <w:jc w:val="right"/>
              <w:rPr>
                <w:sz w:val="18"/>
                <w:szCs w:val="18"/>
              </w:rPr>
            </w:pPr>
            <w:r>
              <w:rPr>
                <w:sz w:val="18"/>
                <w:szCs w:val="18"/>
              </w:rPr>
              <w:t>56.04</w:t>
            </w: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2、境内上市的外资股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3、境外上市的外资股</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4、其他</w:t>
            </w: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597370">
            <w:pPr>
              <w:jc w:val="right"/>
              <w:rPr>
                <w:sz w:val="18"/>
                <w:szCs w:val="18"/>
              </w:rPr>
            </w:pPr>
          </w:p>
        </w:tc>
        <w:tc>
          <w:tcPr>
            <w:tcW w:w="758" w:type="pct"/>
            <w:shd w:val="clear" w:color="auto" w:fill="auto"/>
            <w:vAlign w:val="center"/>
          </w:tcPr>
          <w:p w:rsidR="00597370" w:rsidRDefault="00597370">
            <w:pPr>
              <w:jc w:val="right"/>
              <w:rPr>
                <w:sz w:val="18"/>
                <w:szCs w:val="18"/>
              </w:rPr>
            </w:pPr>
          </w:p>
        </w:tc>
        <w:tc>
          <w:tcPr>
            <w:tcW w:w="409" w:type="pct"/>
            <w:shd w:val="clear" w:color="auto" w:fill="auto"/>
            <w:vAlign w:val="center"/>
          </w:tcPr>
          <w:p w:rsidR="00597370" w:rsidRDefault="00597370">
            <w:pPr>
              <w:jc w:val="right"/>
              <w:rPr>
                <w:sz w:val="18"/>
                <w:szCs w:val="18"/>
              </w:rPr>
            </w:pPr>
          </w:p>
        </w:tc>
      </w:tr>
      <w:tr w:rsidR="00597370">
        <w:tc>
          <w:tcPr>
            <w:tcW w:w="793" w:type="pct"/>
            <w:shd w:val="clear" w:color="auto" w:fill="auto"/>
          </w:tcPr>
          <w:p w:rsidR="00597370" w:rsidRDefault="003C2EEE">
            <w:pPr>
              <w:rPr>
                <w:color w:val="000000" w:themeColor="text1"/>
                <w:sz w:val="18"/>
                <w:szCs w:val="18"/>
              </w:rPr>
            </w:pPr>
            <w:r>
              <w:rPr>
                <w:color w:val="000000" w:themeColor="text1"/>
                <w:sz w:val="18"/>
                <w:szCs w:val="18"/>
              </w:rPr>
              <w:t>三、股份总数</w:t>
            </w:r>
          </w:p>
        </w:tc>
        <w:tc>
          <w:tcPr>
            <w:tcW w:w="758" w:type="pct"/>
            <w:shd w:val="clear" w:color="auto" w:fill="auto"/>
            <w:vAlign w:val="center"/>
          </w:tcPr>
          <w:p w:rsidR="00597370" w:rsidRDefault="003C2EEE">
            <w:pPr>
              <w:jc w:val="right"/>
              <w:rPr>
                <w:sz w:val="18"/>
                <w:szCs w:val="18"/>
              </w:rPr>
            </w:pPr>
            <w:r>
              <w:rPr>
                <w:sz w:val="18"/>
                <w:szCs w:val="18"/>
              </w:rPr>
              <w:t>333,167,407</w:t>
            </w:r>
          </w:p>
        </w:tc>
        <w:tc>
          <w:tcPr>
            <w:tcW w:w="409" w:type="pct"/>
            <w:shd w:val="clear" w:color="auto" w:fill="auto"/>
            <w:vAlign w:val="center"/>
          </w:tcPr>
          <w:p w:rsidR="00597370" w:rsidRDefault="003C2EEE">
            <w:pPr>
              <w:jc w:val="right"/>
              <w:rPr>
                <w:sz w:val="18"/>
                <w:szCs w:val="18"/>
              </w:rPr>
            </w:pPr>
            <w:r>
              <w:rPr>
                <w:sz w:val="18"/>
                <w:szCs w:val="18"/>
              </w:rPr>
              <w:t>100.00</w:t>
            </w: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235" w:type="pct"/>
            <w:shd w:val="clear" w:color="auto" w:fill="auto"/>
            <w:vAlign w:val="center"/>
          </w:tcPr>
          <w:p w:rsidR="00597370" w:rsidRDefault="00597370">
            <w:pPr>
              <w:jc w:val="right"/>
              <w:rPr>
                <w:sz w:val="18"/>
                <w:szCs w:val="18"/>
              </w:rPr>
            </w:pPr>
          </w:p>
        </w:tc>
        <w:tc>
          <w:tcPr>
            <w:tcW w:w="583" w:type="pct"/>
            <w:shd w:val="clear" w:color="auto" w:fill="auto"/>
            <w:vAlign w:val="center"/>
          </w:tcPr>
          <w:p w:rsidR="00597370" w:rsidRDefault="003C2EEE">
            <w:pPr>
              <w:jc w:val="right"/>
              <w:rPr>
                <w:sz w:val="18"/>
                <w:szCs w:val="18"/>
              </w:rPr>
            </w:pPr>
            <w:r>
              <w:rPr>
                <w:sz w:val="18"/>
                <w:szCs w:val="18"/>
              </w:rPr>
              <w:t>0</w:t>
            </w:r>
          </w:p>
        </w:tc>
        <w:tc>
          <w:tcPr>
            <w:tcW w:w="583" w:type="pct"/>
            <w:shd w:val="clear" w:color="auto" w:fill="auto"/>
            <w:vAlign w:val="center"/>
          </w:tcPr>
          <w:p w:rsidR="00597370" w:rsidRDefault="003C2EEE">
            <w:pPr>
              <w:jc w:val="right"/>
              <w:rPr>
                <w:sz w:val="18"/>
                <w:szCs w:val="18"/>
              </w:rPr>
            </w:pPr>
            <w:r>
              <w:rPr>
                <w:sz w:val="18"/>
                <w:szCs w:val="18"/>
              </w:rPr>
              <w:t>0</w:t>
            </w:r>
          </w:p>
        </w:tc>
        <w:tc>
          <w:tcPr>
            <w:tcW w:w="758" w:type="pct"/>
            <w:shd w:val="clear" w:color="auto" w:fill="auto"/>
            <w:vAlign w:val="center"/>
          </w:tcPr>
          <w:p w:rsidR="00597370" w:rsidRDefault="003C2EEE">
            <w:pPr>
              <w:jc w:val="right"/>
              <w:rPr>
                <w:sz w:val="18"/>
                <w:szCs w:val="18"/>
              </w:rPr>
            </w:pPr>
            <w:r>
              <w:rPr>
                <w:sz w:val="18"/>
                <w:szCs w:val="18"/>
              </w:rPr>
              <w:t>333,167,407</w:t>
            </w:r>
          </w:p>
        </w:tc>
        <w:tc>
          <w:tcPr>
            <w:tcW w:w="409" w:type="pct"/>
            <w:shd w:val="clear" w:color="auto" w:fill="auto"/>
            <w:vAlign w:val="center"/>
          </w:tcPr>
          <w:p w:rsidR="00597370" w:rsidRDefault="003C2EEE">
            <w:pPr>
              <w:jc w:val="right"/>
              <w:rPr>
                <w:sz w:val="18"/>
                <w:szCs w:val="18"/>
              </w:rPr>
            </w:pPr>
            <w:r>
              <w:rPr>
                <w:sz w:val="18"/>
                <w:szCs w:val="18"/>
              </w:rPr>
              <w:t>100.00</w:t>
            </w:r>
          </w:p>
        </w:tc>
      </w:tr>
    </w:tbl>
    <w:p w:rsidR="00597370" w:rsidRDefault="00597370">
      <w:pPr>
        <w:rPr>
          <w:color w:val="000000" w:themeColor="text1"/>
        </w:rPr>
      </w:pPr>
    </w:p>
    <w:p w:rsidR="00597370" w:rsidRDefault="003C2EEE">
      <w:pPr>
        <w:pStyle w:val="4"/>
        <w:numPr>
          <w:ilvl w:val="2"/>
          <w:numId w:val="32"/>
        </w:numPr>
        <w:rPr>
          <w:rFonts w:ascii="宋体" w:hAnsi="宋体"/>
          <w:color w:val="000000" w:themeColor="text1"/>
        </w:rPr>
      </w:pPr>
      <w:bookmarkStart w:id="85" w:name="_Toc342059483"/>
      <w:bookmarkStart w:id="86" w:name="_Toc342565996"/>
      <w:r>
        <w:rPr>
          <w:rFonts w:ascii="宋体" w:hAnsi="宋体" w:hint="eastAsia"/>
          <w:color w:val="000000" w:themeColor="text1"/>
        </w:rPr>
        <w:t>股份变动情况说明</w:t>
      </w:r>
    </w:p>
    <w:sdt>
      <w:sdtPr>
        <w:rPr>
          <w:color w:val="000000" w:themeColor="text1"/>
        </w:rPr>
        <w:alias w:val="是否适用：普通股股份变动情况说明[双击切换]"/>
        <w:tag w:val="_GBC_28994e6dc9c649e498c0ab9c340777bf"/>
        <w:id w:val="64424735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股份变动情况说明"/>
        <w:tag w:val="_GBC_370febd389f14759b2ed3f1114b289a6"/>
        <w:id w:val="1730803877"/>
        <w:placeholder>
          <w:docPart w:val="GBC22222222222222222222222222222"/>
        </w:placeholder>
      </w:sdtPr>
      <w:sdtEndPr/>
      <w:sdtContent>
        <w:p w:rsidR="00597370" w:rsidRDefault="003C2EEE">
          <w:pPr>
            <w:ind w:firstLineChars="200" w:firstLine="420"/>
            <w:rPr>
              <w:color w:val="000000" w:themeColor="text1"/>
            </w:rPr>
          </w:pPr>
          <w:r>
            <w:rPr>
              <w:rFonts w:hint="eastAsia"/>
              <w:color w:val="000000" w:themeColor="text1"/>
            </w:rPr>
            <w:t>公司于2</w:t>
          </w:r>
          <w:r>
            <w:rPr>
              <w:color w:val="000000" w:themeColor="text1"/>
            </w:rPr>
            <w:t>024</w:t>
          </w:r>
          <w:r>
            <w:rPr>
              <w:rFonts w:hint="eastAsia"/>
              <w:color w:val="000000" w:themeColor="text1"/>
            </w:rPr>
            <w:t>年1月2</w:t>
          </w:r>
          <w:r>
            <w:rPr>
              <w:color w:val="000000" w:themeColor="text1"/>
            </w:rPr>
            <w:t>2</w:t>
          </w:r>
          <w:r>
            <w:rPr>
              <w:rFonts w:hint="eastAsia"/>
              <w:color w:val="000000" w:themeColor="text1"/>
            </w:rPr>
            <w:t>日发布《2</w:t>
          </w:r>
          <w:r>
            <w:rPr>
              <w:color w:val="000000" w:themeColor="text1"/>
            </w:rPr>
            <w:t>024</w:t>
          </w:r>
          <w:r>
            <w:rPr>
              <w:rFonts w:hint="eastAsia"/>
              <w:color w:val="000000" w:themeColor="text1"/>
            </w:rPr>
            <w:t>年限制性股票激励计划草案》等相关公告，并于2</w:t>
          </w:r>
          <w:r>
            <w:rPr>
              <w:color w:val="000000" w:themeColor="text1"/>
            </w:rPr>
            <w:t>024</w:t>
          </w:r>
          <w:r>
            <w:rPr>
              <w:rFonts w:hint="eastAsia"/>
              <w:color w:val="000000" w:themeColor="text1"/>
            </w:rPr>
            <w:t>年4月3日完成2</w:t>
          </w:r>
          <w:r>
            <w:rPr>
              <w:color w:val="000000" w:themeColor="text1"/>
            </w:rPr>
            <w:t>024</w:t>
          </w:r>
          <w:r>
            <w:rPr>
              <w:rFonts w:hint="eastAsia"/>
              <w:color w:val="000000" w:themeColor="text1"/>
            </w:rPr>
            <w:t>年限制性股票激励计划首次授予登记工作。具体详见公司于2</w:t>
          </w:r>
          <w:r>
            <w:rPr>
              <w:color w:val="000000" w:themeColor="text1"/>
            </w:rPr>
            <w:t>024</w:t>
          </w:r>
          <w:r>
            <w:rPr>
              <w:rFonts w:hint="eastAsia"/>
              <w:color w:val="000000" w:themeColor="text1"/>
            </w:rPr>
            <w:t>年4月9日在上海证券交易所官网（</w:t>
          </w:r>
          <w:r>
            <w:rPr>
              <w:color w:val="000000" w:themeColor="text1"/>
            </w:rPr>
            <w:t>www.sse.com.cn</w:t>
          </w:r>
          <w:r>
            <w:rPr>
              <w:rFonts w:hint="eastAsia"/>
              <w:color w:val="000000" w:themeColor="text1"/>
            </w:rPr>
            <w:t>）披露的《关于</w:t>
          </w:r>
          <w:r>
            <w:rPr>
              <w:color w:val="000000" w:themeColor="text1"/>
            </w:rPr>
            <w:t>2024年限制性股票激励计划首次授予结果公告</w:t>
          </w:r>
          <w:r>
            <w:rPr>
              <w:rFonts w:hint="eastAsia"/>
              <w:color w:val="000000" w:themeColor="text1"/>
            </w:rPr>
            <w:t>》（公告编号：2</w:t>
          </w:r>
          <w:r>
            <w:rPr>
              <w:color w:val="000000" w:themeColor="text1"/>
            </w:rPr>
            <w:t>024-029</w:t>
          </w:r>
          <w:r>
            <w:rPr>
              <w:rFonts w:hint="eastAsia"/>
              <w:color w:val="000000" w:themeColor="text1"/>
            </w:rPr>
            <w:t>）</w:t>
          </w:r>
        </w:p>
      </w:sdtContent>
    </w:sdt>
    <w:p w:rsidR="00597370" w:rsidRDefault="003C2EEE">
      <w:pPr>
        <w:pStyle w:val="4"/>
        <w:numPr>
          <w:ilvl w:val="2"/>
          <w:numId w:val="32"/>
        </w:numPr>
        <w:rPr>
          <w:rFonts w:ascii="宋体" w:hAnsi="宋体"/>
          <w:color w:val="000000" w:themeColor="text1"/>
        </w:rPr>
      </w:pPr>
      <w:r>
        <w:rPr>
          <w:rFonts w:ascii="宋体" w:hAnsi="宋体" w:hint="eastAsia"/>
          <w:color w:val="000000" w:themeColor="text1"/>
        </w:rPr>
        <w:t>报告期后到半年报披露日期间发生股份变动对每股收益、每股净资产等财务指标的影响（如有）</w:t>
      </w:r>
    </w:p>
    <w:sdt>
      <w:sdtPr>
        <w:rPr>
          <w:rFonts w:hint="eastAsia"/>
          <w:color w:val="000000" w:themeColor="text1"/>
        </w:rPr>
        <w:alias w:val="是否适用：普通股股份变动对最近一年和最近一期每股收益、每股净资产等财务指标的影响[双击切换]"/>
        <w:tag w:val="_GBC_bb0980f1589b4db8944ca5595f342bfe"/>
        <w:id w:val="88075414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2"/>
          <w:numId w:val="32"/>
        </w:numPr>
        <w:rPr>
          <w:rFonts w:ascii="宋体" w:hAnsi="宋体"/>
          <w:color w:val="000000" w:themeColor="text1"/>
        </w:rPr>
      </w:pPr>
      <w:r>
        <w:rPr>
          <w:rFonts w:ascii="宋体" w:hAnsi="宋体" w:hint="eastAsia"/>
          <w:color w:val="000000" w:themeColor="text1"/>
        </w:rPr>
        <w:t>公司认为必要或证券监管机构要求披露的其他内容</w:t>
      </w:r>
    </w:p>
    <w:sdt>
      <w:sdtPr>
        <w:rPr>
          <w:color w:val="000000" w:themeColor="text1"/>
        </w:rPr>
        <w:alias w:val="是否适用：公司认为必要或证券监管机构要求披露的其他内容[双击切换]"/>
        <w:tag w:val="_GBC_7554eed1e25047d282437f24056d532b"/>
        <w:id w:val="-15993129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3"/>
        <w:numPr>
          <w:ilvl w:val="1"/>
          <w:numId w:val="31"/>
        </w:numPr>
        <w:rPr>
          <w:rFonts w:ascii="宋体" w:hAnsi="宋体"/>
          <w:color w:val="000000" w:themeColor="text1"/>
        </w:rPr>
      </w:pPr>
      <w:r>
        <w:rPr>
          <w:rFonts w:ascii="宋体" w:hAnsi="宋体" w:hint="eastAsia"/>
          <w:color w:val="000000" w:themeColor="text1"/>
        </w:rPr>
        <w:t>限售股份变动情况</w:t>
      </w:r>
    </w:p>
    <w:sdt>
      <w:sdtPr>
        <w:rPr>
          <w:color w:val="000000" w:themeColor="text1"/>
        </w:rPr>
        <w:alias w:val="是否适用：限售股份变动情况表[双击切换]"/>
        <w:tag w:val="_GBC_6f5978a50e224b6aa94189436cdee711"/>
        <w:id w:val="195698625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 xml:space="preserve">单位： </w:t>
      </w:r>
      <w:sdt>
        <w:sdtPr>
          <w:rPr>
            <w:rFonts w:hint="eastAsia"/>
            <w:color w:val="000000" w:themeColor="text1"/>
          </w:rPr>
          <w:alias w:val="单位：限售股份变动情况表"/>
          <w:tag w:val="_GBC_bc29b2c9162c4de0949e481db63b6d68"/>
          <w:id w:val="1733347980"/>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color w:val="000000" w:themeColor="text1"/>
            </w:rPr>
            <w:t>股</w:t>
          </w:r>
        </w:sdtContent>
      </w:sdt>
    </w:p>
    <w:tbl>
      <w:tblPr>
        <w:tblStyle w:val="aff2"/>
        <w:tblW w:w="0" w:type="auto"/>
        <w:tblLook w:val="04A0" w:firstRow="1" w:lastRow="0" w:firstColumn="1" w:lastColumn="0" w:noHBand="0" w:noVBand="1"/>
      </w:tblPr>
      <w:tblGrid>
        <w:gridCol w:w="1249"/>
        <w:gridCol w:w="1249"/>
        <w:gridCol w:w="1249"/>
        <w:gridCol w:w="1274"/>
        <w:gridCol w:w="1274"/>
        <w:gridCol w:w="1259"/>
        <w:gridCol w:w="1269"/>
      </w:tblGrid>
      <w:tr w:rsidR="00597370">
        <w:sdt>
          <w:sdtPr>
            <w:rPr>
              <w:rFonts w:asciiTheme="minorEastAsia" w:eastAsiaTheme="minorEastAsia" w:hAnsiTheme="minorEastAsia"/>
              <w:color w:val="000000" w:themeColor="text1"/>
              <w:sz w:val="20"/>
              <w:szCs w:val="20"/>
            </w:rPr>
            <w:tag w:val="_PLD_8d75aaa1e1a6469c8b8d62739512a0d7"/>
            <w:id w:val="-1219363328"/>
          </w:sdtPr>
          <w:sdtEndPr/>
          <w:sdtContent>
            <w:tc>
              <w:tcPr>
                <w:tcW w:w="1249"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股东名称</w:t>
                </w:r>
              </w:p>
            </w:tc>
          </w:sdtContent>
        </w:sdt>
        <w:sdt>
          <w:sdtPr>
            <w:rPr>
              <w:rFonts w:asciiTheme="minorEastAsia" w:eastAsiaTheme="minorEastAsia" w:hAnsiTheme="minorEastAsia"/>
              <w:color w:val="000000" w:themeColor="text1"/>
              <w:sz w:val="20"/>
              <w:szCs w:val="20"/>
            </w:rPr>
            <w:tag w:val="_PLD_3634bb194c734c2696ff13517825df21"/>
            <w:id w:val="-1555610737"/>
          </w:sdtPr>
          <w:sdtEndPr/>
          <w:sdtContent>
            <w:tc>
              <w:tcPr>
                <w:tcW w:w="1249"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期初限售股数</w:t>
                </w:r>
              </w:p>
            </w:tc>
          </w:sdtContent>
        </w:sdt>
        <w:sdt>
          <w:sdtPr>
            <w:rPr>
              <w:rFonts w:asciiTheme="minorEastAsia" w:eastAsiaTheme="minorEastAsia" w:hAnsiTheme="minorEastAsia"/>
              <w:color w:val="000000" w:themeColor="text1"/>
              <w:sz w:val="20"/>
              <w:szCs w:val="20"/>
            </w:rPr>
            <w:tag w:val="_PLD_4755ca33c9824685a97cc3f88e193f67"/>
            <w:id w:val="521826201"/>
          </w:sdtPr>
          <w:sdtEndPr/>
          <w:sdtContent>
            <w:tc>
              <w:tcPr>
                <w:tcW w:w="1249"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报告期解除限售股数</w:t>
                </w:r>
              </w:p>
            </w:tc>
          </w:sdtContent>
        </w:sdt>
        <w:sdt>
          <w:sdtPr>
            <w:rPr>
              <w:rFonts w:asciiTheme="minorEastAsia" w:eastAsiaTheme="minorEastAsia" w:hAnsiTheme="minorEastAsia"/>
              <w:color w:val="000000" w:themeColor="text1"/>
              <w:sz w:val="20"/>
              <w:szCs w:val="20"/>
            </w:rPr>
            <w:tag w:val="_PLD_49473502339e4181be770f8a2d8de8a4"/>
            <w:id w:val="-1983385651"/>
          </w:sdtPr>
          <w:sdtEndPr/>
          <w:sdtContent>
            <w:tc>
              <w:tcPr>
                <w:tcW w:w="1274"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报告期增加限售股数</w:t>
                </w:r>
              </w:p>
            </w:tc>
          </w:sdtContent>
        </w:sdt>
        <w:sdt>
          <w:sdtPr>
            <w:rPr>
              <w:rFonts w:asciiTheme="minorEastAsia" w:eastAsiaTheme="minorEastAsia" w:hAnsiTheme="minorEastAsia"/>
              <w:color w:val="000000" w:themeColor="text1"/>
              <w:sz w:val="20"/>
              <w:szCs w:val="20"/>
            </w:rPr>
            <w:tag w:val="_PLD_c697098ebce54cc48717d1ac0dbb84dd"/>
            <w:id w:val="86976985"/>
          </w:sdtPr>
          <w:sdtEndPr/>
          <w:sdtContent>
            <w:tc>
              <w:tcPr>
                <w:tcW w:w="1274"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报告期末限售股数</w:t>
                </w:r>
              </w:p>
            </w:tc>
          </w:sdtContent>
        </w:sdt>
        <w:sdt>
          <w:sdtPr>
            <w:rPr>
              <w:rFonts w:asciiTheme="minorEastAsia" w:eastAsiaTheme="minorEastAsia" w:hAnsiTheme="minorEastAsia"/>
              <w:color w:val="000000" w:themeColor="text1"/>
              <w:sz w:val="20"/>
              <w:szCs w:val="20"/>
            </w:rPr>
            <w:tag w:val="_PLD_d0290f9781f3416fbffc73a7286c9b99"/>
            <w:id w:val="-1042280130"/>
          </w:sdtPr>
          <w:sdtEndPr/>
          <w:sdtContent>
            <w:tc>
              <w:tcPr>
                <w:tcW w:w="1259"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限售原因</w:t>
                </w:r>
              </w:p>
            </w:tc>
          </w:sdtContent>
        </w:sdt>
        <w:sdt>
          <w:sdtPr>
            <w:rPr>
              <w:rFonts w:asciiTheme="minorEastAsia" w:eastAsiaTheme="minorEastAsia" w:hAnsiTheme="minorEastAsia"/>
              <w:color w:val="000000" w:themeColor="text1"/>
              <w:sz w:val="20"/>
              <w:szCs w:val="20"/>
            </w:rPr>
            <w:tag w:val="_PLD_a14912db8c344a3b8e5608678863e824"/>
            <w:id w:val="-1080756414"/>
          </w:sdtPr>
          <w:sdtEndPr/>
          <w:sdtContent>
            <w:tc>
              <w:tcPr>
                <w:tcW w:w="1269"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解除限售日期</w:t>
                </w:r>
              </w:p>
            </w:tc>
          </w:sdtContent>
        </w:sdt>
      </w:tr>
      <w:tr w:rsidR="00597370">
        <w:tc>
          <w:tcPr>
            <w:tcW w:w="1249" w:type="dxa"/>
            <w:tcBorders>
              <w:top w:val="single" w:sz="4" w:space="0" w:color="000000"/>
              <w:left w:val="single" w:sz="4" w:space="0" w:color="000000"/>
              <w:bottom w:val="single" w:sz="4" w:space="0" w:color="000000"/>
              <w:right w:val="single" w:sz="4" w:space="0" w:color="000000"/>
            </w:tcBorders>
            <w:vAlign w:val="bottom"/>
          </w:tcPr>
          <w:p w:rsidR="00597370" w:rsidRDefault="003C2EEE">
            <w:pPr>
              <w:rPr>
                <w:rFonts w:asciiTheme="minorEastAsia" w:eastAsiaTheme="minorEastAsia" w:hAnsiTheme="minorEastAsia"/>
                <w:sz w:val="20"/>
                <w:szCs w:val="20"/>
              </w:rPr>
            </w:pPr>
            <w:r>
              <w:rPr>
                <w:rFonts w:cs="Times New Roman" w:hint="eastAsia"/>
                <w:color w:val="000000"/>
                <w:sz w:val="18"/>
                <w:szCs w:val="18"/>
              </w:rPr>
              <w:t>公司2024年度限制性股票激励计划首次授予57名激励对象</w:t>
            </w:r>
          </w:p>
        </w:tc>
        <w:tc>
          <w:tcPr>
            <w:tcW w:w="1249" w:type="dxa"/>
          </w:tcPr>
          <w:p w:rsidR="00597370" w:rsidRDefault="003C2EEE">
            <w:pPr>
              <w:jc w:val="right"/>
              <w:rPr>
                <w:rFonts w:asciiTheme="minorEastAsia" w:eastAsiaTheme="minorEastAsia" w:hAnsiTheme="minorEastAsia"/>
                <w:sz w:val="20"/>
                <w:szCs w:val="20"/>
              </w:rPr>
            </w:pPr>
            <w:r>
              <w:rPr>
                <w:rFonts w:cs="Times New Roman" w:hint="eastAsia"/>
                <w:sz w:val="18"/>
                <w:szCs w:val="18"/>
              </w:rPr>
              <w:t>0</w:t>
            </w:r>
          </w:p>
        </w:tc>
        <w:tc>
          <w:tcPr>
            <w:tcW w:w="1249" w:type="dxa"/>
          </w:tcPr>
          <w:p w:rsidR="00597370" w:rsidRDefault="003C2EEE">
            <w:pPr>
              <w:jc w:val="right"/>
              <w:rPr>
                <w:rFonts w:asciiTheme="minorEastAsia" w:eastAsiaTheme="minorEastAsia" w:hAnsiTheme="minorEastAsia"/>
                <w:sz w:val="20"/>
                <w:szCs w:val="20"/>
              </w:rPr>
            </w:pPr>
            <w:r>
              <w:rPr>
                <w:rFonts w:cs="Times New Roman" w:hint="eastAsia"/>
                <w:sz w:val="18"/>
                <w:szCs w:val="18"/>
              </w:rPr>
              <w:t>0</w:t>
            </w:r>
          </w:p>
        </w:tc>
        <w:tc>
          <w:tcPr>
            <w:tcW w:w="1274" w:type="dxa"/>
            <w:tcBorders>
              <w:top w:val="single" w:sz="4" w:space="0" w:color="000000"/>
              <w:left w:val="single" w:sz="4" w:space="0" w:color="000000"/>
              <w:bottom w:val="single" w:sz="4" w:space="0" w:color="000000"/>
              <w:right w:val="single" w:sz="4" w:space="0" w:color="000000"/>
            </w:tcBorders>
          </w:tcPr>
          <w:p w:rsidR="00597370" w:rsidRDefault="003C2EEE">
            <w:pPr>
              <w:jc w:val="right"/>
              <w:rPr>
                <w:rFonts w:asciiTheme="minorEastAsia" w:eastAsiaTheme="minorEastAsia" w:hAnsiTheme="minorEastAsia"/>
                <w:sz w:val="20"/>
                <w:szCs w:val="20"/>
              </w:rPr>
            </w:pPr>
            <w:r>
              <w:rPr>
                <w:rFonts w:cs="Times New Roman" w:hint="eastAsia"/>
                <w:sz w:val="18"/>
                <w:szCs w:val="18"/>
              </w:rPr>
              <w:t xml:space="preserve">2,550,000 </w:t>
            </w:r>
          </w:p>
        </w:tc>
        <w:tc>
          <w:tcPr>
            <w:tcW w:w="1274" w:type="dxa"/>
          </w:tcPr>
          <w:p w:rsidR="00597370" w:rsidRDefault="003C2EEE">
            <w:pPr>
              <w:jc w:val="right"/>
              <w:rPr>
                <w:rFonts w:asciiTheme="minorEastAsia" w:eastAsiaTheme="minorEastAsia" w:hAnsiTheme="minorEastAsia"/>
                <w:sz w:val="20"/>
                <w:szCs w:val="20"/>
              </w:rPr>
            </w:pPr>
            <w:r>
              <w:rPr>
                <w:rFonts w:cs="Times New Roman" w:hint="eastAsia"/>
                <w:sz w:val="18"/>
                <w:szCs w:val="18"/>
              </w:rPr>
              <w:t xml:space="preserve">2,550,000  </w:t>
            </w:r>
          </w:p>
        </w:tc>
        <w:tc>
          <w:tcPr>
            <w:tcW w:w="1259" w:type="dxa"/>
          </w:tcPr>
          <w:p w:rsidR="00597370" w:rsidRDefault="003C2EEE">
            <w:pPr>
              <w:rPr>
                <w:rFonts w:asciiTheme="minorEastAsia" w:eastAsiaTheme="minorEastAsia" w:hAnsiTheme="minorEastAsia"/>
                <w:sz w:val="20"/>
                <w:szCs w:val="20"/>
              </w:rPr>
            </w:pPr>
            <w:r>
              <w:rPr>
                <w:rFonts w:cs="Times New Roman" w:hint="eastAsia"/>
                <w:sz w:val="18"/>
                <w:szCs w:val="18"/>
              </w:rPr>
              <w:t>2024年限制性股票激励计划首次授予</w:t>
            </w:r>
          </w:p>
        </w:tc>
        <w:tc>
          <w:tcPr>
            <w:tcW w:w="1269" w:type="dxa"/>
          </w:tcPr>
          <w:p w:rsidR="00597370" w:rsidRDefault="003C2EEE">
            <w:pPr>
              <w:rPr>
                <w:rFonts w:asciiTheme="minorEastAsia" w:eastAsiaTheme="minorEastAsia" w:hAnsiTheme="minorEastAsia"/>
                <w:sz w:val="20"/>
                <w:szCs w:val="20"/>
              </w:rPr>
            </w:pPr>
            <w:r>
              <w:rPr>
                <w:rFonts w:cs="Times New Roman" w:hint="eastAsia"/>
                <w:sz w:val="18"/>
                <w:szCs w:val="18"/>
              </w:rPr>
              <w:t>根据《2024年限制性股票激励计划》相关规定分批解除限售</w:t>
            </w:r>
          </w:p>
        </w:tc>
      </w:tr>
      <w:tr w:rsidR="00597370">
        <w:tc>
          <w:tcPr>
            <w:tcW w:w="1249"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合计</w:t>
            </w:r>
          </w:p>
        </w:tc>
        <w:tc>
          <w:tcPr>
            <w:tcW w:w="1249" w:type="dxa"/>
          </w:tcPr>
          <w:p w:rsidR="00597370" w:rsidRDefault="003C2EEE">
            <w:pPr>
              <w:jc w:val="right"/>
              <w:rPr>
                <w:rFonts w:asciiTheme="minorEastAsia" w:eastAsiaTheme="minorEastAsia" w:hAnsiTheme="minorEastAsia"/>
                <w:sz w:val="20"/>
                <w:szCs w:val="20"/>
              </w:rPr>
            </w:pPr>
            <w:r>
              <w:rPr>
                <w:rFonts w:cs="Times New Roman" w:hint="eastAsia"/>
                <w:sz w:val="20"/>
                <w:szCs w:val="20"/>
              </w:rPr>
              <w:t>0</w:t>
            </w:r>
          </w:p>
        </w:tc>
        <w:tc>
          <w:tcPr>
            <w:tcW w:w="1249" w:type="dxa"/>
          </w:tcPr>
          <w:p w:rsidR="00597370" w:rsidRDefault="003C2EEE">
            <w:pPr>
              <w:jc w:val="right"/>
              <w:rPr>
                <w:rFonts w:asciiTheme="minorEastAsia" w:eastAsiaTheme="minorEastAsia" w:hAnsiTheme="minorEastAsia"/>
                <w:sz w:val="20"/>
                <w:szCs w:val="20"/>
              </w:rPr>
            </w:pPr>
            <w:r>
              <w:rPr>
                <w:rFonts w:cs="Times New Roman" w:hint="eastAsia"/>
                <w:sz w:val="20"/>
                <w:szCs w:val="20"/>
              </w:rPr>
              <w:t>0</w:t>
            </w:r>
          </w:p>
        </w:tc>
        <w:tc>
          <w:tcPr>
            <w:tcW w:w="1274" w:type="dxa"/>
          </w:tcPr>
          <w:p w:rsidR="00597370" w:rsidRDefault="003C2EEE">
            <w:pPr>
              <w:jc w:val="right"/>
              <w:rPr>
                <w:rFonts w:asciiTheme="minorEastAsia" w:eastAsiaTheme="minorEastAsia" w:hAnsiTheme="minorEastAsia"/>
                <w:sz w:val="20"/>
                <w:szCs w:val="20"/>
              </w:rPr>
            </w:pPr>
            <w:r>
              <w:rPr>
                <w:rFonts w:cs="Times New Roman" w:hint="eastAsia"/>
                <w:sz w:val="20"/>
                <w:szCs w:val="20"/>
              </w:rPr>
              <w:t xml:space="preserve">2,550,000 </w:t>
            </w:r>
          </w:p>
        </w:tc>
        <w:tc>
          <w:tcPr>
            <w:tcW w:w="1274" w:type="dxa"/>
          </w:tcPr>
          <w:p w:rsidR="00597370" w:rsidRDefault="003C2EEE">
            <w:pPr>
              <w:jc w:val="right"/>
              <w:rPr>
                <w:rFonts w:asciiTheme="minorEastAsia" w:eastAsiaTheme="minorEastAsia" w:hAnsiTheme="minorEastAsia"/>
                <w:sz w:val="20"/>
                <w:szCs w:val="20"/>
              </w:rPr>
            </w:pPr>
            <w:r>
              <w:rPr>
                <w:rFonts w:cs="Times New Roman" w:hint="eastAsia"/>
                <w:sz w:val="20"/>
                <w:szCs w:val="20"/>
              </w:rPr>
              <w:t xml:space="preserve">2,550,000 </w:t>
            </w:r>
          </w:p>
        </w:tc>
        <w:tc>
          <w:tcPr>
            <w:tcW w:w="1259"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p>
        </w:tc>
        <w:tc>
          <w:tcPr>
            <w:tcW w:w="1269" w:type="dxa"/>
            <w:vAlign w:val="center"/>
          </w:tcPr>
          <w:p w:rsidR="00597370" w:rsidRDefault="003C2EEE">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p>
        </w:tc>
      </w:tr>
    </w:tbl>
    <w:p w:rsidR="00597370" w:rsidRDefault="00597370">
      <w:pPr>
        <w:rPr>
          <w:color w:val="000000" w:themeColor="text1"/>
        </w:rPr>
      </w:pPr>
    </w:p>
    <w:p w:rsidR="00597370" w:rsidRDefault="003C2EEE">
      <w:pPr>
        <w:pStyle w:val="2"/>
        <w:numPr>
          <w:ilvl w:val="0"/>
          <w:numId w:val="30"/>
        </w:numPr>
        <w:spacing w:line="360" w:lineRule="auto"/>
        <w:ind w:left="422" w:hanging="422"/>
        <w:rPr>
          <w:rFonts w:ascii="宋体" w:hAnsi="宋体"/>
          <w:color w:val="000000" w:themeColor="text1"/>
        </w:rPr>
      </w:pPr>
      <w:r>
        <w:rPr>
          <w:rFonts w:ascii="宋体" w:hAnsi="宋体"/>
          <w:color w:val="000000" w:themeColor="text1"/>
        </w:rPr>
        <w:t>股东情况</w:t>
      </w:r>
      <w:bookmarkEnd w:id="85"/>
      <w:bookmarkEnd w:id="86"/>
    </w:p>
    <w:p w:rsidR="00597370" w:rsidRDefault="003C2EEE">
      <w:pPr>
        <w:pStyle w:val="3"/>
        <w:numPr>
          <w:ilvl w:val="1"/>
          <w:numId w:val="33"/>
        </w:numPr>
        <w:rPr>
          <w:rFonts w:ascii="宋体" w:hAnsi="宋体"/>
          <w:color w:val="000000" w:themeColor="text1"/>
        </w:rPr>
      </w:pPr>
      <w:r>
        <w:rPr>
          <w:rFonts w:ascii="宋体" w:hAnsi="宋体"/>
          <w:color w:val="000000" w:themeColor="text1"/>
        </w:rPr>
        <w:t>股东总数：</w:t>
      </w:r>
    </w:p>
    <w:tbl>
      <w:tblPr>
        <w:tblStyle w:val="aff2"/>
        <w:tblW w:w="0" w:type="auto"/>
        <w:tblLook w:val="04A0" w:firstRow="1" w:lastRow="0" w:firstColumn="1" w:lastColumn="0" w:noHBand="0" w:noVBand="1"/>
      </w:tblPr>
      <w:tblGrid>
        <w:gridCol w:w="4942"/>
        <w:gridCol w:w="3881"/>
      </w:tblGrid>
      <w:tr w:rsidR="00597370">
        <w:sdt>
          <w:sdtPr>
            <w:rPr>
              <w:rFonts w:ascii="Times New Roman" w:hAnsi="Times New Roman"/>
              <w:color w:val="000000" w:themeColor="text1"/>
            </w:rPr>
            <w:tag w:val="_PLD_9206d6884981495295105158630a6172"/>
            <w:id w:val="164211793"/>
          </w:sdtPr>
          <w:sdtEndPr/>
          <w:sdtContent>
            <w:tc>
              <w:tcPr>
                <w:tcW w:w="5070" w:type="dxa"/>
              </w:tcPr>
              <w:p w:rsidR="00597370" w:rsidRDefault="003C2EEE">
                <w:pPr>
                  <w:rPr>
                    <w:rFonts w:ascii="Times New Roman" w:hAnsi="Times New Roman"/>
                    <w:color w:val="000000" w:themeColor="text1"/>
                  </w:rPr>
                </w:pPr>
                <w:r>
                  <w:rPr>
                    <w:rFonts w:ascii="Times New Roman" w:hAnsi="Times New Roman"/>
                    <w:color w:val="000000" w:themeColor="text1"/>
                  </w:rPr>
                  <w:t>截至报告期末</w:t>
                </w:r>
                <w:r>
                  <w:rPr>
                    <w:rFonts w:ascii="Times New Roman" w:hAnsi="Times New Roman" w:hint="eastAsia"/>
                    <w:color w:val="000000" w:themeColor="text1"/>
                  </w:rPr>
                  <w:t>普通股</w:t>
                </w:r>
                <w:r>
                  <w:rPr>
                    <w:rFonts w:ascii="Times New Roman" w:hAnsi="Times New Roman"/>
                    <w:color w:val="000000" w:themeColor="text1"/>
                  </w:rPr>
                  <w:t>股东总数</w:t>
                </w:r>
                <w:r>
                  <w:rPr>
                    <w:rFonts w:ascii="Times New Roman" w:hAnsi="Times New Roman"/>
                    <w:color w:val="000000" w:themeColor="text1"/>
                  </w:rPr>
                  <w:t>(</w:t>
                </w:r>
                <w:r>
                  <w:rPr>
                    <w:rFonts w:ascii="Times New Roman" w:hAnsi="Times New Roman"/>
                    <w:color w:val="000000" w:themeColor="text1"/>
                  </w:rPr>
                  <w:t>户</w:t>
                </w:r>
                <w:r>
                  <w:rPr>
                    <w:rFonts w:ascii="Times New Roman" w:hAnsi="Times New Roman"/>
                    <w:color w:val="000000" w:themeColor="text1"/>
                  </w:rPr>
                  <w:t>)</w:t>
                </w:r>
              </w:p>
            </w:tc>
          </w:sdtContent>
        </w:sdt>
        <w:tc>
          <w:tcPr>
            <w:tcW w:w="3978" w:type="dxa"/>
          </w:tcPr>
          <w:p w:rsidR="00597370" w:rsidRDefault="003C2EEE">
            <w:pPr>
              <w:jc w:val="right"/>
              <w:rPr>
                <w:rFonts w:ascii="Times New Roman" w:hAnsi="Times New Roman"/>
                <w:color w:val="000000" w:themeColor="text1"/>
              </w:rPr>
            </w:pPr>
            <w:r>
              <w:rPr>
                <w:rFonts w:ascii="Times New Roman" w:hAnsi="Times New Roman"/>
                <w:color w:val="000000" w:themeColor="text1"/>
              </w:rPr>
              <w:t>30,515</w:t>
            </w:r>
          </w:p>
        </w:tc>
      </w:tr>
      <w:tr w:rsidR="00597370">
        <w:tc>
          <w:tcPr>
            <w:tcW w:w="5070" w:type="dxa"/>
          </w:tcPr>
          <w:p w:rsidR="00597370" w:rsidRDefault="003C2EEE">
            <w:pPr>
              <w:rPr>
                <w:rFonts w:ascii="Times New Roman" w:hAnsi="Times New Roman"/>
                <w:color w:val="000000" w:themeColor="text1"/>
              </w:rPr>
            </w:pPr>
            <w:r>
              <w:rPr>
                <w:rFonts w:ascii="Times New Roman" w:hAnsi="Times New Roman" w:hint="eastAsia"/>
                <w:color w:val="000000" w:themeColor="text1"/>
              </w:rPr>
              <w:t>截至报告期末表决权恢复的优先股股东总数（户）</w:t>
            </w:r>
          </w:p>
        </w:tc>
        <w:tc>
          <w:tcPr>
            <w:tcW w:w="3978" w:type="dxa"/>
          </w:tcPr>
          <w:p w:rsidR="00597370" w:rsidRDefault="003C2EEE">
            <w:pPr>
              <w:jc w:val="right"/>
              <w:rPr>
                <w:rFonts w:ascii="Times New Roman" w:hAnsi="Times New Roman"/>
              </w:rPr>
            </w:pPr>
            <w:r>
              <w:rPr>
                <w:rFonts w:ascii="Times New Roman" w:hAnsi="Times New Roman" w:hint="eastAsia"/>
              </w:rPr>
              <w:t>0</w:t>
            </w:r>
          </w:p>
        </w:tc>
      </w:tr>
    </w:tbl>
    <w:p w:rsidR="00597370" w:rsidRDefault="00597370">
      <w:pPr>
        <w:rPr>
          <w:color w:val="000000" w:themeColor="text1"/>
        </w:rPr>
      </w:pPr>
    </w:p>
    <w:p w:rsidR="00597370" w:rsidRDefault="003C2EEE">
      <w:pPr>
        <w:pStyle w:val="3"/>
        <w:numPr>
          <w:ilvl w:val="1"/>
          <w:numId w:val="33"/>
        </w:numPr>
        <w:rPr>
          <w:rFonts w:ascii="宋体" w:hAnsi="宋体"/>
          <w:color w:val="000000" w:themeColor="text1"/>
        </w:rPr>
      </w:pPr>
      <w:r>
        <w:rPr>
          <w:rFonts w:ascii="宋体" w:hAnsi="宋体"/>
          <w:color w:val="000000" w:themeColor="text1"/>
        </w:rPr>
        <w:t>截至报告</w:t>
      </w:r>
      <w:proofErr w:type="gramStart"/>
      <w:r>
        <w:rPr>
          <w:rFonts w:ascii="宋体" w:hAnsi="宋体"/>
          <w:color w:val="000000" w:themeColor="text1"/>
        </w:rPr>
        <w:t>期末前</w:t>
      </w:r>
      <w:proofErr w:type="gramEnd"/>
      <w:r>
        <w:rPr>
          <w:rFonts w:ascii="宋体" w:hAnsi="宋体"/>
          <w:color w:val="000000" w:themeColor="text1"/>
        </w:rPr>
        <w:t>十名股东、前十名流通股东（或无限</w:t>
      </w:r>
      <w:proofErr w:type="gramStart"/>
      <w:r>
        <w:rPr>
          <w:rFonts w:ascii="宋体" w:hAnsi="宋体"/>
          <w:color w:val="000000" w:themeColor="text1"/>
        </w:rPr>
        <w:t>售条件</w:t>
      </w:r>
      <w:proofErr w:type="gramEnd"/>
      <w:r>
        <w:rPr>
          <w:rFonts w:ascii="宋体" w:hAnsi="宋体"/>
          <w:color w:val="000000" w:themeColor="text1"/>
        </w:rPr>
        <w:t>股东）持股情况表</w:t>
      </w:r>
    </w:p>
    <w:p w:rsidR="00597370" w:rsidRDefault="003C2EEE">
      <w:pPr>
        <w:jc w:val="right"/>
        <w:rPr>
          <w:color w:val="000000" w:themeColor="text1"/>
        </w:rPr>
      </w:pPr>
      <w:r>
        <w:rPr>
          <w:color w:val="000000" w:themeColor="text1"/>
        </w:rPr>
        <w:t>单位：</w:t>
      </w:r>
      <w:sdt>
        <w:sdtPr>
          <w:rPr>
            <w:bCs w:val="0"/>
            <w:color w:val="000000" w:themeColor="text1"/>
          </w:rPr>
          <w:alias w:val="单位：前十名股东持股情况"/>
          <w:tag w:val="_GBC_9d020b31dcb449c980ed0856cf6dae82"/>
          <w:id w:val="-35047259"/>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color w:val="000000" w:themeColor="text1"/>
            </w:rPr>
            <w:t>股</w:t>
          </w:r>
        </w:sdtContent>
      </w:sdt>
    </w:p>
    <w:tbl>
      <w:tblPr>
        <w:tblStyle w:val="g2"/>
        <w:tblW w:w="0" w:type="auto"/>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256"/>
        <w:gridCol w:w="1433"/>
        <w:gridCol w:w="861"/>
        <w:gridCol w:w="1645"/>
        <w:gridCol w:w="1044"/>
        <w:gridCol w:w="259"/>
        <w:gridCol w:w="352"/>
        <w:gridCol w:w="1010"/>
      </w:tblGrid>
      <w:tr w:rsidR="00597370">
        <w:trPr>
          <w:cantSplit/>
          <w:jc w:val="right"/>
        </w:trPr>
        <w:sdt>
          <w:sdtPr>
            <w:rPr>
              <w:rFonts w:ascii="宋体" w:hAnsi="宋体"/>
              <w:color w:val="000000" w:themeColor="text1"/>
              <w:sz w:val="20"/>
              <w:szCs w:val="20"/>
            </w:rPr>
            <w:tag w:val="_PLD_3038da138bad4905b589aeba821a8575"/>
            <w:id w:val="1547260897"/>
          </w:sdtPr>
          <w:sdtEndPr/>
          <w:sdtContent>
            <w:tc>
              <w:tcPr>
                <w:tcW w:w="0" w:type="auto"/>
                <w:gridSpan w:val="9"/>
                <w:shd w:val="clear" w:color="auto" w:fill="auto"/>
                <w:vAlign w:val="center"/>
              </w:tcPr>
              <w:p w:rsidR="00597370" w:rsidRDefault="003C2EEE">
                <w:pPr>
                  <w:pStyle w:val="ab"/>
                  <w:jc w:val="center"/>
                  <w:rPr>
                    <w:rFonts w:ascii="宋体" w:hAnsi="宋体"/>
                    <w:color w:val="000000" w:themeColor="text1"/>
                    <w:sz w:val="20"/>
                    <w:szCs w:val="20"/>
                  </w:rPr>
                </w:pPr>
                <w:r>
                  <w:rPr>
                    <w:rFonts w:ascii="宋体" w:hAnsi="宋体"/>
                    <w:color w:val="000000" w:themeColor="text1"/>
                    <w:sz w:val="20"/>
                    <w:szCs w:val="20"/>
                  </w:rPr>
                  <w:t>前十名股东持股情况</w:t>
                </w:r>
                <w:r>
                  <w:rPr>
                    <w:rFonts w:ascii="宋体" w:hAnsi="宋体" w:hint="eastAsia"/>
                    <w:color w:val="000000" w:themeColor="text1"/>
                    <w:sz w:val="20"/>
                    <w:szCs w:val="20"/>
                  </w:rPr>
                  <w:t>（不含通过转融通出借股份）</w:t>
                </w:r>
              </w:p>
            </w:tc>
          </w:sdtContent>
        </w:sdt>
      </w:tr>
      <w:tr w:rsidR="00597370">
        <w:trPr>
          <w:cantSplit/>
          <w:jc w:val="right"/>
        </w:trPr>
        <w:sdt>
          <w:sdtPr>
            <w:rPr>
              <w:color w:val="000000" w:themeColor="text1"/>
              <w:sz w:val="20"/>
              <w:szCs w:val="20"/>
            </w:rPr>
            <w:tag w:val="_PLD_80eda5ca76254dc1b950ed7de7dc5885"/>
            <w:id w:val="977805585"/>
          </w:sdtPr>
          <w:sdtEndPr/>
          <w:sdtContent>
            <w:tc>
              <w:tcPr>
                <w:tcW w:w="0" w:type="auto"/>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股东名称</w:t>
                </w:r>
              </w:p>
              <w:p w:rsidR="00597370" w:rsidRDefault="003C2EEE">
                <w:pPr>
                  <w:jc w:val="center"/>
                  <w:rPr>
                    <w:color w:val="000000" w:themeColor="text1"/>
                    <w:sz w:val="20"/>
                    <w:szCs w:val="20"/>
                  </w:rPr>
                </w:pPr>
                <w:r>
                  <w:rPr>
                    <w:rFonts w:hint="eastAsia"/>
                    <w:color w:val="000000" w:themeColor="text1"/>
                    <w:sz w:val="20"/>
                    <w:szCs w:val="20"/>
                  </w:rPr>
                  <w:t>（全称）</w:t>
                </w:r>
              </w:p>
            </w:tc>
          </w:sdtContent>
        </w:sdt>
        <w:sdt>
          <w:sdtPr>
            <w:rPr>
              <w:color w:val="000000" w:themeColor="text1"/>
              <w:sz w:val="20"/>
              <w:szCs w:val="20"/>
            </w:rPr>
            <w:tag w:val="_PLD_ca2ffd3fc186426e98aac562ecc1ba54"/>
            <w:id w:val="-832068691"/>
          </w:sdtPr>
          <w:sdtEndPr/>
          <w:sdtContent>
            <w:tc>
              <w:tcPr>
                <w:tcW w:w="0" w:type="auto"/>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报告期内增减</w:t>
                </w:r>
              </w:p>
            </w:tc>
          </w:sdtContent>
        </w:sdt>
        <w:sdt>
          <w:sdtPr>
            <w:rPr>
              <w:color w:val="000000" w:themeColor="text1"/>
              <w:sz w:val="20"/>
              <w:szCs w:val="20"/>
            </w:rPr>
            <w:tag w:val="_PLD_084006d53bec42bea9418fc4576a1210"/>
            <w:id w:val="-1907299527"/>
          </w:sdtPr>
          <w:sdtEndPr/>
          <w:sdtContent>
            <w:tc>
              <w:tcPr>
                <w:tcW w:w="0" w:type="auto"/>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期末持股数量</w:t>
                </w:r>
              </w:p>
            </w:tc>
          </w:sdtContent>
        </w:sdt>
        <w:sdt>
          <w:sdtPr>
            <w:rPr>
              <w:color w:val="000000" w:themeColor="text1"/>
              <w:sz w:val="20"/>
              <w:szCs w:val="20"/>
            </w:rPr>
            <w:tag w:val="_PLD_f27008de77ee4b27b35e2ae22d35699c"/>
            <w:id w:val="1322772218"/>
          </w:sdtPr>
          <w:sdtEndPr/>
          <w:sdtContent>
            <w:tc>
              <w:tcPr>
                <w:tcW w:w="0" w:type="auto"/>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比例(%)</w:t>
                </w:r>
              </w:p>
            </w:tc>
          </w:sdtContent>
        </w:sdt>
        <w:sdt>
          <w:sdtPr>
            <w:rPr>
              <w:rFonts w:ascii="宋体" w:hAnsi="宋体"/>
              <w:color w:val="000000" w:themeColor="text1"/>
              <w:sz w:val="20"/>
              <w:szCs w:val="20"/>
            </w:rPr>
            <w:tag w:val="_PLD_34fcc5fa9a414555bef1b48aa74c8135"/>
            <w:id w:val="2068609144"/>
          </w:sdtPr>
          <w:sdtEndPr/>
          <w:sdtContent>
            <w:tc>
              <w:tcPr>
                <w:tcW w:w="0" w:type="auto"/>
                <w:vMerge w:val="restart"/>
                <w:shd w:val="clear" w:color="auto" w:fill="auto"/>
                <w:vAlign w:val="center"/>
              </w:tcPr>
              <w:p w:rsidR="00597370" w:rsidRDefault="003C2EEE">
                <w:pPr>
                  <w:pStyle w:val="a3"/>
                  <w:rPr>
                    <w:rFonts w:ascii="宋体" w:hAnsi="宋体"/>
                    <w:bCs w:val="0"/>
                    <w:color w:val="000000" w:themeColor="text1"/>
                    <w:sz w:val="20"/>
                    <w:szCs w:val="20"/>
                  </w:rPr>
                </w:pPr>
                <w:r>
                  <w:rPr>
                    <w:rFonts w:ascii="宋体" w:hAnsi="宋体"/>
                    <w:color w:val="000000" w:themeColor="text1"/>
                    <w:sz w:val="20"/>
                    <w:szCs w:val="20"/>
                  </w:rPr>
                  <w:t>持有有限</w:t>
                </w:r>
                <w:proofErr w:type="gramStart"/>
                <w:r>
                  <w:rPr>
                    <w:rFonts w:ascii="宋体" w:hAnsi="宋体"/>
                    <w:color w:val="000000" w:themeColor="text1"/>
                    <w:sz w:val="20"/>
                    <w:szCs w:val="20"/>
                  </w:rPr>
                  <w:t>售条件</w:t>
                </w:r>
                <w:proofErr w:type="gramEnd"/>
                <w:r>
                  <w:rPr>
                    <w:rFonts w:ascii="宋体" w:hAnsi="宋体"/>
                    <w:color w:val="000000" w:themeColor="text1"/>
                    <w:sz w:val="20"/>
                    <w:szCs w:val="20"/>
                  </w:rPr>
                  <w:t>股份数量</w:t>
                </w:r>
              </w:p>
            </w:tc>
          </w:sdtContent>
        </w:sdt>
        <w:sdt>
          <w:sdtPr>
            <w:rPr>
              <w:color w:val="000000" w:themeColor="text1"/>
              <w:sz w:val="20"/>
              <w:szCs w:val="20"/>
            </w:rPr>
            <w:tag w:val="_PLD_94fbee67e09740e59eb90272af77b58a"/>
            <w:id w:val="-315572660"/>
          </w:sdtPr>
          <w:sdtEndPr/>
          <w:sdtContent>
            <w:tc>
              <w:tcPr>
                <w:tcW w:w="0" w:type="auto"/>
                <w:gridSpan w:val="3"/>
                <w:shd w:val="clear" w:color="auto" w:fill="auto"/>
                <w:vAlign w:val="center"/>
              </w:tcPr>
              <w:p w:rsidR="00597370" w:rsidRDefault="003C2EEE">
                <w:pPr>
                  <w:jc w:val="center"/>
                  <w:rPr>
                    <w:color w:val="000000" w:themeColor="text1"/>
                    <w:sz w:val="20"/>
                    <w:szCs w:val="20"/>
                  </w:rPr>
                </w:pPr>
                <w:r>
                  <w:rPr>
                    <w:color w:val="000000" w:themeColor="text1"/>
                    <w:sz w:val="20"/>
                    <w:szCs w:val="20"/>
                  </w:rPr>
                  <w:t>质押</w:t>
                </w:r>
                <w:r>
                  <w:rPr>
                    <w:rFonts w:hint="eastAsia"/>
                    <w:color w:val="000000" w:themeColor="text1"/>
                    <w:sz w:val="20"/>
                    <w:szCs w:val="20"/>
                  </w:rPr>
                  <w:t>、标记</w:t>
                </w:r>
                <w:r>
                  <w:rPr>
                    <w:color w:val="000000" w:themeColor="text1"/>
                    <w:sz w:val="20"/>
                    <w:szCs w:val="20"/>
                  </w:rPr>
                  <w:t>或冻结情况</w:t>
                </w:r>
              </w:p>
            </w:tc>
          </w:sdtContent>
        </w:sdt>
        <w:sdt>
          <w:sdtPr>
            <w:rPr>
              <w:color w:val="000000" w:themeColor="text1"/>
              <w:sz w:val="20"/>
              <w:szCs w:val="20"/>
            </w:rPr>
            <w:tag w:val="_PLD_2228ecf4db6a4362bff11fe1e2d3c903"/>
            <w:id w:val="-776484671"/>
          </w:sdtPr>
          <w:sdtEndPr/>
          <w:sdtContent>
            <w:tc>
              <w:tcPr>
                <w:tcW w:w="0" w:type="auto"/>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股东性质</w:t>
                </w:r>
              </w:p>
            </w:tc>
          </w:sdtContent>
        </w:sdt>
      </w:tr>
      <w:tr w:rsidR="00597370">
        <w:trPr>
          <w:cantSplit/>
          <w:jc w:val="right"/>
        </w:trPr>
        <w:tc>
          <w:tcPr>
            <w:tcW w:w="0" w:type="auto"/>
            <w:vMerge/>
            <w:tcBorders>
              <w:bottom w:val="single" w:sz="4" w:space="0" w:color="auto"/>
            </w:tcBorders>
            <w:shd w:val="clear" w:color="auto" w:fill="auto"/>
            <w:vAlign w:val="center"/>
          </w:tcPr>
          <w:p w:rsidR="00597370" w:rsidRDefault="00597370">
            <w:pPr>
              <w:jc w:val="center"/>
              <w:rPr>
                <w:color w:val="000000" w:themeColor="text1"/>
                <w:sz w:val="20"/>
                <w:szCs w:val="20"/>
              </w:rPr>
            </w:pPr>
          </w:p>
        </w:tc>
        <w:tc>
          <w:tcPr>
            <w:tcW w:w="0" w:type="auto"/>
            <w:vMerge/>
            <w:tcBorders>
              <w:bottom w:val="single" w:sz="4" w:space="0" w:color="auto"/>
            </w:tcBorders>
            <w:shd w:val="clear" w:color="auto" w:fill="auto"/>
            <w:vAlign w:val="center"/>
          </w:tcPr>
          <w:p w:rsidR="00597370" w:rsidRDefault="00597370">
            <w:pPr>
              <w:jc w:val="center"/>
              <w:rPr>
                <w:color w:val="000000" w:themeColor="text1"/>
                <w:sz w:val="20"/>
                <w:szCs w:val="20"/>
              </w:rPr>
            </w:pPr>
          </w:p>
        </w:tc>
        <w:tc>
          <w:tcPr>
            <w:tcW w:w="0" w:type="auto"/>
            <w:vMerge/>
            <w:tcBorders>
              <w:bottom w:val="single" w:sz="4" w:space="0" w:color="auto"/>
            </w:tcBorders>
            <w:shd w:val="clear" w:color="auto" w:fill="auto"/>
            <w:vAlign w:val="center"/>
          </w:tcPr>
          <w:p w:rsidR="00597370" w:rsidRDefault="00597370">
            <w:pPr>
              <w:jc w:val="center"/>
              <w:rPr>
                <w:color w:val="000000" w:themeColor="text1"/>
                <w:sz w:val="20"/>
                <w:szCs w:val="20"/>
              </w:rPr>
            </w:pPr>
          </w:p>
        </w:tc>
        <w:tc>
          <w:tcPr>
            <w:tcW w:w="0" w:type="auto"/>
            <w:vMerge/>
            <w:tcBorders>
              <w:bottom w:val="single" w:sz="4" w:space="0" w:color="auto"/>
            </w:tcBorders>
            <w:shd w:val="clear" w:color="auto" w:fill="auto"/>
            <w:vAlign w:val="center"/>
          </w:tcPr>
          <w:p w:rsidR="00597370" w:rsidRDefault="00597370">
            <w:pPr>
              <w:jc w:val="center"/>
              <w:rPr>
                <w:color w:val="000000" w:themeColor="text1"/>
                <w:sz w:val="20"/>
                <w:szCs w:val="20"/>
              </w:rPr>
            </w:pPr>
          </w:p>
        </w:tc>
        <w:tc>
          <w:tcPr>
            <w:tcW w:w="0" w:type="auto"/>
            <w:vMerge/>
            <w:tcBorders>
              <w:bottom w:val="single" w:sz="4" w:space="0" w:color="auto"/>
            </w:tcBorders>
            <w:shd w:val="clear" w:color="auto" w:fill="auto"/>
            <w:vAlign w:val="center"/>
          </w:tcPr>
          <w:p w:rsidR="00597370" w:rsidRDefault="00597370">
            <w:pPr>
              <w:jc w:val="center"/>
              <w:rPr>
                <w:color w:val="000000" w:themeColor="text1"/>
                <w:sz w:val="20"/>
                <w:szCs w:val="20"/>
              </w:rPr>
            </w:pPr>
          </w:p>
        </w:tc>
        <w:sdt>
          <w:sdtPr>
            <w:rPr>
              <w:color w:val="000000" w:themeColor="text1"/>
              <w:sz w:val="20"/>
              <w:szCs w:val="20"/>
            </w:rPr>
            <w:tag w:val="_PLD_45bf36a531de47beb596ebacadac576a"/>
            <w:id w:val="183567577"/>
          </w:sdtPr>
          <w:sdtEndPr/>
          <w:sdtContent>
            <w:tc>
              <w:tcPr>
                <w:tcW w:w="0" w:type="auto"/>
                <w:tcBorders>
                  <w:bottom w:val="single" w:sz="4" w:space="0" w:color="auto"/>
                </w:tcBorders>
                <w:shd w:val="clear" w:color="auto" w:fill="auto"/>
                <w:vAlign w:val="center"/>
              </w:tcPr>
              <w:p w:rsidR="00597370" w:rsidRDefault="003C2EEE">
                <w:pPr>
                  <w:jc w:val="center"/>
                  <w:rPr>
                    <w:color w:val="000000" w:themeColor="text1"/>
                    <w:sz w:val="20"/>
                    <w:szCs w:val="20"/>
                  </w:rPr>
                </w:pPr>
                <w:r>
                  <w:rPr>
                    <w:color w:val="000000" w:themeColor="text1"/>
                    <w:sz w:val="20"/>
                    <w:szCs w:val="20"/>
                  </w:rPr>
                  <w:t>股份状态</w:t>
                </w:r>
              </w:p>
            </w:tc>
          </w:sdtContent>
        </w:sdt>
        <w:sdt>
          <w:sdtPr>
            <w:rPr>
              <w:color w:val="000000" w:themeColor="text1"/>
              <w:sz w:val="20"/>
              <w:szCs w:val="20"/>
            </w:rPr>
            <w:tag w:val="_PLD_bea7397233604f859f8d14f2ae0a0417"/>
            <w:id w:val="1302040260"/>
          </w:sdtPr>
          <w:sdtEndPr/>
          <w:sdtContent>
            <w:tc>
              <w:tcPr>
                <w:tcW w:w="0" w:type="auto"/>
                <w:gridSpan w:val="2"/>
                <w:tcBorders>
                  <w:bottom w:val="single" w:sz="4" w:space="0" w:color="auto"/>
                </w:tcBorders>
                <w:shd w:val="clear" w:color="auto" w:fill="auto"/>
                <w:vAlign w:val="center"/>
              </w:tcPr>
              <w:p w:rsidR="00597370" w:rsidRDefault="003C2EEE">
                <w:pPr>
                  <w:jc w:val="center"/>
                  <w:rPr>
                    <w:color w:val="000000" w:themeColor="text1"/>
                    <w:sz w:val="20"/>
                    <w:szCs w:val="20"/>
                  </w:rPr>
                </w:pPr>
                <w:r>
                  <w:rPr>
                    <w:color w:val="000000" w:themeColor="text1"/>
                    <w:sz w:val="20"/>
                    <w:szCs w:val="20"/>
                  </w:rPr>
                  <w:t>数量</w:t>
                </w:r>
              </w:p>
            </w:tc>
          </w:sdtContent>
        </w:sdt>
        <w:tc>
          <w:tcPr>
            <w:tcW w:w="0" w:type="auto"/>
            <w:vMerge/>
            <w:shd w:val="clear" w:color="auto" w:fill="auto"/>
            <w:vAlign w:val="center"/>
          </w:tcPr>
          <w:p w:rsidR="00597370" w:rsidRDefault="00597370">
            <w:pPr>
              <w:jc w:val="center"/>
              <w:rPr>
                <w:color w:val="000000" w:themeColor="text1"/>
                <w:sz w:val="20"/>
                <w:szCs w:val="20"/>
              </w:rPr>
            </w:pPr>
          </w:p>
        </w:tc>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lastRenderedPageBreak/>
              <w:t>杨泽民</w:t>
            </w:r>
          </w:p>
        </w:tc>
        <w:tc>
          <w:tcPr>
            <w:tcW w:w="0" w:type="auto"/>
            <w:shd w:val="clear" w:color="auto" w:fill="auto"/>
            <w:vAlign w:val="center"/>
          </w:tcPr>
          <w:p w:rsidR="00597370" w:rsidRDefault="003C2EEE">
            <w:pPr>
              <w:jc w:val="right"/>
              <w:rPr>
                <w:sz w:val="20"/>
                <w:szCs w:val="20"/>
              </w:rPr>
            </w:pPr>
            <w:r>
              <w:rPr>
                <w:rFonts w:hint="eastAsia"/>
                <w:sz w:val="20"/>
                <w:szCs w:val="20"/>
              </w:rPr>
              <w:t>0</w:t>
            </w:r>
          </w:p>
        </w:tc>
        <w:tc>
          <w:tcPr>
            <w:tcW w:w="0" w:type="auto"/>
            <w:shd w:val="clear" w:color="auto" w:fill="auto"/>
            <w:vAlign w:val="center"/>
          </w:tcPr>
          <w:p w:rsidR="00597370" w:rsidRDefault="003C2EEE">
            <w:pPr>
              <w:jc w:val="right"/>
              <w:rPr>
                <w:sz w:val="20"/>
                <w:szCs w:val="20"/>
              </w:rPr>
            </w:pPr>
            <w:r>
              <w:rPr>
                <w:sz w:val="20"/>
                <w:szCs w:val="20"/>
              </w:rPr>
              <w:t>52,618,391</w:t>
            </w:r>
          </w:p>
        </w:tc>
        <w:tc>
          <w:tcPr>
            <w:tcW w:w="0" w:type="auto"/>
            <w:shd w:val="clear" w:color="auto" w:fill="auto"/>
            <w:vAlign w:val="center"/>
          </w:tcPr>
          <w:p w:rsidR="00597370" w:rsidRDefault="003C2EEE">
            <w:pPr>
              <w:jc w:val="right"/>
              <w:rPr>
                <w:sz w:val="20"/>
                <w:szCs w:val="20"/>
              </w:rPr>
            </w:pPr>
            <w:r>
              <w:rPr>
                <w:sz w:val="20"/>
                <w:szCs w:val="20"/>
              </w:rPr>
              <w:t>15.79</w:t>
            </w:r>
          </w:p>
        </w:tc>
        <w:tc>
          <w:tcPr>
            <w:tcW w:w="0" w:type="auto"/>
            <w:shd w:val="clear" w:color="auto" w:fill="auto"/>
            <w:vAlign w:val="center"/>
          </w:tcPr>
          <w:p w:rsidR="00597370" w:rsidRDefault="003C2EEE">
            <w:pPr>
              <w:jc w:val="right"/>
              <w:rPr>
                <w:sz w:val="20"/>
                <w:szCs w:val="20"/>
              </w:rPr>
            </w:pPr>
            <w:r>
              <w:rPr>
                <w:sz w:val="20"/>
                <w:szCs w:val="20"/>
              </w:rPr>
              <w:t>52,618,391</w:t>
            </w:r>
          </w:p>
        </w:tc>
        <w:sdt>
          <w:sdtPr>
            <w:rPr>
              <w:color w:val="000000" w:themeColor="text1"/>
              <w:sz w:val="20"/>
              <w:szCs w:val="20"/>
            </w:rPr>
            <w:alias w:val="前十名股东持有股份状态"/>
            <w:tag w:val="_GBC_d5194108b2a8481e94140819dbdc5afe"/>
            <w:id w:val="1711065647"/>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81394019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境内自然人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秦惠兰</w:t>
            </w:r>
          </w:p>
        </w:tc>
        <w:tc>
          <w:tcPr>
            <w:tcW w:w="0" w:type="auto"/>
            <w:shd w:val="clear" w:color="auto" w:fill="auto"/>
            <w:vAlign w:val="center"/>
          </w:tcPr>
          <w:p w:rsidR="00597370" w:rsidRDefault="003C2EEE">
            <w:pPr>
              <w:jc w:val="right"/>
              <w:rPr>
                <w:sz w:val="20"/>
                <w:szCs w:val="20"/>
              </w:rPr>
            </w:pPr>
            <w:r>
              <w:rPr>
                <w:rFonts w:hint="eastAsia"/>
                <w:sz w:val="20"/>
                <w:szCs w:val="20"/>
              </w:rPr>
              <w:t>0</w:t>
            </w:r>
          </w:p>
        </w:tc>
        <w:tc>
          <w:tcPr>
            <w:tcW w:w="0" w:type="auto"/>
            <w:shd w:val="clear" w:color="auto" w:fill="auto"/>
            <w:vAlign w:val="center"/>
          </w:tcPr>
          <w:p w:rsidR="00597370" w:rsidRDefault="003C2EEE">
            <w:pPr>
              <w:jc w:val="right"/>
              <w:rPr>
                <w:sz w:val="20"/>
                <w:szCs w:val="20"/>
              </w:rPr>
            </w:pPr>
            <w:r>
              <w:rPr>
                <w:sz w:val="20"/>
                <w:szCs w:val="20"/>
              </w:rPr>
              <w:t>40,841,700</w:t>
            </w:r>
          </w:p>
        </w:tc>
        <w:tc>
          <w:tcPr>
            <w:tcW w:w="0" w:type="auto"/>
            <w:shd w:val="clear" w:color="auto" w:fill="auto"/>
            <w:vAlign w:val="center"/>
          </w:tcPr>
          <w:p w:rsidR="00597370" w:rsidRDefault="003C2EEE">
            <w:pPr>
              <w:jc w:val="right"/>
              <w:rPr>
                <w:sz w:val="20"/>
                <w:szCs w:val="20"/>
              </w:rPr>
            </w:pPr>
            <w:r>
              <w:rPr>
                <w:sz w:val="20"/>
                <w:szCs w:val="20"/>
              </w:rPr>
              <w:t>12.26</w:t>
            </w:r>
          </w:p>
        </w:tc>
        <w:tc>
          <w:tcPr>
            <w:tcW w:w="0" w:type="auto"/>
            <w:shd w:val="clear" w:color="auto" w:fill="auto"/>
            <w:vAlign w:val="center"/>
          </w:tcPr>
          <w:p w:rsidR="00597370" w:rsidRDefault="003C2EEE">
            <w:pPr>
              <w:jc w:val="right"/>
              <w:rPr>
                <w:sz w:val="20"/>
                <w:szCs w:val="20"/>
              </w:rPr>
            </w:pPr>
            <w:r>
              <w:rPr>
                <w:sz w:val="20"/>
                <w:szCs w:val="20"/>
              </w:rPr>
              <w:t>40,841,700</w:t>
            </w:r>
          </w:p>
        </w:tc>
        <w:sdt>
          <w:sdtPr>
            <w:rPr>
              <w:color w:val="000000" w:themeColor="text1"/>
              <w:sz w:val="20"/>
              <w:szCs w:val="20"/>
            </w:rPr>
            <w:alias w:val="前十名股东持有股份状态"/>
            <w:tag w:val="_GBC_d5194108b2a8481e94140819dbdc5afe"/>
            <w:id w:val="-745797529"/>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135171673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境内自然人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杨秦</w:t>
            </w:r>
          </w:p>
        </w:tc>
        <w:tc>
          <w:tcPr>
            <w:tcW w:w="0" w:type="auto"/>
            <w:shd w:val="clear" w:color="auto" w:fill="auto"/>
            <w:vAlign w:val="center"/>
          </w:tcPr>
          <w:p w:rsidR="00597370" w:rsidRDefault="003C2EEE">
            <w:pPr>
              <w:jc w:val="right"/>
              <w:rPr>
                <w:sz w:val="20"/>
                <w:szCs w:val="20"/>
              </w:rPr>
            </w:pPr>
            <w:r>
              <w:rPr>
                <w:rFonts w:hint="eastAsia"/>
                <w:sz w:val="20"/>
                <w:szCs w:val="20"/>
              </w:rPr>
              <w:t>0</w:t>
            </w:r>
          </w:p>
        </w:tc>
        <w:tc>
          <w:tcPr>
            <w:tcW w:w="0" w:type="auto"/>
            <w:shd w:val="clear" w:color="auto" w:fill="auto"/>
            <w:vAlign w:val="center"/>
          </w:tcPr>
          <w:p w:rsidR="00597370" w:rsidRDefault="003C2EEE">
            <w:pPr>
              <w:jc w:val="right"/>
              <w:rPr>
                <w:sz w:val="20"/>
                <w:szCs w:val="20"/>
              </w:rPr>
            </w:pPr>
            <w:r>
              <w:rPr>
                <w:sz w:val="20"/>
                <w:szCs w:val="20"/>
              </w:rPr>
              <w:t>18,015,000</w:t>
            </w:r>
          </w:p>
        </w:tc>
        <w:tc>
          <w:tcPr>
            <w:tcW w:w="0" w:type="auto"/>
            <w:shd w:val="clear" w:color="auto" w:fill="auto"/>
            <w:vAlign w:val="center"/>
          </w:tcPr>
          <w:p w:rsidR="00597370" w:rsidRDefault="003C2EEE">
            <w:pPr>
              <w:jc w:val="right"/>
              <w:rPr>
                <w:sz w:val="20"/>
                <w:szCs w:val="20"/>
              </w:rPr>
            </w:pPr>
            <w:r>
              <w:rPr>
                <w:sz w:val="20"/>
                <w:szCs w:val="20"/>
              </w:rPr>
              <w:t>5.41</w:t>
            </w:r>
          </w:p>
        </w:tc>
        <w:tc>
          <w:tcPr>
            <w:tcW w:w="0" w:type="auto"/>
            <w:shd w:val="clear" w:color="auto" w:fill="auto"/>
            <w:vAlign w:val="center"/>
          </w:tcPr>
          <w:p w:rsidR="00597370" w:rsidRDefault="003C2EEE">
            <w:pPr>
              <w:jc w:val="right"/>
              <w:rPr>
                <w:sz w:val="20"/>
                <w:szCs w:val="20"/>
              </w:rPr>
            </w:pPr>
            <w:r>
              <w:rPr>
                <w:sz w:val="20"/>
                <w:szCs w:val="20"/>
              </w:rPr>
              <w:t>18,015,000</w:t>
            </w:r>
          </w:p>
        </w:tc>
        <w:sdt>
          <w:sdtPr>
            <w:rPr>
              <w:color w:val="000000" w:themeColor="text1"/>
              <w:sz w:val="20"/>
              <w:szCs w:val="20"/>
            </w:rPr>
            <w:alias w:val="前十名股东持有股份状态"/>
            <w:tag w:val="_GBC_d5194108b2a8481e94140819dbdc5afe"/>
            <w:id w:val="-1162698010"/>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143450611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境内自然人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杨耀</w:t>
            </w:r>
          </w:p>
        </w:tc>
        <w:tc>
          <w:tcPr>
            <w:tcW w:w="0" w:type="auto"/>
            <w:shd w:val="clear" w:color="auto" w:fill="auto"/>
            <w:vAlign w:val="center"/>
          </w:tcPr>
          <w:p w:rsidR="00597370" w:rsidRDefault="003C2EEE">
            <w:pPr>
              <w:jc w:val="right"/>
              <w:rPr>
                <w:sz w:val="20"/>
                <w:szCs w:val="20"/>
              </w:rPr>
            </w:pPr>
            <w:r>
              <w:rPr>
                <w:rFonts w:hint="eastAsia"/>
                <w:sz w:val="20"/>
                <w:szCs w:val="20"/>
              </w:rPr>
              <w:t>0</w:t>
            </w:r>
          </w:p>
        </w:tc>
        <w:tc>
          <w:tcPr>
            <w:tcW w:w="0" w:type="auto"/>
            <w:shd w:val="clear" w:color="auto" w:fill="auto"/>
            <w:vAlign w:val="center"/>
          </w:tcPr>
          <w:p w:rsidR="00597370" w:rsidRDefault="003C2EEE">
            <w:pPr>
              <w:jc w:val="right"/>
              <w:rPr>
                <w:sz w:val="20"/>
                <w:szCs w:val="20"/>
              </w:rPr>
            </w:pPr>
            <w:r>
              <w:rPr>
                <w:sz w:val="20"/>
                <w:szCs w:val="20"/>
              </w:rPr>
              <w:t>18,000,050</w:t>
            </w:r>
          </w:p>
        </w:tc>
        <w:tc>
          <w:tcPr>
            <w:tcW w:w="0" w:type="auto"/>
            <w:shd w:val="clear" w:color="auto" w:fill="auto"/>
            <w:vAlign w:val="center"/>
          </w:tcPr>
          <w:p w:rsidR="00597370" w:rsidRDefault="003C2EEE">
            <w:pPr>
              <w:jc w:val="right"/>
              <w:rPr>
                <w:sz w:val="20"/>
                <w:szCs w:val="20"/>
              </w:rPr>
            </w:pPr>
            <w:r>
              <w:rPr>
                <w:sz w:val="20"/>
                <w:szCs w:val="20"/>
              </w:rPr>
              <w:t>5.40</w:t>
            </w:r>
          </w:p>
        </w:tc>
        <w:tc>
          <w:tcPr>
            <w:tcW w:w="0" w:type="auto"/>
            <w:shd w:val="clear" w:color="auto" w:fill="auto"/>
            <w:vAlign w:val="center"/>
          </w:tcPr>
          <w:p w:rsidR="00597370" w:rsidRDefault="003C2EEE">
            <w:pPr>
              <w:jc w:val="right"/>
              <w:rPr>
                <w:sz w:val="20"/>
                <w:szCs w:val="20"/>
              </w:rPr>
            </w:pPr>
            <w:r>
              <w:rPr>
                <w:sz w:val="20"/>
                <w:szCs w:val="20"/>
              </w:rPr>
              <w:t>18,000,050</w:t>
            </w:r>
          </w:p>
        </w:tc>
        <w:sdt>
          <w:sdtPr>
            <w:rPr>
              <w:color w:val="000000" w:themeColor="text1"/>
              <w:sz w:val="20"/>
              <w:szCs w:val="20"/>
            </w:rPr>
            <w:alias w:val="前十名股东持有股份状态"/>
            <w:tag w:val="_GBC_d5194108b2a8481e94140819dbdc5afe"/>
            <w:id w:val="-417871187"/>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108136753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境内自然人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杨厚群</w:t>
            </w:r>
          </w:p>
        </w:tc>
        <w:tc>
          <w:tcPr>
            <w:tcW w:w="0" w:type="auto"/>
            <w:shd w:val="clear" w:color="auto" w:fill="auto"/>
            <w:vAlign w:val="center"/>
          </w:tcPr>
          <w:p w:rsidR="00597370" w:rsidRDefault="003C2EEE">
            <w:pPr>
              <w:jc w:val="right"/>
              <w:rPr>
                <w:sz w:val="20"/>
                <w:szCs w:val="20"/>
              </w:rPr>
            </w:pPr>
            <w:r>
              <w:rPr>
                <w:rFonts w:hint="eastAsia"/>
                <w:sz w:val="20"/>
                <w:szCs w:val="20"/>
              </w:rPr>
              <w:t>0</w:t>
            </w:r>
          </w:p>
        </w:tc>
        <w:tc>
          <w:tcPr>
            <w:tcW w:w="0" w:type="auto"/>
            <w:shd w:val="clear" w:color="auto" w:fill="auto"/>
            <w:vAlign w:val="center"/>
          </w:tcPr>
          <w:p w:rsidR="00597370" w:rsidRDefault="003C2EEE">
            <w:pPr>
              <w:jc w:val="right"/>
              <w:rPr>
                <w:sz w:val="20"/>
                <w:szCs w:val="20"/>
              </w:rPr>
            </w:pPr>
            <w:r>
              <w:rPr>
                <w:sz w:val="20"/>
                <w:szCs w:val="20"/>
              </w:rPr>
              <w:t>7,500,000</w:t>
            </w:r>
          </w:p>
        </w:tc>
        <w:tc>
          <w:tcPr>
            <w:tcW w:w="0" w:type="auto"/>
            <w:shd w:val="clear" w:color="auto" w:fill="auto"/>
            <w:vAlign w:val="center"/>
          </w:tcPr>
          <w:p w:rsidR="00597370" w:rsidRDefault="003C2EEE">
            <w:pPr>
              <w:jc w:val="right"/>
              <w:rPr>
                <w:sz w:val="20"/>
                <w:szCs w:val="20"/>
              </w:rPr>
            </w:pPr>
            <w:r>
              <w:rPr>
                <w:sz w:val="20"/>
                <w:szCs w:val="20"/>
              </w:rPr>
              <w:t>2.25</w:t>
            </w:r>
          </w:p>
        </w:tc>
        <w:tc>
          <w:tcPr>
            <w:tcW w:w="0" w:type="auto"/>
            <w:shd w:val="clear" w:color="auto" w:fill="auto"/>
            <w:vAlign w:val="center"/>
          </w:tcPr>
          <w:p w:rsidR="00597370" w:rsidRDefault="003C2EEE">
            <w:pPr>
              <w:jc w:val="right"/>
              <w:rPr>
                <w:sz w:val="20"/>
                <w:szCs w:val="20"/>
              </w:rPr>
            </w:pPr>
            <w:r>
              <w:rPr>
                <w:sz w:val="20"/>
                <w:szCs w:val="20"/>
              </w:rPr>
              <w:t>7,500,000</w:t>
            </w:r>
          </w:p>
        </w:tc>
        <w:sdt>
          <w:sdtPr>
            <w:rPr>
              <w:color w:val="000000" w:themeColor="text1"/>
              <w:sz w:val="20"/>
              <w:szCs w:val="20"/>
            </w:rPr>
            <w:alias w:val="前十名股东持有股份状态"/>
            <w:tag w:val="_GBC_d5194108b2a8481e94140819dbdc5afe"/>
            <w:id w:val="-694624574"/>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32528300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境内自然人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重庆长寿经济技术开发区开发投资集团有限公司</w:t>
            </w:r>
          </w:p>
        </w:tc>
        <w:tc>
          <w:tcPr>
            <w:tcW w:w="0" w:type="auto"/>
            <w:shd w:val="clear" w:color="auto" w:fill="auto"/>
            <w:vAlign w:val="center"/>
          </w:tcPr>
          <w:p w:rsidR="00597370" w:rsidRDefault="003C2EEE">
            <w:pPr>
              <w:jc w:val="right"/>
              <w:rPr>
                <w:sz w:val="20"/>
                <w:szCs w:val="20"/>
              </w:rPr>
            </w:pPr>
            <w:r>
              <w:rPr>
                <w:rFonts w:hint="eastAsia"/>
                <w:sz w:val="20"/>
                <w:szCs w:val="20"/>
              </w:rPr>
              <w:t>0</w:t>
            </w:r>
          </w:p>
        </w:tc>
        <w:tc>
          <w:tcPr>
            <w:tcW w:w="0" w:type="auto"/>
            <w:shd w:val="clear" w:color="auto" w:fill="auto"/>
            <w:vAlign w:val="center"/>
          </w:tcPr>
          <w:p w:rsidR="00597370" w:rsidRDefault="003C2EEE">
            <w:pPr>
              <w:jc w:val="right"/>
              <w:rPr>
                <w:sz w:val="20"/>
                <w:szCs w:val="20"/>
              </w:rPr>
            </w:pPr>
            <w:r>
              <w:rPr>
                <w:sz w:val="20"/>
                <w:szCs w:val="20"/>
              </w:rPr>
              <w:t>5,555,556</w:t>
            </w:r>
          </w:p>
        </w:tc>
        <w:tc>
          <w:tcPr>
            <w:tcW w:w="0" w:type="auto"/>
            <w:shd w:val="clear" w:color="auto" w:fill="auto"/>
            <w:vAlign w:val="center"/>
          </w:tcPr>
          <w:p w:rsidR="00597370" w:rsidRDefault="003C2EEE">
            <w:pPr>
              <w:jc w:val="right"/>
              <w:rPr>
                <w:sz w:val="20"/>
                <w:szCs w:val="20"/>
              </w:rPr>
            </w:pPr>
            <w:r>
              <w:rPr>
                <w:sz w:val="20"/>
                <w:szCs w:val="20"/>
              </w:rPr>
              <w:t>1.67</w:t>
            </w:r>
          </w:p>
        </w:tc>
        <w:tc>
          <w:tcPr>
            <w:tcW w:w="0" w:type="auto"/>
            <w:shd w:val="clear" w:color="auto" w:fill="auto"/>
            <w:vAlign w:val="center"/>
          </w:tcPr>
          <w:p w:rsidR="00597370" w:rsidRDefault="003C2EEE">
            <w:pPr>
              <w:jc w:val="right"/>
              <w:rPr>
                <w:sz w:val="20"/>
                <w:szCs w:val="20"/>
              </w:rPr>
            </w:pPr>
            <w:r>
              <w:rPr>
                <w:rFonts w:hint="eastAsia"/>
                <w:sz w:val="20"/>
                <w:szCs w:val="20"/>
              </w:rPr>
              <w:t>0</w:t>
            </w:r>
          </w:p>
        </w:tc>
        <w:sdt>
          <w:sdtPr>
            <w:rPr>
              <w:color w:val="000000" w:themeColor="text1"/>
              <w:sz w:val="20"/>
              <w:szCs w:val="20"/>
            </w:rPr>
            <w:alias w:val="前十名股东持有股份状态"/>
            <w:tag w:val="_GBC_d5194108b2a8481e94140819dbdc5afe"/>
            <w:id w:val="661117596"/>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11418515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国有法人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秦勇</w:t>
            </w:r>
          </w:p>
        </w:tc>
        <w:tc>
          <w:tcPr>
            <w:tcW w:w="0" w:type="auto"/>
            <w:shd w:val="clear" w:color="auto" w:fill="auto"/>
            <w:vAlign w:val="center"/>
          </w:tcPr>
          <w:p w:rsidR="00597370" w:rsidRDefault="003C2EEE">
            <w:pPr>
              <w:jc w:val="right"/>
              <w:rPr>
                <w:sz w:val="20"/>
                <w:szCs w:val="20"/>
              </w:rPr>
            </w:pPr>
            <w:r>
              <w:rPr>
                <w:rFonts w:hint="eastAsia"/>
                <w:sz w:val="20"/>
                <w:szCs w:val="20"/>
              </w:rPr>
              <w:t>0</w:t>
            </w:r>
          </w:p>
        </w:tc>
        <w:tc>
          <w:tcPr>
            <w:tcW w:w="0" w:type="auto"/>
            <w:shd w:val="clear" w:color="auto" w:fill="auto"/>
            <w:vAlign w:val="center"/>
          </w:tcPr>
          <w:p w:rsidR="00597370" w:rsidRDefault="003C2EEE">
            <w:pPr>
              <w:jc w:val="right"/>
              <w:rPr>
                <w:sz w:val="20"/>
                <w:szCs w:val="20"/>
              </w:rPr>
            </w:pPr>
            <w:r>
              <w:rPr>
                <w:sz w:val="20"/>
                <w:szCs w:val="20"/>
              </w:rPr>
              <w:t>5,400,000</w:t>
            </w:r>
          </w:p>
        </w:tc>
        <w:tc>
          <w:tcPr>
            <w:tcW w:w="0" w:type="auto"/>
            <w:shd w:val="clear" w:color="auto" w:fill="auto"/>
            <w:vAlign w:val="center"/>
          </w:tcPr>
          <w:p w:rsidR="00597370" w:rsidRDefault="003C2EEE">
            <w:pPr>
              <w:jc w:val="right"/>
              <w:rPr>
                <w:sz w:val="20"/>
                <w:szCs w:val="20"/>
              </w:rPr>
            </w:pPr>
            <w:r>
              <w:rPr>
                <w:sz w:val="20"/>
                <w:szCs w:val="20"/>
              </w:rPr>
              <w:t>1.62</w:t>
            </w:r>
          </w:p>
        </w:tc>
        <w:tc>
          <w:tcPr>
            <w:tcW w:w="0" w:type="auto"/>
            <w:shd w:val="clear" w:color="auto" w:fill="auto"/>
            <w:vAlign w:val="center"/>
          </w:tcPr>
          <w:p w:rsidR="00597370" w:rsidRDefault="003C2EEE">
            <w:pPr>
              <w:jc w:val="right"/>
              <w:rPr>
                <w:sz w:val="20"/>
                <w:szCs w:val="20"/>
              </w:rPr>
            </w:pPr>
            <w:r>
              <w:rPr>
                <w:sz w:val="20"/>
                <w:szCs w:val="20"/>
              </w:rPr>
              <w:t>5,400,000</w:t>
            </w:r>
          </w:p>
        </w:tc>
        <w:sdt>
          <w:sdtPr>
            <w:rPr>
              <w:color w:val="000000" w:themeColor="text1"/>
              <w:sz w:val="20"/>
              <w:szCs w:val="20"/>
            </w:rPr>
            <w:alias w:val="前十名股东持有股份状态"/>
            <w:tag w:val="_GBC_d5194108b2a8481e94140819dbdc5afe"/>
            <w:id w:val="900100463"/>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13295195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境内自然人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全国社保基金一零七组合</w:t>
            </w:r>
          </w:p>
        </w:tc>
        <w:tc>
          <w:tcPr>
            <w:tcW w:w="0" w:type="auto"/>
            <w:shd w:val="clear" w:color="auto" w:fill="auto"/>
            <w:vAlign w:val="center"/>
          </w:tcPr>
          <w:p w:rsidR="00597370" w:rsidRDefault="003C2EEE">
            <w:pPr>
              <w:jc w:val="right"/>
              <w:rPr>
                <w:sz w:val="20"/>
                <w:szCs w:val="20"/>
              </w:rPr>
            </w:pPr>
            <w:r>
              <w:rPr>
                <w:sz w:val="20"/>
                <w:szCs w:val="20"/>
              </w:rPr>
              <w:t>+3,357,600</w:t>
            </w:r>
          </w:p>
        </w:tc>
        <w:tc>
          <w:tcPr>
            <w:tcW w:w="0" w:type="auto"/>
            <w:shd w:val="clear" w:color="auto" w:fill="auto"/>
            <w:vAlign w:val="center"/>
          </w:tcPr>
          <w:p w:rsidR="00597370" w:rsidRDefault="003C2EEE">
            <w:pPr>
              <w:jc w:val="right"/>
              <w:rPr>
                <w:sz w:val="20"/>
                <w:szCs w:val="20"/>
              </w:rPr>
            </w:pPr>
            <w:r>
              <w:rPr>
                <w:sz w:val="20"/>
                <w:szCs w:val="20"/>
              </w:rPr>
              <w:t>3,357,600</w:t>
            </w:r>
          </w:p>
        </w:tc>
        <w:tc>
          <w:tcPr>
            <w:tcW w:w="0" w:type="auto"/>
            <w:shd w:val="clear" w:color="auto" w:fill="auto"/>
            <w:vAlign w:val="center"/>
          </w:tcPr>
          <w:p w:rsidR="00597370" w:rsidRDefault="003C2EEE">
            <w:pPr>
              <w:jc w:val="right"/>
              <w:rPr>
                <w:sz w:val="20"/>
                <w:szCs w:val="20"/>
              </w:rPr>
            </w:pPr>
            <w:r>
              <w:rPr>
                <w:sz w:val="20"/>
                <w:szCs w:val="20"/>
              </w:rPr>
              <w:t>1.01</w:t>
            </w:r>
          </w:p>
        </w:tc>
        <w:tc>
          <w:tcPr>
            <w:tcW w:w="0" w:type="auto"/>
            <w:shd w:val="clear" w:color="auto" w:fill="auto"/>
            <w:vAlign w:val="center"/>
          </w:tcPr>
          <w:p w:rsidR="00597370" w:rsidRDefault="003C2EEE">
            <w:pPr>
              <w:jc w:val="right"/>
              <w:rPr>
                <w:sz w:val="20"/>
                <w:szCs w:val="20"/>
              </w:rPr>
            </w:pPr>
            <w:r>
              <w:rPr>
                <w:rFonts w:hint="eastAsia"/>
                <w:sz w:val="20"/>
                <w:szCs w:val="20"/>
              </w:rPr>
              <w:t>0</w:t>
            </w:r>
          </w:p>
        </w:tc>
        <w:sdt>
          <w:sdtPr>
            <w:rPr>
              <w:color w:val="000000" w:themeColor="text1"/>
              <w:sz w:val="20"/>
              <w:szCs w:val="20"/>
            </w:rPr>
            <w:alias w:val="前十名股东持有股份状态"/>
            <w:tag w:val="_GBC_d5194108b2a8481e94140819dbdc5afe"/>
            <w:id w:val="-1225529729"/>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1805620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国有法人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王育森</w:t>
            </w:r>
          </w:p>
        </w:tc>
        <w:tc>
          <w:tcPr>
            <w:tcW w:w="0" w:type="auto"/>
            <w:shd w:val="clear" w:color="auto" w:fill="auto"/>
            <w:vAlign w:val="center"/>
          </w:tcPr>
          <w:p w:rsidR="00597370" w:rsidRDefault="003C2EEE">
            <w:pPr>
              <w:jc w:val="right"/>
              <w:rPr>
                <w:sz w:val="20"/>
                <w:szCs w:val="20"/>
              </w:rPr>
            </w:pPr>
            <w:r>
              <w:rPr>
                <w:rFonts w:hint="eastAsia"/>
                <w:sz w:val="20"/>
                <w:szCs w:val="20"/>
              </w:rPr>
              <w:t>+</w:t>
            </w:r>
            <w:r>
              <w:rPr>
                <w:sz w:val="20"/>
                <w:szCs w:val="20"/>
              </w:rPr>
              <w:t>259,300</w:t>
            </w:r>
          </w:p>
        </w:tc>
        <w:tc>
          <w:tcPr>
            <w:tcW w:w="0" w:type="auto"/>
            <w:shd w:val="clear" w:color="auto" w:fill="auto"/>
            <w:vAlign w:val="center"/>
          </w:tcPr>
          <w:p w:rsidR="00597370" w:rsidRDefault="003C2EEE">
            <w:pPr>
              <w:jc w:val="right"/>
              <w:rPr>
                <w:sz w:val="20"/>
                <w:szCs w:val="20"/>
              </w:rPr>
            </w:pPr>
            <w:r>
              <w:rPr>
                <w:sz w:val="20"/>
                <w:szCs w:val="20"/>
              </w:rPr>
              <w:t>3,146,507</w:t>
            </w:r>
          </w:p>
        </w:tc>
        <w:tc>
          <w:tcPr>
            <w:tcW w:w="0" w:type="auto"/>
            <w:shd w:val="clear" w:color="auto" w:fill="auto"/>
            <w:vAlign w:val="center"/>
          </w:tcPr>
          <w:p w:rsidR="00597370" w:rsidRDefault="003C2EEE">
            <w:pPr>
              <w:jc w:val="right"/>
              <w:rPr>
                <w:sz w:val="20"/>
                <w:szCs w:val="20"/>
              </w:rPr>
            </w:pPr>
            <w:r>
              <w:rPr>
                <w:sz w:val="20"/>
                <w:szCs w:val="20"/>
              </w:rPr>
              <w:t>0.94</w:t>
            </w:r>
          </w:p>
        </w:tc>
        <w:tc>
          <w:tcPr>
            <w:tcW w:w="0" w:type="auto"/>
            <w:shd w:val="clear" w:color="auto" w:fill="auto"/>
            <w:vAlign w:val="center"/>
          </w:tcPr>
          <w:p w:rsidR="00597370" w:rsidRDefault="003C2EEE">
            <w:pPr>
              <w:jc w:val="right"/>
              <w:rPr>
                <w:sz w:val="20"/>
                <w:szCs w:val="20"/>
              </w:rPr>
            </w:pPr>
            <w:r>
              <w:rPr>
                <w:rFonts w:hint="eastAsia"/>
                <w:sz w:val="20"/>
                <w:szCs w:val="20"/>
              </w:rPr>
              <w:t>0</w:t>
            </w:r>
          </w:p>
        </w:tc>
        <w:sdt>
          <w:sdtPr>
            <w:rPr>
              <w:color w:val="000000" w:themeColor="text1"/>
              <w:sz w:val="20"/>
              <w:szCs w:val="20"/>
            </w:rPr>
            <w:alias w:val="前十名股东持有股份状态"/>
            <w:tag w:val="_GBC_d5194108b2a8481e94140819dbdc5afe"/>
            <w:id w:val="-589933184"/>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154117296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境内自然人</w:t>
                </w:r>
              </w:p>
            </w:tc>
          </w:sdtContent>
        </w:sdt>
      </w:tr>
      <w:tr w:rsidR="00597370">
        <w:trPr>
          <w:cantSplit/>
          <w:jc w:val="right"/>
        </w:trPr>
        <w:tc>
          <w:tcPr>
            <w:tcW w:w="0" w:type="auto"/>
            <w:shd w:val="clear" w:color="auto" w:fill="auto"/>
            <w:vAlign w:val="center"/>
          </w:tcPr>
          <w:p w:rsidR="00597370" w:rsidRDefault="003C2EEE">
            <w:pPr>
              <w:jc w:val="both"/>
              <w:rPr>
                <w:sz w:val="20"/>
                <w:szCs w:val="20"/>
              </w:rPr>
            </w:pPr>
            <w:r>
              <w:rPr>
                <w:rFonts w:hint="eastAsia"/>
                <w:sz w:val="20"/>
                <w:szCs w:val="20"/>
              </w:rPr>
              <w:t>夏强</w:t>
            </w:r>
          </w:p>
        </w:tc>
        <w:tc>
          <w:tcPr>
            <w:tcW w:w="0" w:type="auto"/>
            <w:shd w:val="clear" w:color="auto" w:fill="auto"/>
            <w:vAlign w:val="center"/>
          </w:tcPr>
          <w:p w:rsidR="00597370" w:rsidRDefault="003C2EEE">
            <w:pPr>
              <w:jc w:val="right"/>
              <w:rPr>
                <w:sz w:val="20"/>
                <w:szCs w:val="20"/>
              </w:rPr>
            </w:pPr>
            <w:r>
              <w:rPr>
                <w:rFonts w:hint="eastAsia"/>
                <w:sz w:val="20"/>
                <w:szCs w:val="20"/>
              </w:rPr>
              <w:t>-</w:t>
            </w:r>
            <w:r>
              <w:rPr>
                <w:sz w:val="20"/>
                <w:szCs w:val="20"/>
              </w:rPr>
              <w:t>350,000</w:t>
            </w:r>
          </w:p>
        </w:tc>
        <w:tc>
          <w:tcPr>
            <w:tcW w:w="0" w:type="auto"/>
            <w:shd w:val="clear" w:color="auto" w:fill="auto"/>
            <w:vAlign w:val="center"/>
          </w:tcPr>
          <w:p w:rsidR="00597370" w:rsidRDefault="003C2EEE">
            <w:pPr>
              <w:jc w:val="right"/>
              <w:rPr>
                <w:sz w:val="20"/>
                <w:szCs w:val="20"/>
              </w:rPr>
            </w:pPr>
            <w:r>
              <w:rPr>
                <w:sz w:val="20"/>
                <w:szCs w:val="20"/>
              </w:rPr>
              <w:t>2,306,000</w:t>
            </w:r>
          </w:p>
        </w:tc>
        <w:tc>
          <w:tcPr>
            <w:tcW w:w="0" w:type="auto"/>
            <w:shd w:val="clear" w:color="auto" w:fill="auto"/>
            <w:vAlign w:val="center"/>
          </w:tcPr>
          <w:p w:rsidR="00597370" w:rsidRDefault="003C2EEE">
            <w:pPr>
              <w:jc w:val="right"/>
              <w:rPr>
                <w:sz w:val="20"/>
                <w:szCs w:val="20"/>
              </w:rPr>
            </w:pPr>
            <w:r>
              <w:rPr>
                <w:sz w:val="20"/>
                <w:szCs w:val="20"/>
              </w:rPr>
              <w:t>0.69</w:t>
            </w:r>
          </w:p>
        </w:tc>
        <w:tc>
          <w:tcPr>
            <w:tcW w:w="0" w:type="auto"/>
            <w:shd w:val="clear" w:color="auto" w:fill="auto"/>
            <w:vAlign w:val="center"/>
          </w:tcPr>
          <w:p w:rsidR="00597370" w:rsidRDefault="003C2EEE">
            <w:pPr>
              <w:jc w:val="right"/>
              <w:rPr>
                <w:sz w:val="20"/>
                <w:szCs w:val="20"/>
              </w:rPr>
            </w:pPr>
            <w:r>
              <w:rPr>
                <w:rFonts w:hint="eastAsia"/>
                <w:sz w:val="20"/>
                <w:szCs w:val="20"/>
              </w:rPr>
              <w:t>0</w:t>
            </w:r>
          </w:p>
        </w:tc>
        <w:sdt>
          <w:sdtPr>
            <w:rPr>
              <w:color w:val="000000" w:themeColor="text1"/>
              <w:sz w:val="20"/>
              <w:szCs w:val="20"/>
            </w:rPr>
            <w:alias w:val="前十名股东持有股份状态"/>
            <w:tag w:val="_GBC_d5194108b2a8481e94140819dbdc5afe"/>
            <w:id w:val="339285234"/>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0" w:type="auto"/>
                <w:shd w:val="clear" w:color="auto" w:fill="auto"/>
                <w:vAlign w:val="center"/>
              </w:tcPr>
              <w:p w:rsidR="00597370" w:rsidRDefault="003C2EEE">
                <w:pPr>
                  <w:jc w:val="right"/>
                  <w:rPr>
                    <w:color w:val="000000" w:themeColor="text1"/>
                    <w:sz w:val="20"/>
                    <w:szCs w:val="20"/>
                  </w:rPr>
                </w:pPr>
                <w:r>
                  <w:rPr>
                    <w:color w:val="000000" w:themeColor="text1"/>
                    <w:sz w:val="20"/>
                    <w:szCs w:val="20"/>
                  </w:rPr>
                  <w:t>无</w:t>
                </w:r>
              </w:p>
            </w:tc>
          </w:sdtContent>
        </w:sdt>
        <w:tc>
          <w:tcPr>
            <w:tcW w:w="0" w:type="auto"/>
            <w:gridSpan w:val="2"/>
            <w:shd w:val="clear" w:color="auto" w:fill="auto"/>
            <w:vAlign w:val="center"/>
          </w:tcPr>
          <w:p w:rsidR="00597370" w:rsidRDefault="003C2EEE">
            <w:pPr>
              <w:jc w:val="right"/>
              <w:rPr>
                <w:sz w:val="20"/>
                <w:szCs w:val="20"/>
              </w:rPr>
            </w:pPr>
            <w:r>
              <w:rPr>
                <w:sz w:val="20"/>
                <w:szCs w:val="20"/>
              </w:rPr>
              <w:t>0</w:t>
            </w:r>
          </w:p>
        </w:tc>
        <w:sdt>
          <w:sdtPr>
            <w:rPr>
              <w:color w:val="000000" w:themeColor="text1"/>
              <w:sz w:val="20"/>
              <w:szCs w:val="20"/>
            </w:rPr>
            <w:alias w:val="前十名股东的股东性质"/>
            <w:tag w:val="_GBC_71380bc899eb4b9781e95e37e7a1e221"/>
            <w:id w:val="-57828328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vAlign w:val="center"/>
              </w:tcPr>
              <w:p w:rsidR="00597370" w:rsidRDefault="003C2EEE">
                <w:pPr>
                  <w:jc w:val="both"/>
                  <w:rPr>
                    <w:color w:val="000000" w:themeColor="text1"/>
                    <w:sz w:val="20"/>
                    <w:szCs w:val="20"/>
                  </w:rPr>
                </w:pPr>
                <w:r>
                  <w:rPr>
                    <w:color w:val="000000" w:themeColor="text1"/>
                    <w:sz w:val="20"/>
                    <w:szCs w:val="20"/>
                  </w:rPr>
                  <w:t>境内自然人</w:t>
                </w:r>
              </w:p>
            </w:tc>
          </w:sdtContent>
        </w:sdt>
      </w:tr>
      <w:tr w:rsidR="00597370">
        <w:trPr>
          <w:cantSplit/>
          <w:jc w:val="right"/>
        </w:trPr>
        <w:sdt>
          <w:sdtPr>
            <w:rPr>
              <w:color w:val="000000" w:themeColor="text1"/>
              <w:sz w:val="20"/>
              <w:szCs w:val="20"/>
            </w:rPr>
            <w:tag w:val="_PLD_6f36efd0621247ffb7b2462dd9753e27"/>
            <w:id w:val="-218597976"/>
          </w:sdtPr>
          <w:sdtEndPr/>
          <w:sdtContent>
            <w:tc>
              <w:tcPr>
                <w:tcW w:w="0" w:type="auto"/>
                <w:gridSpan w:val="9"/>
                <w:shd w:val="clear" w:color="auto" w:fill="auto"/>
                <w:vAlign w:val="center"/>
              </w:tcPr>
              <w:p w:rsidR="00597370" w:rsidRDefault="003C2EEE">
                <w:pPr>
                  <w:jc w:val="center"/>
                  <w:rPr>
                    <w:color w:val="000000" w:themeColor="text1"/>
                    <w:sz w:val="20"/>
                    <w:szCs w:val="20"/>
                  </w:rPr>
                </w:pPr>
                <w:r>
                  <w:rPr>
                    <w:rFonts w:hint="eastAsia"/>
                    <w:color w:val="000000" w:themeColor="text1"/>
                    <w:sz w:val="20"/>
                    <w:szCs w:val="20"/>
                  </w:rPr>
                  <w:t>前十名无限</w:t>
                </w:r>
                <w:proofErr w:type="gramStart"/>
                <w:r>
                  <w:rPr>
                    <w:rFonts w:hint="eastAsia"/>
                    <w:color w:val="000000" w:themeColor="text1"/>
                    <w:sz w:val="20"/>
                    <w:szCs w:val="20"/>
                  </w:rPr>
                  <w:t>售条件</w:t>
                </w:r>
                <w:proofErr w:type="gramEnd"/>
                <w:r>
                  <w:rPr>
                    <w:rFonts w:hint="eastAsia"/>
                    <w:color w:val="000000" w:themeColor="text1"/>
                    <w:sz w:val="20"/>
                    <w:szCs w:val="20"/>
                  </w:rPr>
                  <w:t>股东持股情况（不含通过转融通出借股份）</w:t>
                </w:r>
              </w:p>
            </w:tc>
          </w:sdtContent>
        </w:sdt>
      </w:tr>
      <w:tr w:rsidR="00597370">
        <w:trPr>
          <w:cantSplit/>
          <w:jc w:val="right"/>
        </w:trPr>
        <w:sdt>
          <w:sdtPr>
            <w:rPr>
              <w:color w:val="000000" w:themeColor="text1"/>
              <w:sz w:val="20"/>
              <w:szCs w:val="20"/>
            </w:rPr>
            <w:tag w:val="_PLD_6c8c7d50ba2b44858757eeaaa20b5499"/>
            <w:id w:val="69704130"/>
          </w:sdtPr>
          <w:sdtEndPr/>
          <w:sdtContent>
            <w:tc>
              <w:tcPr>
                <w:tcW w:w="3299" w:type="dxa"/>
                <w:gridSpan w:val="2"/>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股东名称</w:t>
                </w:r>
              </w:p>
            </w:tc>
          </w:sdtContent>
        </w:sdt>
        <w:sdt>
          <w:sdtPr>
            <w:rPr>
              <w:color w:val="000000" w:themeColor="text1"/>
              <w:sz w:val="20"/>
              <w:szCs w:val="20"/>
            </w:rPr>
            <w:tag w:val="_PLD_e4987b1a07a6489c82ab5ef0aa3370ea"/>
            <w:id w:val="185270845"/>
          </w:sdtPr>
          <w:sdtEndPr/>
          <w:sdtContent>
            <w:tc>
              <w:tcPr>
                <w:tcW w:w="3649" w:type="dxa"/>
                <w:gridSpan w:val="3"/>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持有无限</w:t>
                </w:r>
                <w:proofErr w:type="gramStart"/>
                <w:r>
                  <w:rPr>
                    <w:color w:val="000000" w:themeColor="text1"/>
                    <w:sz w:val="20"/>
                    <w:szCs w:val="20"/>
                  </w:rPr>
                  <w:t>售条件</w:t>
                </w:r>
                <w:proofErr w:type="gramEnd"/>
                <w:r>
                  <w:rPr>
                    <w:color w:val="000000" w:themeColor="text1"/>
                    <w:sz w:val="20"/>
                    <w:szCs w:val="20"/>
                  </w:rPr>
                  <w:t>流通股的数量</w:t>
                </w:r>
              </w:p>
            </w:tc>
          </w:sdtContent>
        </w:sdt>
        <w:sdt>
          <w:sdtPr>
            <w:rPr>
              <w:color w:val="000000" w:themeColor="text1"/>
              <w:sz w:val="20"/>
              <w:szCs w:val="20"/>
            </w:rPr>
            <w:tag w:val="_PLD_26ce78cac14a427ca05aa80b21b65936"/>
            <w:id w:val="523370820"/>
          </w:sdtPr>
          <w:sdtEndPr/>
          <w:sdtContent>
            <w:tc>
              <w:tcPr>
                <w:tcW w:w="0" w:type="auto"/>
                <w:gridSpan w:val="4"/>
                <w:tcBorders>
                  <w:bottom w:val="single" w:sz="4" w:space="0" w:color="auto"/>
                </w:tcBorders>
                <w:shd w:val="clear" w:color="auto" w:fill="auto"/>
                <w:vAlign w:val="center"/>
              </w:tcPr>
              <w:p w:rsidR="00597370" w:rsidRDefault="003C2EEE">
                <w:pPr>
                  <w:jc w:val="center"/>
                  <w:rPr>
                    <w:color w:val="000000" w:themeColor="text1"/>
                    <w:sz w:val="20"/>
                    <w:szCs w:val="20"/>
                  </w:rPr>
                </w:pPr>
                <w:r>
                  <w:rPr>
                    <w:color w:val="000000" w:themeColor="text1"/>
                    <w:sz w:val="20"/>
                    <w:szCs w:val="20"/>
                  </w:rPr>
                  <w:t>股份种类</w:t>
                </w:r>
                <w:r>
                  <w:rPr>
                    <w:rFonts w:hint="eastAsia"/>
                    <w:color w:val="000000" w:themeColor="text1"/>
                    <w:sz w:val="20"/>
                    <w:szCs w:val="20"/>
                  </w:rPr>
                  <w:t>及数量</w:t>
                </w:r>
              </w:p>
            </w:tc>
          </w:sdtContent>
        </w:sdt>
      </w:tr>
      <w:tr w:rsidR="00597370">
        <w:trPr>
          <w:cantSplit/>
          <w:jc w:val="right"/>
        </w:trPr>
        <w:tc>
          <w:tcPr>
            <w:tcW w:w="3299" w:type="dxa"/>
            <w:gridSpan w:val="2"/>
            <w:vMerge/>
            <w:shd w:val="clear" w:color="auto" w:fill="auto"/>
            <w:vAlign w:val="center"/>
          </w:tcPr>
          <w:p w:rsidR="00597370" w:rsidRDefault="00597370">
            <w:pPr>
              <w:jc w:val="center"/>
              <w:rPr>
                <w:color w:val="000000" w:themeColor="text1"/>
                <w:sz w:val="20"/>
                <w:szCs w:val="20"/>
              </w:rPr>
            </w:pPr>
          </w:p>
        </w:tc>
        <w:tc>
          <w:tcPr>
            <w:tcW w:w="3649" w:type="dxa"/>
            <w:gridSpan w:val="3"/>
            <w:vMerge/>
            <w:shd w:val="clear" w:color="auto" w:fill="auto"/>
            <w:vAlign w:val="center"/>
          </w:tcPr>
          <w:p w:rsidR="00597370" w:rsidRDefault="00597370">
            <w:pPr>
              <w:jc w:val="center"/>
              <w:rPr>
                <w:color w:val="000000" w:themeColor="text1"/>
                <w:sz w:val="20"/>
                <w:szCs w:val="20"/>
              </w:rPr>
            </w:pPr>
          </w:p>
        </w:tc>
        <w:sdt>
          <w:sdtPr>
            <w:rPr>
              <w:color w:val="000000" w:themeColor="text1"/>
              <w:sz w:val="20"/>
              <w:szCs w:val="20"/>
            </w:rPr>
            <w:tag w:val="_PLD_05580a00e3f942c0b2da618818a84669"/>
            <w:id w:val="-388962527"/>
          </w:sdtPr>
          <w:sdtEndPr/>
          <w:sdtContent>
            <w:tc>
              <w:tcPr>
                <w:tcW w:w="0" w:type="auto"/>
                <w:gridSpan w:val="2"/>
                <w:shd w:val="clear" w:color="auto" w:fill="auto"/>
                <w:vAlign w:val="center"/>
              </w:tcPr>
              <w:p w:rsidR="00597370" w:rsidRDefault="003C2EEE">
                <w:pPr>
                  <w:jc w:val="center"/>
                  <w:rPr>
                    <w:color w:val="000000" w:themeColor="text1"/>
                    <w:sz w:val="20"/>
                    <w:szCs w:val="20"/>
                  </w:rPr>
                </w:pPr>
                <w:r>
                  <w:rPr>
                    <w:rFonts w:hint="eastAsia"/>
                    <w:color w:val="000000" w:themeColor="text1"/>
                    <w:sz w:val="20"/>
                    <w:szCs w:val="20"/>
                  </w:rPr>
                  <w:t>种类</w:t>
                </w:r>
              </w:p>
            </w:tc>
          </w:sdtContent>
        </w:sdt>
        <w:sdt>
          <w:sdtPr>
            <w:rPr>
              <w:color w:val="000000" w:themeColor="text1"/>
              <w:sz w:val="20"/>
              <w:szCs w:val="20"/>
            </w:rPr>
            <w:tag w:val="_PLD_7f8ec6251e234192b411b34b07ccd732"/>
            <w:id w:val="1450129399"/>
          </w:sdtPr>
          <w:sdtEndPr/>
          <w:sdtContent>
            <w:tc>
              <w:tcPr>
                <w:tcW w:w="0" w:type="auto"/>
                <w:gridSpan w:val="2"/>
                <w:shd w:val="clear" w:color="auto" w:fill="auto"/>
                <w:vAlign w:val="center"/>
              </w:tcPr>
              <w:p w:rsidR="00597370" w:rsidRDefault="003C2EEE">
                <w:pPr>
                  <w:jc w:val="center"/>
                  <w:rPr>
                    <w:color w:val="000000" w:themeColor="text1"/>
                    <w:sz w:val="20"/>
                    <w:szCs w:val="20"/>
                  </w:rPr>
                </w:pPr>
                <w:r>
                  <w:rPr>
                    <w:rFonts w:hint="eastAsia"/>
                    <w:color w:val="000000" w:themeColor="text1"/>
                    <w:sz w:val="20"/>
                    <w:szCs w:val="20"/>
                  </w:rPr>
                  <w:t>数量</w:t>
                </w:r>
              </w:p>
            </w:tc>
          </w:sdtContent>
        </w:sdt>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重庆长寿经济技术开发区开发投资集团有限公司</w:t>
            </w:r>
          </w:p>
        </w:tc>
        <w:tc>
          <w:tcPr>
            <w:tcW w:w="0" w:type="auto"/>
            <w:gridSpan w:val="3"/>
            <w:shd w:val="clear" w:color="auto" w:fill="auto"/>
          </w:tcPr>
          <w:p w:rsidR="00597370" w:rsidRDefault="003C2EEE">
            <w:pPr>
              <w:jc w:val="right"/>
              <w:rPr>
                <w:sz w:val="20"/>
                <w:szCs w:val="20"/>
              </w:rPr>
            </w:pPr>
            <w:r>
              <w:rPr>
                <w:sz w:val="20"/>
                <w:szCs w:val="20"/>
              </w:rPr>
              <w:t xml:space="preserve"> 5,555,556 </w:t>
            </w:r>
          </w:p>
        </w:tc>
        <w:sdt>
          <w:sdtPr>
            <w:rPr>
              <w:bCs w:val="0"/>
              <w:color w:val="000000" w:themeColor="text1"/>
              <w:sz w:val="20"/>
              <w:szCs w:val="20"/>
            </w:rPr>
            <w:alias w:val="前十名无限售条件股东期末持有流通股的种类"/>
            <w:tag w:val="_GBC_5d0d3dfc3b8545ce906ab8a21728fb94"/>
            <w:id w:val="1567300429"/>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5,555,556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全国社保基金一零七组合</w:t>
            </w:r>
          </w:p>
        </w:tc>
        <w:tc>
          <w:tcPr>
            <w:tcW w:w="0" w:type="auto"/>
            <w:gridSpan w:val="3"/>
            <w:shd w:val="clear" w:color="auto" w:fill="auto"/>
          </w:tcPr>
          <w:p w:rsidR="00597370" w:rsidRDefault="003C2EEE">
            <w:pPr>
              <w:jc w:val="right"/>
              <w:rPr>
                <w:sz w:val="20"/>
                <w:szCs w:val="20"/>
              </w:rPr>
            </w:pPr>
            <w:r>
              <w:rPr>
                <w:sz w:val="20"/>
                <w:szCs w:val="20"/>
              </w:rPr>
              <w:t xml:space="preserve"> 3,357,600 </w:t>
            </w:r>
          </w:p>
        </w:tc>
        <w:sdt>
          <w:sdtPr>
            <w:rPr>
              <w:bCs w:val="0"/>
              <w:color w:val="000000" w:themeColor="text1"/>
              <w:sz w:val="20"/>
              <w:szCs w:val="20"/>
            </w:rPr>
            <w:alias w:val="前十名无限售条件股东期末持有流通股的种类"/>
            <w:tag w:val="_GBC_5d0d3dfc3b8545ce906ab8a21728fb94"/>
            <w:id w:val="-1241555539"/>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3,357,600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王育森</w:t>
            </w:r>
          </w:p>
        </w:tc>
        <w:tc>
          <w:tcPr>
            <w:tcW w:w="0" w:type="auto"/>
            <w:gridSpan w:val="3"/>
            <w:shd w:val="clear" w:color="auto" w:fill="auto"/>
          </w:tcPr>
          <w:p w:rsidR="00597370" w:rsidRDefault="003C2EEE">
            <w:pPr>
              <w:jc w:val="right"/>
              <w:rPr>
                <w:sz w:val="20"/>
                <w:szCs w:val="20"/>
              </w:rPr>
            </w:pPr>
            <w:r>
              <w:rPr>
                <w:sz w:val="20"/>
                <w:szCs w:val="20"/>
              </w:rPr>
              <w:t xml:space="preserve"> 3,146,507 </w:t>
            </w:r>
          </w:p>
        </w:tc>
        <w:sdt>
          <w:sdtPr>
            <w:rPr>
              <w:bCs w:val="0"/>
              <w:color w:val="000000" w:themeColor="text1"/>
              <w:sz w:val="20"/>
              <w:szCs w:val="20"/>
            </w:rPr>
            <w:alias w:val="前十名无限售条件股东期末持有流通股的种类"/>
            <w:tag w:val="_GBC_5d0d3dfc3b8545ce906ab8a21728fb94"/>
            <w:id w:val="-1361459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3,146,507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夏强</w:t>
            </w:r>
          </w:p>
        </w:tc>
        <w:tc>
          <w:tcPr>
            <w:tcW w:w="0" w:type="auto"/>
            <w:gridSpan w:val="3"/>
            <w:shd w:val="clear" w:color="auto" w:fill="auto"/>
          </w:tcPr>
          <w:p w:rsidR="00597370" w:rsidRDefault="003C2EEE">
            <w:pPr>
              <w:jc w:val="right"/>
              <w:rPr>
                <w:sz w:val="20"/>
                <w:szCs w:val="20"/>
              </w:rPr>
            </w:pPr>
            <w:r>
              <w:rPr>
                <w:sz w:val="20"/>
                <w:szCs w:val="20"/>
              </w:rPr>
              <w:t xml:space="preserve"> 2,306,000 </w:t>
            </w:r>
          </w:p>
        </w:tc>
        <w:sdt>
          <w:sdtPr>
            <w:rPr>
              <w:bCs w:val="0"/>
              <w:color w:val="000000" w:themeColor="text1"/>
              <w:sz w:val="20"/>
              <w:szCs w:val="20"/>
            </w:rPr>
            <w:alias w:val="前十名无限售条件股东期末持有流通股的种类"/>
            <w:tag w:val="_GBC_5d0d3dfc3b8545ce906ab8a21728fb94"/>
            <w:id w:val="-509913422"/>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2,306,000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天安人寿保险股份有限公司－传统产品</w:t>
            </w:r>
          </w:p>
        </w:tc>
        <w:tc>
          <w:tcPr>
            <w:tcW w:w="0" w:type="auto"/>
            <w:gridSpan w:val="3"/>
            <w:shd w:val="clear" w:color="auto" w:fill="auto"/>
          </w:tcPr>
          <w:p w:rsidR="00597370" w:rsidRDefault="003C2EEE">
            <w:pPr>
              <w:jc w:val="right"/>
              <w:rPr>
                <w:sz w:val="20"/>
                <w:szCs w:val="20"/>
              </w:rPr>
            </w:pPr>
            <w:r>
              <w:rPr>
                <w:sz w:val="20"/>
                <w:szCs w:val="20"/>
              </w:rPr>
              <w:t xml:space="preserve"> 2,000,000 </w:t>
            </w:r>
          </w:p>
        </w:tc>
        <w:sdt>
          <w:sdtPr>
            <w:rPr>
              <w:bCs w:val="0"/>
              <w:color w:val="000000" w:themeColor="text1"/>
              <w:sz w:val="20"/>
              <w:szCs w:val="20"/>
            </w:rPr>
            <w:alias w:val="前十名无限售条件股东期末持有流通股的种类"/>
            <w:tag w:val="_GBC_5d0d3dfc3b8545ce906ab8a21728fb94"/>
            <w:id w:val="1350306933"/>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2,000,000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黄静</w:t>
            </w:r>
          </w:p>
        </w:tc>
        <w:tc>
          <w:tcPr>
            <w:tcW w:w="0" w:type="auto"/>
            <w:gridSpan w:val="3"/>
            <w:shd w:val="clear" w:color="auto" w:fill="auto"/>
          </w:tcPr>
          <w:p w:rsidR="00597370" w:rsidRDefault="003C2EEE">
            <w:pPr>
              <w:jc w:val="right"/>
              <w:rPr>
                <w:sz w:val="20"/>
                <w:szCs w:val="20"/>
              </w:rPr>
            </w:pPr>
            <w:r>
              <w:rPr>
                <w:sz w:val="20"/>
                <w:szCs w:val="20"/>
              </w:rPr>
              <w:t xml:space="preserve"> 1,961,700 </w:t>
            </w:r>
          </w:p>
        </w:tc>
        <w:sdt>
          <w:sdtPr>
            <w:rPr>
              <w:bCs w:val="0"/>
              <w:color w:val="000000" w:themeColor="text1"/>
              <w:sz w:val="20"/>
              <w:szCs w:val="20"/>
            </w:rPr>
            <w:alias w:val="前十名无限售条件股东期末持有流通股的种类"/>
            <w:tag w:val="_GBC_5d0d3dfc3b8545ce906ab8a21728fb94"/>
            <w:id w:val="60631649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1,961,700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中国建设银行股份有限公司－招商3年封闭运作瑞利灵活配置混合型证券投资基金</w:t>
            </w:r>
          </w:p>
        </w:tc>
        <w:tc>
          <w:tcPr>
            <w:tcW w:w="0" w:type="auto"/>
            <w:gridSpan w:val="3"/>
            <w:shd w:val="clear" w:color="auto" w:fill="auto"/>
          </w:tcPr>
          <w:p w:rsidR="00597370" w:rsidRDefault="003C2EEE">
            <w:pPr>
              <w:jc w:val="right"/>
              <w:rPr>
                <w:sz w:val="20"/>
                <w:szCs w:val="20"/>
              </w:rPr>
            </w:pPr>
            <w:r>
              <w:rPr>
                <w:sz w:val="20"/>
                <w:szCs w:val="20"/>
              </w:rPr>
              <w:t xml:space="preserve"> 1,800,000 </w:t>
            </w:r>
          </w:p>
        </w:tc>
        <w:sdt>
          <w:sdtPr>
            <w:rPr>
              <w:bCs w:val="0"/>
              <w:color w:val="000000" w:themeColor="text1"/>
              <w:sz w:val="20"/>
              <w:szCs w:val="20"/>
            </w:rPr>
            <w:alias w:val="前十名无限售条件股东期末持有流通股的种类"/>
            <w:tag w:val="_GBC_5d0d3dfc3b8545ce906ab8a21728fb94"/>
            <w:id w:val="149870281"/>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1,800,000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詹正弋</w:t>
            </w:r>
          </w:p>
        </w:tc>
        <w:tc>
          <w:tcPr>
            <w:tcW w:w="0" w:type="auto"/>
            <w:gridSpan w:val="3"/>
            <w:shd w:val="clear" w:color="auto" w:fill="auto"/>
          </w:tcPr>
          <w:p w:rsidR="00597370" w:rsidRDefault="003C2EEE">
            <w:pPr>
              <w:jc w:val="right"/>
              <w:rPr>
                <w:sz w:val="20"/>
                <w:szCs w:val="20"/>
              </w:rPr>
            </w:pPr>
            <w:r>
              <w:rPr>
                <w:sz w:val="20"/>
                <w:szCs w:val="20"/>
              </w:rPr>
              <w:t xml:space="preserve"> 1,558,223 </w:t>
            </w:r>
          </w:p>
        </w:tc>
        <w:sdt>
          <w:sdtPr>
            <w:rPr>
              <w:bCs w:val="0"/>
              <w:color w:val="000000" w:themeColor="text1"/>
              <w:sz w:val="20"/>
              <w:szCs w:val="20"/>
            </w:rPr>
            <w:alias w:val="前十名无限售条件股东期末持有流通股的种类"/>
            <w:tag w:val="_GBC_5d0d3dfc3b8545ce906ab8a21728fb94"/>
            <w:id w:val="1374433984"/>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1,558,223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lastRenderedPageBreak/>
              <w:t>中国农业银行股份有限公司－宝</w:t>
            </w:r>
            <w:proofErr w:type="gramStart"/>
            <w:r>
              <w:rPr>
                <w:rFonts w:hint="eastAsia"/>
                <w:color w:val="000000"/>
                <w:sz w:val="20"/>
                <w:szCs w:val="20"/>
              </w:rPr>
              <w:t>盈鸿利收益</w:t>
            </w:r>
            <w:proofErr w:type="gramEnd"/>
            <w:r>
              <w:rPr>
                <w:rFonts w:hint="eastAsia"/>
                <w:color w:val="000000"/>
                <w:sz w:val="20"/>
                <w:szCs w:val="20"/>
              </w:rPr>
              <w:t>灵活配置混合型证券投资基金</w:t>
            </w:r>
          </w:p>
        </w:tc>
        <w:tc>
          <w:tcPr>
            <w:tcW w:w="0" w:type="auto"/>
            <w:gridSpan w:val="3"/>
            <w:shd w:val="clear" w:color="auto" w:fill="auto"/>
          </w:tcPr>
          <w:p w:rsidR="00597370" w:rsidRDefault="003C2EEE">
            <w:pPr>
              <w:jc w:val="right"/>
              <w:rPr>
                <w:sz w:val="20"/>
                <w:szCs w:val="20"/>
              </w:rPr>
            </w:pPr>
            <w:r>
              <w:rPr>
                <w:sz w:val="20"/>
                <w:szCs w:val="20"/>
              </w:rPr>
              <w:t xml:space="preserve"> 1,522,700 </w:t>
            </w:r>
          </w:p>
        </w:tc>
        <w:sdt>
          <w:sdtPr>
            <w:rPr>
              <w:bCs w:val="0"/>
              <w:color w:val="000000" w:themeColor="text1"/>
              <w:sz w:val="20"/>
              <w:szCs w:val="20"/>
            </w:rPr>
            <w:alias w:val="前十名无限售条件股东期末持有流通股的种类"/>
            <w:tag w:val="_GBC_5d0d3dfc3b8545ce906ab8a21728fb94"/>
            <w:id w:val="1055894714"/>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1,522,700 </w:t>
            </w:r>
          </w:p>
        </w:tc>
      </w:tr>
      <w:tr w:rsidR="00597370">
        <w:trPr>
          <w:cantSplit/>
          <w:jc w:val="right"/>
        </w:trPr>
        <w:tc>
          <w:tcPr>
            <w:tcW w:w="0" w:type="auto"/>
            <w:gridSpan w:val="2"/>
            <w:shd w:val="clear" w:color="auto" w:fill="auto"/>
            <w:vAlign w:val="center"/>
          </w:tcPr>
          <w:p w:rsidR="00597370" w:rsidRDefault="003C2EEE">
            <w:pPr>
              <w:rPr>
                <w:sz w:val="20"/>
                <w:szCs w:val="20"/>
              </w:rPr>
            </w:pPr>
            <w:r>
              <w:rPr>
                <w:rFonts w:hint="eastAsia"/>
                <w:color w:val="000000"/>
                <w:sz w:val="20"/>
                <w:szCs w:val="20"/>
              </w:rPr>
              <w:t>上海建财商贸有限公司</w:t>
            </w:r>
          </w:p>
        </w:tc>
        <w:tc>
          <w:tcPr>
            <w:tcW w:w="0" w:type="auto"/>
            <w:gridSpan w:val="3"/>
            <w:shd w:val="clear" w:color="auto" w:fill="auto"/>
          </w:tcPr>
          <w:p w:rsidR="00597370" w:rsidRDefault="003C2EEE">
            <w:pPr>
              <w:jc w:val="right"/>
              <w:rPr>
                <w:sz w:val="20"/>
                <w:szCs w:val="20"/>
              </w:rPr>
            </w:pPr>
            <w:r>
              <w:rPr>
                <w:sz w:val="20"/>
                <w:szCs w:val="20"/>
              </w:rPr>
              <w:t xml:space="preserve"> 1,369,400 </w:t>
            </w:r>
          </w:p>
        </w:tc>
        <w:sdt>
          <w:sdtPr>
            <w:rPr>
              <w:bCs w:val="0"/>
              <w:color w:val="000000" w:themeColor="text1"/>
              <w:sz w:val="20"/>
              <w:szCs w:val="20"/>
            </w:rPr>
            <w:alias w:val="前十名无限售条件股东期末持有流通股的种类"/>
            <w:tag w:val="_GBC_5d0d3dfc3b8545ce906ab8a21728fb94"/>
            <w:id w:val="-125312381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597370" w:rsidRDefault="003C2EEE">
                <w:pPr>
                  <w:jc w:val="center"/>
                  <w:rPr>
                    <w:bCs w:val="0"/>
                    <w:color w:val="000000" w:themeColor="text1"/>
                    <w:sz w:val="20"/>
                    <w:szCs w:val="20"/>
                  </w:rPr>
                </w:pPr>
                <w:r>
                  <w:rPr>
                    <w:bCs w:val="0"/>
                    <w:color w:val="000000" w:themeColor="text1"/>
                    <w:sz w:val="20"/>
                    <w:szCs w:val="20"/>
                  </w:rPr>
                  <w:t>人民币普通股</w:t>
                </w:r>
              </w:p>
            </w:tc>
          </w:sdtContent>
        </w:sdt>
        <w:tc>
          <w:tcPr>
            <w:tcW w:w="0" w:type="auto"/>
            <w:gridSpan w:val="2"/>
            <w:shd w:val="clear" w:color="auto" w:fill="auto"/>
          </w:tcPr>
          <w:p w:rsidR="00597370" w:rsidRDefault="003C2EEE">
            <w:pPr>
              <w:jc w:val="right"/>
              <w:rPr>
                <w:sz w:val="20"/>
                <w:szCs w:val="20"/>
              </w:rPr>
            </w:pPr>
            <w:r>
              <w:rPr>
                <w:sz w:val="20"/>
                <w:szCs w:val="20"/>
              </w:rPr>
              <w:t xml:space="preserve"> 1,369,400 </w:t>
            </w:r>
          </w:p>
        </w:tc>
      </w:tr>
      <w:tr w:rsidR="00597370">
        <w:trPr>
          <w:cantSplit/>
          <w:jc w:val="right"/>
        </w:trPr>
        <w:tc>
          <w:tcPr>
            <w:tcW w:w="0" w:type="auto"/>
            <w:gridSpan w:val="2"/>
            <w:shd w:val="clear" w:color="auto" w:fill="auto"/>
            <w:vAlign w:val="center"/>
          </w:tcPr>
          <w:p w:rsidR="00597370" w:rsidRDefault="003C2EEE">
            <w:pPr>
              <w:rPr>
                <w:color w:val="000000" w:themeColor="text1"/>
                <w:sz w:val="20"/>
                <w:szCs w:val="20"/>
              </w:rPr>
            </w:pPr>
            <w:r>
              <w:rPr>
                <w:rFonts w:hint="eastAsia"/>
                <w:color w:val="000000" w:themeColor="text1"/>
                <w:sz w:val="20"/>
                <w:szCs w:val="20"/>
              </w:rPr>
              <w:t>前十名股东中回购专户情况说明</w:t>
            </w:r>
          </w:p>
        </w:tc>
        <w:tc>
          <w:tcPr>
            <w:tcW w:w="0" w:type="auto"/>
            <w:gridSpan w:val="7"/>
            <w:shd w:val="clear" w:color="auto" w:fill="auto"/>
            <w:vAlign w:val="center"/>
          </w:tcPr>
          <w:p w:rsidR="00597370" w:rsidRDefault="003C2EEE">
            <w:pPr>
              <w:rPr>
                <w:sz w:val="20"/>
                <w:szCs w:val="20"/>
              </w:rPr>
            </w:pPr>
            <w:r>
              <w:rPr>
                <w:rFonts w:hint="eastAsia"/>
                <w:sz w:val="20"/>
                <w:szCs w:val="20"/>
              </w:rPr>
              <w:t>无</w:t>
            </w:r>
          </w:p>
        </w:tc>
      </w:tr>
      <w:tr w:rsidR="00597370">
        <w:trPr>
          <w:cantSplit/>
          <w:jc w:val="right"/>
        </w:trPr>
        <w:tc>
          <w:tcPr>
            <w:tcW w:w="0" w:type="auto"/>
            <w:gridSpan w:val="2"/>
            <w:shd w:val="clear" w:color="auto" w:fill="auto"/>
            <w:vAlign w:val="center"/>
          </w:tcPr>
          <w:p w:rsidR="00597370" w:rsidRDefault="003C2EEE">
            <w:pPr>
              <w:rPr>
                <w:color w:val="000000" w:themeColor="text1"/>
                <w:sz w:val="20"/>
                <w:szCs w:val="20"/>
              </w:rPr>
            </w:pPr>
            <w:r>
              <w:rPr>
                <w:color w:val="000000" w:themeColor="text1"/>
                <w:sz w:val="20"/>
                <w:szCs w:val="20"/>
              </w:rPr>
              <w:t>上述股东</w:t>
            </w:r>
            <w:r>
              <w:rPr>
                <w:rFonts w:hint="eastAsia"/>
                <w:color w:val="000000" w:themeColor="text1"/>
                <w:sz w:val="20"/>
                <w:szCs w:val="20"/>
              </w:rPr>
              <w:t>委托表决权、受托表决权、放弃表决权</w:t>
            </w:r>
            <w:r>
              <w:rPr>
                <w:color w:val="000000" w:themeColor="text1"/>
                <w:sz w:val="20"/>
                <w:szCs w:val="20"/>
              </w:rPr>
              <w:t>的说明</w:t>
            </w:r>
          </w:p>
        </w:tc>
        <w:tc>
          <w:tcPr>
            <w:tcW w:w="0" w:type="auto"/>
            <w:gridSpan w:val="7"/>
            <w:shd w:val="clear" w:color="auto" w:fill="auto"/>
            <w:vAlign w:val="center"/>
          </w:tcPr>
          <w:p w:rsidR="00597370" w:rsidRDefault="003C2EEE">
            <w:pPr>
              <w:rPr>
                <w:sz w:val="20"/>
                <w:szCs w:val="20"/>
              </w:rPr>
            </w:pPr>
            <w:r>
              <w:rPr>
                <w:rFonts w:hint="eastAsia"/>
                <w:sz w:val="20"/>
                <w:szCs w:val="20"/>
              </w:rPr>
              <w:t>无</w:t>
            </w:r>
          </w:p>
        </w:tc>
      </w:tr>
      <w:tr w:rsidR="00597370">
        <w:trPr>
          <w:cantSplit/>
          <w:jc w:val="right"/>
        </w:trPr>
        <w:tc>
          <w:tcPr>
            <w:tcW w:w="0" w:type="auto"/>
            <w:gridSpan w:val="2"/>
            <w:shd w:val="clear" w:color="auto" w:fill="auto"/>
            <w:vAlign w:val="center"/>
          </w:tcPr>
          <w:p w:rsidR="00597370" w:rsidRDefault="003C2EEE">
            <w:pPr>
              <w:rPr>
                <w:color w:val="000000" w:themeColor="text1"/>
                <w:sz w:val="20"/>
                <w:szCs w:val="20"/>
              </w:rPr>
            </w:pPr>
            <w:r>
              <w:rPr>
                <w:color w:val="000000" w:themeColor="text1"/>
                <w:sz w:val="20"/>
                <w:szCs w:val="20"/>
              </w:rPr>
              <w:t>上述股东关联关系或一致行动的说明</w:t>
            </w:r>
          </w:p>
        </w:tc>
        <w:tc>
          <w:tcPr>
            <w:tcW w:w="0" w:type="auto"/>
            <w:gridSpan w:val="7"/>
            <w:shd w:val="clear" w:color="auto" w:fill="auto"/>
            <w:vAlign w:val="center"/>
          </w:tcPr>
          <w:p w:rsidR="00597370" w:rsidRDefault="003C2EEE">
            <w:pPr>
              <w:rPr>
                <w:sz w:val="20"/>
                <w:szCs w:val="20"/>
              </w:rPr>
            </w:pPr>
            <w:r>
              <w:rPr>
                <w:rFonts w:hint="eastAsia"/>
                <w:sz w:val="20"/>
                <w:szCs w:val="20"/>
              </w:rPr>
              <w:t>上述股东中杨泽民、秦惠兰、杨耀与杨秦</w:t>
            </w:r>
            <w:proofErr w:type="gramStart"/>
            <w:r>
              <w:rPr>
                <w:rFonts w:hint="eastAsia"/>
                <w:sz w:val="20"/>
                <w:szCs w:val="20"/>
              </w:rPr>
              <w:t>系一致</w:t>
            </w:r>
            <w:proofErr w:type="gramEnd"/>
            <w:r>
              <w:rPr>
                <w:rFonts w:hint="eastAsia"/>
                <w:sz w:val="20"/>
                <w:szCs w:val="20"/>
              </w:rPr>
              <w:t>行动人，杨泽民与秦惠兰系夫妻关系，其女杨秦与其子杨耀系姐弟关系，杨泽民与杨厚群系兄妹关系；黄静与詹正弋系夫妻关系。除此之外，公司未知上述股东是否存在关联关系，也未知上述股东之间是否属于《上市公司收购管理办法》规定的一致行动人。</w:t>
            </w:r>
          </w:p>
        </w:tc>
      </w:tr>
      <w:tr w:rsidR="00597370">
        <w:trPr>
          <w:cantSplit/>
          <w:jc w:val="right"/>
        </w:trPr>
        <w:tc>
          <w:tcPr>
            <w:tcW w:w="0" w:type="auto"/>
            <w:gridSpan w:val="2"/>
            <w:shd w:val="clear" w:color="auto" w:fill="auto"/>
            <w:vAlign w:val="center"/>
          </w:tcPr>
          <w:p w:rsidR="00597370" w:rsidRDefault="003C2EEE">
            <w:pPr>
              <w:rPr>
                <w:color w:val="000000" w:themeColor="text1"/>
                <w:sz w:val="20"/>
                <w:szCs w:val="20"/>
              </w:rPr>
            </w:pPr>
            <w:r>
              <w:rPr>
                <w:rFonts w:hint="eastAsia"/>
                <w:color w:val="000000" w:themeColor="text1"/>
                <w:sz w:val="20"/>
                <w:szCs w:val="20"/>
              </w:rPr>
              <w:t>表决权恢复的优先股股东及持股数量的说明</w:t>
            </w:r>
          </w:p>
        </w:tc>
        <w:tc>
          <w:tcPr>
            <w:tcW w:w="0" w:type="auto"/>
            <w:gridSpan w:val="7"/>
            <w:shd w:val="clear" w:color="auto" w:fill="auto"/>
            <w:vAlign w:val="center"/>
          </w:tcPr>
          <w:p w:rsidR="00597370" w:rsidRDefault="003C2EEE">
            <w:pPr>
              <w:rPr>
                <w:sz w:val="20"/>
                <w:szCs w:val="20"/>
              </w:rPr>
            </w:pPr>
            <w:r>
              <w:rPr>
                <w:rFonts w:hint="eastAsia"/>
                <w:sz w:val="20"/>
                <w:szCs w:val="20"/>
              </w:rPr>
              <w:t>无</w:t>
            </w:r>
          </w:p>
        </w:tc>
      </w:tr>
    </w:tbl>
    <w:p w:rsidR="00597370" w:rsidRDefault="00597370">
      <w:pPr>
        <w:rPr>
          <w:color w:val="000000" w:themeColor="text1"/>
        </w:rPr>
      </w:pPr>
    </w:p>
    <w:p w:rsidR="00597370" w:rsidRDefault="003C2EEE">
      <w:pPr>
        <w:rPr>
          <w:color w:val="000000" w:themeColor="text1"/>
        </w:rPr>
      </w:pPr>
      <w:bookmarkStart w:id="87" w:name="_Hlk155094173"/>
      <w:bookmarkStart w:id="88" w:name="_Hlk161321917"/>
      <w:bookmarkStart w:id="89" w:name="_Hlk169006123"/>
      <w:bookmarkStart w:id="90" w:name="_Hlk167799956"/>
      <w:bookmarkStart w:id="91" w:name="_Hlk161154245"/>
      <w:r>
        <w:rPr>
          <w:rFonts w:hint="eastAsia"/>
          <w:color w:val="000000" w:themeColor="text1"/>
        </w:rPr>
        <w:t>持股</w:t>
      </w:r>
      <w:r>
        <w:rPr>
          <w:color w:val="000000" w:themeColor="text1"/>
        </w:rPr>
        <w:t>5%以上股东、前</w:t>
      </w:r>
      <w:r>
        <w:rPr>
          <w:rFonts w:hint="eastAsia"/>
          <w:color w:val="000000" w:themeColor="text1"/>
        </w:rPr>
        <w:t>十</w:t>
      </w:r>
      <w:r>
        <w:rPr>
          <w:color w:val="000000" w:themeColor="text1"/>
        </w:rPr>
        <w:t>名股东及前</w:t>
      </w:r>
      <w:r>
        <w:rPr>
          <w:rFonts w:hint="eastAsia"/>
          <w:color w:val="000000" w:themeColor="text1"/>
        </w:rPr>
        <w:t>十</w:t>
      </w:r>
      <w:r>
        <w:rPr>
          <w:color w:val="000000" w:themeColor="text1"/>
        </w:rPr>
        <w:t>名无限</w:t>
      </w:r>
      <w:proofErr w:type="gramStart"/>
      <w:r>
        <w:rPr>
          <w:color w:val="000000" w:themeColor="text1"/>
        </w:rPr>
        <w:t>售流通</w:t>
      </w:r>
      <w:proofErr w:type="gramEnd"/>
      <w:r>
        <w:rPr>
          <w:color w:val="000000" w:themeColor="text1"/>
        </w:rPr>
        <w:t>股股东参与转融通业务出借股份情况</w:t>
      </w:r>
    </w:p>
    <w:sdt>
      <w:sdtPr>
        <w:rPr>
          <w:bCs w:val="0"/>
          <w:color w:val="000000" w:themeColor="text1"/>
        </w:rPr>
        <w:alias w:val="是否适用：前十名股东参与转融通业务出借股份情况[双击切换]"/>
        <w:tag w:val="_GBC_781f403c98a6480ab0058d21456ae70f"/>
        <w:id w:val="-444548910"/>
        <w:placeholder>
          <w:docPart w:val="GBC22222222222222222222222222222"/>
        </w:placeholder>
      </w:sdtPr>
      <w:sdtEndPr/>
      <w:sdtContent>
        <w:p w:rsidR="00597370" w:rsidRDefault="003C2EEE">
          <w:pPr>
            <w:rPr>
              <w:bCs w:val="0"/>
              <w:color w:val="000000" w:themeColor="text1"/>
            </w:rPr>
          </w:pPr>
          <w:r>
            <w:rPr>
              <w:bCs w:val="0"/>
              <w:color w:val="000000" w:themeColor="text1"/>
            </w:rPr>
            <w:fldChar w:fldCharType="begin"/>
          </w:r>
          <w:r>
            <w:rPr>
              <w:color w:val="000000" w:themeColor="text1"/>
            </w:rPr>
            <w:instrText xml:space="preserve"> MACROBUTTON  SnrToggleCheckbox □适用 </w:instrText>
          </w:r>
          <w:r>
            <w:rPr>
              <w:bCs w:val="0"/>
              <w:color w:val="000000" w:themeColor="text1"/>
            </w:rPr>
            <w:fldChar w:fldCharType="end"/>
          </w:r>
          <w:r>
            <w:rPr>
              <w:bCs w:val="0"/>
              <w:color w:val="000000" w:themeColor="text1"/>
            </w:rPr>
            <w:fldChar w:fldCharType="begin"/>
          </w:r>
          <w:r>
            <w:rPr>
              <w:color w:val="000000" w:themeColor="text1"/>
            </w:rPr>
            <w:instrText xml:space="preserve"> MACROBUTTON  SnrToggleCheckbox √不适用 </w:instrText>
          </w:r>
          <w:r>
            <w:rPr>
              <w:bCs w:val="0"/>
              <w:color w:val="000000" w:themeColor="text1"/>
            </w:rPr>
            <w:fldChar w:fldCharType="end"/>
          </w:r>
        </w:p>
      </w:sdtContent>
    </w:sdt>
    <w:p w:rsidR="00597370" w:rsidRDefault="00597370">
      <w:pPr>
        <w:rPr>
          <w:color w:val="000000" w:themeColor="text1"/>
        </w:rPr>
      </w:pPr>
    </w:p>
    <w:p w:rsidR="00597370" w:rsidRDefault="003C2EEE">
      <w:pPr>
        <w:rPr>
          <w:color w:val="000000" w:themeColor="text1"/>
        </w:rPr>
      </w:pPr>
      <w:bookmarkStart w:id="92" w:name="_Hlk155094189"/>
      <w:bookmarkEnd w:id="87"/>
      <w:r>
        <w:rPr>
          <w:rFonts w:hint="eastAsia"/>
          <w:color w:val="000000" w:themeColor="text1"/>
        </w:rPr>
        <w:t>前十</w:t>
      </w:r>
      <w:r>
        <w:rPr>
          <w:color w:val="000000" w:themeColor="text1"/>
        </w:rPr>
        <w:t>名股东及前</w:t>
      </w:r>
      <w:r>
        <w:rPr>
          <w:rFonts w:hint="eastAsia"/>
          <w:color w:val="000000" w:themeColor="text1"/>
        </w:rPr>
        <w:t>十</w:t>
      </w:r>
      <w:r>
        <w:rPr>
          <w:color w:val="000000" w:themeColor="text1"/>
        </w:rPr>
        <w:t>名无限</w:t>
      </w:r>
      <w:proofErr w:type="gramStart"/>
      <w:r>
        <w:rPr>
          <w:color w:val="000000" w:themeColor="text1"/>
        </w:rPr>
        <w:t>售流通</w:t>
      </w:r>
      <w:proofErr w:type="gramEnd"/>
      <w:r>
        <w:rPr>
          <w:color w:val="000000" w:themeColor="text1"/>
        </w:rPr>
        <w:t>股股东因转融通出借/归还原因导致较上期发生变化</w:t>
      </w:r>
    </w:p>
    <w:sdt>
      <w:sdtPr>
        <w:rPr>
          <w:rFonts w:hint="eastAsia"/>
          <w:color w:val="000000" w:themeColor="text1"/>
        </w:rPr>
        <w:alias w:val="是否适用：前十名股东较上期发生变化[双击切换]"/>
        <w:tag w:val="_GBC_892ba31f016544c894d3e29851e8125d"/>
        <w:id w:val="-10711227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bookmarkEnd w:id="88"/>
    <w:bookmarkEnd w:id="89"/>
    <w:bookmarkEnd w:id="90"/>
    <w:bookmarkEnd w:id="91"/>
    <w:bookmarkEnd w:id="92"/>
    <w:p w:rsidR="00597370" w:rsidRDefault="003C2EEE">
      <w:pPr>
        <w:rPr>
          <w:color w:val="000000" w:themeColor="text1"/>
        </w:rPr>
      </w:pPr>
      <w:r>
        <w:rPr>
          <w:color w:val="000000" w:themeColor="text1"/>
        </w:rPr>
        <w:t>前十名有限</w:t>
      </w:r>
      <w:proofErr w:type="gramStart"/>
      <w:r>
        <w:rPr>
          <w:color w:val="000000" w:themeColor="text1"/>
        </w:rPr>
        <w:t>售条件</w:t>
      </w:r>
      <w:proofErr w:type="gramEnd"/>
      <w:r>
        <w:rPr>
          <w:color w:val="000000" w:themeColor="text1"/>
        </w:rPr>
        <w:t>股东持股数量及限售条件</w:t>
      </w:r>
    </w:p>
    <w:sdt>
      <w:sdtPr>
        <w:rPr>
          <w:bCs w:val="0"/>
          <w:color w:val="000000" w:themeColor="text1"/>
        </w:rPr>
        <w:alias w:val="是否适用：前十名有限售条件股东持股数量及限售条件[双击切换]"/>
        <w:tag w:val="_GBC_681c25d581914cb19d4b007c00511b6a"/>
        <w:id w:val="516586373"/>
        <w:placeholder>
          <w:docPart w:val="GBC22222222222222222222222222222"/>
        </w:placeholder>
      </w:sdtPr>
      <w:sdtEndPr/>
      <w:sdtContent>
        <w:p w:rsidR="00597370" w:rsidRDefault="003C2EEE">
          <w:pPr>
            <w:rPr>
              <w:bCs w:val="0"/>
              <w:color w:val="000000" w:themeColor="text1"/>
            </w:rPr>
          </w:pPr>
          <w:r>
            <w:rPr>
              <w:bCs w:val="0"/>
              <w:color w:val="000000" w:themeColor="text1"/>
            </w:rPr>
            <w:fldChar w:fldCharType="begin"/>
          </w:r>
          <w:r>
            <w:rPr>
              <w:color w:val="000000" w:themeColor="text1"/>
            </w:rPr>
            <w:instrText xml:space="preserve"> MACROBUTTON  SnrToggleCheckbox √适用 </w:instrText>
          </w:r>
          <w:r>
            <w:rPr>
              <w:bCs w:val="0"/>
              <w:color w:val="000000" w:themeColor="text1"/>
            </w:rPr>
            <w:fldChar w:fldCharType="end"/>
          </w:r>
          <w:r>
            <w:rPr>
              <w:bCs w:val="0"/>
              <w:color w:val="000000" w:themeColor="text1"/>
            </w:rPr>
            <w:fldChar w:fldCharType="begin"/>
          </w:r>
          <w:r>
            <w:rPr>
              <w:color w:val="000000" w:themeColor="text1"/>
            </w:rPr>
            <w:instrText xml:space="preserve"> MACROBUTTON  SnrToggleCheckbox □不适用 </w:instrText>
          </w:r>
          <w:r>
            <w:rPr>
              <w:bCs w:val="0"/>
              <w:color w:val="000000" w:themeColor="text1"/>
            </w:rPr>
            <w:fldChar w:fldCharType="end"/>
          </w:r>
        </w:p>
      </w:sdtContent>
    </w:sdt>
    <w:p w:rsidR="00597370" w:rsidRDefault="003C2EEE">
      <w:pPr>
        <w:jc w:val="right"/>
        <w:rPr>
          <w:color w:val="000000" w:themeColor="text1"/>
        </w:rPr>
      </w:pPr>
      <w:r>
        <w:rPr>
          <w:color w:val="000000" w:themeColor="text1"/>
        </w:rPr>
        <w:t>单位</w:t>
      </w:r>
      <w:r>
        <w:rPr>
          <w:rFonts w:hint="eastAsia"/>
          <w:color w:val="000000" w:themeColor="text1"/>
        </w:rPr>
        <w:t>：</w:t>
      </w:r>
      <w:sdt>
        <w:sdtPr>
          <w:rPr>
            <w:color w:val="000000" w:themeColor="text1"/>
          </w:rPr>
          <w:alias w:val="单位：前十名有限售条件股东持股数量及限售条件"/>
          <w:tag w:val="_GBC_e1f4dc77c6fe470d84a40ebf654565a1"/>
          <w:id w:val="64313020"/>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color w:val="000000" w:themeColor="text1"/>
            </w:rPr>
            <w:t>股</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1946"/>
        <w:gridCol w:w="1659"/>
        <w:gridCol w:w="1796"/>
        <w:gridCol w:w="1383"/>
        <w:gridCol w:w="1253"/>
      </w:tblGrid>
      <w:tr w:rsidR="00597370">
        <w:trPr>
          <w:cantSplit/>
          <w:jc w:val="center"/>
        </w:trPr>
        <w:sdt>
          <w:sdtPr>
            <w:rPr>
              <w:color w:val="000000" w:themeColor="text1"/>
              <w:sz w:val="20"/>
              <w:szCs w:val="20"/>
            </w:rPr>
            <w:tag w:val="_PLD_c92f9760fb844bdcbf137801edfe1487"/>
            <w:id w:val="-1199391880"/>
          </w:sdtPr>
          <w:sdtEndPr/>
          <w:sdtContent>
            <w:tc>
              <w:tcPr>
                <w:tcW w:w="445" w:type="pct"/>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序号</w:t>
                </w:r>
              </w:p>
            </w:tc>
          </w:sdtContent>
        </w:sdt>
        <w:sdt>
          <w:sdtPr>
            <w:rPr>
              <w:color w:val="000000" w:themeColor="text1"/>
              <w:sz w:val="20"/>
              <w:szCs w:val="20"/>
            </w:rPr>
            <w:tag w:val="_PLD_f0351f96214540d48d3086df8f215bd8"/>
            <w:id w:val="1550252806"/>
          </w:sdtPr>
          <w:sdtEndPr/>
          <w:sdtContent>
            <w:tc>
              <w:tcPr>
                <w:tcW w:w="1103" w:type="pct"/>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有限</w:t>
                </w:r>
                <w:proofErr w:type="gramStart"/>
                <w:r>
                  <w:rPr>
                    <w:color w:val="000000" w:themeColor="text1"/>
                    <w:sz w:val="20"/>
                    <w:szCs w:val="20"/>
                  </w:rPr>
                  <w:t>售条件</w:t>
                </w:r>
                <w:proofErr w:type="gramEnd"/>
                <w:r>
                  <w:rPr>
                    <w:color w:val="000000" w:themeColor="text1"/>
                    <w:sz w:val="20"/>
                    <w:szCs w:val="20"/>
                  </w:rPr>
                  <w:t>股东名称</w:t>
                </w:r>
              </w:p>
            </w:tc>
          </w:sdtContent>
        </w:sdt>
        <w:sdt>
          <w:sdtPr>
            <w:rPr>
              <w:color w:val="000000" w:themeColor="text1"/>
              <w:sz w:val="20"/>
              <w:szCs w:val="20"/>
            </w:rPr>
            <w:tag w:val="_PLD_0c27248bc4a349a5829f031d37409979"/>
            <w:id w:val="-2131388912"/>
          </w:sdtPr>
          <w:sdtEndPr/>
          <w:sdtContent>
            <w:tc>
              <w:tcPr>
                <w:tcW w:w="940" w:type="pct"/>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持有的有限</w:t>
                </w:r>
                <w:proofErr w:type="gramStart"/>
                <w:r>
                  <w:rPr>
                    <w:color w:val="000000" w:themeColor="text1"/>
                    <w:sz w:val="20"/>
                    <w:szCs w:val="20"/>
                  </w:rPr>
                  <w:t>售条件</w:t>
                </w:r>
                <w:proofErr w:type="gramEnd"/>
                <w:r>
                  <w:rPr>
                    <w:color w:val="000000" w:themeColor="text1"/>
                    <w:sz w:val="20"/>
                    <w:szCs w:val="20"/>
                  </w:rPr>
                  <w:t>股份数量</w:t>
                </w:r>
              </w:p>
            </w:tc>
          </w:sdtContent>
        </w:sdt>
        <w:sdt>
          <w:sdtPr>
            <w:rPr>
              <w:color w:val="000000" w:themeColor="text1"/>
              <w:sz w:val="20"/>
              <w:szCs w:val="20"/>
            </w:rPr>
            <w:tag w:val="_PLD_587ec775b6a04dd5a88413426813db47"/>
            <w:id w:val="1066691605"/>
          </w:sdtPr>
          <w:sdtEndPr/>
          <w:sdtContent>
            <w:tc>
              <w:tcPr>
                <w:tcW w:w="1802" w:type="pct"/>
                <w:gridSpan w:val="2"/>
                <w:shd w:val="clear" w:color="auto" w:fill="auto"/>
                <w:vAlign w:val="center"/>
              </w:tcPr>
              <w:p w:rsidR="00597370" w:rsidRDefault="003C2EEE">
                <w:pPr>
                  <w:jc w:val="center"/>
                  <w:rPr>
                    <w:color w:val="000000" w:themeColor="text1"/>
                    <w:sz w:val="20"/>
                    <w:szCs w:val="20"/>
                  </w:rPr>
                </w:pPr>
                <w:r>
                  <w:rPr>
                    <w:color w:val="000000" w:themeColor="text1"/>
                    <w:sz w:val="20"/>
                    <w:szCs w:val="20"/>
                  </w:rPr>
                  <w:t>有限</w:t>
                </w:r>
                <w:proofErr w:type="gramStart"/>
                <w:r>
                  <w:rPr>
                    <w:color w:val="000000" w:themeColor="text1"/>
                    <w:sz w:val="20"/>
                    <w:szCs w:val="20"/>
                  </w:rPr>
                  <w:t>售条件</w:t>
                </w:r>
                <w:proofErr w:type="gramEnd"/>
                <w:r>
                  <w:rPr>
                    <w:color w:val="000000" w:themeColor="text1"/>
                    <w:sz w:val="20"/>
                    <w:szCs w:val="20"/>
                  </w:rPr>
                  <w:t>股份可上市交易情况</w:t>
                </w:r>
              </w:p>
            </w:tc>
          </w:sdtContent>
        </w:sdt>
        <w:sdt>
          <w:sdtPr>
            <w:rPr>
              <w:color w:val="000000" w:themeColor="text1"/>
              <w:sz w:val="20"/>
              <w:szCs w:val="20"/>
            </w:rPr>
            <w:tag w:val="_PLD_0d2174cf11f94614b4639460c051a27a"/>
            <w:id w:val="-942063718"/>
          </w:sdtPr>
          <w:sdtEndPr/>
          <w:sdtContent>
            <w:tc>
              <w:tcPr>
                <w:tcW w:w="710" w:type="pct"/>
                <w:vMerge w:val="restart"/>
                <w:shd w:val="clear" w:color="auto" w:fill="auto"/>
                <w:vAlign w:val="center"/>
              </w:tcPr>
              <w:p w:rsidR="00597370" w:rsidRDefault="003C2EEE">
                <w:pPr>
                  <w:jc w:val="center"/>
                  <w:rPr>
                    <w:color w:val="000000" w:themeColor="text1"/>
                    <w:sz w:val="20"/>
                    <w:szCs w:val="20"/>
                  </w:rPr>
                </w:pPr>
                <w:r>
                  <w:rPr>
                    <w:color w:val="000000" w:themeColor="text1"/>
                    <w:sz w:val="20"/>
                    <w:szCs w:val="20"/>
                  </w:rPr>
                  <w:t>限售条件</w:t>
                </w:r>
              </w:p>
            </w:tc>
          </w:sdtContent>
        </w:sdt>
      </w:tr>
      <w:tr w:rsidR="00597370">
        <w:trPr>
          <w:cantSplit/>
          <w:jc w:val="center"/>
        </w:trPr>
        <w:tc>
          <w:tcPr>
            <w:tcW w:w="445" w:type="pct"/>
            <w:vMerge/>
            <w:shd w:val="clear" w:color="auto" w:fill="auto"/>
            <w:vAlign w:val="center"/>
          </w:tcPr>
          <w:p w:rsidR="00597370" w:rsidRDefault="00597370">
            <w:pPr>
              <w:jc w:val="center"/>
              <w:rPr>
                <w:color w:val="000000" w:themeColor="text1"/>
                <w:sz w:val="20"/>
                <w:szCs w:val="20"/>
              </w:rPr>
            </w:pPr>
          </w:p>
        </w:tc>
        <w:tc>
          <w:tcPr>
            <w:tcW w:w="1103" w:type="pct"/>
            <w:vMerge/>
            <w:shd w:val="clear" w:color="auto" w:fill="auto"/>
            <w:vAlign w:val="center"/>
          </w:tcPr>
          <w:p w:rsidR="00597370" w:rsidRDefault="00597370">
            <w:pPr>
              <w:jc w:val="center"/>
              <w:rPr>
                <w:color w:val="000000" w:themeColor="text1"/>
                <w:sz w:val="20"/>
                <w:szCs w:val="20"/>
              </w:rPr>
            </w:pPr>
          </w:p>
        </w:tc>
        <w:tc>
          <w:tcPr>
            <w:tcW w:w="940" w:type="pct"/>
            <w:vMerge/>
            <w:shd w:val="clear" w:color="auto" w:fill="auto"/>
            <w:vAlign w:val="center"/>
          </w:tcPr>
          <w:p w:rsidR="00597370" w:rsidRDefault="00597370">
            <w:pPr>
              <w:jc w:val="center"/>
              <w:rPr>
                <w:color w:val="000000" w:themeColor="text1"/>
                <w:sz w:val="20"/>
                <w:szCs w:val="20"/>
              </w:rPr>
            </w:pPr>
          </w:p>
        </w:tc>
        <w:sdt>
          <w:sdtPr>
            <w:rPr>
              <w:color w:val="000000" w:themeColor="text1"/>
              <w:sz w:val="20"/>
              <w:szCs w:val="20"/>
            </w:rPr>
            <w:tag w:val="_PLD_b302119e40884c6483e7fa11ca891aa5"/>
            <w:id w:val="1444888592"/>
          </w:sdtPr>
          <w:sdtEndPr/>
          <w:sdtContent>
            <w:tc>
              <w:tcPr>
                <w:tcW w:w="1018" w:type="pct"/>
                <w:shd w:val="clear" w:color="auto" w:fill="auto"/>
                <w:vAlign w:val="center"/>
              </w:tcPr>
              <w:p w:rsidR="00597370" w:rsidRDefault="003C2EEE">
                <w:pPr>
                  <w:jc w:val="center"/>
                  <w:rPr>
                    <w:color w:val="000000" w:themeColor="text1"/>
                    <w:sz w:val="20"/>
                    <w:szCs w:val="20"/>
                  </w:rPr>
                </w:pPr>
                <w:r>
                  <w:rPr>
                    <w:color w:val="000000" w:themeColor="text1"/>
                    <w:sz w:val="20"/>
                    <w:szCs w:val="20"/>
                  </w:rPr>
                  <w:t>可上市交易时间</w:t>
                </w:r>
              </w:p>
            </w:tc>
          </w:sdtContent>
        </w:sdt>
        <w:sdt>
          <w:sdtPr>
            <w:rPr>
              <w:color w:val="000000" w:themeColor="text1"/>
              <w:sz w:val="20"/>
              <w:szCs w:val="20"/>
            </w:rPr>
            <w:tag w:val="_PLD_91e34be7fab047108c36f6a6d8a5ce0d"/>
            <w:id w:val="-351961213"/>
          </w:sdtPr>
          <w:sdtEndPr/>
          <w:sdtContent>
            <w:tc>
              <w:tcPr>
                <w:tcW w:w="784" w:type="pct"/>
                <w:shd w:val="clear" w:color="auto" w:fill="auto"/>
                <w:vAlign w:val="center"/>
              </w:tcPr>
              <w:p w:rsidR="00597370" w:rsidRDefault="003C2EEE">
                <w:pPr>
                  <w:jc w:val="center"/>
                  <w:rPr>
                    <w:color w:val="000000" w:themeColor="text1"/>
                    <w:sz w:val="20"/>
                    <w:szCs w:val="20"/>
                  </w:rPr>
                </w:pPr>
                <w:r>
                  <w:rPr>
                    <w:color w:val="000000" w:themeColor="text1"/>
                    <w:sz w:val="20"/>
                    <w:szCs w:val="20"/>
                  </w:rPr>
                  <w:t>新增可上市交易股份数量</w:t>
                </w:r>
              </w:p>
            </w:tc>
          </w:sdtContent>
        </w:sdt>
        <w:tc>
          <w:tcPr>
            <w:tcW w:w="710" w:type="pct"/>
            <w:vMerge/>
            <w:shd w:val="clear" w:color="auto" w:fill="auto"/>
            <w:vAlign w:val="center"/>
          </w:tcPr>
          <w:p w:rsidR="00597370" w:rsidRDefault="00597370">
            <w:pPr>
              <w:jc w:val="center"/>
              <w:rPr>
                <w:color w:val="000000" w:themeColor="text1"/>
                <w:sz w:val="20"/>
                <w:szCs w:val="20"/>
              </w:rPr>
            </w:pP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1</w:t>
            </w:r>
          </w:p>
        </w:tc>
        <w:tc>
          <w:tcPr>
            <w:tcW w:w="1103" w:type="pct"/>
            <w:shd w:val="clear" w:color="auto" w:fill="auto"/>
          </w:tcPr>
          <w:p w:rsidR="00597370" w:rsidRDefault="003C2EEE">
            <w:pPr>
              <w:rPr>
                <w:sz w:val="20"/>
                <w:szCs w:val="20"/>
              </w:rPr>
            </w:pPr>
            <w:r>
              <w:rPr>
                <w:sz w:val="20"/>
                <w:szCs w:val="20"/>
              </w:rPr>
              <w:t>杨泽民</w:t>
            </w:r>
          </w:p>
        </w:tc>
        <w:tc>
          <w:tcPr>
            <w:tcW w:w="940" w:type="pct"/>
            <w:shd w:val="clear" w:color="auto" w:fill="auto"/>
          </w:tcPr>
          <w:p w:rsidR="00597370" w:rsidRDefault="003C2EEE">
            <w:pPr>
              <w:jc w:val="right"/>
              <w:rPr>
                <w:sz w:val="20"/>
                <w:szCs w:val="20"/>
              </w:rPr>
            </w:pPr>
            <w:r>
              <w:rPr>
                <w:sz w:val="20"/>
                <w:szCs w:val="20"/>
              </w:rPr>
              <w:t>52,618,391</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52,618,391</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2</w:t>
            </w:r>
          </w:p>
        </w:tc>
        <w:tc>
          <w:tcPr>
            <w:tcW w:w="1103" w:type="pct"/>
            <w:shd w:val="clear" w:color="auto" w:fill="auto"/>
          </w:tcPr>
          <w:p w:rsidR="00597370" w:rsidRDefault="003C2EEE">
            <w:pPr>
              <w:rPr>
                <w:sz w:val="20"/>
                <w:szCs w:val="20"/>
              </w:rPr>
            </w:pPr>
            <w:r>
              <w:rPr>
                <w:sz w:val="20"/>
                <w:szCs w:val="20"/>
              </w:rPr>
              <w:t>秦惠兰</w:t>
            </w:r>
          </w:p>
        </w:tc>
        <w:tc>
          <w:tcPr>
            <w:tcW w:w="940" w:type="pct"/>
            <w:shd w:val="clear" w:color="auto" w:fill="auto"/>
          </w:tcPr>
          <w:p w:rsidR="00597370" w:rsidRDefault="003C2EEE">
            <w:pPr>
              <w:jc w:val="right"/>
              <w:rPr>
                <w:sz w:val="20"/>
                <w:szCs w:val="20"/>
              </w:rPr>
            </w:pPr>
            <w:r>
              <w:rPr>
                <w:sz w:val="20"/>
                <w:szCs w:val="20"/>
              </w:rPr>
              <w:t>40,172,100</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40,172,100</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3</w:t>
            </w:r>
          </w:p>
        </w:tc>
        <w:tc>
          <w:tcPr>
            <w:tcW w:w="1103" w:type="pct"/>
            <w:shd w:val="clear" w:color="auto" w:fill="auto"/>
          </w:tcPr>
          <w:p w:rsidR="00597370" w:rsidRDefault="003C2EEE">
            <w:pPr>
              <w:rPr>
                <w:sz w:val="20"/>
                <w:szCs w:val="20"/>
              </w:rPr>
            </w:pPr>
            <w:r>
              <w:rPr>
                <w:sz w:val="20"/>
                <w:szCs w:val="20"/>
              </w:rPr>
              <w:t>杨耀</w:t>
            </w:r>
          </w:p>
        </w:tc>
        <w:tc>
          <w:tcPr>
            <w:tcW w:w="940" w:type="pct"/>
            <w:shd w:val="clear" w:color="auto" w:fill="auto"/>
          </w:tcPr>
          <w:p w:rsidR="00597370" w:rsidRDefault="003C2EEE">
            <w:pPr>
              <w:jc w:val="right"/>
              <w:rPr>
                <w:sz w:val="20"/>
                <w:szCs w:val="20"/>
              </w:rPr>
            </w:pPr>
            <w:r>
              <w:rPr>
                <w:sz w:val="20"/>
                <w:szCs w:val="20"/>
              </w:rPr>
              <w:t>18,000,050</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18,000,050</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4</w:t>
            </w:r>
          </w:p>
        </w:tc>
        <w:tc>
          <w:tcPr>
            <w:tcW w:w="1103" w:type="pct"/>
            <w:shd w:val="clear" w:color="auto" w:fill="auto"/>
          </w:tcPr>
          <w:p w:rsidR="00597370" w:rsidRDefault="003C2EEE">
            <w:pPr>
              <w:rPr>
                <w:sz w:val="20"/>
                <w:szCs w:val="20"/>
              </w:rPr>
            </w:pPr>
            <w:r>
              <w:rPr>
                <w:sz w:val="20"/>
                <w:szCs w:val="20"/>
              </w:rPr>
              <w:t>杨秦</w:t>
            </w:r>
          </w:p>
        </w:tc>
        <w:tc>
          <w:tcPr>
            <w:tcW w:w="940" w:type="pct"/>
            <w:shd w:val="clear" w:color="auto" w:fill="auto"/>
          </w:tcPr>
          <w:p w:rsidR="00597370" w:rsidRDefault="003C2EEE">
            <w:pPr>
              <w:jc w:val="right"/>
              <w:rPr>
                <w:sz w:val="20"/>
                <w:szCs w:val="20"/>
              </w:rPr>
            </w:pPr>
            <w:r>
              <w:rPr>
                <w:sz w:val="20"/>
                <w:szCs w:val="20"/>
              </w:rPr>
              <w:t>18,000,000</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18,000,000</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5</w:t>
            </w:r>
          </w:p>
        </w:tc>
        <w:tc>
          <w:tcPr>
            <w:tcW w:w="1103" w:type="pct"/>
            <w:shd w:val="clear" w:color="auto" w:fill="auto"/>
          </w:tcPr>
          <w:p w:rsidR="00597370" w:rsidRDefault="003C2EEE">
            <w:pPr>
              <w:rPr>
                <w:sz w:val="20"/>
                <w:szCs w:val="20"/>
              </w:rPr>
            </w:pPr>
            <w:r>
              <w:rPr>
                <w:sz w:val="20"/>
                <w:szCs w:val="20"/>
              </w:rPr>
              <w:t>杨厚群</w:t>
            </w:r>
          </w:p>
        </w:tc>
        <w:tc>
          <w:tcPr>
            <w:tcW w:w="940" w:type="pct"/>
            <w:shd w:val="clear" w:color="auto" w:fill="auto"/>
          </w:tcPr>
          <w:p w:rsidR="00597370" w:rsidRDefault="003C2EEE">
            <w:pPr>
              <w:jc w:val="right"/>
              <w:rPr>
                <w:sz w:val="20"/>
                <w:szCs w:val="20"/>
              </w:rPr>
            </w:pPr>
            <w:r>
              <w:rPr>
                <w:sz w:val="20"/>
                <w:szCs w:val="20"/>
              </w:rPr>
              <w:t>7,500,000</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7,500,000</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6</w:t>
            </w:r>
          </w:p>
        </w:tc>
        <w:tc>
          <w:tcPr>
            <w:tcW w:w="1103" w:type="pct"/>
            <w:shd w:val="clear" w:color="auto" w:fill="auto"/>
          </w:tcPr>
          <w:p w:rsidR="00597370" w:rsidRDefault="003C2EEE">
            <w:pPr>
              <w:rPr>
                <w:sz w:val="20"/>
                <w:szCs w:val="20"/>
              </w:rPr>
            </w:pPr>
            <w:r>
              <w:rPr>
                <w:sz w:val="20"/>
                <w:szCs w:val="20"/>
              </w:rPr>
              <w:t>秦勇</w:t>
            </w:r>
          </w:p>
        </w:tc>
        <w:tc>
          <w:tcPr>
            <w:tcW w:w="940" w:type="pct"/>
            <w:shd w:val="clear" w:color="auto" w:fill="auto"/>
          </w:tcPr>
          <w:p w:rsidR="00597370" w:rsidRDefault="003C2EEE">
            <w:pPr>
              <w:jc w:val="right"/>
              <w:rPr>
                <w:sz w:val="20"/>
                <w:szCs w:val="20"/>
              </w:rPr>
            </w:pPr>
            <w:r>
              <w:rPr>
                <w:sz w:val="20"/>
                <w:szCs w:val="20"/>
              </w:rPr>
              <w:t>5,400,000</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5,400,000</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7</w:t>
            </w:r>
          </w:p>
        </w:tc>
        <w:tc>
          <w:tcPr>
            <w:tcW w:w="1103" w:type="pct"/>
            <w:shd w:val="clear" w:color="auto" w:fill="auto"/>
          </w:tcPr>
          <w:p w:rsidR="00597370" w:rsidRDefault="003C2EEE">
            <w:pPr>
              <w:rPr>
                <w:sz w:val="20"/>
                <w:szCs w:val="20"/>
              </w:rPr>
            </w:pPr>
            <w:r>
              <w:rPr>
                <w:sz w:val="20"/>
                <w:szCs w:val="20"/>
              </w:rPr>
              <w:t>杨小林</w:t>
            </w:r>
          </w:p>
        </w:tc>
        <w:tc>
          <w:tcPr>
            <w:tcW w:w="940" w:type="pct"/>
            <w:shd w:val="clear" w:color="auto" w:fill="auto"/>
          </w:tcPr>
          <w:p w:rsidR="00597370" w:rsidRDefault="003C2EEE">
            <w:pPr>
              <w:jc w:val="right"/>
              <w:rPr>
                <w:sz w:val="20"/>
                <w:szCs w:val="20"/>
              </w:rPr>
            </w:pPr>
            <w:r>
              <w:rPr>
                <w:sz w:val="20"/>
                <w:szCs w:val="20"/>
              </w:rPr>
              <w:t>1,730,000</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1,730,000</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8</w:t>
            </w:r>
          </w:p>
        </w:tc>
        <w:tc>
          <w:tcPr>
            <w:tcW w:w="1103" w:type="pct"/>
            <w:shd w:val="clear" w:color="auto" w:fill="auto"/>
          </w:tcPr>
          <w:p w:rsidR="00597370" w:rsidRDefault="003C2EEE">
            <w:pPr>
              <w:rPr>
                <w:sz w:val="20"/>
                <w:szCs w:val="20"/>
              </w:rPr>
            </w:pPr>
            <w:r>
              <w:rPr>
                <w:sz w:val="20"/>
                <w:szCs w:val="20"/>
              </w:rPr>
              <w:t>皮天彬</w:t>
            </w:r>
          </w:p>
        </w:tc>
        <w:tc>
          <w:tcPr>
            <w:tcW w:w="940" w:type="pct"/>
            <w:shd w:val="clear" w:color="auto" w:fill="auto"/>
          </w:tcPr>
          <w:p w:rsidR="00597370" w:rsidRDefault="003C2EEE">
            <w:pPr>
              <w:jc w:val="right"/>
              <w:rPr>
                <w:sz w:val="20"/>
                <w:szCs w:val="20"/>
              </w:rPr>
            </w:pPr>
            <w:r>
              <w:rPr>
                <w:sz w:val="20"/>
                <w:szCs w:val="20"/>
              </w:rPr>
              <w:t>375,000</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375,000</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lastRenderedPageBreak/>
              <w:t>9</w:t>
            </w:r>
          </w:p>
        </w:tc>
        <w:tc>
          <w:tcPr>
            <w:tcW w:w="1103" w:type="pct"/>
            <w:shd w:val="clear" w:color="auto" w:fill="auto"/>
          </w:tcPr>
          <w:p w:rsidR="00597370" w:rsidRDefault="003C2EEE">
            <w:pPr>
              <w:rPr>
                <w:sz w:val="20"/>
                <w:szCs w:val="20"/>
              </w:rPr>
            </w:pPr>
            <w:r>
              <w:rPr>
                <w:rFonts w:hint="eastAsia"/>
                <w:sz w:val="20"/>
                <w:szCs w:val="20"/>
              </w:rPr>
              <w:t>杨林</w:t>
            </w:r>
          </w:p>
        </w:tc>
        <w:tc>
          <w:tcPr>
            <w:tcW w:w="940" w:type="pct"/>
            <w:shd w:val="clear" w:color="auto" w:fill="auto"/>
          </w:tcPr>
          <w:p w:rsidR="00597370" w:rsidRDefault="003C2EEE">
            <w:pPr>
              <w:jc w:val="right"/>
              <w:rPr>
                <w:sz w:val="20"/>
                <w:szCs w:val="20"/>
              </w:rPr>
            </w:pPr>
            <w:r>
              <w:rPr>
                <w:sz w:val="20"/>
                <w:szCs w:val="20"/>
              </w:rPr>
              <w:t>220,000</w:t>
            </w:r>
          </w:p>
        </w:tc>
        <w:tc>
          <w:tcPr>
            <w:tcW w:w="1018" w:type="pct"/>
            <w:shd w:val="clear" w:color="auto" w:fill="auto"/>
          </w:tcPr>
          <w:p w:rsidR="00597370" w:rsidRDefault="003C2EEE">
            <w:pPr>
              <w:jc w:val="right"/>
              <w:rPr>
                <w:sz w:val="20"/>
                <w:szCs w:val="20"/>
              </w:rPr>
            </w:pPr>
            <w:r>
              <w:rPr>
                <w:sz w:val="20"/>
                <w:szCs w:val="20"/>
              </w:rPr>
              <w:t>-</w:t>
            </w:r>
          </w:p>
        </w:tc>
        <w:tc>
          <w:tcPr>
            <w:tcW w:w="784" w:type="pct"/>
            <w:shd w:val="clear" w:color="auto" w:fill="auto"/>
          </w:tcPr>
          <w:p w:rsidR="00597370" w:rsidRDefault="003C2EEE">
            <w:pPr>
              <w:jc w:val="right"/>
              <w:rPr>
                <w:sz w:val="20"/>
                <w:szCs w:val="20"/>
              </w:rPr>
            </w:pPr>
            <w:r>
              <w:rPr>
                <w:sz w:val="20"/>
                <w:szCs w:val="20"/>
              </w:rPr>
              <w:t>220,000</w:t>
            </w:r>
          </w:p>
        </w:tc>
        <w:tc>
          <w:tcPr>
            <w:tcW w:w="710" w:type="pct"/>
            <w:shd w:val="clear" w:color="auto" w:fill="auto"/>
          </w:tcPr>
          <w:p w:rsidR="00597370" w:rsidRDefault="003C2EEE">
            <w:pPr>
              <w:rPr>
                <w:sz w:val="20"/>
                <w:szCs w:val="20"/>
              </w:rPr>
            </w:pPr>
            <w:r>
              <w:rPr>
                <w:rFonts w:hint="eastAsia"/>
                <w:sz w:val="20"/>
                <w:szCs w:val="20"/>
              </w:rPr>
              <w:t>按《2</w:t>
            </w:r>
            <w:r>
              <w:rPr>
                <w:sz w:val="20"/>
                <w:szCs w:val="20"/>
              </w:rPr>
              <w:t>024</w:t>
            </w:r>
            <w:r>
              <w:rPr>
                <w:rFonts w:hint="eastAsia"/>
                <w:sz w:val="20"/>
                <w:szCs w:val="20"/>
              </w:rPr>
              <w:t>年限制性股票激励计划》分批解除限售</w:t>
            </w:r>
          </w:p>
        </w:tc>
      </w:tr>
      <w:tr w:rsidR="00597370">
        <w:trPr>
          <w:cantSplit/>
          <w:trHeight w:val="345"/>
          <w:jc w:val="center"/>
        </w:trPr>
        <w:tc>
          <w:tcPr>
            <w:tcW w:w="445" w:type="pct"/>
            <w:shd w:val="clear" w:color="auto" w:fill="auto"/>
          </w:tcPr>
          <w:p w:rsidR="00597370" w:rsidRDefault="003C2EEE">
            <w:pPr>
              <w:pStyle w:val="ab"/>
              <w:rPr>
                <w:rFonts w:ascii="宋体" w:hAnsi="宋体"/>
                <w:color w:val="000000" w:themeColor="text1"/>
                <w:sz w:val="20"/>
                <w:szCs w:val="20"/>
              </w:rPr>
            </w:pPr>
            <w:r>
              <w:rPr>
                <w:sz w:val="20"/>
                <w:szCs w:val="20"/>
              </w:rPr>
              <w:t>10</w:t>
            </w:r>
          </w:p>
        </w:tc>
        <w:tc>
          <w:tcPr>
            <w:tcW w:w="1103" w:type="pct"/>
            <w:shd w:val="clear" w:color="auto" w:fill="auto"/>
          </w:tcPr>
          <w:p w:rsidR="00597370" w:rsidRDefault="003C2EEE">
            <w:pPr>
              <w:rPr>
                <w:sz w:val="20"/>
                <w:szCs w:val="20"/>
              </w:rPr>
            </w:pPr>
            <w:r>
              <w:rPr>
                <w:sz w:val="20"/>
                <w:szCs w:val="20"/>
              </w:rPr>
              <w:t>隆志钢</w:t>
            </w:r>
          </w:p>
        </w:tc>
        <w:tc>
          <w:tcPr>
            <w:tcW w:w="940" w:type="pct"/>
            <w:shd w:val="clear" w:color="auto" w:fill="auto"/>
          </w:tcPr>
          <w:p w:rsidR="00597370" w:rsidRDefault="003C2EEE">
            <w:pPr>
              <w:jc w:val="right"/>
              <w:rPr>
                <w:sz w:val="20"/>
                <w:szCs w:val="20"/>
              </w:rPr>
            </w:pPr>
            <w:r>
              <w:rPr>
                <w:sz w:val="20"/>
                <w:szCs w:val="20"/>
              </w:rPr>
              <w:t>116,000</w:t>
            </w:r>
          </w:p>
        </w:tc>
        <w:tc>
          <w:tcPr>
            <w:tcW w:w="1018" w:type="pct"/>
            <w:shd w:val="clear" w:color="auto" w:fill="auto"/>
          </w:tcPr>
          <w:p w:rsidR="00597370" w:rsidRDefault="003C2EEE">
            <w:pPr>
              <w:jc w:val="right"/>
              <w:rPr>
                <w:sz w:val="20"/>
                <w:szCs w:val="20"/>
              </w:rPr>
            </w:pPr>
            <w:r>
              <w:rPr>
                <w:sz w:val="20"/>
                <w:szCs w:val="20"/>
              </w:rPr>
              <w:t>2025.04.28</w:t>
            </w:r>
          </w:p>
        </w:tc>
        <w:tc>
          <w:tcPr>
            <w:tcW w:w="784" w:type="pct"/>
            <w:shd w:val="clear" w:color="auto" w:fill="auto"/>
          </w:tcPr>
          <w:p w:rsidR="00597370" w:rsidRDefault="003C2EEE">
            <w:pPr>
              <w:jc w:val="right"/>
              <w:rPr>
                <w:sz w:val="20"/>
                <w:szCs w:val="20"/>
              </w:rPr>
            </w:pPr>
            <w:r>
              <w:rPr>
                <w:sz w:val="20"/>
                <w:szCs w:val="20"/>
              </w:rPr>
              <w:t>116,000</w:t>
            </w:r>
          </w:p>
        </w:tc>
        <w:tc>
          <w:tcPr>
            <w:tcW w:w="710" w:type="pct"/>
            <w:shd w:val="clear" w:color="auto" w:fill="auto"/>
          </w:tcPr>
          <w:p w:rsidR="00597370" w:rsidRDefault="003C2EEE">
            <w:pPr>
              <w:rPr>
                <w:sz w:val="20"/>
                <w:szCs w:val="20"/>
              </w:rPr>
            </w:pPr>
            <w:r>
              <w:rPr>
                <w:sz w:val="20"/>
                <w:szCs w:val="20"/>
              </w:rPr>
              <w:t>首发限售36个月</w:t>
            </w:r>
          </w:p>
        </w:tc>
      </w:tr>
      <w:tr w:rsidR="00597370">
        <w:trPr>
          <w:cantSplit/>
          <w:jc w:val="center"/>
        </w:trPr>
        <w:tc>
          <w:tcPr>
            <w:tcW w:w="1548" w:type="pct"/>
            <w:gridSpan w:val="2"/>
            <w:shd w:val="clear" w:color="auto" w:fill="auto"/>
            <w:vAlign w:val="center"/>
          </w:tcPr>
          <w:p w:rsidR="00597370" w:rsidRDefault="003C2EEE">
            <w:pPr>
              <w:ind w:rightChars="46" w:right="97"/>
              <w:rPr>
                <w:color w:val="000000" w:themeColor="text1"/>
                <w:sz w:val="20"/>
                <w:szCs w:val="20"/>
              </w:rPr>
            </w:pPr>
            <w:r>
              <w:rPr>
                <w:rFonts w:hint="eastAsia"/>
                <w:color w:val="000000" w:themeColor="text1"/>
                <w:sz w:val="20"/>
                <w:szCs w:val="20"/>
              </w:rPr>
              <w:t>上述股东关联关系或一致行动的说明</w:t>
            </w:r>
          </w:p>
        </w:tc>
        <w:tc>
          <w:tcPr>
            <w:tcW w:w="3452" w:type="pct"/>
            <w:gridSpan w:val="4"/>
            <w:shd w:val="clear" w:color="auto" w:fill="auto"/>
            <w:vAlign w:val="center"/>
          </w:tcPr>
          <w:p w:rsidR="00597370" w:rsidRDefault="003C2EEE">
            <w:pPr>
              <w:ind w:rightChars="46" w:right="97"/>
              <w:rPr>
                <w:rFonts w:cs="Arial"/>
                <w:sz w:val="20"/>
                <w:szCs w:val="20"/>
              </w:rPr>
            </w:pPr>
            <w:r>
              <w:rPr>
                <w:rFonts w:cs="Arial" w:hint="eastAsia"/>
                <w:sz w:val="20"/>
                <w:szCs w:val="20"/>
              </w:rPr>
              <w:t>上述股东中杨泽民、秦惠兰、杨耀与杨秦</w:t>
            </w:r>
            <w:proofErr w:type="gramStart"/>
            <w:r>
              <w:rPr>
                <w:rFonts w:cs="Arial" w:hint="eastAsia"/>
                <w:sz w:val="20"/>
                <w:szCs w:val="20"/>
              </w:rPr>
              <w:t>系一致</w:t>
            </w:r>
            <w:proofErr w:type="gramEnd"/>
            <w:r>
              <w:rPr>
                <w:rFonts w:cs="Arial" w:hint="eastAsia"/>
                <w:sz w:val="20"/>
                <w:szCs w:val="20"/>
              </w:rPr>
              <w:t>行动人，杨泽民与秦惠兰系夫妻关系，其女杨秦与其子杨耀系姐弟关系，杨泽民与杨小林、杨厚群系兄弟妹关系，秦惠兰与秦勇系姐妹关系，秦勇与隆</w:t>
            </w:r>
            <w:proofErr w:type="gramStart"/>
            <w:r>
              <w:rPr>
                <w:rFonts w:cs="Arial" w:hint="eastAsia"/>
                <w:sz w:val="20"/>
                <w:szCs w:val="20"/>
              </w:rPr>
              <w:t>志钢系夫妻</w:t>
            </w:r>
            <w:proofErr w:type="gramEnd"/>
            <w:r>
              <w:rPr>
                <w:rFonts w:cs="Arial" w:hint="eastAsia"/>
                <w:sz w:val="20"/>
                <w:szCs w:val="20"/>
              </w:rPr>
              <w:t>关系，皮天彬与杨秦系公媳关系。除此之外，公司未知上述股东是否存在关联关系，也未知上述股东之间是否属于《上市公司收购管理办法》规定的一致行动人。</w:t>
            </w:r>
          </w:p>
        </w:tc>
      </w:tr>
    </w:tbl>
    <w:p w:rsidR="00597370" w:rsidRDefault="00597370">
      <w:pPr>
        <w:rPr>
          <w:color w:val="000000" w:themeColor="text1"/>
        </w:rPr>
      </w:pPr>
    </w:p>
    <w:p w:rsidR="00597370" w:rsidRDefault="00597370">
      <w:pPr>
        <w:rPr>
          <w:color w:val="000000" w:themeColor="text1"/>
        </w:rPr>
      </w:pPr>
      <w:bookmarkStart w:id="93" w:name="_Hlk167800260"/>
      <w:bookmarkEnd w:id="93"/>
    </w:p>
    <w:p w:rsidR="00597370" w:rsidRDefault="003C2EEE">
      <w:pPr>
        <w:pStyle w:val="3"/>
        <w:numPr>
          <w:ilvl w:val="1"/>
          <w:numId w:val="33"/>
        </w:numPr>
        <w:rPr>
          <w:rFonts w:ascii="宋体" w:hAnsi="宋体"/>
          <w:color w:val="000000" w:themeColor="text1"/>
        </w:rPr>
      </w:pPr>
      <w:bookmarkStart w:id="94" w:name="_Toc342059487"/>
      <w:bookmarkStart w:id="95" w:name="_Toc342566000"/>
      <w:r>
        <w:rPr>
          <w:rFonts w:ascii="宋体" w:hAnsi="宋体"/>
          <w:color w:val="000000" w:themeColor="text1"/>
        </w:rPr>
        <w:t>战略投资者或一般法人因配售新股成为前十名股东</w:t>
      </w:r>
    </w:p>
    <w:sdt>
      <w:sdtPr>
        <w:rPr>
          <w:color w:val="000000" w:themeColor="text1"/>
        </w:rPr>
        <w:alias w:val="是否适用：战略投资者或一般法人因配售新股成为前10名股东[双击切换]"/>
        <w:tag w:val="_GBC_fe7bdc72bd78490fb48d0f3eaca6248e"/>
        <w:id w:val="6416979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2"/>
        <w:numPr>
          <w:ilvl w:val="0"/>
          <w:numId w:val="30"/>
        </w:numPr>
        <w:spacing w:line="360" w:lineRule="auto"/>
        <w:ind w:left="422" w:hanging="422"/>
        <w:rPr>
          <w:rFonts w:ascii="宋体" w:hAnsi="宋体"/>
          <w:color w:val="000000" w:themeColor="text1"/>
        </w:rPr>
      </w:pPr>
      <w:bookmarkStart w:id="96" w:name="_Toc342057944"/>
      <w:bookmarkStart w:id="97" w:name="_Toc342566004"/>
      <w:r>
        <w:rPr>
          <w:rFonts w:ascii="宋体" w:hAnsi="宋体"/>
          <w:color w:val="000000" w:themeColor="text1"/>
        </w:rPr>
        <w:t>董事、监事和高级管理人员情况</w:t>
      </w:r>
    </w:p>
    <w:p w:rsidR="00597370" w:rsidRDefault="003C2EEE">
      <w:pPr>
        <w:pStyle w:val="3"/>
        <w:numPr>
          <w:ilvl w:val="2"/>
          <w:numId w:val="34"/>
        </w:numPr>
        <w:rPr>
          <w:rFonts w:ascii="宋体" w:hAnsi="宋体"/>
          <w:color w:val="000000" w:themeColor="text1"/>
        </w:rPr>
      </w:pPr>
      <w:r>
        <w:rPr>
          <w:rFonts w:ascii="宋体" w:hAnsi="宋体"/>
          <w:color w:val="000000" w:themeColor="text1"/>
        </w:rPr>
        <w:t>现任及报告期内离任董事、监事和高级管理人员持股变动情况</w:t>
      </w:r>
    </w:p>
    <w:sdt>
      <w:sdtPr>
        <w:rPr>
          <w:color w:val="000000" w:themeColor="text1"/>
        </w:rPr>
        <w:alias w:val="是否适用：董事、监事和高级管理人员持股变动[双击切换]"/>
        <w:tag w:val="_GBC_e4aa9f89c24b4cbb80c479762adcf568"/>
        <w:id w:val="189230367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董事、监事、高级管理人员基本情况"/>
          <w:tag w:val="_GBC_87d809188f454ec0b46d64b3aa35bd40"/>
          <w:id w:val="-682126248"/>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color w:val="000000" w:themeColor="text1"/>
            </w:rPr>
            <w:t>股</w:t>
          </w:r>
        </w:sdtContent>
      </w:sdt>
    </w:p>
    <w:tbl>
      <w:tblPr>
        <w:tblStyle w:val="aff2"/>
        <w:tblW w:w="0" w:type="auto"/>
        <w:tblLook w:val="04A0" w:firstRow="1" w:lastRow="0" w:firstColumn="1" w:lastColumn="0" w:noHBand="0" w:noVBand="1"/>
      </w:tblPr>
      <w:tblGrid>
        <w:gridCol w:w="988"/>
        <w:gridCol w:w="2268"/>
        <w:gridCol w:w="1275"/>
        <w:gridCol w:w="1348"/>
        <w:gridCol w:w="1479"/>
        <w:gridCol w:w="1465"/>
      </w:tblGrid>
      <w:tr w:rsidR="00597370">
        <w:sdt>
          <w:sdtPr>
            <w:rPr>
              <w:rFonts w:ascii="Times New Roman" w:hAnsi="Times New Roman"/>
              <w:color w:val="000000" w:themeColor="text1"/>
              <w:sz w:val="20"/>
              <w:szCs w:val="20"/>
            </w:rPr>
            <w:tag w:val="_PLD_1f7680f216a54f238a0fc6f41541ae82"/>
            <w:id w:val="1323162290"/>
          </w:sdtPr>
          <w:sdtEndPr/>
          <w:sdtContent>
            <w:tc>
              <w:tcPr>
                <w:tcW w:w="988" w:type="dxa"/>
                <w:vAlign w:val="center"/>
              </w:tcPr>
              <w:p w:rsidR="00597370" w:rsidRDefault="003C2EEE">
                <w:pPr>
                  <w:jc w:val="center"/>
                  <w:rPr>
                    <w:rFonts w:ascii="Times New Roman" w:hAnsi="Times New Roman"/>
                    <w:color w:val="000000" w:themeColor="text1"/>
                    <w:sz w:val="20"/>
                    <w:szCs w:val="20"/>
                  </w:rPr>
                </w:pPr>
                <w:r>
                  <w:rPr>
                    <w:rFonts w:ascii="Times New Roman" w:hAnsi="Times New Roman"/>
                    <w:color w:val="000000" w:themeColor="text1"/>
                    <w:sz w:val="20"/>
                    <w:szCs w:val="20"/>
                  </w:rPr>
                  <w:t>姓名</w:t>
                </w:r>
              </w:p>
            </w:tc>
          </w:sdtContent>
        </w:sdt>
        <w:sdt>
          <w:sdtPr>
            <w:rPr>
              <w:rFonts w:ascii="Times New Roman" w:hAnsi="Times New Roman"/>
              <w:color w:val="000000" w:themeColor="text1"/>
              <w:sz w:val="20"/>
              <w:szCs w:val="20"/>
            </w:rPr>
            <w:tag w:val="_PLD_f9cf95b77e9f44c08a598757ed99ae89"/>
            <w:id w:val="929156821"/>
          </w:sdtPr>
          <w:sdtEndPr/>
          <w:sdtContent>
            <w:tc>
              <w:tcPr>
                <w:tcW w:w="2268" w:type="dxa"/>
                <w:vAlign w:val="center"/>
              </w:tcPr>
              <w:p w:rsidR="00597370" w:rsidRDefault="003C2EEE">
                <w:pPr>
                  <w:jc w:val="center"/>
                  <w:rPr>
                    <w:rFonts w:ascii="Times New Roman" w:hAnsi="Times New Roman"/>
                    <w:color w:val="000000" w:themeColor="text1"/>
                    <w:sz w:val="20"/>
                    <w:szCs w:val="20"/>
                  </w:rPr>
                </w:pPr>
                <w:r>
                  <w:rPr>
                    <w:rFonts w:ascii="Times New Roman" w:hAnsi="Times New Roman"/>
                    <w:color w:val="000000" w:themeColor="text1"/>
                    <w:sz w:val="20"/>
                    <w:szCs w:val="20"/>
                  </w:rPr>
                  <w:t>职务</w:t>
                </w:r>
              </w:p>
            </w:tc>
          </w:sdtContent>
        </w:sdt>
        <w:sdt>
          <w:sdtPr>
            <w:rPr>
              <w:rFonts w:ascii="Times New Roman" w:hAnsi="Times New Roman"/>
              <w:color w:val="000000" w:themeColor="text1"/>
              <w:sz w:val="20"/>
              <w:szCs w:val="20"/>
            </w:rPr>
            <w:tag w:val="_PLD_97b791fb142e4247b083ceff8590ac69"/>
            <w:id w:val="989532197"/>
          </w:sdtPr>
          <w:sdtEndPr/>
          <w:sdtContent>
            <w:tc>
              <w:tcPr>
                <w:tcW w:w="1275" w:type="dxa"/>
                <w:vAlign w:val="center"/>
              </w:tcPr>
              <w:p w:rsidR="00597370" w:rsidRDefault="003C2EEE">
                <w:pPr>
                  <w:jc w:val="center"/>
                  <w:rPr>
                    <w:rFonts w:ascii="Times New Roman" w:hAnsi="Times New Roman"/>
                    <w:color w:val="000000" w:themeColor="text1"/>
                    <w:sz w:val="20"/>
                    <w:szCs w:val="20"/>
                  </w:rPr>
                </w:pPr>
                <w:r>
                  <w:rPr>
                    <w:rFonts w:ascii="Times New Roman" w:hAnsi="Times New Roman"/>
                    <w:color w:val="000000" w:themeColor="text1"/>
                    <w:sz w:val="20"/>
                    <w:szCs w:val="20"/>
                  </w:rPr>
                  <w:t>期初持股数</w:t>
                </w:r>
              </w:p>
            </w:tc>
          </w:sdtContent>
        </w:sdt>
        <w:sdt>
          <w:sdtPr>
            <w:rPr>
              <w:rFonts w:ascii="Times New Roman" w:hAnsi="Times New Roman"/>
              <w:color w:val="000000" w:themeColor="text1"/>
              <w:sz w:val="20"/>
              <w:szCs w:val="20"/>
            </w:rPr>
            <w:tag w:val="_PLD_548f968bd4a54832b0fba78005a85b32"/>
            <w:id w:val="-1307233920"/>
          </w:sdtPr>
          <w:sdtEndPr/>
          <w:sdtContent>
            <w:tc>
              <w:tcPr>
                <w:tcW w:w="1348" w:type="dxa"/>
                <w:vAlign w:val="center"/>
              </w:tcPr>
              <w:p w:rsidR="00597370" w:rsidRDefault="003C2EEE">
                <w:pPr>
                  <w:jc w:val="center"/>
                  <w:rPr>
                    <w:rFonts w:ascii="Times New Roman" w:hAnsi="Times New Roman"/>
                    <w:color w:val="000000" w:themeColor="text1"/>
                    <w:sz w:val="20"/>
                    <w:szCs w:val="20"/>
                  </w:rPr>
                </w:pPr>
                <w:r>
                  <w:rPr>
                    <w:rFonts w:ascii="Times New Roman" w:hAnsi="Times New Roman"/>
                    <w:color w:val="000000" w:themeColor="text1"/>
                    <w:sz w:val="20"/>
                    <w:szCs w:val="20"/>
                  </w:rPr>
                  <w:t>期末持股数</w:t>
                </w:r>
              </w:p>
            </w:tc>
          </w:sdtContent>
        </w:sdt>
        <w:sdt>
          <w:sdtPr>
            <w:rPr>
              <w:rFonts w:ascii="Times New Roman" w:hAnsi="Times New Roman"/>
              <w:color w:val="000000" w:themeColor="text1"/>
              <w:sz w:val="20"/>
              <w:szCs w:val="20"/>
            </w:rPr>
            <w:tag w:val="_PLD_bbad2f3819564189adee6d267c1fd8e7"/>
            <w:id w:val="1453517857"/>
          </w:sdtPr>
          <w:sdtEndPr/>
          <w:sdtContent>
            <w:tc>
              <w:tcPr>
                <w:tcW w:w="1479" w:type="dxa"/>
                <w:vAlign w:val="center"/>
              </w:tcPr>
              <w:p w:rsidR="00597370" w:rsidRDefault="003C2EEE">
                <w:pPr>
                  <w:jc w:val="center"/>
                  <w:rPr>
                    <w:rFonts w:ascii="Times New Roman" w:hAnsi="Times New Roman"/>
                    <w:color w:val="000000" w:themeColor="text1"/>
                    <w:sz w:val="20"/>
                    <w:szCs w:val="20"/>
                  </w:rPr>
                </w:pPr>
                <w:r>
                  <w:rPr>
                    <w:rFonts w:ascii="Times New Roman" w:hAnsi="Times New Roman"/>
                    <w:color w:val="000000" w:themeColor="text1"/>
                    <w:sz w:val="20"/>
                    <w:szCs w:val="20"/>
                  </w:rPr>
                  <w:t>报告期内股份增减变动量</w:t>
                </w:r>
              </w:p>
            </w:tc>
          </w:sdtContent>
        </w:sdt>
        <w:sdt>
          <w:sdtPr>
            <w:rPr>
              <w:rFonts w:ascii="Times New Roman" w:hAnsi="Times New Roman"/>
              <w:color w:val="000000" w:themeColor="text1"/>
              <w:sz w:val="20"/>
              <w:szCs w:val="20"/>
            </w:rPr>
            <w:tag w:val="_PLD_4dafa7f2d8e14e03aadd815fa6ee7ac6"/>
            <w:id w:val="386152732"/>
          </w:sdtPr>
          <w:sdtEndPr/>
          <w:sdtContent>
            <w:tc>
              <w:tcPr>
                <w:tcW w:w="1465" w:type="dxa"/>
                <w:vAlign w:val="center"/>
              </w:tcPr>
              <w:p w:rsidR="00597370" w:rsidRDefault="003C2EEE">
                <w:pPr>
                  <w:jc w:val="center"/>
                  <w:rPr>
                    <w:rFonts w:ascii="Times New Roman" w:hAnsi="Times New Roman"/>
                    <w:color w:val="000000" w:themeColor="text1"/>
                    <w:sz w:val="20"/>
                    <w:szCs w:val="20"/>
                  </w:rPr>
                </w:pPr>
                <w:r>
                  <w:rPr>
                    <w:rFonts w:ascii="Times New Roman" w:hAnsi="Times New Roman"/>
                    <w:color w:val="000000" w:themeColor="text1"/>
                    <w:sz w:val="20"/>
                    <w:szCs w:val="20"/>
                  </w:rPr>
                  <w:t>增减变动原因</w:t>
                </w:r>
              </w:p>
            </w:tc>
          </w:sdtContent>
        </w:sdt>
      </w:tr>
      <w:tr w:rsidR="00597370">
        <w:tc>
          <w:tcPr>
            <w:tcW w:w="98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杨林</w:t>
            </w:r>
          </w:p>
        </w:tc>
        <w:tc>
          <w:tcPr>
            <w:tcW w:w="226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董事、副总经理</w:t>
            </w:r>
          </w:p>
        </w:tc>
        <w:tc>
          <w:tcPr>
            <w:tcW w:w="1275"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w:t>
            </w:r>
          </w:p>
        </w:tc>
        <w:tc>
          <w:tcPr>
            <w:tcW w:w="1348"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220,000</w:t>
            </w:r>
          </w:p>
        </w:tc>
        <w:tc>
          <w:tcPr>
            <w:tcW w:w="1479"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220,000</w:t>
            </w:r>
          </w:p>
        </w:tc>
        <w:tc>
          <w:tcPr>
            <w:tcW w:w="1465"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sz w:val="20"/>
                <w:szCs w:val="20"/>
              </w:rPr>
              <w:t>2024年限制性股票激励计划首次授予</w:t>
            </w:r>
          </w:p>
        </w:tc>
      </w:tr>
      <w:tr w:rsidR="00597370">
        <w:tc>
          <w:tcPr>
            <w:tcW w:w="988" w:type="dxa"/>
            <w:vAlign w:val="center"/>
          </w:tcPr>
          <w:p w:rsidR="00597370" w:rsidRDefault="003C2EEE">
            <w:pPr>
              <w:jc w:val="center"/>
              <w:rPr>
                <w:rFonts w:asciiTheme="majorEastAsia" w:eastAsiaTheme="majorEastAsia" w:hAnsiTheme="majorEastAsia"/>
                <w:sz w:val="20"/>
                <w:szCs w:val="20"/>
              </w:rPr>
            </w:pPr>
            <w:proofErr w:type="gramStart"/>
            <w:r>
              <w:rPr>
                <w:rFonts w:asciiTheme="majorEastAsia" w:eastAsiaTheme="majorEastAsia" w:hAnsiTheme="majorEastAsia" w:hint="eastAsia"/>
                <w:sz w:val="20"/>
                <w:szCs w:val="20"/>
              </w:rPr>
              <w:t>胡守天</w:t>
            </w:r>
            <w:proofErr w:type="gramEnd"/>
          </w:p>
        </w:tc>
        <w:tc>
          <w:tcPr>
            <w:tcW w:w="226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董事、副总经理</w:t>
            </w:r>
          </w:p>
        </w:tc>
        <w:tc>
          <w:tcPr>
            <w:tcW w:w="1275"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w:t>
            </w:r>
          </w:p>
        </w:tc>
        <w:tc>
          <w:tcPr>
            <w:tcW w:w="1348"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1479"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90,000</w:t>
            </w:r>
          </w:p>
        </w:tc>
        <w:tc>
          <w:tcPr>
            <w:tcW w:w="1465"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sz w:val="20"/>
                <w:szCs w:val="20"/>
              </w:rPr>
              <w:t>2024年限制性股票激励计划首次授予</w:t>
            </w:r>
          </w:p>
        </w:tc>
      </w:tr>
      <w:tr w:rsidR="00597370">
        <w:tc>
          <w:tcPr>
            <w:tcW w:w="98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王海波</w:t>
            </w:r>
          </w:p>
        </w:tc>
        <w:tc>
          <w:tcPr>
            <w:tcW w:w="226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董事、副总经理</w:t>
            </w:r>
          </w:p>
        </w:tc>
        <w:tc>
          <w:tcPr>
            <w:tcW w:w="1275"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75,000</w:t>
            </w:r>
          </w:p>
        </w:tc>
        <w:tc>
          <w:tcPr>
            <w:tcW w:w="1348"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165</w:t>
            </w:r>
            <w:r>
              <w:rPr>
                <w:rFonts w:asciiTheme="majorEastAsia" w:eastAsiaTheme="majorEastAsia" w:hAnsiTheme="majorEastAsia"/>
                <w:sz w:val="20"/>
                <w:szCs w:val="20"/>
              </w:rPr>
              <w:t>,000</w:t>
            </w:r>
          </w:p>
        </w:tc>
        <w:tc>
          <w:tcPr>
            <w:tcW w:w="1479"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90,000</w:t>
            </w:r>
          </w:p>
        </w:tc>
        <w:tc>
          <w:tcPr>
            <w:tcW w:w="1465"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sz w:val="20"/>
                <w:szCs w:val="20"/>
              </w:rPr>
              <w:t>2024年限制性股票激励计划首次授予</w:t>
            </w:r>
          </w:p>
        </w:tc>
      </w:tr>
      <w:tr w:rsidR="00597370">
        <w:tc>
          <w:tcPr>
            <w:tcW w:w="988" w:type="dxa"/>
            <w:vAlign w:val="center"/>
          </w:tcPr>
          <w:p w:rsidR="00597370" w:rsidRDefault="003C2EEE">
            <w:pPr>
              <w:jc w:val="center"/>
              <w:rPr>
                <w:rFonts w:asciiTheme="majorEastAsia" w:eastAsiaTheme="majorEastAsia" w:hAnsiTheme="majorEastAsia"/>
                <w:sz w:val="20"/>
                <w:szCs w:val="20"/>
              </w:rPr>
            </w:pPr>
            <w:proofErr w:type="gramStart"/>
            <w:r>
              <w:rPr>
                <w:rFonts w:asciiTheme="majorEastAsia" w:eastAsiaTheme="majorEastAsia" w:hAnsiTheme="majorEastAsia" w:hint="eastAsia"/>
                <w:sz w:val="20"/>
                <w:szCs w:val="20"/>
              </w:rPr>
              <w:t>付康</w:t>
            </w:r>
            <w:proofErr w:type="gramEnd"/>
          </w:p>
        </w:tc>
        <w:tc>
          <w:tcPr>
            <w:tcW w:w="226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董事</w:t>
            </w:r>
          </w:p>
        </w:tc>
        <w:tc>
          <w:tcPr>
            <w:tcW w:w="1275"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w:t>
            </w:r>
          </w:p>
        </w:tc>
        <w:tc>
          <w:tcPr>
            <w:tcW w:w="1348"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1479"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90,000</w:t>
            </w:r>
          </w:p>
        </w:tc>
        <w:tc>
          <w:tcPr>
            <w:tcW w:w="1465"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sz w:val="20"/>
                <w:szCs w:val="20"/>
              </w:rPr>
              <w:t>2024年限制性股票激励计划首次授予</w:t>
            </w:r>
          </w:p>
        </w:tc>
      </w:tr>
      <w:tr w:rsidR="00597370">
        <w:tc>
          <w:tcPr>
            <w:tcW w:w="988" w:type="dxa"/>
            <w:vAlign w:val="center"/>
          </w:tcPr>
          <w:p w:rsidR="00597370" w:rsidRDefault="003C2EEE">
            <w:pPr>
              <w:jc w:val="center"/>
              <w:rPr>
                <w:rFonts w:asciiTheme="majorEastAsia" w:eastAsiaTheme="majorEastAsia" w:hAnsiTheme="majorEastAsia"/>
                <w:sz w:val="20"/>
                <w:szCs w:val="20"/>
              </w:rPr>
            </w:pPr>
            <w:proofErr w:type="gramStart"/>
            <w:r>
              <w:rPr>
                <w:rFonts w:asciiTheme="majorEastAsia" w:eastAsiaTheme="majorEastAsia" w:hAnsiTheme="majorEastAsia" w:hint="eastAsia"/>
                <w:sz w:val="20"/>
                <w:szCs w:val="20"/>
              </w:rPr>
              <w:t>李代萍</w:t>
            </w:r>
            <w:proofErr w:type="gramEnd"/>
          </w:p>
        </w:tc>
        <w:tc>
          <w:tcPr>
            <w:tcW w:w="226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副总经理、董事会秘书</w:t>
            </w:r>
          </w:p>
        </w:tc>
        <w:tc>
          <w:tcPr>
            <w:tcW w:w="1275"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375,000</w:t>
            </w:r>
          </w:p>
        </w:tc>
        <w:tc>
          <w:tcPr>
            <w:tcW w:w="1348"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465</w:t>
            </w:r>
            <w:r>
              <w:rPr>
                <w:rFonts w:asciiTheme="majorEastAsia" w:eastAsiaTheme="majorEastAsia" w:hAnsiTheme="majorEastAsia"/>
                <w:sz w:val="20"/>
                <w:szCs w:val="20"/>
              </w:rPr>
              <w:t>,000</w:t>
            </w:r>
          </w:p>
        </w:tc>
        <w:tc>
          <w:tcPr>
            <w:tcW w:w="1479"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90,000</w:t>
            </w:r>
          </w:p>
        </w:tc>
        <w:tc>
          <w:tcPr>
            <w:tcW w:w="1465"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sz w:val="20"/>
                <w:szCs w:val="20"/>
              </w:rPr>
              <w:t>2024年限制性股票激励计划首次授予</w:t>
            </w:r>
          </w:p>
        </w:tc>
      </w:tr>
      <w:tr w:rsidR="00597370">
        <w:tc>
          <w:tcPr>
            <w:tcW w:w="98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刘柏林</w:t>
            </w:r>
          </w:p>
        </w:tc>
        <w:tc>
          <w:tcPr>
            <w:tcW w:w="226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副总经理</w:t>
            </w:r>
          </w:p>
        </w:tc>
        <w:tc>
          <w:tcPr>
            <w:tcW w:w="1275"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w:t>
            </w:r>
          </w:p>
        </w:tc>
        <w:tc>
          <w:tcPr>
            <w:tcW w:w="1348"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190,000</w:t>
            </w:r>
          </w:p>
        </w:tc>
        <w:tc>
          <w:tcPr>
            <w:tcW w:w="1479"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190,000</w:t>
            </w:r>
          </w:p>
        </w:tc>
        <w:tc>
          <w:tcPr>
            <w:tcW w:w="1465"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sz w:val="20"/>
                <w:szCs w:val="20"/>
              </w:rPr>
              <w:t>2024年限制性股票激励计划首次授予</w:t>
            </w:r>
          </w:p>
        </w:tc>
      </w:tr>
      <w:tr w:rsidR="00597370">
        <w:tc>
          <w:tcPr>
            <w:tcW w:w="988" w:type="dxa"/>
            <w:vAlign w:val="center"/>
          </w:tcPr>
          <w:p w:rsidR="00597370" w:rsidRDefault="003C2EEE">
            <w:pPr>
              <w:jc w:val="center"/>
              <w:rPr>
                <w:rFonts w:asciiTheme="majorEastAsia" w:eastAsiaTheme="majorEastAsia" w:hAnsiTheme="majorEastAsia"/>
                <w:sz w:val="20"/>
                <w:szCs w:val="20"/>
              </w:rPr>
            </w:pPr>
            <w:proofErr w:type="gramStart"/>
            <w:r>
              <w:rPr>
                <w:rFonts w:asciiTheme="majorEastAsia" w:eastAsiaTheme="majorEastAsia" w:hAnsiTheme="majorEastAsia" w:hint="eastAsia"/>
                <w:sz w:val="20"/>
                <w:szCs w:val="20"/>
              </w:rPr>
              <w:t>肖永号</w:t>
            </w:r>
            <w:proofErr w:type="gramEnd"/>
          </w:p>
        </w:tc>
        <w:tc>
          <w:tcPr>
            <w:tcW w:w="226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副总经理</w:t>
            </w:r>
          </w:p>
        </w:tc>
        <w:tc>
          <w:tcPr>
            <w:tcW w:w="1275"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w:t>
            </w:r>
          </w:p>
        </w:tc>
        <w:tc>
          <w:tcPr>
            <w:tcW w:w="1348"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1479"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90,000</w:t>
            </w:r>
          </w:p>
        </w:tc>
        <w:tc>
          <w:tcPr>
            <w:tcW w:w="1465"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sz w:val="20"/>
                <w:szCs w:val="20"/>
              </w:rPr>
              <w:t>2024年限制性股票激励计划首次授予</w:t>
            </w:r>
          </w:p>
        </w:tc>
      </w:tr>
      <w:tr w:rsidR="00597370">
        <w:tc>
          <w:tcPr>
            <w:tcW w:w="98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杨万华</w:t>
            </w:r>
          </w:p>
        </w:tc>
        <w:tc>
          <w:tcPr>
            <w:tcW w:w="2268"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财务总监</w:t>
            </w:r>
          </w:p>
        </w:tc>
        <w:tc>
          <w:tcPr>
            <w:tcW w:w="1275"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w:t>
            </w:r>
          </w:p>
        </w:tc>
        <w:tc>
          <w:tcPr>
            <w:tcW w:w="1348"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70,000</w:t>
            </w:r>
          </w:p>
        </w:tc>
        <w:tc>
          <w:tcPr>
            <w:tcW w:w="1479" w:type="dxa"/>
            <w:vAlign w:val="center"/>
          </w:tcPr>
          <w:p w:rsidR="00597370" w:rsidRDefault="003C2EEE">
            <w:pPr>
              <w:spacing w:line="48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70,000</w:t>
            </w:r>
          </w:p>
        </w:tc>
        <w:tc>
          <w:tcPr>
            <w:tcW w:w="1465" w:type="dxa"/>
            <w:vAlign w:val="center"/>
          </w:tcPr>
          <w:p w:rsidR="00597370" w:rsidRDefault="003C2EEE">
            <w:pPr>
              <w:jc w:val="center"/>
              <w:rPr>
                <w:rFonts w:asciiTheme="majorEastAsia" w:eastAsiaTheme="majorEastAsia" w:hAnsiTheme="majorEastAsia"/>
                <w:sz w:val="20"/>
                <w:szCs w:val="20"/>
              </w:rPr>
            </w:pPr>
            <w:r>
              <w:rPr>
                <w:rFonts w:asciiTheme="majorEastAsia" w:eastAsiaTheme="majorEastAsia" w:hAnsiTheme="majorEastAsia"/>
                <w:sz w:val="20"/>
                <w:szCs w:val="20"/>
              </w:rPr>
              <w:t>2024年限制性股票激励计划首次授予</w:t>
            </w:r>
          </w:p>
        </w:tc>
      </w:tr>
    </w:tbl>
    <w:p w:rsidR="00597370" w:rsidRDefault="00597370">
      <w:pPr>
        <w:rPr>
          <w:color w:val="000000" w:themeColor="text1"/>
        </w:rPr>
      </w:pPr>
    </w:p>
    <w:p w:rsidR="00597370" w:rsidRDefault="003C2EEE">
      <w:pPr>
        <w:rPr>
          <w:color w:val="000000" w:themeColor="text1"/>
        </w:rPr>
      </w:pPr>
      <w:r>
        <w:rPr>
          <w:color w:val="000000" w:themeColor="text1"/>
        </w:rPr>
        <w:t>其它情况说明</w:t>
      </w:r>
    </w:p>
    <w:sdt>
      <w:sdtPr>
        <w:rPr>
          <w:color w:val="000000" w:themeColor="text1"/>
        </w:rPr>
        <w:alias w:val="是否适用：董事、监事 和高级管理人员持股变动及报酬情况其他情况说明[双击切换]"/>
        <w:tag w:val="_GBC_6604d619d6f94a81b12f8155637bb211"/>
        <w:id w:val="114831582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3C2EEE">
      <w:pPr>
        <w:pStyle w:val="3"/>
        <w:numPr>
          <w:ilvl w:val="2"/>
          <w:numId w:val="34"/>
        </w:numPr>
        <w:rPr>
          <w:rFonts w:ascii="宋体" w:hAnsi="宋体"/>
          <w:color w:val="000000" w:themeColor="text1"/>
        </w:rPr>
      </w:pPr>
      <w:bookmarkStart w:id="98" w:name="_Toc342057945"/>
      <w:bookmarkStart w:id="99" w:name="_Toc342566005"/>
      <w:bookmarkEnd w:id="96"/>
      <w:bookmarkEnd w:id="97"/>
      <w:r>
        <w:rPr>
          <w:rFonts w:ascii="宋体" w:hAnsi="宋体"/>
          <w:color w:val="000000" w:themeColor="text1"/>
        </w:rPr>
        <w:t>董事、监事、高级管理人员报告期内被授予的股权激励情况</w:t>
      </w:r>
      <w:bookmarkEnd w:id="98"/>
      <w:bookmarkEnd w:id="99"/>
    </w:p>
    <w:p w:rsidR="00597370" w:rsidRDefault="006840ED">
      <w:pPr>
        <w:kinsoku w:val="0"/>
        <w:overflowPunct w:val="0"/>
        <w:autoSpaceDE w:val="0"/>
        <w:autoSpaceDN w:val="0"/>
        <w:adjustRightInd w:val="0"/>
        <w:snapToGrid w:val="0"/>
      </w:pPr>
      <w:sdt>
        <w:sdtPr>
          <w:rPr>
            <w:rFonts w:hint="eastAsia"/>
            <w:color w:val="000000" w:themeColor="text1"/>
          </w:rPr>
          <w:alias w:val="是否适用：董事、监事、高级管理人员报告期内被授予的股权激励情况[双击切换]"/>
          <w:tag w:val="_GBC_3c204ebee7cf4fc2a7c4a3ad63ffe1c4"/>
          <w:id w:val="-427048642"/>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597370">
      <w:pPr>
        <w:kinsoku w:val="0"/>
        <w:overflowPunct w:val="0"/>
        <w:autoSpaceDE w:val="0"/>
        <w:autoSpaceDN w:val="0"/>
        <w:adjustRightInd w:val="0"/>
        <w:snapToGrid w:val="0"/>
        <w:rPr>
          <w:color w:val="000000" w:themeColor="text1"/>
        </w:rPr>
      </w:pPr>
    </w:p>
    <w:sdt>
      <w:sdtPr>
        <w:rPr>
          <w:rFonts w:hint="eastAsia"/>
          <w:color w:val="000000" w:themeColor="text1"/>
        </w:rPr>
        <w:alias w:val="是否适用：董事、监事、高级管理人员报告期内被授予的限制性股票激励情况[双击切换]"/>
        <w:tag w:val="_GBC_52038769d27b4379944f3c75f1cecf6b"/>
        <w:id w:val="-585298713"/>
        <w:placeholder>
          <w:docPart w:val="GBC22222222222222222222222222222"/>
        </w:placeholder>
      </w:sdtPr>
      <w:sdtEndPr/>
      <w:sdtContent>
        <w:p w:rsidR="00597370" w:rsidRDefault="003C2EEE">
          <w:pPr>
            <w:kinsoku w:val="0"/>
            <w:overflowPunct w:val="0"/>
            <w:autoSpaceDE w:val="0"/>
            <w:autoSpaceDN w:val="0"/>
            <w:adjustRightInd w:val="0"/>
            <w:snapToGrid w:val="0"/>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kinsoku w:val="0"/>
        <w:overflowPunct w:val="0"/>
        <w:autoSpaceDE w:val="0"/>
        <w:autoSpaceDN w:val="0"/>
        <w:adjustRightInd w:val="0"/>
        <w:snapToGrid w:val="0"/>
        <w:jc w:val="right"/>
        <w:rPr>
          <w:color w:val="000000" w:themeColor="text1"/>
        </w:rPr>
      </w:pPr>
      <w:r>
        <w:rPr>
          <w:rFonts w:hint="eastAsia"/>
          <w:color w:val="000000" w:themeColor="text1"/>
        </w:rPr>
        <w:t>单位：</w:t>
      </w:r>
      <w:sdt>
        <w:sdtPr>
          <w:rPr>
            <w:rFonts w:hint="eastAsia"/>
            <w:color w:val="000000" w:themeColor="text1"/>
          </w:rPr>
          <w:alias w:val="单位：董事、监事、高级管理人员报告期内被授予的股权激励情况"/>
          <w:tag w:val="_GBC_ffc7e29281e742a7828cbfbfd4c9bffa"/>
          <w:id w:val="951981809"/>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color w:val="000000" w:themeColor="text1"/>
            </w:rPr>
            <w:t>股</w:t>
          </w:r>
        </w:sdtContent>
      </w:sdt>
    </w:p>
    <w:tbl>
      <w:tblPr>
        <w:tblStyle w:val="aff2"/>
        <w:tblW w:w="5000" w:type="pct"/>
        <w:jc w:val="center"/>
        <w:tblLook w:val="04A0" w:firstRow="1" w:lastRow="0" w:firstColumn="1" w:lastColumn="0" w:noHBand="0" w:noVBand="1"/>
      </w:tblPr>
      <w:tblGrid>
        <w:gridCol w:w="1405"/>
        <w:gridCol w:w="1235"/>
        <w:gridCol w:w="1235"/>
        <w:gridCol w:w="1237"/>
        <w:gridCol w:w="1237"/>
        <w:gridCol w:w="1237"/>
        <w:gridCol w:w="1237"/>
      </w:tblGrid>
      <w:tr w:rsidR="00597370">
        <w:trPr>
          <w:trHeight w:val="397"/>
          <w:jc w:val="center"/>
        </w:trPr>
        <w:sdt>
          <w:sdtPr>
            <w:rPr>
              <w:rFonts w:asciiTheme="majorEastAsia" w:eastAsiaTheme="majorEastAsia" w:hAnsiTheme="majorEastAsia"/>
              <w:color w:val="000000" w:themeColor="text1"/>
              <w:sz w:val="20"/>
              <w:szCs w:val="20"/>
            </w:rPr>
            <w:tag w:val="_PLD_5eb0dd83ba944b4fb78b28c9aff9f2be"/>
            <w:id w:val="1605775521"/>
          </w:sdtPr>
          <w:sdtEndPr/>
          <w:sdtContent>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姓名</w:t>
                </w:r>
              </w:p>
            </w:tc>
          </w:sdtContent>
        </w:sdt>
        <w:sdt>
          <w:sdtPr>
            <w:rPr>
              <w:rFonts w:asciiTheme="majorEastAsia" w:eastAsiaTheme="majorEastAsia" w:hAnsiTheme="majorEastAsia"/>
              <w:color w:val="000000" w:themeColor="text1"/>
              <w:sz w:val="20"/>
              <w:szCs w:val="20"/>
            </w:rPr>
            <w:tag w:val="_PLD_e73cfe3bf876432eb5c177269bc18a94"/>
            <w:id w:val="-547761550"/>
          </w:sdtPr>
          <w:sdtEndPr/>
          <w:sdtContent>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职务</w:t>
                </w:r>
              </w:p>
            </w:tc>
          </w:sdtContent>
        </w:sdt>
        <w:sdt>
          <w:sdtPr>
            <w:rPr>
              <w:rFonts w:asciiTheme="majorEastAsia" w:eastAsiaTheme="majorEastAsia" w:hAnsiTheme="majorEastAsia"/>
              <w:color w:val="000000" w:themeColor="text1"/>
              <w:sz w:val="20"/>
              <w:szCs w:val="20"/>
            </w:rPr>
            <w:tag w:val="_PLD_4f4e0b6290c045f585b760c0a7feaaa3"/>
            <w:id w:val="-1237932183"/>
          </w:sdtPr>
          <w:sdtEndPr/>
          <w:sdtContent>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color w:val="000000" w:themeColor="text1"/>
                    <w:sz w:val="20"/>
                    <w:szCs w:val="20"/>
                  </w:rPr>
                  <w:t>期初持有限制性股票数量</w:t>
                </w:r>
              </w:p>
            </w:tc>
          </w:sdtContent>
        </w:sdt>
        <w:sdt>
          <w:sdtPr>
            <w:rPr>
              <w:rFonts w:asciiTheme="majorEastAsia" w:eastAsiaTheme="majorEastAsia" w:hAnsiTheme="majorEastAsia"/>
              <w:color w:val="000000" w:themeColor="text1"/>
              <w:sz w:val="20"/>
              <w:szCs w:val="20"/>
            </w:rPr>
            <w:tag w:val="_PLD_7e51f9b6b9f649c5a3557a8f304cf9e3"/>
            <w:id w:val="-1039435758"/>
          </w:sdtPr>
          <w:sdtEndPr/>
          <w:sdtContent>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color w:val="000000" w:themeColor="text1"/>
                    <w:sz w:val="20"/>
                    <w:szCs w:val="20"/>
                  </w:rPr>
                  <w:t>报告期新授予限制性股票数量</w:t>
                </w:r>
              </w:p>
            </w:tc>
          </w:sdtContent>
        </w:sdt>
        <w:sdt>
          <w:sdtPr>
            <w:rPr>
              <w:rFonts w:asciiTheme="majorEastAsia" w:eastAsiaTheme="majorEastAsia" w:hAnsiTheme="majorEastAsia"/>
              <w:color w:val="000000" w:themeColor="text1"/>
              <w:sz w:val="20"/>
              <w:szCs w:val="20"/>
            </w:rPr>
            <w:tag w:val="_PLD_61732133fb22409bb53b2b59064ff65c"/>
            <w:id w:val="-1286354779"/>
          </w:sdtPr>
          <w:sdtEndPr/>
          <w:sdtContent>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color w:val="000000" w:themeColor="text1"/>
                    <w:sz w:val="20"/>
                    <w:szCs w:val="20"/>
                  </w:rPr>
                  <w:t>已解锁股份</w:t>
                </w:r>
              </w:p>
            </w:tc>
          </w:sdtContent>
        </w:sdt>
        <w:sdt>
          <w:sdtPr>
            <w:rPr>
              <w:rFonts w:asciiTheme="majorEastAsia" w:eastAsiaTheme="majorEastAsia" w:hAnsiTheme="majorEastAsia"/>
              <w:color w:val="000000" w:themeColor="text1"/>
              <w:sz w:val="20"/>
              <w:szCs w:val="20"/>
            </w:rPr>
            <w:tag w:val="_PLD_0af488d1104747029eebb44d627d652e"/>
            <w:id w:val="-969271527"/>
          </w:sdtPr>
          <w:sdtEndPr/>
          <w:sdtContent>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color w:val="000000" w:themeColor="text1"/>
                    <w:sz w:val="20"/>
                    <w:szCs w:val="20"/>
                  </w:rPr>
                  <w:t>未解锁股份</w:t>
                </w:r>
              </w:p>
            </w:tc>
          </w:sdtContent>
        </w:sdt>
        <w:sdt>
          <w:sdtPr>
            <w:rPr>
              <w:rFonts w:asciiTheme="majorEastAsia" w:eastAsiaTheme="majorEastAsia" w:hAnsiTheme="majorEastAsia"/>
              <w:color w:val="000000" w:themeColor="text1"/>
              <w:sz w:val="20"/>
              <w:szCs w:val="20"/>
            </w:rPr>
            <w:tag w:val="_PLD_b9d1f123743a4d9298560735aa199c9c"/>
            <w:id w:val="1549332728"/>
          </w:sdtPr>
          <w:sdtEndPr/>
          <w:sdtContent>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color w:val="000000" w:themeColor="text1"/>
                    <w:sz w:val="20"/>
                    <w:szCs w:val="20"/>
                  </w:rPr>
                  <w:t>期末持有限制性股票数量</w:t>
                </w:r>
              </w:p>
            </w:tc>
          </w:sdtContent>
        </w:sdt>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杨林</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sz w:val="20"/>
                <w:szCs w:val="20"/>
              </w:rPr>
              <w:t>董事、副总经理</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220,000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220,000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220,000</w:t>
            </w:r>
          </w:p>
        </w:tc>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proofErr w:type="gramStart"/>
            <w:r>
              <w:rPr>
                <w:rFonts w:asciiTheme="majorEastAsia" w:eastAsiaTheme="majorEastAsia" w:hAnsiTheme="majorEastAsia" w:hint="eastAsia"/>
                <w:sz w:val="20"/>
                <w:szCs w:val="20"/>
              </w:rPr>
              <w:t>胡守天</w:t>
            </w:r>
            <w:proofErr w:type="gramEnd"/>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sz w:val="20"/>
                <w:szCs w:val="20"/>
              </w:rPr>
              <w:t>董事、副总经理</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王海波</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sz w:val="20"/>
                <w:szCs w:val="20"/>
              </w:rPr>
              <w:t>董事、副总经理</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proofErr w:type="gramStart"/>
            <w:r>
              <w:rPr>
                <w:rFonts w:asciiTheme="majorEastAsia" w:eastAsiaTheme="majorEastAsia" w:hAnsiTheme="majorEastAsia" w:hint="eastAsia"/>
                <w:sz w:val="20"/>
                <w:szCs w:val="20"/>
              </w:rPr>
              <w:t>付康</w:t>
            </w:r>
            <w:proofErr w:type="gramEnd"/>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sz w:val="20"/>
                <w:szCs w:val="20"/>
              </w:rPr>
              <w:t>董事</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proofErr w:type="gramStart"/>
            <w:r>
              <w:rPr>
                <w:rFonts w:asciiTheme="majorEastAsia" w:eastAsiaTheme="majorEastAsia" w:hAnsiTheme="majorEastAsia" w:hint="eastAsia"/>
                <w:sz w:val="20"/>
                <w:szCs w:val="20"/>
              </w:rPr>
              <w:t>李代萍</w:t>
            </w:r>
            <w:proofErr w:type="gramEnd"/>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sz w:val="20"/>
                <w:szCs w:val="20"/>
              </w:rPr>
              <w:t>副总经理、董事会秘书</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刘柏林</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sz w:val="20"/>
                <w:szCs w:val="20"/>
              </w:rPr>
              <w:t>副总经理</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190,000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190,000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190,000</w:t>
            </w:r>
          </w:p>
        </w:tc>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proofErr w:type="gramStart"/>
            <w:r>
              <w:rPr>
                <w:rFonts w:asciiTheme="majorEastAsia" w:eastAsiaTheme="majorEastAsia" w:hAnsiTheme="majorEastAsia" w:hint="eastAsia"/>
                <w:sz w:val="20"/>
                <w:szCs w:val="20"/>
              </w:rPr>
              <w:t>肖永号</w:t>
            </w:r>
            <w:proofErr w:type="gramEnd"/>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sz w:val="20"/>
                <w:szCs w:val="20"/>
              </w:rPr>
              <w:t>副总经理</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90,000</w:t>
            </w:r>
          </w:p>
        </w:tc>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杨万华</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sz w:val="20"/>
                <w:szCs w:val="20"/>
              </w:rPr>
              <w:t>财务总监</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70,000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70,000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70,000</w:t>
            </w:r>
          </w:p>
        </w:tc>
      </w:tr>
      <w:tr w:rsidR="00597370">
        <w:trPr>
          <w:trHeight w:val="397"/>
          <w:jc w:val="center"/>
        </w:trPr>
        <w:tc>
          <w:tcPr>
            <w:tcW w:w="796"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color w:val="000000" w:themeColor="text1"/>
                <w:sz w:val="20"/>
                <w:szCs w:val="20"/>
              </w:rPr>
              <w:t>合计</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p>
        </w:tc>
        <w:tc>
          <w:tcPr>
            <w:tcW w:w="700"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cs="Times New Roman"/>
                <w:sz w:val="20"/>
                <w:szCs w:val="20"/>
              </w:rPr>
              <w:t>930,000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930,000</w:t>
            </w:r>
          </w:p>
        </w:tc>
        <w:tc>
          <w:tcPr>
            <w:tcW w:w="701" w:type="pct"/>
            <w:vAlign w:val="center"/>
          </w:tcPr>
          <w:p w:rsidR="00597370" w:rsidRDefault="003C2EEE">
            <w:pPr>
              <w:kinsoku w:val="0"/>
              <w:overflowPunct w:val="0"/>
              <w:autoSpaceDE w:val="0"/>
              <w:autoSpaceDN w:val="0"/>
              <w:adjustRightInd w:val="0"/>
              <w:snapToGrid w:val="0"/>
              <w:jc w:val="center"/>
              <w:rPr>
                <w:rFonts w:asciiTheme="majorEastAsia" w:eastAsiaTheme="majorEastAsia" w:hAnsiTheme="majorEastAsia"/>
                <w:sz w:val="20"/>
                <w:szCs w:val="20"/>
              </w:rPr>
            </w:pPr>
            <w:r>
              <w:rPr>
                <w:rFonts w:asciiTheme="majorEastAsia" w:eastAsiaTheme="majorEastAsia" w:hAnsiTheme="majorEastAsia"/>
                <w:sz w:val="20"/>
                <w:szCs w:val="20"/>
              </w:rPr>
              <w:t>930,000</w:t>
            </w:r>
          </w:p>
        </w:tc>
      </w:tr>
    </w:tbl>
    <w:p w:rsidR="00597370" w:rsidRDefault="00597370">
      <w:pPr>
        <w:rPr>
          <w:color w:val="000000" w:themeColor="text1"/>
        </w:rPr>
      </w:pPr>
    </w:p>
    <w:p w:rsidR="00597370" w:rsidRDefault="003C2EEE">
      <w:pPr>
        <w:pStyle w:val="3"/>
        <w:numPr>
          <w:ilvl w:val="2"/>
          <w:numId w:val="34"/>
        </w:numPr>
        <w:rPr>
          <w:rFonts w:ascii="宋体" w:hAnsi="宋体"/>
          <w:color w:val="000000" w:themeColor="text1"/>
        </w:rPr>
      </w:pPr>
      <w:r>
        <w:rPr>
          <w:rFonts w:ascii="宋体" w:hAnsi="宋体"/>
          <w:color w:val="000000" w:themeColor="text1"/>
        </w:rPr>
        <w:t>其他说明</w:t>
      </w:r>
    </w:p>
    <w:sdt>
      <w:sdtPr>
        <w:rPr>
          <w:color w:val="000000" w:themeColor="text1"/>
        </w:rPr>
        <w:alias w:val="是否适用：其他董事、监事、高级管理人员情况说明[双击切换]"/>
        <w:tag w:val="_GBC_8e7eb434c4c34c1b86cdb9f39b70c323"/>
        <w:id w:val="-70964523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94"/>
    <w:bookmarkEnd w:id="95"/>
    <w:p w:rsidR="00597370" w:rsidRDefault="003C2EEE">
      <w:pPr>
        <w:pStyle w:val="2"/>
        <w:numPr>
          <w:ilvl w:val="0"/>
          <w:numId w:val="30"/>
        </w:numPr>
        <w:spacing w:line="360" w:lineRule="auto"/>
        <w:ind w:left="422" w:hanging="422"/>
        <w:rPr>
          <w:rFonts w:ascii="宋体" w:hAnsi="宋体"/>
          <w:color w:val="000000" w:themeColor="text1"/>
        </w:rPr>
      </w:pPr>
      <w:r>
        <w:rPr>
          <w:rFonts w:ascii="宋体" w:hAnsi="宋体"/>
          <w:color w:val="000000" w:themeColor="text1"/>
        </w:rPr>
        <w:t>控股股东或实际控制人变更情况</w:t>
      </w:r>
    </w:p>
    <w:sdt>
      <w:sdtPr>
        <w:rPr>
          <w:color w:val="000000" w:themeColor="text1"/>
        </w:rPr>
        <w:alias w:val="是否适用：控股股东及实际控制人变更情况[双击切换]"/>
        <w:tag w:val="_GBC_84ff369a3f714dbbbec5a13460906f4b"/>
        <w:id w:val="64771625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1"/>
        <w:numPr>
          <w:ilvl w:val="0"/>
          <w:numId w:val="2"/>
        </w:numPr>
        <w:rPr>
          <w:rFonts w:ascii="黑体" w:hAnsi="黑体"/>
          <w:color w:val="000000" w:themeColor="text1"/>
        </w:rPr>
      </w:pPr>
      <w:bookmarkStart w:id="100" w:name="_Toc142578262"/>
      <w:bookmarkStart w:id="101" w:name="_Toc76114279"/>
      <w:bookmarkStart w:id="102" w:name="_Toc392233017"/>
      <w:r>
        <w:rPr>
          <w:rFonts w:ascii="黑体" w:hAnsi="黑体" w:hint="eastAsia"/>
          <w:color w:val="000000" w:themeColor="text1"/>
        </w:rPr>
        <w:t>优先股相关情况</w:t>
      </w:r>
      <w:bookmarkEnd w:id="100"/>
      <w:bookmarkEnd w:id="101"/>
      <w:bookmarkEnd w:id="102"/>
    </w:p>
    <w:sdt>
      <w:sdtPr>
        <w:rPr>
          <w:color w:val="000000" w:themeColor="text1"/>
        </w:rPr>
        <w:alias w:val="是否适用：优先股相关情况[双击切换]"/>
        <w:tag w:val="_GBC_2113adbee8464e1c828b3d6d35c60abf"/>
        <w:id w:val="89192771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597370">
      <w:pPr>
        <w:rPr>
          <w:color w:val="000000" w:themeColor="text1"/>
        </w:rPr>
      </w:pPr>
    </w:p>
    <w:p w:rsidR="00597370" w:rsidRDefault="00597370">
      <w:pPr>
        <w:rPr>
          <w:color w:val="000000" w:themeColor="text1"/>
        </w:rPr>
        <w:sectPr w:rsidR="00597370">
          <w:pgSz w:w="11906" w:h="16838"/>
          <w:pgMar w:top="1525" w:right="1276" w:bottom="1440" w:left="1797" w:header="851" w:footer="992" w:gutter="0"/>
          <w:cols w:space="425"/>
          <w:docGrid w:linePitch="312"/>
        </w:sectPr>
      </w:pPr>
    </w:p>
    <w:p w:rsidR="00597370" w:rsidRDefault="003C2EEE">
      <w:pPr>
        <w:pStyle w:val="1"/>
        <w:numPr>
          <w:ilvl w:val="0"/>
          <w:numId w:val="2"/>
        </w:numPr>
        <w:rPr>
          <w:rFonts w:ascii="黑体" w:hAnsi="黑体"/>
          <w:color w:val="000000" w:themeColor="text1"/>
        </w:rPr>
      </w:pPr>
      <w:bookmarkStart w:id="103" w:name="_Toc437440717"/>
      <w:bookmarkStart w:id="104" w:name="_Toc438111012"/>
      <w:bookmarkStart w:id="105" w:name="_Toc142578263"/>
      <w:bookmarkStart w:id="106" w:name="_Toc76114280"/>
      <w:r>
        <w:rPr>
          <w:rFonts w:ascii="黑体" w:hAnsi="黑体" w:hint="eastAsia"/>
          <w:color w:val="000000" w:themeColor="text1"/>
        </w:rPr>
        <w:lastRenderedPageBreak/>
        <w:t>债券相关情况</w:t>
      </w:r>
      <w:bookmarkEnd w:id="103"/>
      <w:bookmarkEnd w:id="104"/>
      <w:bookmarkEnd w:id="105"/>
      <w:bookmarkEnd w:id="106"/>
    </w:p>
    <w:p w:rsidR="00597370" w:rsidRDefault="003C2EEE">
      <w:pPr>
        <w:pStyle w:val="2"/>
        <w:numPr>
          <w:ilvl w:val="0"/>
          <w:numId w:val="35"/>
        </w:numPr>
        <w:ind w:firstLineChars="0"/>
        <w:rPr>
          <w:rFonts w:ascii="宋体" w:hAnsi="宋体"/>
          <w:color w:val="000000" w:themeColor="text1"/>
        </w:rPr>
      </w:pPr>
      <w:r>
        <w:rPr>
          <w:rFonts w:ascii="宋体" w:hAnsi="宋体" w:hint="eastAsia"/>
          <w:color w:val="000000" w:themeColor="text1"/>
        </w:rPr>
        <w:t>公司债券（含企业债券）和非金融企业债务融资工具</w:t>
      </w:r>
    </w:p>
    <w:bookmarkStart w:id="107" w:name="_Hlk73352152" w:displacedByCustomXml="next"/>
    <w:sdt>
      <w:sdtPr>
        <w:rPr>
          <w:color w:val="000000" w:themeColor="text1"/>
        </w:rPr>
        <w:alias w:val="是否适用：债券相关情况[双击切换]"/>
        <w:tag w:val="_GBC_8e6b9cf2d8c24a6faf41199f98e408b3"/>
        <w:id w:val="-168851654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07"/>
    <w:p w:rsidR="00597370" w:rsidRDefault="003C2EEE">
      <w:pPr>
        <w:pStyle w:val="2"/>
        <w:numPr>
          <w:ilvl w:val="0"/>
          <w:numId w:val="35"/>
        </w:numPr>
        <w:ind w:firstLineChars="0"/>
        <w:rPr>
          <w:rFonts w:ascii="宋体" w:hAnsi="宋体"/>
          <w:color w:val="000000" w:themeColor="text1"/>
        </w:rPr>
      </w:pPr>
      <w:r>
        <w:rPr>
          <w:rFonts w:ascii="宋体" w:hAnsi="宋体" w:hint="eastAsia"/>
          <w:color w:val="000000" w:themeColor="text1"/>
        </w:rPr>
        <w:t>可转换公司债</w:t>
      </w:r>
      <w:proofErr w:type="gramStart"/>
      <w:r>
        <w:rPr>
          <w:rFonts w:ascii="宋体" w:hAnsi="宋体" w:hint="eastAsia"/>
          <w:color w:val="000000" w:themeColor="text1"/>
        </w:rPr>
        <w:t>券</w:t>
      </w:r>
      <w:proofErr w:type="gramEnd"/>
      <w:r>
        <w:rPr>
          <w:rFonts w:ascii="宋体" w:hAnsi="宋体" w:hint="eastAsia"/>
          <w:color w:val="000000" w:themeColor="text1"/>
        </w:rPr>
        <w:t>情况</w:t>
      </w:r>
    </w:p>
    <w:sdt>
      <w:sdtPr>
        <w:rPr>
          <w:color w:val="000000" w:themeColor="text1"/>
        </w:rPr>
        <w:alias w:val="是否适用：可转换公司债券情况[双击切换]"/>
        <w:tag w:val="_GBC_6a49e99841294af3b87ba6216b1997d9"/>
        <w:id w:val="-157805663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sectPr w:rsidR="00597370">
          <w:pgSz w:w="11906" w:h="16838"/>
          <w:pgMar w:top="1525" w:right="1276" w:bottom="1440" w:left="1797" w:header="851" w:footer="992" w:gutter="0"/>
          <w:cols w:space="425"/>
          <w:docGrid w:linePitch="312"/>
        </w:sectPr>
      </w:pPr>
    </w:p>
    <w:p w:rsidR="00597370" w:rsidRDefault="003C2EEE">
      <w:pPr>
        <w:pStyle w:val="1"/>
        <w:numPr>
          <w:ilvl w:val="0"/>
          <w:numId w:val="2"/>
        </w:numPr>
        <w:rPr>
          <w:rFonts w:ascii="黑体" w:hAnsi="黑体"/>
          <w:color w:val="000000" w:themeColor="text1"/>
        </w:rPr>
      </w:pPr>
      <w:bookmarkStart w:id="108" w:name="_Toc142578264"/>
      <w:bookmarkStart w:id="109" w:name="_Toc76114281"/>
      <w:r>
        <w:rPr>
          <w:rFonts w:ascii="黑体" w:hAnsi="黑体" w:hint="eastAsia"/>
          <w:color w:val="000000" w:themeColor="text1"/>
        </w:rPr>
        <w:lastRenderedPageBreak/>
        <w:t>财务报告</w:t>
      </w:r>
      <w:bookmarkEnd w:id="108"/>
      <w:bookmarkEnd w:id="109"/>
    </w:p>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审计报告</w:t>
      </w:r>
    </w:p>
    <w:sdt>
      <w:sdtPr>
        <w:rPr>
          <w:color w:val="000000" w:themeColor="text1"/>
        </w:rPr>
        <w:alias w:val="是否适用：审计报告[双击切换]"/>
        <w:tag w:val="_GBC_33dac3baf6634fba91e3026ebaaad280"/>
        <w:id w:val="192854427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财务报表</w:t>
      </w:r>
    </w:p>
    <w:p w:rsidR="00597370" w:rsidRDefault="003C2EEE">
      <w:pPr>
        <w:pStyle w:val="Style109"/>
        <w:jc w:val="center"/>
        <w:rPr>
          <w:rFonts w:ascii="宋体" w:hAnsi="宋体"/>
          <w:color w:val="000000" w:themeColor="text1"/>
        </w:rPr>
      </w:pPr>
      <w:bookmarkStart w:id="110" w:name="_Hlk10208794"/>
      <w:r>
        <w:rPr>
          <w:rFonts w:ascii="宋体" w:hAnsi="宋体" w:hint="eastAsia"/>
          <w:color w:val="000000" w:themeColor="text1"/>
        </w:rPr>
        <w:t>合并资产负债表</w:t>
      </w:r>
    </w:p>
    <w:p w:rsidR="00597370" w:rsidRDefault="003C2EEE">
      <w:pPr>
        <w:snapToGrid w:val="0"/>
        <w:spacing w:line="240" w:lineRule="atLeast"/>
        <w:jc w:val="center"/>
        <w:rPr>
          <w:b/>
          <w:color w:val="000000" w:themeColor="text1"/>
        </w:rPr>
      </w:pPr>
      <w:r>
        <w:rPr>
          <w:color w:val="000000" w:themeColor="text1"/>
        </w:rPr>
        <w:t>2024年6月30日</w:t>
      </w:r>
    </w:p>
    <w:p w:rsidR="00597370" w:rsidRDefault="003C2EEE">
      <w:pPr>
        <w:rPr>
          <w:color w:val="000000" w:themeColor="text1"/>
        </w:rPr>
      </w:pPr>
      <w:r>
        <w:rPr>
          <w:color w:val="000000" w:themeColor="text1"/>
        </w:rPr>
        <w:t xml:space="preserve">编制单位： </w:t>
      </w:r>
      <w:sdt>
        <w:sdtPr>
          <w:rPr>
            <w:color w:val="000000" w:themeColor="text1"/>
          </w:rPr>
          <w:alias w:val="公司法定中文名称"/>
          <w:tag w:val="_GBC_76dae7aa62d842859c05c05e750163c2"/>
          <w:id w:val="-1914005594"/>
          <w:placeholder>
            <w:docPart w:val="GBC22222222222222222222222222222"/>
          </w:placeholder>
          <w:dataBinding w:prefixMappings="xmlns:clcid-cgi='clcid-cgi'" w:xpath="/*/clcid-cgi:GongSiFaDingZhongWenMingCheng[not(@periodRef)]" w:storeItemID="{89EBAB94-44A0-46A2-B712-30D997D04A6D}"/>
          <w:text/>
        </w:sdtPr>
        <w:sdtEndPr/>
        <w:sdtContent>
          <w:proofErr w:type="gramStart"/>
          <w:r>
            <w:rPr>
              <w:rFonts w:hint="eastAsia"/>
              <w:color w:val="000000" w:themeColor="text1"/>
            </w:rPr>
            <w:t>重庆望变电气</w:t>
          </w:r>
          <w:proofErr w:type="gramEnd"/>
          <w:r>
            <w:rPr>
              <w:rFonts w:hint="eastAsia"/>
              <w:color w:val="000000" w:themeColor="text1"/>
            </w:rPr>
            <w:t>（集团）股份有限公司</w:t>
          </w:r>
        </w:sdtContent>
      </w:sdt>
    </w:p>
    <w:p w:rsidR="00597370" w:rsidRDefault="003C2EEE">
      <w:pPr>
        <w:jc w:val="right"/>
        <w:rPr>
          <w:color w:val="000000" w:themeColor="text1"/>
        </w:rPr>
      </w:pPr>
      <w:r>
        <w:rPr>
          <w:color w:val="000000" w:themeColor="text1"/>
        </w:rPr>
        <w:t>单位：</w:t>
      </w:r>
      <w:sdt>
        <w:sdtPr>
          <w:rPr>
            <w:color w:val="000000" w:themeColor="text1"/>
          </w:rPr>
          <w:alias w:val="单位：合并资产负债表"/>
          <w:tag w:val="_GBC_710dced47e5943589779e071c78c5512"/>
          <w:id w:val="4065036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sdt>
        <w:sdtPr>
          <w:rPr>
            <w:color w:val="000000" w:themeColor="text1"/>
          </w:rPr>
          <w:alias w:val="币种：合并资产负债表"/>
          <w:tag w:val="_GBC_7e2679155b104d33ba04158c7414bcff"/>
          <w:id w:val="-16545259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4994"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69"/>
        <w:gridCol w:w="1104"/>
        <w:gridCol w:w="2485"/>
        <w:gridCol w:w="2348"/>
      </w:tblGrid>
      <w:tr w:rsidR="00597370">
        <w:bookmarkStart w:id="111" w:name="_Hlk137046697" w:displacedByCustomXml="next"/>
        <w:sdt>
          <w:sdtPr>
            <w:rPr>
              <w:b/>
              <w:color w:val="000000" w:themeColor="text1"/>
            </w:rPr>
            <w:tag w:val="_PLD_1d3f74748a444e6ea0d191e81e54edca"/>
            <w:id w:val="-978294744"/>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jc w:val="center"/>
                  <w:rPr>
                    <w:b/>
                    <w:color w:val="000000" w:themeColor="text1"/>
                  </w:rPr>
                </w:pPr>
                <w:r>
                  <w:rPr>
                    <w:b/>
                    <w:color w:val="000000" w:themeColor="text1"/>
                  </w:rPr>
                  <w:t>项目</w:t>
                </w:r>
              </w:p>
            </w:tc>
          </w:sdtContent>
        </w:sdt>
        <w:sdt>
          <w:sdtPr>
            <w:rPr>
              <w:b/>
              <w:color w:val="000000" w:themeColor="text1"/>
            </w:rPr>
            <w:tag w:val="_PLD_da216b439a53487e85f12225916c5563"/>
            <w:id w:val="701830122"/>
          </w:sdtPr>
          <w:sdtEndPr/>
          <w:sdtContent>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jc w:val="center"/>
                  <w:rPr>
                    <w:b/>
                    <w:color w:val="000000" w:themeColor="text1"/>
                  </w:rPr>
                </w:pPr>
                <w:r>
                  <w:rPr>
                    <w:rFonts w:hint="eastAsia"/>
                    <w:b/>
                    <w:color w:val="000000" w:themeColor="text1"/>
                  </w:rPr>
                  <w:t>附注</w:t>
                </w:r>
              </w:p>
            </w:tc>
          </w:sdtContent>
        </w:sdt>
        <w:sdt>
          <w:sdtPr>
            <w:rPr>
              <w:b/>
              <w:color w:val="000000" w:themeColor="text1"/>
            </w:rPr>
            <w:tag w:val="_PLD_21df1d74f3114abf83688ef31bc4d9a7"/>
            <w:id w:val="1339584080"/>
          </w:sdtPr>
          <w:sdtEndPr/>
          <w:sdtContent>
            <w:tc>
              <w:tcPr>
                <w:tcW w:w="1411" w:type="pct"/>
                <w:tcBorders>
                  <w:top w:val="outset" w:sz="6" w:space="0" w:color="auto"/>
                  <w:left w:val="outset" w:sz="6" w:space="0" w:color="auto"/>
                  <w:bottom w:val="outset" w:sz="6" w:space="0" w:color="auto"/>
                  <w:right w:val="outset" w:sz="6" w:space="0" w:color="auto"/>
                </w:tcBorders>
                <w:vAlign w:val="center"/>
              </w:tcPr>
              <w:p w:rsidR="00597370" w:rsidRDefault="003C2EEE">
                <w:pPr>
                  <w:jc w:val="center"/>
                  <w:rPr>
                    <w:b/>
                    <w:color w:val="000000" w:themeColor="text1"/>
                  </w:rPr>
                </w:pPr>
                <w:r>
                  <w:rPr>
                    <w:rFonts w:hint="eastAsia"/>
                    <w:b/>
                    <w:color w:val="000000" w:themeColor="text1"/>
                  </w:rPr>
                  <w:t>2024年6月</w:t>
                </w:r>
                <w:r>
                  <w:rPr>
                    <w:b/>
                    <w:color w:val="000000" w:themeColor="text1"/>
                  </w:rPr>
                  <w:t>3</w:t>
                </w:r>
                <w:r>
                  <w:rPr>
                    <w:rFonts w:hint="eastAsia"/>
                    <w:b/>
                    <w:color w:val="000000" w:themeColor="text1"/>
                  </w:rPr>
                  <w:t>0日</w:t>
                </w:r>
              </w:p>
            </w:tc>
          </w:sdtContent>
        </w:sdt>
        <w:sdt>
          <w:sdtPr>
            <w:rPr>
              <w:b/>
              <w:color w:val="000000" w:themeColor="text1"/>
            </w:rPr>
            <w:tag w:val="_PLD_d92c936206d34a64b4b2139999e7311b"/>
            <w:id w:val="1358077374"/>
          </w:sdtPr>
          <w:sdtEndPr/>
          <w:sdtContent>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center"/>
                  <w:rPr>
                    <w:b/>
                    <w:color w:val="000000" w:themeColor="text1"/>
                  </w:rPr>
                </w:pPr>
                <w:r>
                  <w:rPr>
                    <w:b/>
                    <w:color w:val="000000" w:themeColor="text1"/>
                  </w:rPr>
                  <w:t>2023年12月31日</w:t>
                </w:r>
              </w:p>
            </w:tc>
          </w:sdtContent>
        </w:sdt>
      </w:tr>
      <w:tr w:rsidR="00597370">
        <w:sdt>
          <w:sdtPr>
            <w:rPr>
              <w:color w:val="000000" w:themeColor="text1"/>
            </w:rPr>
            <w:tag w:val="_PLD_c47a329e79ad491ca413bdaf35b1f19b"/>
            <w:id w:val="-207188436"/>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b/>
                    <w:color w:val="000000" w:themeColor="text1"/>
                  </w:rPr>
                </w:pPr>
                <w:r>
                  <w:rPr>
                    <w:rFonts w:hint="eastAsia"/>
                    <w:b/>
                    <w:color w:val="000000" w:themeColor="text1"/>
                  </w:rPr>
                  <w:t>流动资产：</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货币资金</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1</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1,019,574,707.06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ind w:right="210"/>
              <w:jc w:val="right"/>
            </w:pPr>
            <w:r>
              <w:t>1,373,135,140.58</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结算备付金</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拆出资金</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交易性金融资产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2</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衍生金融资产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应收票据</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4</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194,645,205.18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122,497,435.87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应收账款</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七、5</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1,552,317,284.95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966,782,160.45</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应收款项融资</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w:t>
            </w:r>
            <w:r>
              <w:rPr>
                <w:rFonts w:hint="eastAsia"/>
              </w:rPr>
              <w:t>7</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24,798,376.60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12,244,653.97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预付款项</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8</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137,747,715.33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57,812,835.44</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应收保费</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应收分保账款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应收分保合同准备金</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其他应收款</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w:t>
            </w:r>
            <w:r>
              <w:rPr>
                <w:rFonts w:hint="eastAsia"/>
              </w:rPr>
              <w:t>9</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157,284,122.89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12,412,973.60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其中：应收利息</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应收股利</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买入返售金融资产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存货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10</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826,542,094.45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509,071,438.50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合同资产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持有待售资产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一年内到期的非流动资产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12</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40,000,000.00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40,061,815.49</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其他流动资产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13</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24,005,967.64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25,398,571.02</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流动资产合计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3,976,915,474.10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3,119,417,024.92</w:t>
            </w:r>
          </w:p>
        </w:tc>
      </w:tr>
      <w:tr w:rsidR="00597370">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b/>
                <w:color w:val="000000" w:themeColor="text1"/>
              </w:rPr>
              <w:t>非流动资产：</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发放贷款和垫款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债权投资</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其他债权投资</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长期应收款</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16</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6,311,778.05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6,249,285.19</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长期股权投资</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七、17</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15,460,170.90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15,534,673.57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其他权益工具投资</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18</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15,581,897.10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其他非流动金融资产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投资性房地产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固定资产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21</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1,746,110,125.26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1,114,808,714.61</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在建工程</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22</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306,034,616.49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377,807,134.75</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生产性生物资产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油气资产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lastRenderedPageBreak/>
              <w:t>使用权资产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25</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7,398,613.61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9,039,176.27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无形资产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26</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232,743,101.35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125,521,103.93</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开发支出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商誉</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27</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45,434,900.70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长期待摊费用</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七、28</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3,939,203.10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3,846,148.12</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递延所得税资产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29</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41,742,443.43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24,480,159.10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其他非流动资产</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30</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11,057,144.79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78,538,506.70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非流动资产合计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2,431,813,994.78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1,755,824,902.24</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资产总计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6,408,729,468.88</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4,875,241,927.16</w:t>
            </w:r>
          </w:p>
        </w:tc>
      </w:tr>
      <w:tr w:rsidR="00597370">
        <w:sdt>
          <w:sdtPr>
            <w:rPr>
              <w:color w:val="000000" w:themeColor="text1"/>
            </w:rPr>
            <w:tag w:val="_PLD_9375d0f637964c329fb26d2b4f648745"/>
            <w:id w:val="2042786883"/>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b/>
                    <w:color w:val="000000" w:themeColor="text1"/>
                  </w:rPr>
                  <w:t>流动负债：</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短期借款</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七、32</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265,390,464.80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264,252,578.55</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向中央银行借款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拆入资金</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交易性金融负债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衍生金融负债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应付票据</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35</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589,493,398.03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539,910,353.67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应付账款</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36</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919,160,100.68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553,013,553.52</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预收款项</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合同负债</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七、38</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89,001,593.28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84,726,984.24</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卖出回购金融资产款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吸收存款及同业存放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代理买卖证券款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代理承销证券款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应付职工薪酬</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39</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38,615,664.72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34,228,541.23</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应交税费</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40</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14,589,438.02</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2,615,419.62</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其他应付款</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41</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110,397,912.86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17,557,617.05</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其中：应付利息</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ind w:firstLineChars="300" w:firstLine="630"/>
              <w:rPr>
                <w:color w:val="000000" w:themeColor="text1"/>
              </w:rPr>
            </w:pPr>
            <w:r>
              <w:rPr>
                <w:rFonts w:hint="eastAsia"/>
                <w:color w:val="000000" w:themeColor="text1"/>
              </w:rPr>
              <w:t>应付股利</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52,004,005.70</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应付手续费及佣金</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应付分保账款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持有待售负债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一年内到期的非流动负债</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43</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380,166,098.63</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69,001,998.56</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其他流动负债</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七、44</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219,729,490.67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137,846,607.49</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流动负债合计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2,626,544,161.69</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1,703,153,653.93</w:t>
            </w:r>
          </w:p>
        </w:tc>
      </w:tr>
      <w:tr w:rsidR="00597370">
        <w:sdt>
          <w:sdtPr>
            <w:rPr>
              <w:color w:val="000000" w:themeColor="text1"/>
            </w:rPr>
            <w:tag w:val="_PLD_e92d79badc1945afbed8782cdacf599f"/>
            <w:id w:val="-1680960283"/>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b/>
                    <w:color w:val="000000" w:themeColor="text1"/>
                  </w:rPr>
                  <w:t>非流动负债：</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保险合同准备金</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长期借款</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45</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1,129,007,878.79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665,117,590.59</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应付债券</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租赁负债</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47</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3,772,619.56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4,228,032.70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长期应付款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长期应付职工薪酬</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预计负债</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50</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352,153.47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递延收益</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51</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61,225,187.01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64,166,099.46</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递延所得税负债</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29</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71,849,034.54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47,415,940.07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lastRenderedPageBreak/>
              <w:t>其他非流动负债</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52</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非流动负债合计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1,265,854,719.90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781,279,816.29</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负债合计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3,892,398,881.59</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2,484,433,470.22</w:t>
            </w:r>
          </w:p>
        </w:tc>
      </w:tr>
      <w:tr w:rsidR="00597370">
        <w:sdt>
          <w:sdtPr>
            <w:rPr>
              <w:color w:val="000000" w:themeColor="text1"/>
            </w:rPr>
            <w:tag w:val="_PLD_4fe68479676b4c8c840de2211f0c67b8"/>
            <w:id w:val="-2071953649"/>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b/>
                    <w:color w:val="000000" w:themeColor="text1"/>
                  </w:rPr>
                  <w:t>所有者权益（或股东权益）：</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实收资本（或股本）</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53</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333,167,407.00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333,167,407.00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其他权益工具</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54</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资本公积</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55</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979,546,333.39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975,698,666.95</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减：库存股</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56</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50,299,241.28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50,299,241.28</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其他综合收益</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1,602,227.56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专项储备</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七、58</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25,682,345.46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21,903,104.70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盈余公积</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七、</w:t>
            </w:r>
            <w:r>
              <w:t>59</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118,088,672.71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118,088,672.71</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一般风险准备</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未分配利润</w:t>
            </w:r>
          </w:p>
        </w:tc>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pStyle w:val="Style106"/>
            </w:pPr>
            <w:r>
              <w:t>七、60</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977,165,873.69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992,249,846.86</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jc w:val="both"/>
              <w:rPr>
                <w:color w:val="000000" w:themeColor="text1"/>
              </w:rPr>
            </w:pPr>
            <w:r>
              <w:rPr>
                <w:rFonts w:hint="eastAsia"/>
                <w:color w:val="000000" w:themeColor="text1"/>
              </w:rPr>
              <w:t>归属于母公司所有者权益（或股东权益）合计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2,384,953,618.53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2,390,808,456.94</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jc w:val="both"/>
              <w:rPr>
                <w:color w:val="000000" w:themeColor="text1"/>
              </w:rPr>
            </w:pPr>
            <w:r>
              <w:rPr>
                <w:rFonts w:hint="eastAsia"/>
                <w:color w:val="000000" w:themeColor="text1"/>
              </w:rPr>
              <w:t>少数股东权益</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131,376,968.76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jc w:val="both"/>
              <w:rPr>
                <w:color w:val="000000" w:themeColor="text1"/>
              </w:rPr>
            </w:pPr>
            <w:r>
              <w:rPr>
                <w:rFonts w:hint="eastAsia"/>
                <w:color w:val="000000" w:themeColor="text1"/>
              </w:rPr>
              <w:t>所有者权益（或股东权益）合计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2,516,330,587.29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2,390,808,456.94</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jc w:val="both"/>
              <w:rPr>
                <w:color w:val="000000" w:themeColor="text1"/>
              </w:rPr>
            </w:pPr>
            <w:r>
              <w:rPr>
                <w:rFonts w:hint="eastAsia"/>
                <w:color w:val="000000" w:themeColor="text1"/>
              </w:rPr>
              <w:t>负债和所有者权益（或股东权益）总计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6,408,729,468.88</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4,875,241,927.16</w:t>
            </w:r>
          </w:p>
        </w:tc>
      </w:tr>
      <w:bookmarkEnd w:id="111"/>
    </w:tbl>
    <w:p w:rsidR="00597370" w:rsidRDefault="00597370">
      <w:pPr>
        <w:rPr>
          <w:color w:val="000000" w:themeColor="text1"/>
        </w:rPr>
      </w:pPr>
    </w:p>
    <w:p w:rsidR="00597370" w:rsidRDefault="003C2EEE">
      <w:pPr>
        <w:ind w:rightChars="-73" w:right="-153"/>
        <w:rPr>
          <w:color w:val="000000" w:themeColor="text1"/>
          <w:u w:val="single"/>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82350876809b4479afe9f3c55db147dd"/>
          <w:id w:val="-1224594650"/>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 xml:space="preserve">        主管会计工作负责人</w:t>
      </w:r>
      <w:r>
        <w:rPr>
          <w:rFonts w:hint="eastAsia"/>
          <w:color w:val="000000" w:themeColor="text1"/>
        </w:rPr>
        <w:t>：</w:t>
      </w:r>
      <w:sdt>
        <w:sdtPr>
          <w:rPr>
            <w:rFonts w:hint="eastAsia"/>
            <w:color w:val="000000" w:themeColor="text1"/>
          </w:rPr>
          <w:alias w:val="主管会计工作负责人姓名"/>
          <w:tag w:val="_GBC_9caf2fff268b41a7b3fe74fc4a3d6533"/>
          <w:id w:val="-1644725737"/>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 xml:space="preserve">         会计机构负责人</w:t>
      </w:r>
      <w:r>
        <w:rPr>
          <w:rFonts w:hint="eastAsia"/>
          <w:color w:val="000000" w:themeColor="text1"/>
        </w:rPr>
        <w:t>：</w:t>
      </w:r>
      <w:sdt>
        <w:sdtPr>
          <w:rPr>
            <w:rFonts w:hint="eastAsia"/>
            <w:color w:val="000000" w:themeColor="text1"/>
          </w:rPr>
          <w:alias w:val="会计机构负责人姓名"/>
          <w:tag w:val="_GBC_8cacbe4a6fcc41699e67ce809516ec50"/>
          <w:id w:val="350612517"/>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597370" w:rsidRDefault="003C2EEE">
      <w:pPr>
        <w:ind w:rightChars="-73" w:right="-153"/>
        <w:rPr>
          <w:b/>
          <w:color w:val="000000" w:themeColor="text1"/>
          <w:u w:val="single"/>
        </w:rPr>
      </w:pPr>
      <w:r>
        <w:rPr>
          <w:rFonts w:hint="eastAsia"/>
          <w:b/>
          <w:color w:val="000000" w:themeColor="text1"/>
          <w:u w:val="single"/>
        </w:rPr>
        <w:t xml:space="preserve"> </w:t>
      </w:r>
    </w:p>
    <w:p w:rsidR="00597370" w:rsidRDefault="00597370">
      <w:pPr>
        <w:snapToGrid w:val="0"/>
        <w:spacing w:line="240" w:lineRule="atLeast"/>
        <w:ind w:rightChars="-759" w:right="-1594"/>
        <w:rPr>
          <w:color w:val="000000" w:themeColor="text1"/>
        </w:rPr>
      </w:pPr>
    </w:p>
    <w:p w:rsidR="00597370" w:rsidRDefault="003C2EEE">
      <w:pPr>
        <w:pStyle w:val="Style109"/>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资产负债表</w:t>
      </w:r>
    </w:p>
    <w:p w:rsidR="00597370" w:rsidRDefault="003C2EEE">
      <w:pPr>
        <w:snapToGrid w:val="0"/>
        <w:spacing w:line="240" w:lineRule="atLeast"/>
        <w:jc w:val="center"/>
        <w:rPr>
          <w:b/>
          <w:color w:val="000000" w:themeColor="text1"/>
        </w:rPr>
      </w:pPr>
      <w:r>
        <w:rPr>
          <w:color w:val="000000" w:themeColor="text1"/>
        </w:rPr>
        <w:t>2024年6月30日</w:t>
      </w:r>
    </w:p>
    <w:p w:rsidR="00597370" w:rsidRDefault="003C2EEE">
      <w:pPr>
        <w:rPr>
          <w:color w:val="000000" w:themeColor="text1"/>
        </w:rPr>
      </w:pPr>
      <w:r>
        <w:rPr>
          <w:color w:val="000000" w:themeColor="text1"/>
        </w:rPr>
        <w:t>编制单位：</w:t>
      </w:r>
      <w:sdt>
        <w:sdtPr>
          <w:rPr>
            <w:color w:val="000000" w:themeColor="text1"/>
          </w:rPr>
          <w:alias w:val="公司法定中文名称"/>
          <w:tag w:val="_GBC_824a3e7402834e78aa66a9ee77d287bc"/>
          <w:id w:val="-1409147864"/>
          <w:placeholder>
            <w:docPart w:val="GBC22222222222222222222222222222"/>
          </w:placeholder>
          <w:dataBinding w:prefixMappings="xmlns:clcid-cgi='clcid-cgi'" w:xpath="/*/clcid-cgi:GongSiFaDingZhongWenMingCheng[not(@periodRef)]" w:storeItemID="{89EBAB94-44A0-46A2-B712-30D997D04A6D}"/>
          <w:text/>
        </w:sdtPr>
        <w:sdtEndPr/>
        <w:sdtContent>
          <w:proofErr w:type="gramStart"/>
          <w:r>
            <w:rPr>
              <w:rFonts w:hint="eastAsia"/>
              <w:color w:val="000000" w:themeColor="text1"/>
            </w:rPr>
            <w:t>重庆望变电气</w:t>
          </w:r>
          <w:proofErr w:type="gramEnd"/>
          <w:r>
            <w:rPr>
              <w:rFonts w:hint="eastAsia"/>
              <w:color w:val="000000" w:themeColor="text1"/>
            </w:rPr>
            <w:t>（集团）股份有限公司</w:t>
          </w:r>
        </w:sdtContent>
      </w:sdt>
      <w:r>
        <w:rPr>
          <w:color w:val="000000" w:themeColor="text1"/>
        </w:rPr>
        <w:t> </w:t>
      </w:r>
    </w:p>
    <w:p w:rsidR="00597370" w:rsidRDefault="003C2EEE">
      <w:pPr>
        <w:jc w:val="right"/>
        <w:rPr>
          <w:color w:val="000000" w:themeColor="text1"/>
        </w:rPr>
      </w:pPr>
      <w:r>
        <w:rPr>
          <w:color w:val="000000" w:themeColor="text1"/>
        </w:rPr>
        <w:t>单位：</w:t>
      </w:r>
      <w:sdt>
        <w:sdtPr>
          <w:rPr>
            <w:color w:val="000000" w:themeColor="text1"/>
          </w:rPr>
          <w:alias w:val="单位：母公司资产负债表"/>
          <w:tag w:val="_GBC_7be010b1a07f4048a3805d40208ccda4"/>
          <w:id w:val="20669072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sdt>
        <w:sdtPr>
          <w:rPr>
            <w:color w:val="000000" w:themeColor="text1"/>
          </w:rPr>
          <w:alias w:val="币种：母公司资产负债表"/>
          <w:tag w:val="_GBC_ecd35f8ce6f84d6f8ad30e1e244c15ff"/>
          <w:id w:val="-17868748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4994"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69"/>
        <w:gridCol w:w="1104"/>
        <w:gridCol w:w="2485"/>
        <w:gridCol w:w="2348"/>
      </w:tblGrid>
      <w:tr w:rsidR="00597370">
        <w:bookmarkStart w:id="112" w:name="_Hlk105686791" w:displacedByCustomXml="next"/>
        <w:sdt>
          <w:sdtPr>
            <w:rPr>
              <w:b/>
              <w:color w:val="000000" w:themeColor="text1"/>
            </w:rPr>
            <w:tag w:val="_PLD_7b231a79acb54050b640bf23dd34ab8c"/>
            <w:id w:val="207153667"/>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jc w:val="center"/>
                  <w:rPr>
                    <w:b/>
                    <w:color w:val="000000" w:themeColor="text1"/>
                  </w:rPr>
                </w:pPr>
                <w:r>
                  <w:rPr>
                    <w:b/>
                    <w:color w:val="000000" w:themeColor="text1"/>
                  </w:rPr>
                  <w:t>项目</w:t>
                </w:r>
              </w:p>
            </w:tc>
          </w:sdtContent>
        </w:sdt>
        <w:sdt>
          <w:sdtPr>
            <w:rPr>
              <w:b/>
              <w:color w:val="000000" w:themeColor="text1"/>
            </w:rPr>
            <w:tag w:val="_PLD_5e370aa08a144a709185abd9b2f11c20"/>
            <w:id w:val="-771320984"/>
          </w:sdtPr>
          <w:sdtEndPr/>
          <w:sdtContent>
            <w:tc>
              <w:tcPr>
                <w:tcW w:w="627" w:type="pct"/>
                <w:tcBorders>
                  <w:top w:val="outset" w:sz="6" w:space="0" w:color="auto"/>
                  <w:left w:val="outset" w:sz="6" w:space="0" w:color="auto"/>
                  <w:bottom w:val="outset" w:sz="6" w:space="0" w:color="auto"/>
                  <w:right w:val="outset" w:sz="6" w:space="0" w:color="auto"/>
                </w:tcBorders>
                <w:vAlign w:val="center"/>
              </w:tcPr>
              <w:p w:rsidR="00597370" w:rsidRDefault="003C2EEE">
                <w:pPr>
                  <w:jc w:val="center"/>
                  <w:rPr>
                    <w:b/>
                    <w:color w:val="000000" w:themeColor="text1"/>
                  </w:rPr>
                </w:pPr>
                <w:r>
                  <w:rPr>
                    <w:rFonts w:hint="eastAsia"/>
                    <w:b/>
                    <w:color w:val="000000" w:themeColor="text1"/>
                  </w:rPr>
                  <w:t>附注</w:t>
                </w:r>
              </w:p>
            </w:tc>
          </w:sdtContent>
        </w:sdt>
        <w:sdt>
          <w:sdtPr>
            <w:rPr>
              <w:b/>
              <w:color w:val="000000" w:themeColor="text1"/>
            </w:rPr>
            <w:tag w:val="_PLD_0aa0a7a0cd4c45afa7cfb1bcfbba36c3"/>
            <w:id w:val="1707760627"/>
          </w:sdtPr>
          <w:sdtEndPr/>
          <w:sdtContent>
            <w:tc>
              <w:tcPr>
                <w:tcW w:w="1411" w:type="pct"/>
                <w:tcBorders>
                  <w:top w:val="outset" w:sz="6" w:space="0" w:color="auto"/>
                  <w:left w:val="outset" w:sz="6" w:space="0" w:color="auto"/>
                  <w:bottom w:val="outset" w:sz="6" w:space="0" w:color="auto"/>
                  <w:right w:val="outset" w:sz="6" w:space="0" w:color="auto"/>
                </w:tcBorders>
                <w:vAlign w:val="center"/>
              </w:tcPr>
              <w:p w:rsidR="00597370" w:rsidRDefault="003C2EEE">
                <w:pPr>
                  <w:jc w:val="center"/>
                  <w:rPr>
                    <w:b/>
                    <w:color w:val="000000" w:themeColor="text1"/>
                  </w:rPr>
                </w:pPr>
                <w:r>
                  <w:rPr>
                    <w:rFonts w:hint="eastAsia"/>
                    <w:b/>
                    <w:color w:val="000000" w:themeColor="text1"/>
                  </w:rPr>
                  <w:t>2024年6月</w:t>
                </w:r>
                <w:r>
                  <w:rPr>
                    <w:b/>
                    <w:color w:val="000000" w:themeColor="text1"/>
                  </w:rPr>
                  <w:t>3</w:t>
                </w:r>
                <w:r>
                  <w:rPr>
                    <w:rFonts w:hint="eastAsia"/>
                    <w:b/>
                    <w:color w:val="000000" w:themeColor="text1"/>
                  </w:rPr>
                  <w:t>0日</w:t>
                </w:r>
              </w:p>
            </w:tc>
          </w:sdtContent>
        </w:sdt>
        <w:sdt>
          <w:sdtPr>
            <w:rPr>
              <w:b/>
              <w:color w:val="000000" w:themeColor="text1"/>
            </w:rPr>
            <w:tag w:val="_PLD_e986dda0dbc74346a9296e5a4646b696"/>
            <w:id w:val="-600113446"/>
          </w:sdtPr>
          <w:sdtEndPr/>
          <w:sdtContent>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center"/>
                  <w:rPr>
                    <w:b/>
                    <w:color w:val="000000" w:themeColor="text1"/>
                  </w:rPr>
                </w:pPr>
                <w:r>
                  <w:rPr>
                    <w:b/>
                    <w:color w:val="000000" w:themeColor="text1"/>
                  </w:rPr>
                  <w:t>2023年12月31日</w:t>
                </w:r>
              </w:p>
            </w:tc>
          </w:sdtContent>
        </w:sdt>
      </w:tr>
      <w:tr w:rsidR="00597370">
        <w:sdt>
          <w:sdtPr>
            <w:rPr>
              <w:color w:val="000000" w:themeColor="text1"/>
            </w:rPr>
            <w:tag w:val="_PLD_64ae72669eea4837a1a220d585585bdf"/>
            <w:id w:val="1855149966"/>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b/>
                    <w:color w:val="000000" w:themeColor="text1"/>
                  </w:rPr>
                </w:pPr>
                <w:r>
                  <w:rPr>
                    <w:rFonts w:hint="eastAsia"/>
                    <w:b/>
                    <w:color w:val="000000" w:themeColor="text1"/>
                  </w:rPr>
                  <w:t>流动资产：</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货币资金</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396,041,013.59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1,337,532,723.36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交易性金融资产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衍生金融资产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应收票据</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166,599,727.07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121,981,138.42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应收账款</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十九、</w:t>
            </w:r>
            <w:r>
              <w:t>1</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982,542,805.49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906,875,544.90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应收款项融资</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8,301,718.05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11,872,206.97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预付款项</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133,983,468.71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57,686,790.11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其他应收款</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十九、</w:t>
            </w:r>
            <w:r>
              <w:t>2</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743,433,406.56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60,395,553.44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其中：应收利息</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应收股利</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存货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504,550,214.90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470,020,980.72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合同资产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持有待售资产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一年内到期的非流动资产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40,000,000.00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 xml:space="preserve">40,061,815.49 </w:t>
            </w:r>
            <w:r>
              <w:rPr>
                <w:rFonts w:hint="eastAsia"/>
              </w:rPr>
              <w:t xml:space="preserve">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其他流动资产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13,582,556.87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25,398,571.02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lastRenderedPageBreak/>
              <w:t>流动资产合计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r>
              <w:rPr>
                <w:color w:val="000000"/>
              </w:rPr>
              <w:t xml:space="preserve">2,989,034,911.24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3,031,825,324.43 </w:t>
            </w:r>
          </w:p>
        </w:tc>
      </w:tr>
      <w:tr w:rsidR="00597370">
        <w:sdt>
          <w:sdtPr>
            <w:rPr>
              <w:color w:val="000000" w:themeColor="text1"/>
            </w:rPr>
            <w:tag w:val="_PLD_71f45ac7535d4ffeaa6273d6527bae0d"/>
            <w:id w:val="650945738"/>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b/>
                    <w:color w:val="000000" w:themeColor="text1"/>
                  </w:rPr>
                  <w:t>非流动资产：</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债权投资</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其他债权投资</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长期应收款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6,311,778.05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6,249,285.19</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长期股权投资</w:t>
            </w:r>
          </w:p>
        </w:tc>
        <w:tc>
          <w:tcPr>
            <w:tcW w:w="627" w:type="pct"/>
            <w:tcBorders>
              <w:top w:val="outset" w:sz="6" w:space="0" w:color="auto"/>
              <w:left w:val="outset" w:sz="6" w:space="0" w:color="auto"/>
              <w:bottom w:val="outset" w:sz="6" w:space="0" w:color="auto"/>
              <w:right w:val="outset" w:sz="6" w:space="0" w:color="auto"/>
            </w:tcBorders>
          </w:tcPr>
          <w:p w:rsidR="00597370" w:rsidRDefault="003C2EEE">
            <w:pPr>
              <w:pStyle w:val="Style106"/>
            </w:pPr>
            <w:r>
              <w:rPr>
                <w:rFonts w:hint="eastAsia"/>
              </w:rPr>
              <w:t>十九、</w:t>
            </w:r>
            <w:r>
              <w:t>3</w:t>
            </w: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676,108,307.84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116,143,380.47</w:t>
            </w:r>
            <w:r>
              <w:rPr>
                <w:rFonts w:hint="eastAsia"/>
              </w:rPr>
              <w:t xml:space="preserve">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其他权益工具投资</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其他非流动金融资产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投资性房地产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固定资产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1,296,062,796.53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1,032,445,232.72</w:t>
            </w:r>
            <w:r>
              <w:rPr>
                <w:rFonts w:hint="eastAsia"/>
              </w:rPr>
              <w:t xml:space="preserve">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在建工程</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305,500,644.04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377,783,054.97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生产性生物资产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油气资产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使用权资产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7,398,613.61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9,039,176.27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无形资产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123,330,227.27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113,392,733.77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开发支出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商誉</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rPr>
                <w:rFonts w:hint="eastAsia"/>
              </w:rPr>
              <w:t xml:space="preserve">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长期待摊费用</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2,896,507.56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3,846,148.12</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递延所得税资产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20,004,142.80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19,341,632.78</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其他非流动资产</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11,031,476.87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78,519,638.78</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非流动资产合计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2,448,644,494.57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1,756,760,283.07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资产总计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5,437,679,405.81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4,788,585,607.50</w:t>
            </w:r>
          </w:p>
        </w:tc>
      </w:tr>
      <w:tr w:rsidR="00597370">
        <w:sdt>
          <w:sdtPr>
            <w:rPr>
              <w:color w:val="000000" w:themeColor="text1"/>
            </w:rPr>
            <w:tag w:val="_PLD_380943e088034c15ad8af33927d58d1b"/>
            <w:id w:val="1241055046"/>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b/>
                    <w:color w:val="000000" w:themeColor="text1"/>
                  </w:rPr>
                  <w:t>流动负债：</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短期借款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54,961,988.75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234,236,393.79</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交易性金融负债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衍生金融负债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应付票据</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500,271,539.87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539,910,353.67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应付账款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547,905,339.42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515,848,076.78</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预收款项</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合同负债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47,032,050.55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83,110,694.50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应付职工薪酬</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24,224,399.06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31,372,194.24</w:t>
            </w:r>
            <w:r>
              <w:rPr>
                <w:rFonts w:hint="eastAsia"/>
              </w:rPr>
              <w:t xml:space="preserve">  </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应交税费</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360,562.57 </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ind w:right="105"/>
              <w:jc w:val="right"/>
            </w:pPr>
            <w:r>
              <w:t>749,462.82</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其他应付款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99,570,840.10</w:t>
            </w:r>
          </w:p>
        </w:tc>
        <w:tc>
          <w:tcPr>
            <w:tcW w:w="1333" w:type="pct"/>
            <w:tcBorders>
              <w:top w:val="outset" w:sz="6" w:space="0" w:color="auto"/>
              <w:left w:val="outset" w:sz="6" w:space="0" w:color="auto"/>
              <w:bottom w:val="outset" w:sz="6" w:space="0" w:color="auto"/>
              <w:right w:val="outset" w:sz="6" w:space="0" w:color="auto"/>
            </w:tcBorders>
            <w:vAlign w:val="center"/>
          </w:tcPr>
          <w:p w:rsidR="00597370" w:rsidRDefault="003C2EEE">
            <w:pPr>
              <w:jc w:val="right"/>
            </w:pPr>
            <w:r>
              <w:t>31,368,741.33</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其中：应付利息</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ind w:firstLineChars="300" w:firstLine="630"/>
              <w:rPr>
                <w:color w:val="000000" w:themeColor="text1"/>
              </w:rPr>
            </w:pPr>
            <w:r>
              <w:rPr>
                <w:rFonts w:hint="eastAsia"/>
                <w:color w:val="000000" w:themeColor="text1"/>
              </w:rPr>
              <w:t>应付股利</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52,004,005.70</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持有待售负债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一年内到期的非流动负债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353,645,415.31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62,618,817.31</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其他流动负债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193,143,141.66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135,372,302.67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流动负债合计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1,821,115,277.29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1,634,587,037.11</w:t>
            </w:r>
          </w:p>
        </w:tc>
      </w:tr>
      <w:tr w:rsidR="00597370">
        <w:trPr>
          <w:trHeight w:val="231"/>
        </w:trPr>
        <w:sdt>
          <w:sdtPr>
            <w:rPr>
              <w:color w:val="000000" w:themeColor="text1"/>
            </w:rPr>
            <w:tag w:val="_PLD_e62929b21cd4456494013c9cb0dc5b16"/>
            <w:id w:val="-2070639124"/>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b/>
                    <w:color w:val="000000" w:themeColor="text1"/>
                  </w:rPr>
                  <w:t>非流动负债：</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长期借款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1,108,717,505.27</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642,571,693.43</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应付债券</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租赁负债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3,772,619.56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4,228,032.70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长期应付款</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lastRenderedPageBreak/>
              <w:t>长期应付职工薪酬</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预计负债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352,153.47</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递延收益</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57,684,970.91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59,436,515.93</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递延所得税负债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53,684,871.57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45,979,502.05</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其他非流动负债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非流动负债合计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 xml:space="preserve">1,223,859,967.31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752,567,897.58</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负债合计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r>
              <w:rPr>
                <w:color w:val="000000"/>
              </w:rPr>
              <w:t xml:space="preserve">3,044,975,244.60 </w:t>
            </w: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2,387,154,934.69</w:t>
            </w:r>
          </w:p>
        </w:tc>
      </w:tr>
      <w:tr w:rsidR="00597370">
        <w:sdt>
          <w:sdtPr>
            <w:rPr>
              <w:color w:val="000000" w:themeColor="text1"/>
            </w:rPr>
            <w:tag w:val="_PLD_b3c95ee428314f8b8091bd15dff2a83d"/>
            <w:id w:val="-207038856"/>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b/>
                    <w:color w:val="000000" w:themeColor="text1"/>
                  </w:rPr>
                  <w:t>所有者权益（或股东权益）：</w:t>
                </w:r>
              </w:p>
            </w:tc>
          </w:sdtContent>
        </w:sdt>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实收资本（或股本）</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333,167,407.00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333,167,407.00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其他权益工具</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597370">
            <w:pPr>
              <w:jc w:val="right"/>
            </w:pP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资本公积</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988,692,680.14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984,845,013.70</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减：库存股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50,299,241.28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50,299,241.28</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其他综合收益</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w:t>
            </w:r>
          </w:p>
        </w:tc>
        <w:tc>
          <w:tcPr>
            <w:tcW w:w="1333" w:type="pct"/>
            <w:tcBorders>
              <w:top w:val="outset" w:sz="6" w:space="0" w:color="auto"/>
              <w:left w:val="outset" w:sz="6" w:space="0" w:color="auto"/>
              <w:bottom w:val="outset" w:sz="6" w:space="0" w:color="auto"/>
              <w:right w:val="outset" w:sz="6" w:space="0" w:color="auto"/>
            </w:tcBorders>
          </w:tcPr>
          <w:p w:rsidR="00597370" w:rsidRDefault="00597370">
            <w:pPr>
              <w:jc w:val="right"/>
            </w:pP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专项储备</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23,312,656.81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20,486,861.44</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盈余公积</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117,387,556.66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117,387,556.66</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未分配利润</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980,443,101.88 </w:t>
            </w:r>
          </w:p>
        </w:tc>
        <w:tc>
          <w:tcPr>
            <w:tcW w:w="1333" w:type="pct"/>
            <w:tcBorders>
              <w:top w:val="outset" w:sz="6" w:space="0" w:color="auto"/>
              <w:left w:val="outset" w:sz="6" w:space="0" w:color="auto"/>
              <w:bottom w:val="outset" w:sz="6" w:space="0" w:color="auto"/>
              <w:right w:val="outset" w:sz="6" w:space="0" w:color="auto"/>
            </w:tcBorders>
          </w:tcPr>
          <w:p w:rsidR="00597370" w:rsidRDefault="003C2EEE">
            <w:pPr>
              <w:jc w:val="right"/>
            </w:pPr>
            <w:r>
              <w:t>995,843,075.29</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所有者权益（或股东权益）合计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rFonts w:hint="eastAsia"/>
                <w:color w:val="000000"/>
              </w:rPr>
              <w:t xml:space="preserve"> 2,392,704,161.21 </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2,401,430,672.81</w:t>
            </w:r>
          </w:p>
        </w:tc>
      </w:tr>
      <w:tr w:rsidR="00597370">
        <w:tc>
          <w:tcPr>
            <w:tcW w:w="1629" w:type="pct"/>
            <w:tcBorders>
              <w:top w:val="outset" w:sz="6" w:space="0" w:color="auto"/>
              <w:left w:val="outset" w:sz="6" w:space="0" w:color="auto"/>
              <w:bottom w:val="outset" w:sz="6" w:space="0" w:color="auto"/>
              <w:right w:val="outset" w:sz="6" w:space="0" w:color="auto"/>
            </w:tcBorders>
            <w:vAlign w:val="center"/>
          </w:tcPr>
          <w:p w:rsidR="00597370" w:rsidRDefault="003C2EEE">
            <w:pPr>
              <w:rPr>
                <w:color w:val="000000" w:themeColor="text1"/>
              </w:rPr>
            </w:pPr>
            <w:r>
              <w:rPr>
                <w:rFonts w:hint="eastAsia"/>
                <w:color w:val="000000" w:themeColor="text1"/>
              </w:rPr>
              <w:t>负债和所有者权益（或股东权益）总计</w:t>
            </w:r>
          </w:p>
        </w:tc>
        <w:tc>
          <w:tcPr>
            <w:tcW w:w="627" w:type="pct"/>
            <w:tcBorders>
              <w:top w:val="outset" w:sz="6" w:space="0" w:color="auto"/>
              <w:left w:val="outset" w:sz="6" w:space="0" w:color="auto"/>
              <w:bottom w:val="outset" w:sz="6" w:space="0" w:color="auto"/>
              <w:right w:val="outset" w:sz="6" w:space="0" w:color="auto"/>
            </w:tcBorders>
          </w:tcPr>
          <w:p w:rsidR="00597370" w:rsidRDefault="00597370">
            <w:pPr>
              <w:pStyle w:val="Style106"/>
            </w:pPr>
          </w:p>
        </w:tc>
        <w:tc>
          <w:tcPr>
            <w:tcW w:w="1411"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rPr>
                <w:color w:val="000000"/>
              </w:rPr>
              <w:t>5,437,679,405.81</w:t>
            </w:r>
          </w:p>
        </w:tc>
        <w:tc>
          <w:tcPr>
            <w:tcW w:w="1333" w:type="pct"/>
            <w:tcBorders>
              <w:top w:val="outset" w:sz="6" w:space="0" w:color="auto"/>
              <w:left w:val="outset" w:sz="6" w:space="0" w:color="auto"/>
              <w:bottom w:val="outset" w:sz="6" w:space="0" w:color="auto"/>
              <w:right w:val="outset" w:sz="6" w:space="0" w:color="auto"/>
            </w:tcBorders>
            <w:vAlign w:val="bottom"/>
          </w:tcPr>
          <w:p w:rsidR="00597370" w:rsidRDefault="003C2EEE">
            <w:pPr>
              <w:jc w:val="right"/>
            </w:pPr>
            <w:r>
              <w:t>4,788,585,607.50</w:t>
            </w:r>
          </w:p>
        </w:tc>
      </w:tr>
    </w:tbl>
    <w:bookmarkEnd w:id="112"/>
    <w:p w:rsidR="00597370" w:rsidRDefault="003C2EEE">
      <w:pPr>
        <w:ind w:rightChars="-73" w:right="-153"/>
        <w:rPr>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f43f422c96ec4e009c3976ce8e58b778"/>
          <w:id w:val="717176503"/>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 xml:space="preserve">          主管会计工作负责人</w:t>
      </w:r>
      <w:r>
        <w:rPr>
          <w:rFonts w:hint="eastAsia"/>
          <w:color w:val="000000" w:themeColor="text1"/>
        </w:rPr>
        <w:t>：</w:t>
      </w:r>
      <w:sdt>
        <w:sdtPr>
          <w:rPr>
            <w:rFonts w:hint="eastAsia"/>
            <w:color w:val="000000" w:themeColor="text1"/>
          </w:rPr>
          <w:alias w:val="主管会计工作负责人姓名"/>
          <w:tag w:val="_GBC_3ac751c8378d4424bbdf4c74057683d9"/>
          <w:id w:val="1382514389"/>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 xml:space="preserve">       会计机构负责人</w:t>
      </w:r>
      <w:r>
        <w:rPr>
          <w:rFonts w:hint="eastAsia"/>
          <w:color w:val="000000" w:themeColor="text1"/>
        </w:rPr>
        <w:t>：</w:t>
      </w:r>
      <w:sdt>
        <w:sdtPr>
          <w:rPr>
            <w:rFonts w:hint="eastAsia"/>
            <w:color w:val="000000" w:themeColor="text1"/>
          </w:rPr>
          <w:alias w:val="会计机构负责人姓名"/>
          <w:tag w:val="_GBC_182ff185180a4ea4b9c93bbd4b01de2c"/>
          <w:id w:val="91213537"/>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597370" w:rsidRDefault="00597370">
      <w:pPr>
        <w:snapToGrid w:val="0"/>
        <w:rPr>
          <w:color w:val="000000" w:themeColor="text1"/>
        </w:rPr>
      </w:pPr>
    </w:p>
    <w:p w:rsidR="00597370" w:rsidRDefault="00597370">
      <w:pPr>
        <w:ind w:rightChars="-73" w:right="-153"/>
        <w:rPr>
          <w:b/>
          <w:color w:val="000000" w:themeColor="text1"/>
          <w:u w:val="single"/>
        </w:rPr>
      </w:pPr>
      <w:bookmarkStart w:id="113" w:name="_Hlk10210632"/>
      <w:bookmarkEnd w:id="110"/>
      <w:bookmarkEnd w:id="113"/>
    </w:p>
    <w:p w:rsidR="00597370" w:rsidRDefault="00597370">
      <w:pPr>
        <w:jc w:val="center"/>
        <w:rPr>
          <w:b/>
          <w:color w:val="000000" w:themeColor="text1"/>
        </w:rPr>
      </w:pPr>
      <w:bookmarkStart w:id="114" w:name="_Hlk10210822"/>
    </w:p>
    <w:p w:rsidR="00597370" w:rsidRDefault="003C2EEE">
      <w:pPr>
        <w:pStyle w:val="Style109"/>
        <w:jc w:val="center"/>
        <w:rPr>
          <w:rFonts w:ascii="宋体" w:hAnsi="宋体"/>
          <w:color w:val="000000" w:themeColor="text1"/>
        </w:rPr>
      </w:pPr>
      <w:r>
        <w:rPr>
          <w:rFonts w:ascii="宋体" w:hAnsi="宋体" w:hint="eastAsia"/>
          <w:color w:val="000000" w:themeColor="text1"/>
        </w:rPr>
        <w:t>合并</w:t>
      </w:r>
      <w:r>
        <w:rPr>
          <w:rFonts w:ascii="宋体" w:hAnsi="宋体"/>
          <w:color w:val="000000" w:themeColor="text1"/>
        </w:rPr>
        <w:t>利润表</w:t>
      </w:r>
    </w:p>
    <w:p w:rsidR="00597370" w:rsidRDefault="003C2EEE">
      <w:pPr>
        <w:jc w:val="center"/>
        <w:rPr>
          <w:b/>
          <w:color w:val="000000" w:themeColor="text1"/>
        </w:rPr>
      </w:pPr>
      <w:r>
        <w:rPr>
          <w:color w:val="000000" w:themeColor="text1"/>
        </w:rPr>
        <w:t>2024年</w:t>
      </w:r>
      <w:r>
        <w:rPr>
          <w:rFonts w:hint="eastAsia"/>
          <w:color w:val="000000" w:themeColor="text1"/>
        </w:rPr>
        <w:t>1—6</w:t>
      </w:r>
      <w:r>
        <w:rPr>
          <w:color w:val="000000" w:themeColor="text1"/>
        </w:rPr>
        <w:t>月</w:t>
      </w:r>
    </w:p>
    <w:p w:rsidR="00597370" w:rsidRDefault="003C2EEE">
      <w:pPr>
        <w:jc w:val="right"/>
        <w:rPr>
          <w:color w:val="000000" w:themeColor="text1"/>
        </w:rPr>
      </w:pPr>
      <w:r>
        <w:rPr>
          <w:color w:val="000000" w:themeColor="text1"/>
        </w:rPr>
        <w:t>单位：</w:t>
      </w:r>
      <w:sdt>
        <w:sdtPr>
          <w:rPr>
            <w:color w:val="000000" w:themeColor="text1"/>
          </w:rPr>
          <w:alias w:val="单位：合并利润表"/>
          <w:tag w:val="_GBC_4fec24feb4834b768c484fe556046382"/>
          <w:id w:val="-4568009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sdt>
        <w:sdtPr>
          <w:rPr>
            <w:color w:val="000000" w:themeColor="text1"/>
          </w:rPr>
          <w:alias w:val="币种：合并利润表"/>
          <w:tag w:val="_GBC_ae5c0d79e5694eb28ba1b8160e27a464"/>
          <w:id w:val="-17087934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19"/>
        <w:gridCol w:w="1479"/>
        <w:gridCol w:w="1959"/>
        <w:gridCol w:w="1966"/>
      </w:tblGrid>
      <w:tr w:rsidR="00597370">
        <w:trPr>
          <w:cantSplit/>
        </w:trPr>
        <w:bookmarkStart w:id="115" w:name="_Hlk137050130" w:displacedByCustomXml="next"/>
        <w:sdt>
          <w:sdtPr>
            <w:rPr>
              <w:color w:val="000000" w:themeColor="text1"/>
            </w:rPr>
            <w:tag w:val="_PLD_ea01e0b0c9224fe59426c375515c2359"/>
            <w:id w:val="-2023313892"/>
          </w:sdtPr>
          <w:sdtEndPr/>
          <w:sdtContent>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leftChars="-19" w:hangingChars="19" w:hanging="40"/>
                  <w:jc w:val="center"/>
                  <w:rPr>
                    <w:b/>
                    <w:color w:val="000000" w:themeColor="text1"/>
                  </w:rPr>
                </w:pPr>
                <w:r>
                  <w:rPr>
                    <w:b/>
                    <w:color w:val="000000" w:themeColor="text1"/>
                  </w:rPr>
                  <w:t>项目</w:t>
                </w:r>
              </w:p>
            </w:tc>
          </w:sdtContent>
        </w:sdt>
        <w:sdt>
          <w:sdtPr>
            <w:rPr>
              <w:color w:val="000000" w:themeColor="text1"/>
            </w:rPr>
            <w:tag w:val="_PLD_e4f45f42e79e4a4aba892e3a7a7b123d"/>
            <w:id w:val="-1081294655"/>
          </w:sdtPr>
          <w:sdtEndPr/>
          <w:sdtContent>
            <w:tc>
              <w:tcPr>
                <w:tcW w:w="838" w:type="pct"/>
                <w:tcBorders>
                  <w:top w:val="outset" w:sz="4" w:space="0" w:color="auto"/>
                  <w:left w:val="outset" w:sz="4" w:space="0" w:color="auto"/>
                  <w:bottom w:val="outset" w:sz="4" w:space="0" w:color="auto"/>
                  <w:right w:val="outset" w:sz="4" w:space="0" w:color="auto"/>
                </w:tcBorders>
                <w:vAlign w:val="center"/>
              </w:tcPr>
              <w:p w:rsidR="00597370" w:rsidRDefault="003C2EEE">
                <w:pPr>
                  <w:jc w:val="center"/>
                  <w:rPr>
                    <w:b/>
                    <w:color w:val="000000" w:themeColor="text1"/>
                  </w:rPr>
                </w:pPr>
                <w:r>
                  <w:rPr>
                    <w:rFonts w:hint="eastAsia"/>
                    <w:b/>
                    <w:color w:val="000000" w:themeColor="text1"/>
                  </w:rPr>
                  <w:t>附注</w:t>
                </w:r>
              </w:p>
            </w:tc>
          </w:sdtContent>
        </w:sdt>
        <w:sdt>
          <w:sdtPr>
            <w:rPr>
              <w:color w:val="000000" w:themeColor="text1"/>
            </w:rPr>
            <w:tag w:val="_PLD_41682cdf00e5450394986df99de953d1"/>
            <w:id w:val="100308487"/>
          </w:sdtPr>
          <w:sdtEndPr/>
          <w:sdtContent>
            <w:tc>
              <w:tcPr>
                <w:tcW w:w="1110" w:type="pct"/>
                <w:tcBorders>
                  <w:top w:val="outset" w:sz="4" w:space="0" w:color="auto"/>
                  <w:left w:val="outset" w:sz="4" w:space="0" w:color="auto"/>
                  <w:bottom w:val="outset" w:sz="4" w:space="0" w:color="auto"/>
                  <w:right w:val="outset" w:sz="4" w:space="0" w:color="auto"/>
                </w:tcBorders>
                <w:vAlign w:val="center"/>
              </w:tcPr>
              <w:p w:rsidR="00597370" w:rsidRDefault="003C2EEE">
                <w:pPr>
                  <w:jc w:val="center"/>
                  <w:rPr>
                    <w:b/>
                    <w:color w:val="000000" w:themeColor="text1"/>
                  </w:rPr>
                </w:pPr>
                <w:r>
                  <w:rPr>
                    <w:rFonts w:hint="eastAsia"/>
                    <w:b/>
                    <w:color w:val="000000" w:themeColor="text1"/>
                  </w:rPr>
                  <w:t>2024年半年度</w:t>
                </w:r>
              </w:p>
            </w:tc>
          </w:sdtContent>
        </w:sdt>
        <w:sdt>
          <w:sdtPr>
            <w:rPr>
              <w:color w:val="000000" w:themeColor="text1"/>
            </w:rPr>
            <w:tag w:val="_PLD_f020215569a54a6db2bd3d5298280e01"/>
            <w:id w:val="-481157348"/>
          </w:sdtPr>
          <w:sdtEndPr/>
          <w:sdtContent>
            <w:tc>
              <w:tcPr>
                <w:tcW w:w="1114" w:type="pct"/>
                <w:tcBorders>
                  <w:top w:val="outset" w:sz="4" w:space="0" w:color="auto"/>
                  <w:left w:val="outset" w:sz="4" w:space="0" w:color="auto"/>
                  <w:bottom w:val="outset" w:sz="4" w:space="0" w:color="auto"/>
                  <w:right w:val="outset" w:sz="4" w:space="0" w:color="auto"/>
                </w:tcBorders>
                <w:vAlign w:val="center"/>
              </w:tcPr>
              <w:p w:rsidR="00597370" w:rsidRDefault="003C2EEE">
                <w:pPr>
                  <w:jc w:val="center"/>
                  <w:rPr>
                    <w:b/>
                    <w:color w:val="000000" w:themeColor="text1"/>
                  </w:rPr>
                </w:pPr>
                <w:r>
                  <w:rPr>
                    <w:rFonts w:hint="eastAsia"/>
                    <w:b/>
                    <w:color w:val="000000" w:themeColor="text1"/>
                  </w:rPr>
                  <w:t>2023年半年度</w:t>
                </w:r>
              </w:p>
            </w:tc>
          </w:sdtContent>
        </w:sdt>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一、营业总收入</w:t>
            </w:r>
          </w:p>
        </w:tc>
        <w:tc>
          <w:tcPr>
            <w:tcW w:w="838" w:type="pct"/>
            <w:tcBorders>
              <w:top w:val="outset" w:sz="4" w:space="0" w:color="auto"/>
              <w:left w:val="outset" w:sz="4" w:space="0" w:color="auto"/>
              <w:bottom w:val="outset" w:sz="4" w:space="0" w:color="auto"/>
              <w:right w:val="outset" w:sz="4" w:space="0" w:color="auto"/>
            </w:tcBorders>
            <w:vAlign w:val="center"/>
          </w:tcPr>
          <w:p w:rsidR="00597370" w:rsidRDefault="003C2EEE">
            <w:pPr>
              <w:pStyle w:val="Style106"/>
            </w:pPr>
            <w:r>
              <w:t>七、61</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1,425,395,377.42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1,234,881,447.92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其中：营业收入</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61</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1,425,395,377.42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1,234,881,447.92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已赚保费</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手续费及佣金收入</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二、营业总成本</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61</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1,404,295,268.56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1,050,635,249.23</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其中：营业成本</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61</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1,264,867,670.59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957,809,788.37</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利息支出</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手续费及佣金支出</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退保金</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赔付支出净额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提取保险责任准备金净额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保单红利支出</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分保费用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w:t>
            </w: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lastRenderedPageBreak/>
              <w:t>税金及附加</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62</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5,670,542.11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4,217,618.44</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销售费用</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63</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59,013,170.34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42,023,974.59</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管理费用</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64</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54,164,811.58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37,326,696.88</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研发费用</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65</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20,613,774.45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17,818,975.72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财务费用</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66</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-34,700.51 </w:t>
            </w:r>
          </w:p>
        </w:tc>
        <w:tc>
          <w:tcPr>
            <w:tcW w:w="1114"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t>-8,561,804.77</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其中：利息费用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19,340,237.74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5,861,909.57</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17,601,283.27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15,256,155.63</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firstLineChars="100" w:firstLine="210"/>
              <w:rPr>
                <w:color w:val="000000" w:themeColor="text1"/>
              </w:rPr>
            </w:pPr>
            <w:r>
              <w:rPr>
                <w:rFonts w:hint="eastAsia"/>
                <w:color w:val="000000" w:themeColor="text1"/>
              </w:rPr>
              <w:t>加：其他收益</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67</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52,100,142.87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3,214,138.98</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投资收益（损失以“－”号填列）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rsidR="00597370" w:rsidRDefault="003C2EEE">
            <w:pPr>
              <w:pStyle w:val="Style106"/>
            </w:pPr>
            <w:r>
              <w:t>七、68</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-74,502.67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720,234.75</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-74,502.67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639,872.89</w:t>
            </w:r>
          </w:p>
        </w:tc>
      </w:tr>
      <w:tr w:rsidR="00597370">
        <w:tc>
          <w:tcPr>
            <w:tcW w:w="1938"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以摊</w:t>
            </w:r>
            <w:proofErr w:type="gramStart"/>
            <w:r>
              <w:rPr>
                <w:rFonts w:hint="eastAsia"/>
                <w:color w:val="000000" w:themeColor="text1"/>
              </w:rPr>
              <w:t>余成本</w:t>
            </w:r>
            <w:proofErr w:type="gramEnd"/>
            <w:r>
              <w:rPr>
                <w:rFonts w:hint="eastAsia"/>
                <w:color w:val="000000" w:themeColor="text1"/>
              </w:rPr>
              <w:t>计量的金融资产终止确认收益（损失以“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汇兑收益（损失以“－”号填列）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净敞口套期收益（损失以“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信用减值损失（损失以“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71</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-9,482,359.20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-8,796,399.30</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资产减值损失（损失以“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72</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-2,866,850.71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-1,787,685.05</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资产处置收益（损失以“－”号填列）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39,219.18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三、营业利润（亏损以“－”号填列）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60,815,758.33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177,596,488.07</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加：营业外收入</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74</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1,299,944.75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363,015.72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减：营业外支出</w:t>
            </w:r>
          </w:p>
        </w:tc>
        <w:tc>
          <w:tcPr>
            <w:tcW w:w="838" w:type="pct"/>
            <w:tcBorders>
              <w:top w:val="outset" w:sz="4" w:space="0" w:color="auto"/>
              <w:left w:val="outset" w:sz="4" w:space="0" w:color="auto"/>
              <w:bottom w:val="outset" w:sz="4" w:space="0" w:color="auto"/>
              <w:right w:val="outset" w:sz="4" w:space="0" w:color="auto"/>
            </w:tcBorders>
            <w:vAlign w:val="center"/>
          </w:tcPr>
          <w:p w:rsidR="00597370" w:rsidRDefault="003C2EEE">
            <w:pPr>
              <w:pStyle w:val="Style106"/>
            </w:pPr>
            <w:r>
              <w:t>七、75</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22,364,539.39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2,550,001.61</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四、利润总额（亏损总额以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39,751,163.69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175,409,502.18</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减：所得税费用</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76</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2,893,591.63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23,965,675.55</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五、净利润（净亏损以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36,857,572.06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151,443,826.63</w:t>
            </w:r>
          </w:p>
        </w:tc>
      </w:tr>
      <w:tr w:rsidR="00597370">
        <w:sdt>
          <w:sdtPr>
            <w:rPr>
              <w:color w:val="000000" w:themeColor="text1"/>
            </w:rPr>
            <w:tag w:val="_PLD_c576a2f5fbec4ba2b1cc36d0a215ba5c"/>
            <w:id w:val="-980305601"/>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597370" w:rsidRDefault="003C2EEE">
                <w:pPr>
                  <w:jc w:val="both"/>
                  <w:rPr>
                    <w:color w:val="000000" w:themeColor="text1"/>
                  </w:rPr>
                </w:pPr>
                <w:r>
                  <w:rPr>
                    <w:rFonts w:hint="eastAsia"/>
                    <w:color w:val="000000" w:themeColor="text1"/>
                  </w:rPr>
                  <w:t>（一）</w:t>
                </w:r>
                <w:r>
                  <w:rPr>
                    <w:color w:val="000000" w:themeColor="text1"/>
                  </w:rPr>
                  <w:t>按经营持续性分类</w:t>
                </w:r>
              </w:p>
            </w:tc>
          </w:sdtContent>
        </w:sdt>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1.持续经营净利润（净亏损以“－”号填列）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36,857,572.06</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151,443,826.63</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2.终止经营净利润（净亏损以“－”号填列）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w:t>
            </w: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sdt>
          <w:sdtPr>
            <w:rPr>
              <w:color w:val="000000" w:themeColor="text1"/>
            </w:rPr>
            <w:tag w:val="_PLD_5da729560f54464cbcc9ce762078f9ba"/>
            <w:id w:val="537314314"/>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（二）</w:t>
                </w:r>
                <w:r>
                  <w:rPr>
                    <w:color w:val="000000" w:themeColor="text1"/>
                  </w:rPr>
                  <w:t>按所有权归属分类</w:t>
                </w:r>
              </w:p>
            </w:tc>
          </w:sdtContent>
        </w:sdt>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1.</w:t>
            </w:r>
            <w:r>
              <w:rPr>
                <w:rFonts w:hint="eastAsia"/>
                <w:color w:val="000000" w:themeColor="text1"/>
              </w:rPr>
              <w:t>归属于母公司股东的净利润（净亏损以“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34,793,222.68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154,080,312.66</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2.</w:t>
            </w:r>
            <w:r>
              <w:rPr>
                <w:rFonts w:hint="eastAsia"/>
                <w:color w:val="000000" w:themeColor="text1"/>
              </w:rPr>
              <w:t>少数股东损益（净亏损以“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2,064,349.38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-2,636,486.03</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六、其他综合收益的税后净额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2,003,535.77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（一）归属母公司所有者的其他综合收益的税后净额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1,602,227.56</w:t>
            </w:r>
            <w:r>
              <w:rPr>
                <w:rFonts w:hint="eastAsia"/>
                <w:color w:val="000000"/>
              </w:rPr>
              <w:t xml:space="preserve">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1.</w:t>
            </w:r>
            <w:r>
              <w:rPr>
                <w:rFonts w:hint="eastAsia"/>
                <w:color w:val="000000" w:themeColor="text1"/>
              </w:rPr>
              <w:t>不能重分类进损益的其他综合收益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1,602,227.56</w:t>
            </w:r>
            <w:r>
              <w:rPr>
                <w:rFonts w:hint="eastAsia"/>
                <w:color w:val="000000"/>
              </w:rPr>
              <w:t xml:space="preserve">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lastRenderedPageBreak/>
              <w:t>（1）</w:t>
            </w:r>
            <w:r>
              <w:rPr>
                <w:color w:val="000000" w:themeColor="text1"/>
              </w:rPr>
              <w:t>重新计量设定受益计划变动额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w:t>
            </w:r>
            <w:r>
              <w:rPr>
                <w:color w:val="000000" w:themeColor="text1"/>
              </w:rPr>
              <w:t>2</w:t>
            </w:r>
            <w:r>
              <w:rPr>
                <w:rFonts w:hint="eastAsia"/>
                <w:color w:val="000000" w:themeColor="text1"/>
              </w:rPr>
              <w:t>）</w:t>
            </w:r>
            <w:r>
              <w:rPr>
                <w:color w:val="000000" w:themeColor="text1"/>
              </w:rPr>
              <w:t>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（3）</w:t>
            </w:r>
            <w:r>
              <w:rPr>
                <w:color w:val="000000" w:themeColor="text1"/>
              </w:rPr>
              <w:t>其他权益工具投资公允价值变动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1,602,227.56</w:t>
            </w: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（4）</w:t>
            </w:r>
            <w:r>
              <w:rPr>
                <w:color w:val="000000" w:themeColor="text1"/>
              </w:rPr>
              <w:t>企业自身信用风险公允价值变动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firstLineChars="200" w:firstLine="420"/>
              <w:rPr>
                <w:color w:val="000000" w:themeColor="text1"/>
              </w:rPr>
            </w:pPr>
            <w:r>
              <w:rPr>
                <w:color w:val="000000" w:themeColor="text1"/>
              </w:rPr>
              <w:t>2.</w:t>
            </w:r>
            <w:r>
              <w:rPr>
                <w:rFonts w:hint="eastAsia"/>
                <w:color w:val="000000" w:themeColor="text1"/>
              </w:rPr>
              <w:t>将重分类进损益的其他综合收益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（1）</w:t>
            </w:r>
            <w:r>
              <w:rPr>
                <w:color w:val="000000" w:themeColor="text1"/>
              </w:rPr>
              <w:t>权益法下可转损益的其他综合收益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w:t>
            </w:r>
            <w:r>
              <w:rPr>
                <w:color w:val="000000" w:themeColor="text1"/>
              </w:rPr>
              <w:t>2</w:t>
            </w:r>
            <w:r>
              <w:rPr>
                <w:rFonts w:hint="eastAsia"/>
                <w:color w:val="000000" w:themeColor="text1"/>
              </w:rPr>
              <w:t>）</w:t>
            </w:r>
            <w:r>
              <w:rPr>
                <w:color w:val="000000" w:themeColor="text1"/>
              </w:rPr>
              <w:t>其他债权投资公允价值变动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（3）</w:t>
            </w:r>
            <w:r>
              <w:rPr>
                <w:color w:val="000000" w:themeColor="text1"/>
              </w:rPr>
              <w:t>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（4）</w:t>
            </w:r>
            <w:r>
              <w:rPr>
                <w:color w:val="000000" w:themeColor="text1"/>
              </w:rPr>
              <w:t>其他债权投资信用减值准备</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（5）</w:t>
            </w:r>
            <w:r>
              <w:rPr>
                <w:color w:val="000000" w:themeColor="text1"/>
              </w:rPr>
              <w:t>现金流量套期储备</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（6）</w:t>
            </w:r>
            <w:r>
              <w:rPr>
                <w:color w:val="000000" w:themeColor="text1"/>
              </w:rPr>
              <w:t>外币财务报表折算差额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（7）</w:t>
            </w:r>
            <w:r>
              <w:rPr>
                <w:color w:val="000000" w:themeColor="text1"/>
              </w:rPr>
              <w:t>其他</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（二）归属于少数股东的其他综合收益的税后净额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401,308.21</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七、综合收益总额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38,861,107.83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151,443,826.63</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（一）</w:t>
            </w:r>
            <w:r>
              <w:rPr>
                <w:rFonts w:hint="eastAsia"/>
                <w:color w:val="000000" w:themeColor="text1"/>
              </w:rPr>
              <w:t>归属于母公司所有者的综合收益总额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36,395,450.24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154,080,312.66</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（二）</w:t>
            </w:r>
            <w:r>
              <w:rPr>
                <w:rFonts w:hint="eastAsia"/>
                <w:color w:val="000000" w:themeColor="text1"/>
              </w:rPr>
              <w:t>归属于少数股东的综合收益总额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2,465,657.59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-2,636,486.03</w:t>
            </w:r>
          </w:p>
        </w:tc>
      </w:tr>
      <w:tr w:rsidR="00597370">
        <w:sdt>
          <w:sdtPr>
            <w:rPr>
              <w:color w:val="000000" w:themeColor="text1"/>
            </w:rPr>
            <w:tag w:val="_PLD_2faba48500f741229b3467bfe3ce2495"/>
            <w:id w:val="583964778"/>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八、每股收益：</w:t>
                </w:r>
              </w:p>
            </w:tc>
          </w:sdtContent>
        </w:sdt>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（一）基本每股收益</w:t>
            </w:r>
            <w:r>
              <w:rPr>
                <w:rFonts w:hint="eastAsia"/>
                <w:color w:val="000000" w:themeColor="text1"/>
              </w:rPr>
              <w:t>(元/股)</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rPr>
                <w:highlight w:val="yellow"/>
              </w:rPr>
            </w:pPr>
            <w:r>
              <w:rPr>
                <w:rFonts w:hint="eastAsia"/>
                <w:color w:val="000000"/>
              </w:rPr>
              <w:t xml:space="preserve"> 0.11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0.46</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（二）稀释每股收益</w:t>
            </w:r>
            <w:r>
              <w:rPr>
                <w:rFonts w:hint="eastAsia"/>
                <w:color w:val="000000" w:themeColor="text1"/>
              </w:rPr>
              <w:t>(元/股)</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rPr>
                <w:highlight w:val="yellow"/>
              </w:rPr>
            </w:pPr>
            <w:r>
              <w:rPr>
                <w:rFonts w:hint="eastAsia"/>
                <w:color w:val="000000"/>
              </w:rPr>
              <w:t xml:space="preserve"> 0.11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0.46</w:t>
            </w:r>
          </w:p>
        </w:tc>
      </w:tr>
      <w:bookmarkEnd w:id="115"/>
    </w:tbl>
    <w:p w:rsidR="00597370" w:rsidRDefault="00597370">
      <w:pPr>
        <w:rPr>
          <w:color w:val="000000" w:themeColor="text1"/>
        </w:rPr>
      </w:pPr>
    </w:p>
    <w:p w:rsidR="00597370" w:rsidRDefault="003C2EEE">
      <w:pPr>
        <w:rPr>
          <w:b/>
          <w:color w:val="000000" w:themeColor="text1"/>
        </w:rPr>
      </w:pPr>
      <w:r>
        <w:rPr>
          <w:rFonts w:hint="eastAsia"/>
          <w:color w:val="000000" w:themeColor="text1"/>
        </w:rPr>
        <w:t>本期发生同</w:t>
      </w:r>
      <w:proofErr w:type="gramStart"/>
      <w:r>
        <w:rPr>
          <w:rFonts w:hint="eastAsia"/>
          <w:color w:val="000000" w:themeColor="text1"/>
        </w:rPr>
        <w:t>一控制</w:t>
      </w:r>
      <w:proofErr w:type="gramEnd"/>
      <w:r>
        <w:rPr>
          <w:rFonts w:hint="eastAsia"/>
          <w:color w:val="000000" w:themeColor="text1"/>
        </w:rPr>
        <w:t>下企业合并的，被合并方在合并前实现的净利润为：</w:t>
      </w:r>
      <w:sdt>
        <w:sdtPr>
          <w:rPr>
            <w:rFonts w:hint="eastAsia"/>
            <w:color w:val="000000" w:themeColor="text1"/>
          </w:rPr>
          <w:alias w:val="同一控制下的企业合并中被合并方在合并前实现的净利润"/>
          <w:tag w:val="_GBC_0d3f3004d896427080339d4b0e2d499c"/>
          <w:id w:val="2039770263"/>
          <w:placeholder>
            <w:docPart w:val="GBC22222222222222222222222222222"/>
          </w:placeholder>
        </w:sdtPr>
        <w:sdtEndPr/>
        <w:sdtContent>
          <w:r>
            <w:rPr>
              <w:color w:val="000000" w:themeColor="text1"/>
            </w:rPr>
            <w:t>0</w:t>
          </w:r>
        </w:sdtContent>
      </w:sdt>
      <w:r>
        <w:rPr>
          <w:rFonts w:hint="eastAsia"/>
          <w:color w:val="000000" w:themeColor="text1"/>
        </w:rPr>
        <w:t xml:space="preserve"> 元, 上期被合并方实现的净利润为： </w:t>
      </w:r>
      <w:sdt>
        <w:sdtPr>
          <w:rPr>
            <w:rFonts w:hint="eastAsia"/>
            <w:color w:val="000000" w:themeColor="text1"/>
          </w:rPr>
          <w:alias w:val="同一控制下的企业合并中被合并方在合并前实现的净利润"/>
          <w:tag w:val="_GBC_7e8cf02e71b9434883c60dcb8fb33270"/>
          <w:id w:val="1025603717"/>
          <w:placeholder>
            <w:docPart w:val="GBC22222222222222222222222222222"/>
          </w:placeholder>
        </w:sdtPr>
        <w:sdtEndPr>
          <w:rPr>
            <w:rFonts w:hint="default"/>
          </w:rPr>
        </w:sdtEndPr>
        <w:sdtContent>
          <w:r>
            <w:rPr>
              <w:color w:val="000000" w:themeColor="text1"/>
            </w:rPr>
            <w:t>0</w:t>
          </w:r>
        </w:sdtContent>
      </w:sdt>
      <w:r>
        <w:rPr>
          <w:rFonts w:hint="eastAsia"/>
          <w:color w:val="000000" w:themeColor="text1"/>
        </w:rPr>
        <w:t xml:space="preserve"> 元。</w:t>
      </w:r>
    </w:p>
    <w:p w:rsidR="00597370" w:rsidRDefault="003C2EEE">
      <w:pPr>
        <w:rPr>
          <w:color w:val="000000" w:themeColor="text1"/>
          <w:u w:val="single"/>
        </w:rPr>
      </w:pPr>
      <w:r>
        <w:rPr>
          <w:color w:val="000000" w:themeColor="text1"/>
        </w:rPr>
        <w:t>公司负责人</w:t>
      </w:r>
      <w:r>
        <w:rPr>
          <w:rFonts w:hint="eastAsia"/>
          <w:color w:val="000000" w:themeColor="text1"/>
        </w:rPr>
        <w:t>：</w:t>
      </w:r>
      <w:sdt>
        <w:sdtPr>
          <w:rPr>
            <w:rFonts w:hint="eastAsia"/>
          </w:rPr>
          <w:alias w:val="公司负责人"/>
          <w:tag w:val="_GBC_84d2ead02dbe49699dff5184a9cd1bd3"/>
          <w:id w:val="-421949271"/>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杨泽民</w:t>
          </w:r>
        </w:sdtContent>
      </w:sdt>
      <w:r>
        <w:rPr>
          <w:rFonts w:hint="eastAsia"/>
          <w:color w:val="000000" w:themeColor="text1"/>
        </w:rPr>
        <w:t xml:space="preserve"> </w:t>
      </w:r>
      <w:r>
        <w:rPr>
          <w:color w:val="000000" w:themeColor="text1"/>
        </w:rPr>
        <w:t xml:space="preserve">        主管会计工作负责人</w:t>
      </w:r>
      <w:r>
        <w:rPr>
          <w:rFonts w:hint="eastAsia"/>
          <w:color w:val="000000" w:themeColor="text1"/>
        </w:rPr>
        <w:t>：</w:t>
      </w:r>
      <w:sdt>
        <w:sdtPr>
          <w:rPr>
            <w:rFonts w:hint="eastAsia"/>
          </w:rPr>
          <w:alias w:val="主管会计工作负责人姓名"/>
          <w:tag w:val="_GBC_e958f3d59232458da90c4799548d15ea"/>
          <w:id w:val="150419822"/>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rPr>
            <w:t>杨万华</w:t>
          </w:r>
        </w:sdtContent>
      </w:sdt>
      <w:r>
        <w:rPr>
          <w:rFonts w:hint="eastAsia"/>
          <w:color w:val="000000" w:themeColor="text1"/>
        </w:rPr>
        <w:t xml:space="preserve"> </w:t>
      </w:r>
      <w:r>
        <w:rPr>
          <w:color w:val="000000" w:themeColor="text1"/>
        </w:rPr>
        <w:t xml:space="preserve">         会计机构负责人</w:t>
      </w:r>
      <w:r>
        <w:rPr>
          <w:rFonts w:hint="eastAsia"/>
          <w:color w:val="000000" w:themeColor="text1"/>
        </w:rPr>
        <w:t>：</w:t>
      </w:r>
      <w:sdt>
        <w:sdtPr>
          <w:rPr>
            <w:rFonts w:hint="eastAsia"/>
          </w:rPr>
          <w:alias w:val="会计机构负责人姓名"/>
          <w:tag w:val="_GBC_83eea96809554a8b86e8c53c6e3da040"/>
          <w:id w:val="-2006660625"/>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冯波</w:t>
          </w:r>
        </w:sdtContent>
      </w:sdt>
    </w:p>
    <w:p w:rsidR="00597370" w:rsidRDefault="00597370">
      <w:pPr>
        <w:rPr>
          <w:color w:val="000000" w:themeColor="text1"/>
          <w:u w:val="single"/>
        </w:rPr>
      </w:pPr>
    </w:p>
    <w:p w:rsidR="00597370" w:rsidRDefault="00597370">
      <w:pPr>
        <w:rPr>
          <w:color w:val="000000" w:themeColor="text1"/>
          <w:u w:val="single"/>
        </w:rPr>
      </w:pPr>
    </w:p>
    <w:p w:rsidR="00597370" w:rsidRDefault="003C2EEE">
      <w:pPr>
        <w:pStyle w:val="Style109"/>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利润表</w:t>
      </w:r>
    </w:p>
    <w:p w:rsidR="00597370" w:rsidRDefault="003C2EEE">
      <w:pPr>
        <w:jc w:val="center"/>
        <w:rPr>
          <w:b/>
          <w:color w:val="000000" w:themeColor="text1"/>
        </w:rPr>
      </w:pPr>
      <w:r>
        <w:rPr>
          <w:color w:val="000000" w:themeColor="text1"/>
        </w:rPr>
        <w:t>2024年</w:t>
      </w:r>
      <w:r>
        <w:rPr>
          <w:rFonts w:hint="eastAsia"/>
          <w:color w:val="000000" w:themeColor="text1"/>
        </w:rPr>
        <w:t>1—6</w:t>
      </w:r>
      <w:r>
        <w:rPr>
          <w:color w:val="000000" w:themeColor="text1"/>
        </w:rPr>
        <w:t>月</w:t>
      </w:r>
    </w:p>
    <w:p w:rsidR="00597370" w:rsidRDefault="003C2EEE">
      <w:pPr>
        <w:snapToGrid w:val="0"/>
        <w:spacing w:line="240" w:lineRule="atLeast"/>
        <w:jc w:val="right"/>
        <w:rPr>
          <w:b/>
          <w:color w:val="000000" w:themeColor="text1"/>
        </w:rPr>
      </w:pPr>
      <w:r>
        <w:rPr>
          <w:color w:val="000000" w:themeColor="text1"/>
        </w:rPr>
        <w:t>单位：</w:t>
      </w:r>
      <w:sdt>
        <w:sdtPr>
          <w:rPr>
            <w:color w:val="000000" w:themeColor="text1"/>
          </w:rPr>
          <w:alias w:val="单位：母公司利润表"/>
          <w:tag w:val="_GBC_955732cd74ff4f1f9b098e70c1b85c60"/>
          <w:id w:val="10987547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sdt>
        <w:sdtPr>
          <w:rPr>
            <w:color w:val="000000" w:themeColor="text1"/>
          </w:rPr>
          <w:alias w:val="币种：母公司利润表"/>
          <w:tag w:val="_GBC_125a2547934143ccb384434361f57d37"/>
          <w:id w:val="-8309847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19"/>
        <w:gridCol w:w="1479"/>
        <w:gridCol w:w="1959"/>
        <w:gridCol w:w="1966"/>
      </w:tblGrid>
      <w:tr w:rsidR="00597370">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color w:val="000000" w:themeColor="text1"/>
              </w:rPr>
              <w:tag w:val="_PLD_2746da9ce382479bbcc34de94cc91419"/>
              <w:id w:val="-1054623598"/>
            </w:sdtPr>
            <w:sdtEndPr/>
            <w:sdtContent>
              <w:p w:rsidR="00597370" w:rsidRDefault="003C2EEE">
                <w:pPr>
                  <w:ind w:leftChars="-19" w:hangingChars="19" w:hanging="40"/>
                  <w:jc w:val="center"/>
                  <w:rPr>
                    <w:b/>
                    <w:color w:val="000000" w:themeColor="text1"/>
                  </w:rPr>
                </w:pPr>
                <w:r>
                  <w:rPr>
                    <w:rFonts w:hint="eastAsia"/>
                    <w:b/>
                    <w:color w:val="000000" w:themeColor="text1"/>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color w:val="000000" w:themeColor="text1"/>
              </w:rPr>
              <w:tag w:val="_PLD_353d1b95815e4cb9bce619c23384aae7"/>
              <w:id w:val="780930616"/>
            </w:sdtPr>
            <w:sdtEndPr/>
            <w:sdtContent>
              <w:p w:rsidR="00597370" w:rsidRDefault="003C2EEE">
                <w:pPr>
                  <w:jc w:val="center"/>
                  <w:rPr>
                    <w:b/>
                    <w:color w:val="000000" w:themeColor="text1"/>
                  </w:rPr>
                </w:pPr>
                <w:r>
                  <w:rPr>
                    <w:rFonts w:hint="eastAsia"/>
                    <w:b/>
                    <w:color w:val="000000" w:themeColor="text1"/>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color w:val="000000" w:themeColor="text1"/>
              </w:rPr>
              <w:tag w:val="_PLD_aa6da19e961f4f0aa9c1f47a5d8bdb21"/>
              <w:id w:val="-946380172"/>
            </w:sdtPr>
            <w:sdtEndPr/>
            <w:sdtContent>
              <w:p w:rsidR="00597370" w:rsidRDefault="003C2EEE">
                <w:pPr>
                  <w:jc w:val="center"/>
                  <w:rPr>
                    <w:b/>
                    <w:color w:val="000000" w:themeColor="text1"/>
                  </w:rPr>
                </w:pPr>
                <w:r>
                  <w:rPr>
                    <w:rFonts w:hint="eastAsia"/>
                    <w:b/>
                    <w:color w:val="000000" w:themeColor="text1"/>
                  </w:rPr>
                  <w:t>2024年半年度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color w:val="000000" w:themeColor="text1"/>
              </w:rPr>
              <w:tag w:val="_PLD_fd6f3d63a7544a05b6f572cee64f39fb"/>
              <w:id w:val="1358857158"/>
            </w:sdtPr>
            <w:sdtEndPr/>
            <w:sdtContent>
              <w:p w:rsidR="00597370" w:rsidRDefault="003C2EEE">
                <w:pPr>
                  <w:jc w:val="center"/>
                  <w:rPr>
                    <w:b/>
                    <w:color w:val="000000" w:themeColor="text1"/>
                  </w:rPr>
                </w:pPr>
                <w:r>
                  <w:rPr>
                    <w:rFonts w:hint="eastAsia"/>
                    <w:b/>
                    <w:color w:val="000000" w:themeColor="text1"/>
                  </w:rPr>
                  <w:t>2023年半年度</w:t>
                </w:r>
              </w:p>
            </w:sdtContent>
          </w:sdt>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left="-19"/>
              <w:rPr>
                <w:color w:val="000000" w:themeColor="text1"/>
              </w:rPr>
            </w:pPr>
            <w:r>
              <w:rPr>
                <w:rFonts w:hint="eastAsia"/>
                <w:color w:val="000000" w:themeColor="text1"/>
              </w:rPr>
              <w:t>一、营业收入</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十七、</w:t>
            </w:r>
            <w:r>
              <w:t>4</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1,232,249,813.99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1,221,671,306.22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减：营业成本</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十七、</w:t>
            </w:r>
            <w:r>
              <w:t>4</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1,116,554,864.15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945,300,437.24</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税金及附加</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4,561,643.44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3,771,506.02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销售费用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45,192,779.07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43,391,580.26</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管理费用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40,078,067.12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33,901,850.02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研发费用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16,314,269.30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15,884,729.36</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财务费用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-1,226,917.20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-11,020,678.25</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其中：利息费用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16,347,673.77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4,984,419.35</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lastRenderedPageBreak/>
              <w:t>利息收入</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15,571,961.47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16,826,406.62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加：其他收益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50,079,605.50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3,096,141.20</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投资收益（损失以“－”号填列）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十七、</w:t>
            </w:r>
            <w:r>
              <w:t>5</w:t>
            </w: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6,832,516.48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720,234.75</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-74,502.67</w:t>
            </w:r>
            <w:r>
              <w:rPr>
                <w:rFonts w:hint="eastAsia"/>
                <w:color w:val="000000"/>
              </w:rPr>
              <w:t xml:space="preserve">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639,872.89</w:t>
            </w:r>
          </w:p>
        </w:tc>
      </w:tr>
      <w:tr w:rsidR="00597370">
        <w:tc>
          <w:tcPr>
            <w:tcW w:w="1938"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以摊</w:t>
            </w:r>
            <w:proofErr w:type="gramStart"/>
            <w:r>
              <w:rPr>
                <w:rFonts w:hint="eastAsia"/>
                <w:color w:val="000000" w:themeColor="text1"/>
              </w:rPr>
              <w:t>余成本</w:t>
            </w:r>
            <w:proofErr w:type="gramEnd"/>
            <w:r>
              <w:rPr>
                <w:rFonts w:hint="eastAsia"/>
                <w:color w:val="000000" w:themeColor="text1"/>
              </w:rPr>
              <w:t>计量的金融资产终止确认收益（损失以“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firstLineChars="300" w:firstLine="630"/>
              <w:rPr>
                <w:color w:val="000000" w:themeColor="text1"/>
              </w:rPr>
            </w:pPr>
            <w:r>
              <w:rPr>
                <w:rFonts w:hint="eastAsia"/>
                <w:color w:val="000000" w:themeColor="text1"/>
              </w:rPr>
              <w:t>净敞口套期收益（损失以“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firstLineChars="300" w:firstLine="630"/>
              <w:rPr>
                <w:color w:val="000000" w:themeColor="text1"/>
              </w:rPr>
            </w:pPr>
            <w:r>
              <w:rPr>
                <w:rFonts w:hint="eastAsia"/>
                <w:color w:val="000000" w:themeColor="text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firstLineChars="300" w:firstLine="630"/>
              <w:rPr>
                <w:color w:val="000000" w:themeColor="text1"/>
              </w:rPr>
            </w:pPr>
            <w:r>
              <w:rPr>
                <w:rFonts w:hint="eastAsia"/>
                <w:color w:val="000000" w:themeColor="text1"/>
              </w:rPr>
              <w:t>信用减值损失（损失以“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-5,697,078.09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-7,326,518.63</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firstLineChars="300" w:firstLine="630"/>
              <w:rPr>
                <w:color w:val="000000" w:themeColor="text1"/>
              </w:rPr>
            </w:pPr>
            <w:r>
              <w:rPr>
                <w:rFonts w:hint="eastAsia"/>
                <w:color w:val="000000" w:themeColor="text1"/>
              </w:rPr>
              <w:t>资产减值损失（损失以“</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-2,713,442.30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-1,942,356.91</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firstLineChars="300" w:firstLine="630"/>
              <w:rPr>
                <w:color w:val="000000" w:themeColor="text1"/>
              </w:rPr>
            </w:pPr>
            <w:r>
              <w:rPr>
                <w:rFonts w:hint="eastAsia"/>
                <w:color w:val="000000" w:themeColor="text1"/>
              </w:rPr>
              <w:t>资产处置收益（损失以“－”号填列）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69,839.23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-324.11</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left="-19"/>
              <w:rPr>
                <w:color w:val="000000" w:themeColor="text1"/>
              </w:rPr>
            </w:pPr>
            <w:r>
              <w:rPr>
                <w:rFonts w:hint="eastAsia"/>
                <w:color w:val="000000" w:themeColor="text1"/>
              </w:rPr>
              <w:t>二、营业利润（亏损以“－”号填列）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59,346,548.93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184,989,057.87</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加：营业外收入</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1,296,284.75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363,015.72</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减：营业外支出</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22,123,991.31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2,550,000.00</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left="-19"/>
              <w:rPr>
                <w:color w:val="000000" w:themeColor="text1"/>
              </w:rPr>
            </w:pPr>
            <w:r>
              <w:rPr>
                <w:rFonts w:hint="eastAsia"/>
                <w:color w:val="000000" w:themeColor="text1"/>
              </w:rPr>
              <w:t>三、利润总额（亏损总额以“－”号填列）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38,518,842.37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182,802,073.59</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减：所得税费用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4,041,619.93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25,163,201.55</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left="-19"/>
              <w:rPr>
                <w:color w:val="000000" w:themeColor="text1"/>
              </w:rPr>
            </w:pPr>
            <w:r>
              <w:rPr>
                <w:rFonts w:hint="eastAsia"/>
                <w:color w:val="000000" w:themeColor="text1"/>
              </w:rPr>
              <w:t>四、净利润（净亏损以“－”号填列）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34,477,222.44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157,638,872.04</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（一）</w:t>
            </w:r>
            <w:r>
              <w:rPr>
                <w:color w:val="000000" w:themeColor="text1"/>
              </w:rPr>
              <w:t>持续经营净利润（净亏损以“－”号填列）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34,477,222.44 </w:t>
            </w: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157,638,872.04</w:t>
            </w: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（二）终止经营净利润（净亏损以“－”号填列）</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leftChars="-19" w:hangingChars="19" w:hanging="40"/>
              <w:rPr>
                <w:color w:val="000000" w:themeColor="text1"/>
              </w:rPr>
            </w:pPr>
            <w:r>
              <w:rPr>
                <w:rFonts w:hint="eastAsia"/>
                <w:color w:val="000000" w:themeColor="text1"/>
              </w:rPr>
              <w:t>五、其他综合收益的税后净额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（一）不能重分类进损益的其他综合收益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1.重新计量设定受益计划变动额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2.权益法下不能转损益的其他综合收益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3.其他权益工具投资公允价值变动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4.企业自身信用风险公允价值变动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（二）将重分类进损益的其他综合收益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1.权益法下可转损益的其他综合收益</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2.其他债权投资公允价值变动</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3.金融资产重分类计入其他综合收益的金额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4.其他债权投资信用减值准备</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5.现金流量套期储备</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6.外币财务报表折算差额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7.其他</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ind w:left="-19"/>
              <w:rPr>
                <w:color w:val="000000" w:themeColor="text1"/>
              </w:rPr>
            </w:pPr>
            <w:r>
              <w:rPr>
                <w:rFonts w:hint="eastAsia"/>
                <w:color w:val="000000" w:themeColor="text1"/>
              </w:rPr>
              <w:lastRenderedPageBreak/>
              <w:t>六、综合收益总额</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34,477,222.44 </w:t>
            </w:r>
          </w:p>
        </w:tc>
        <w:tc>
          <w:tcPr>
            <w:tcW w:w="1114" w:type="pct"/>
            <w:tcBorders>
              <w:top w:val="outset" w:sz="4" w:space="0" w:color="auto"/>
              <w:left w:val="outset" w:sz="4" w:space="0" w:color="auto"/>
              <w:bottom w:val="outset" w:sz="4" w:space="0" w:color="auto"/>
              <w:right w:val="outset" w:sz="4" w:space="0" w:color="auto"/>
            </w:tcBorders>
          </w:tcPr>
          <w:p w:rsidR="00597370" w:rsidRDefault="003C2EEE">
            <w:pPr>
              <w:jc w:val="right"/>
            </w:pPr>
            <w:r>
              <w:t>157,638,872.04</w:t>
            </w:r>
          </w:p>
        </w:tc>
      </w:tr>
      <w:tr w:rsidR="00597370">
        <w:sdt>
          <w:sdtPr>
            <w:rPr>
              <w:color w:val="000000" w:themeColor="text1"/>
            </w:rPr>
            <w:tag w:val="_PLD_302a225367d84b88a766d8daaf22e468"/>
            <w:id w:val="-1847387402"/>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rFonts w:hint="eastAsia"/>
                    <w:color w:val="000000" w:themeColor="text1"/>
                  </w:rPr>
                  <w:t>七</w:t>
                </w:r>
                <w:r>
                  <w:rPr>
                    <w:color w:val="000000" w:themeColor="text1"/>
                  </w:rPr>
                  <w:t>、每股收益：</w:t>
                </w:r>
              </w:p>
            </w:tc>
          </w:sdtContent>
        </w:sdt>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（一）基本每股收益</w:t>
            </w:r>
            <w:r>
              <w:rPr>
                <w:rFonts w:hint="eastAsia"/>
                <w:color w:val="000000" w:themeColor="text1"/>
              </w:rPr>
              <w:t>(元/股)</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938" w:type="pct"/>
            <w:tcBorders>
              <w:top w:val="outset" w:sz="4" w:space="0" w:color="auto"/>
              <w:left w:val="outset" w:sz="4" w:space="0" w:color="auto"/>
              <w:bottom w:val="outset" w:sz="4" w:space="0" w:color="auto"/>
              <w:right w:val="outset" w:sz="4" w:space="0" w:color="auto"/>
            </w:tcBorders>
            <w:vAlign w:val="center"/>
          </w:tcPr>
          <w:p w:rsidR="00597370" w:rsidRDefault="003C2EEE">
            <w:pPr>
              <w:rPr>
                <w:color w:val="000000" w:themeColor="text1"/>
              </w:rPr>
            </w:pPr>
            <w:r>
              <w:rPr>
                <w:color w:val="000000" w:themeColor="text1"/>
              </w:rPr>
              <w:t>（二）稀释每股收益</w:t>
            </w:r>
            <w:r>
              <w:rPr>
                <w:rFonts w:hint="eastAsia"/>
                <w:color w:val="000000" w:themeColor="text1"/>
              </w:rPr>
              <w:t>(元/股)</w:t>
            </w:r>
          </w:p>
        </w:tc>
        <w:tc>
          <w:tcPr>
            <w:tcW w:w="838"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110" w:type="pct"/>
            <w:tcBorders>
              <w:top w:val="outset" w:sz="4" w:space="0" w:color="auto"/>
              <w:left w:val="outset" w:sz="4" w:space="0" w:color="auto"/>
              <w:bottom w:val="outset" w:sz="4" w:space="0" w:color="auto"/>
              <w:right w:val="outset" w:sz="4" w:space="0" w:color="auto"/>
            </w:tcBorders>
          </w:tcPr>
          <w:p w:rsidR="00597370" w:rsidRDefault="00597370">
            <w:pPr>
              <w:jc w:val="right"/>
            </w:pPr>
          </w:p>
        </w:tc>
        <w:tc>
          <w:tcPr>
            <w:tcW w:w="1114"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bl>
    <w:p w:rsidR="00597370" w:rsidRDefault="00597370">
      <w:pPr>
        <w:rPr>
          <w:color w:val="000000" w:themeColor="text1"/>
        </w:rPr>
      </w:pPr>
    </w:p>
    <w:p w:rsidR="00597370" w:rsidRDefault="003C2EEE">
      <w:pPr>
        <w:snapToGrid w:val="0"/>
        <w:spacing w:line="240" w:lineRule="atLeast"/>
        <w:ind w:rightChars="-73" w:right="-153"/>
        <w:rPr>
          <w:rFonts w:cs="宋体-方正超大字符集"/>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6be9c51ef68a40f0b60486f4414f2413"/>
          <w:id w:val="-1794905338"/>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 xml:space="preserve">   主管会计工作负责人</w:t>
      </w:r>
      <w:r>
        <w:rPr>
          <w:rFonts w:hint="eastAsia"/>
          <w:color w:val="000000" w:themeColor="text1"/>
        </w:rPr>
        <w:t>：</w:t>
      </w:r>
      <w:sdt>
        <w:sdtPr>
          <w:rPr>
            <w:rFonts w:hint="eastAsia"/>
          </w:rPr>
          <w:alias w:val="主管会计工作负责人姓名"/>
          <w:tag w:val="_GBC_ac91a6c67f0a401ab312a449bd87b833"/>
          <w:id w:val="-1252887146"/>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rPr>
            <w:t>杨万华</w:t>
          </w:r>
        </w:sdtContent>
      </w:sdt>
      <w:r>
        <w:rPr>
          <w:rFonts w:hint="eastAsia"/>
          <w:color w:val="000000" w:themeColor="text1"/>
        </w:rPr>
        <w:t xml:space="preserve"> </w:t>
      </w:r>
      <w:r>
        <w:rPr>
          <w:color w:val="000000" w:themeColor="text1"/>
        </w:rPr>
        <w:t xml:space="preserve">       会计机构负责人</w:t>
      </w:r>
      <w:r>
        <w:rPr>
          <w:rFonts w:hint="eastAsia"/>
          <w:color w:val="000000" w:themeColor="text1"/>
        </w:rPr>
        <w:t>：</w:t>
      </w:r>
      <w:sdt>
        <w:sdtPr>
          <w:rPr>
            <w:rFonts w:hint="eastAsia"/>
            <w:color w:val="000000" w:themeColor="text1"/>
          </w:rPr>
          <w:alias w:val="会计机构负责人姓名"/>
          <w:tag w:val="_GBC_60f6b900783346cfad817de4d84acf5e"/>
          <w:id w:val="1486587611"/>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597370" w:rsidRDefault="00597370">
      <w:pPr>
        <w:rPr>
          <w:color w:val="000000" w:themeColor="text1"/>
        </w:rPr>
      </w:pPr>
      <w:bookmarkStart w:id="116" w:name="_Hlk10211424"/>
      <w:bookmarkEnd w:id="114"/>
      <w:bookmarkEnd w:id="116"/>
    </w:p>
    <w:p w:rsidR="00597370" w:rsidRDefault="00597370">
      <w:pPr>
        <w:rPr>
          <w:color w:val="000000" w:themeColor="text1"/>
        </w:rPr>
      </w:pPr>
    </w:p>
    <w:p w:rsidR="00597370" w:rsidRDefault="00597370">
      <w:pPr>
        <w:rPr>
          <w:color w:val="000000" w:themeColor="text1"/>
        </w:rPr>
      </w:pPr>
    </w:p>
    <w:p w:rsidR="00597370" w:rsidRDefault="003C2EEE">
      <w:pPr>
        <w:pStyle w:val="Style109"/>
        <w:jc w:val="center"/>
        <w:rPr>
          <w:rFonts w:ascii="宋体" w:hAnsi="宋体"/>
          <w:color w:val="000000" w:themeColor="text1"/>
        </w:rPr>
      </w:pPr>
      <w:bookmarkStart w:id="117" w:name="_Hlk10211590"/>
      <w:r>
        <w:rPr>
          <w:rFonts w:ascii="宋体" w:hAnsi="宋体" w:hint="eastAsia"/>
          <w:color w:val="000000" w:themeColor="text1"/>
        </w:rPr>
        <w:t>合并</w:t>
      </w:r>
      <w:r>
        <w:rPr>
          <w:rFonts w:ascii="宋体" w:hAnsi="宋体"/>
          <w:color w:val="000000" w:themeColor="text1"/>
        </w:rPr>
        <w:t>现金流量表</w:t>
      </w:r>
    </w:p>
    <w:p w:rsidR="00597370" w:rsidRDefault="003C2EEE">
      <w:pPr>
        <w:jc w:val="center"/>
        <w:rPr>
          <w:b/>
          <w:color w:val="000000" w:themeColor="text1"/>
        </w:rPr>
      </w:pPr>
      <w:r>
        <w:rPr>
          <w:color w:val="000000" w:themeColor="text1"/>
        </w:rPr>
        <w:t>2024年</w:t>
      </w:r>
      <w:r>
        <w:rPr>
          <w:rFonts w:hint="eastAsia"/>
          <w:color w:val="000000" w:themeColor="text1"/>
        </w:rPr>
        <w:t>1—6</w:t>
      </w:r>
      <w:r>
        <w:rPr>
          <w:color w:val="000000" w:themeColor="text1"/>
        </w:rPr>
        <w:t>月</w:t>
      </w:r>
    </w:p>
    <w:p w:rsidR="00597370" w:rsidRDefault="003C2EEE">
      <w:pPr>
        <w:jc w:val="right"/>
        <w:rPr>
          <w:color w:val="000000" w:themeColor="text1"/>
        </w:rPr>
      </w:pPr>
      <w:r>
        <w:rPr>
          <w:color w:val="000000" w:themeColor="text1"/>
        </w:rPr>
        <w:t>单位</w:t>
      </w:r>
      <w:r>
        <w:rPr>
          <w:rFonts w:hint="eastAsia"/>
          <w:color w:val="000000" w:themeColor="text1"/>
        </w:rPr>
        <w:t>：</w:t>
      </w:r>
      <w:sdt>
        <w:sdtPr>
          <w:rPr>
            <w:rFonts w:hint="eastAsia"/>
            <w:color w:val="000000" w:themeColor="text1"/>
          </w:rPr>
          <w:alias w:val="单位：合并现金流量表"/>
          <w:tag w:val="_GBC_7049413ddb8f4e5eac9cb9fb4f802433"/>
          <w:id w:val="-8670639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r>
        <w:rPr>
          <w:rFonts w:hint="eastAsia"/>
          <w:color w:val="000000" w:themeColor="text1"/>
        </w:rPr>
        <w:t>：</w:t>
      </w:r>
      <w:sdt>
        <w:sdtPr>
          <w:rPr>
            <w:rFonts w:hint="eastAsia"/>
            <w:color w:val="000000" w:themeColor="text1"/>
          </w:rPr>
          <w:alias w:val="币种：合并现金流量表"/>
          <w:tag w:val="_GBC_5ab1c6e244484b228b8cdc6ee3840fd6"/>
          <w:id w:val="15487241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64"/>
        <w:gridCol w:w="1528"/>
        <w:gridCol w:w="2119"/>
        <w:gridCol w:w="2112"/>
      </w:tblGrid>
      <w:tr w:rsidR="00597370">
        <w:sdt>
          <w:sdtPr>
            <w:rPr>
              <w:color w:val="000000" w:themeColor="text1"/>
            </w:rPr>
            <w:tag w:val="_PLD_2a3b6af3ab824e2db1022630f7a58e18"/>
            <w:id w:val="1715696149"/>
          </w:sdtPr>
          <w:sdtEndPr/>
          <w:sdtContent>
            <w:tc>
              <w:tcPr>
                <w:tcW w:w="1736" w:type="pct"/>
                <w:tcBorders>
                  <w:top w:val="outset" w:sz="4" w:space="0" w:color="auto"/>
                  <w:left w:val="outset" w:sz="4" w:space="0" w:color="auto"/>
                  <w:bottom w:val="outset" w:sz="4" w:space="0" w:color="auto"/>
                  <w:right w:val="outset" w:sz="4" w:space="0" w:color="auto"/>
                </w:tcBorders>
              </w:tcPr>
              <w:p w:rsidR="00597370" w:rsidRDefault="003C2EEE">
                <w:pPr>
                  <w:jc w:val="center"/>
                  <w:rPr>
                    <w:b/>
                    <w:color w:val="000000" w:themeColor="text1"/>
                  </w:rPr>
                </w:pPr>
                <w:r>
                  <w:rPr>
                    <w:b/>
                    <w:color w:val="000000" w:themeColor="text1"/>
                  </w:rPr>
                  <w:t>项目</w:t>
                </w:r>
              </w:p>
            </w:tc>
          </w:sdtContent>
        </w:sdt>
        <w:sdt>
          <w:sdtPr>
            <w:rPr>
              <w:color w:val="000000" w:themeColor="text1"/>
            </w:rPr>
            <w:tag w:val="_PLD_49df1a6f5a224085bdcd56671a898d47"/>
            <w:id w:val="-100642636"/>
          </w:sdtPr>
          <w:sdtEndPr/>
          <w:sdtContent>
            <w:tc>
              <w:tcPr>
                <w:tcW w:w="866" w:type="pct"/>
                <w:tcBorders>
                  <w:top w:val="outset" w:sz="4" w:space="0" w:color="auto"/>
                  <w:left w:val="outset" w:sz="4" w:space="0" w:color="auto"/>
                  <w:bottom w:val="outset" w:sz="4" w:space="0" w:color="auto"/>
                  <w:right w:val="outset" w:sz="4" w:space="0" w:color="auto"/>
                </w:tcBorders>
              </w:tcPr>
              <w:p w:rsidR="00597370" w:rsidRDefault="003C2EEE">
                <w:pPr>
                  <w:jc w:val="center"/>
                  <w:rPr>
                    <w:b/>
                    <w:color w:val="000000" w:themeColor="text1"/>
                  </w:rPr>
                </w:pPr>
                <w:r>
                  <w:rPr>
                    <w:b/>
                    <w:color w:val="000000" w:themeColor="text1"/>
                  </w:rPr>
                  <w:t>附注</w:t>
                </w:r>
              </w:p>
            </w:tc>
          </w:sdtContent>
        </w:sdt>
        <w:sdt>
          <w:sdtPr>
            <w:rPr>
              <w:color w:val="000000" w:themeColor="text1"/>
            </w:rPr>
            <w:tag w:val="_PLD_aba5e14092764f689b78fdbe9892bc51"/>
            <w:id w:val="1493767035"/>
          </w:sdtPr>
          <w:sdtEndPr/>
          <w:sdtContent>
            <w:tc>
              <w:tcPr>
                <w:tcW w:w="1201" w:type="pct"/>
                <w:tcBorders>
                  <w:top w:val="outset" w:sz="4" w:space="0" w:color="auto"/>
                  <w:left w:val="outset" w:sz="4" w:space="0" w:color="auto"/>
                  <w:bottom w:val="outset" w:sz="4" w:space="0" w:color="auto"/>
                  <w:right w:val="outset" w:sz="4" w:space="0" w:color="auto"/>
                </w:tcBorders>
              </w:tcPr>
              <w:p w:rsidR="00597370" w:rsidRDefault="003C2EEE">
                <w:pPr>
                  <w:autoSpaceDE w:val="0"/>
                  <w:autoSpaceDN w:val="0"/>
                  <w:adjustRightInd w:val="0"/>
                  <w:jc w:val="center"/>
                  <w:rPr>
                    <w:b/>
                    <w:color w:val="000000" w:themeColor="text1"/>
                  </w:rPr>
                </w:pPr>
                <w:r>
                  <w:rPr>
                    <w:rFonts w:hint="eastAsia"/>
                    <w:b/>
                    <w:color w:val="000000" w:themeColor="text1"/>
                  </w:rPr>
                  <w:t>2024年半年度</w:t>
                </w:r>
              </w:p>
            </w:tc>
          </w:sdtContent>
        </w:sdt>
        <w:sdt>
          <w:sdtPr>
            <w:rPr>
              <w:color w:val="000000" w:themeColor="text1"/>
            </w:rPr>
            <w:tag w:val="_PLD_8cac70c6f00c4266a9b8cff482cc71cc"/>
            <w:id w:val="-1742011693"/>
          </w:sdtPr>
          <w:sdtEndPr/>
          <w:sdtContent>
            <w:tc>
              <w:tcPr>
                <w:tcW w:w="1197" w:type="pct"/>
                <w:tcBorders>
                  <w:top w:val="outset" w:sz="4" w:space="0" w:color="auto"/>
                  <w:left w:val="outset" w:sz="4" w:space="0" w:color="auto"/>
                  <w:bottom w:val="outset" w:sz="4" w:space="0" w:color="auto"/>
                  <w:right w:val="outset" w:sz="4" w:space="0" w:color="auto"/>
                </w:tcBorders>
              </w:tcPr>
              <w:p w:rsidR="00597370" w:rsidRDefault="003C2EEE">
                <w:pPr>
                  <w:autoSpaceDE w:val="0"/>
                  <w:autoSpaceDN w:val="0"/>
                  <w:adjustRightInd w:val="0"/>
                  <w:jc w:val="center"/>
                  <w:rPr>
                    <w:b/>
                    <w:color w:val="000000" w:themeColor="text1"/>
                  </w:rPr>
                </w:pPr>
                <w:r>
                  <w:rPr>
                    <w:rFonts w:hint="eastAsia"/>
                    <w:b/>
                    <w:color w:val="000000" w:themeColor="text1"/>
                  </w:rPr>
                  <w:t>2023年半年度</w:t>
                </w:r>
              </w:p>
            </w:tc>
          </w:sdtContent>
        </w:sdt>
      </w:tr>
      <w:tr w:rsidR="00597370">
        <w:sdt>
          <w:sdtPr>
            <w:rPr>
              <w:color w:val="000000" w:themeColor="text1"/>
            </w:rPr>
            <w:tag w:val="_PLD_ffd119a1ffa641c1a00397806a78ee23"/>
            <w:id w:val="-1744639139"/>
          </w:sdtPr>
          <w:sdtEndPr/>
          <w:sdtContent>
            <w:tc>
              <w:tcPr>
                <w:tcW w:w="5000" w:type="pct"/>
                <w:gridSpan w:val="4"/>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一、经营活动产生的现金流量：</w:t>
                </w:r>
              </w:p>
            </w:tc>
          </w:sdtContent>
        </w:sdt>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销售商品、提供劳务收到的现金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956,469,756.22 </w:t>
            </w:r>
          </w:p>
        </w:tc>
        <w:tc>
          <w:tcPr>
            <w:tcW w:w="1197"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893,174,610.85</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客户存款和同业存放款项净增加额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向中央银行借款净增加额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向其他金融机构拆入资金净增加额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收到原保险合同保费取得的现金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收到再保业务现金净额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保户储金及投资款净增加额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收取利息、手续费及佣金的现金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拆入资金净增加额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回购业务资金净增加额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代理买卖证券收到的现金净额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收到的税费返还</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21,581,749.63 </w:t>
            </w:r>
          </w:p>
        </w:tc>
        <w:tc>
          <w:tcPr>
            <w:tcW w:w="1197"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收到其他与经营活动有关的现金</w:t>
            </w:r>
          </w:p>
        </w:tc>
        <w:tc>
          <w:tcPr>
            <w:tcW w:w="866"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78（1）</w:t>
            </w:r>
          </w:p>
        </w:tc>
        <w:tc>
          <w:tcPr>
            <w:tcW w:w="1201"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107,346,540.40 </w:t>
            </w:r>
          </w:p>
        </w:tc>
        <w:tc>
          <w:tcPr>
            <w:tcW w:w="1197"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36,703,189.32</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经营活动现金流入小计</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1,085,398,046.25 </w:t>
            </w:r>
          </w:p>
        </w:tc>
        <w:tc>
          <w:tcPr>
            <w:tcW w:w="1197"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929,877,800.17</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购买商品、接受劳务支付的现金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1,087,046,927.81 </w:t>
            </w:r>
          </w:p>
        </w:tc>
        <w:tc>
          <w:tcPr>
            <w:tcW w:w="1197"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770,889,698.70</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客户贷款及垫款净增加额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存放中央银行和同业款项净增加额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支付原保险合同赔付款项的现金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拆出资金净增加额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支付利息、手续费及佣金的现金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支付保单红利的现金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支付给职工及为职工支付的现金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141,453,735.93 </w:t>
            </w:r>
          </w:p>
        </w:tc>
        <w:tc>
          <w:tcPr>
            <w:tcW w:w="1197"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105,502,088.30</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支付的各项税费</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11,940,833.20 </w:t>
            </w:r>
          </w:p>
        </w:tc>
        <w:tc>
          <w:tcPr>
            <w:tcW w:w="1197"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24,929,735.50</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lastRenderedPageBreak/>
              <w:t>支付其他与经营活动有关的现金</w:t>
            </w:r>
          </w:p>
        </w:tc>
        <w:tc>
          <w:tcPr>
            <w:tcW w:w="866"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78（2）</w:t>
            </w: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rFonts w:hint="eastAsia"/>
                <w:color w:val="000000"/>
              </w:rPr>
              <w:t xml:space="preserve"> 140,328,223.62 </w:t>
            </w: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pPr>
            <w:r>
              <w:t>76,838,909.36</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经营活动现金流出小计</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rFonts w:hint="eastAsia"/>
                <w:color w:val="000000"/>
              </w:rPr>
              <w:t xml:space="preserve"> 1,380,769,720.56 </w:t>
            </w: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pPr>
            <w:r>
              <w:t>978,160,431.86</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经营活动产生的现金流量净额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rFonts w:hint="eastAsia"/>
                <w:color w:val="000000"/>
              </w:rPr>
              <w:t xml:space="preserve"> -295,371,674.31 </w:t>
            </w: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pPr>
            <w:r>
              <w:t>-48,282,631.69</w:t>
            </w:r>
          </w:p>
        </w:tc>
      </w:tr>
      <w:tr w:rsidR="00597370">
        <w:sdt>
          <w:sdtPr>
            <w:rPr>
              <w:color w:val="000000" w:themeColor="text1"/>
            </w:rPr>
            <w:tag w:val="_PLD_95b1c638e8714129b03173a0758b863f"/>
            <w:id w:val="-997801885"/>
          </w:sdtPr>
          <w:sdtEndPr/>
          <w:sdtContent>
            <w:tc>
              <w:tcPr>
                <w:tcW w:w="5000" w:type="pct"/>
                <w:gridSpan w:val="4"/>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二、投资活动产生的现金流量：</w:t>
                </w:r>
              </w:p>
            </w:tc>
          </w:sdtContent>
        </w:sdt>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收回投资收到的现金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rPr>
                <w:bCs w:val="0"/>
                <w:color w:val="000000"/>
              </w:rPr>
            </w:pP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rPr>
                <w:color w:val="000000"/>
              </w:rPr>
            </w:pPr>
            <w:r>
              <w:rPr>
                <w:rFonts w:hint="eastAsia"/>
                <w:color w:val="000000"/>
              </w:rPr>
              <w:t>70,107,835.62</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取得投资收益收到的现金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rPr>
                <w:color w:val="000000"/>
              </w:rPr>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处置固定资产、无形资产和其他长期资产收回的现金净额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46,600.00</w:t>
            </w: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处置子公司及其他营业单位收到的现金净额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Style w:val="font11"/>
                <w:rFonts w:hint="default"/>
              </w:rPr>
              <w:t xml:space="preserve">  </w:t>
            </w: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收到其他与投资活动有关的现金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10,068,684.88</w:t>
            </w: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投资活动现金流入小计</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10,115,284.88</w:t>
            </w: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rPr>
                <w:color w:val="000000"/>
              </w:rPr>
            </w:pPr>
            <w:r>
              <w:rPr>
                <w:rFonts w:hint="eastAsia"/>
                <w:color w:val="000000"/>
              </w:rPr>
              <w:t>70,107,835.62</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购建固定资产、无形资产和其他长期资产支付的现金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129,909,886.32</w:t>
            </w: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rPr>
                <w:color w:val="000000"/>
              </w:rPr>
            </w:pPr>
            <w:r>
              <w:rPr>
                <w:rFonts w:hint="eastAsia"/>
                <w:color w:val="000000"/>
              </w:rPr>
              <w:t>227,244,918.05</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投资支付的现金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Style w:val="font11"/>
                <w:rFonts w:hint="default"/>
              </w:rPr>
              <w:t xml:space="preserve">  </w:t>
            </w: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rPr>
                <w:color w:val="000000"/>
              </w:rPr>
            </w:pPr>
            <w:r>
              <w:rPr>
                <w:rFonts w:hint="eastAsia"/>
                <w:color w:val="000000"/>
              </w:rPr>
              <w:t>40,000,000.00</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质押贷款净增加额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rPr>
                <w:color w:val="000000"/>
              </w:rPr>
            </w:pP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rPr>
                <w:rFonts w:ascii="Times New Roman" w:eastAsia="Times New Roman" w:hAnsi="Times New Roman" w:cs="Times New Roman"/>
                <w:sz w:val="20"/>
                <w:szCs w:val="2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取得子公司及其他营业单位支付的现金净额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430,947,890.50</w:t>
            </w: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支付其他与投资活动有关的现金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Style w:val="font11"/>
                <w:rFonts w:hint="default"/>
              </w:rPr>
              <w:t xml:space="preserve">  </w:t>
            </w:r>
          </w:p>
        </w:tc>
        <w:tc>
          <w:tcPr>
            <w:tcW w:w="1197" w:type="pct"/>
            <w:tcBorders>
              <w:top w:val="outset" w:sz="4" w:space="0" w:color="auto"/>
              <w:left w:val="outset" w:sz="4" w:space="0" w:color="auto"/>
              <w:bottom w:val="outset" w:sz="4" w:space="0" w:color="auto"/>
              <w:right w:val="outset" w:sz="4" w:space="0" w:color="auto"/>
            </w:tcBorders>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投资活动现金流出小计</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560,857,776.82</w:t>
            </w: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rPr>
                <w:color w:val="000000"/>
              </w:rPr>
            </w:pPr>
            <w:r>
              <w:rPr>
                <w:rFonts w:hint="eastAsia"/>
                <w:color w:val="000000"/>
              </w:rPr>
              <w:t>267,244,918.05</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投资活动产生的现金流量净额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-550,742,491.94</w:t>
            </w:r>
          </w:p>
        </w:tc>
        <w:tc>
          <w:tcPr>
            <w:tcW w:w="1197" w:type="pct"/>
            <w:tcBorders>
              <w:top w:val="outset" w:sz="4" w:space="0" w:color="auto"/>
              <w:left w:val="outset" w:sz="4" w:space="0" w:color="auto"/>
              <w:bottom w:val="outset" w:sz="4" w:space="0" w:color="auto"/>
              <w:right w:val="outset" w:sz="4" w:space="0" w:color="auto"/>
            </w:tcBorders>
          </w:tcPr>
          <w:p w:rsidR="00597370" w:rsidRDefault="003C2EEE">
            <w:pPr>
              <w:jc w:val="right"/>
              <w:rPr>
                <w:color w:val="000000"/>
              </w:rPr>
            </w:pPr>
            <w:r>
              <w:rPr>
                <w:rFonts w:hint="eastAsia"/>
                <w:color w:val="000000"/>
              </w:rPr>
              <w:t>-197,137,082.43</w:t>
            </w:r>
          </w:p>
        </w:tc>
      </w:tr>
      <w:tr w:rsidR="00597370">
        <w:sdt>
          <w:sdtPr>
            <w:rPr>
              <w:color w:val="000000" w:themeColor="text1"/>
            </w:rPr>
            <w:tag w:val="_PLD_0ebd9a8b5d8e4227a6bc3b0738379ef1"/>
            <w:id w:val="-334381241"/>
          </w:sdtPr>
          <w:sdtEndPr/>
          <w:sdtContent>
            <w:tc>
              <w:tcPr>
                <w:tcW w:w="5000" w:type="pct"/>
                <w:gridSpan w:val="4"/>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三、筹资活动产生的现金流量：</w:t>
                </w:r>
              </w:p>
            </w:tc>
          </w:sdtContent>
        </w:sdt>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吸收投资收到的现金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rPr>
                <w:bCs w:val="0"/>
                <w:color w:val="000000"/>
              </w:rPr>
            </w:pP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其中：子公司吸收少数股东投资收到的现金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rPr>
                <w:color w:val="000000"/>
              </w:rPr>
            </w:pP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取得借款收到的现金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843,051,376.60</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382,597,468.50</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收到其他与筹资活动有关的现金</w:t>
            </w:r>
          </w:p>
        </w:tc>
        <w:tc>
          <w:tcPr>
            <w:tcW w:w="866"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78（5）</w:t>
            </w: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31,048,677.32</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11,679,151.12</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筹资活动现金流入小计</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874,100,053.92</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394,276,619.62</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偿还债务支付的现金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308,849,446.25</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14,212,500.00</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分配股利、利润或偿付利息支付的现金</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66,821,582.14</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65,293,300.35</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其中：子公司支付给少数股东的股利、利润</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Style w:val="font11"/>
                <w:rFonts w:hint="default"/>
              </w:rPr>
              <w:t xml:space="preserve"> </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597370">
            <w:pPr>
              <w:jc w:val="right"/>
              <w:rPr>
                <w:color w:val="000000"/>
              </w:rPr>
            </w:pP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支付其他与筹资活动有关的现金</w:t>
            </w:r>
          </w:p>
        </w:tc>
        <w:tc>
          <w:tcPr>
            <w:tcW w:w="866" w:type="pct"/>
            <w:tcBorders>
              <w:top w:val="outset" w:sz="4" w:space="0" w:color="auto"/>
              <w:left w:val="outset" w:sz="4" w:space="0" w:color="auto"/>
              <w:bottom w:val="outset" w:sz="4" w:space="0" w:color="auto"/>
              <w:right w:val="outset" w:sz="4" w:space="0" w:color="auto"/>
            </w:tcBorders>
          </w:tcPr>
          <w:p w:rsidR="00597370" w:rsidRDefault="003C2EEE">
            <w:pPr>
              <w:pStyle w:val="Style106"/>
            </w:pPr>
            <w:r>
              <w:rPr>
                <w:rFonts w:hint="eastAsia"/>
              </w:rPr>
              <w:t>七、</w:t>
            </w:r>
            <w:r>
              <w:t>78（6）</w:t>
            </w: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2,727,935.86</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1,346,208.46</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筹资活动现金流出小计</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378,398,964.25</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80,852,008.81</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筹资活动产生的现金流量净额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495,701,089.67</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313,424,610.81</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四、汇率变动对现金及现金等价物的影响</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2,593,537.05</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1,943,076.86</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五、现金及现金等价物净增加额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-347,819,539.53</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69,947,973.55</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加：期初现金及现金等价物余额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1,226,642,655.20</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880,625,046.19</w:t>
            </w:r>
          </w:p>
        </w:tc>
      </w:tr>
      <w:tr w:rsidR="00597370">
        <w:tc>
          <w:tcPr>
            <w:tcW w:w="1736"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六、期末现金及现金等价物余额</w:t>
            </w:r>
          </w:p>
        </w:tc>
        <w:tc>
          <w:tcPr>
            <w:tcW w:w="866"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201"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878,823,115.67</w:t>
            </w:r>
          </w:p>
        </w:tc>
        <w:tc>
          <w:tcPr>
            <w:tcW w:w="1197"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rPr>
                <w:color w:val="000000"/>
              </w:rPr>
            </w:pPr>
            <w:r>
              <w:rPr>
                <w:rFonts w:hint="eastAsia"/>
                <w:color w:val="000000"/>
              </w:rPr>
              <w:t>950,573,019.74</w:t>
            </w:r>
          </w:p>
        </w:tc>
      </w:tr>
    </w:tbl>
    <w:p w:rsidR="00597370" w:rsidRDefault="003C2EEE">
      <w:pPr>
        <w:snapToGrid w:val="0"/>
        <w:spacing w:line="240" w:lineRule="atLeast"/>
        <w:ind w:rightChars="12" w:right="25"/>
        <w:rPr>
          <w:b/>
          <w:color w:val="000000" w:themeColor="text1"/>
        </w:rPr>
      </w:pPr>
      <w:r>
        <w:rPr>
          <w:color w:val="000000" w:themeColor="text1"/>
        </w:rPr>
        <w:lastRenderedPageBreak/>
        <w:t>公司负责人</w:t>
      </w:r>
      <w:r>
        <w:rPr>
          <w:rFonts w:hint="eastAsia"/>
          <w:color w:val="000000" w:themeColor="text1"/>
        </w:rPr>
        <w:t>：</w:t>
      </w:r>
      <w:sdt>
        <w:sdtPr>
          <w:rPr>
            <w:rFonts w:hint="eastAsia"/>
            <w:color w:val="000000" w:themeColor="text1"/>
          </w:rPr>
          <w:alias w:val="公司负责人"/>
          <w:tag w:val="_GBC_d1f7cb193ab444ff8482a06aad12f0db"/>
          <w:id w:val="1792396691"/>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45110b4746914613a7aad68cef7b1bed"/>
          <w:id w:val="-507898856"/>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 xml:space="preserve">         会计机构负责人</w:t>
      </w:r>
      <w:r>
        <w:rPr>
          <w:rFonts w:hint="eastAsia"/>
          <w:color w:val="000000" w:themeColor="text1"/>
        </w:rPr>
        <w:t>：</w:t>
      </w:r>
      <w:sdt>
        <w:sdtPr>
          <w:rPr>
            <w:rFonts w:hint="eastAsia"/>
            <w:color w:val="000000" w:themeColor="text1"/>
          </w:rPr>
          <w:alias w:val="会计机构负责人姓名"/>
          <w:tag w:val="_GBC_e7d70223996e482d9871cfff87704452"/>
          <w:id w:val="408581302"/>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597370" w:rsidRDefault="003C2EEE">
      <w:pPr>
        <w:rPr>
          <w:color w:val="000000" w:themeColor="text1"/>
        </w:rPr>
      </w:pPr>
      <w:r>
        <w:rPr>
          <w:rFonts w:hint="eastAsia"/>
          <w:color w:val="000000" w:themeColor="text1"/>
        </w:rPr>
        <w:t xml:space="preserve"> </w:t>
      </w:r>
    </w:p>
    <w:p w:rsidR="00597370" w:rsidRDefault="00597370">
      <w:pPr>
        <w:jc w:val="center"/>
        <w:rPr>
          <w:b/>
          <w:color w:val="000000" w:themeColor="text1"/>
        </w:rPr>
      </w:pPr>
    </w:p>
    <w:p w:rsidR="00597370" w:rsidRDefault="003C2EEE">
      <w:pPr>
        <w:pStyle w:val="Style109"/>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现金流量表</w:t>
      </w:r>
    </w:p>
    <w:p w:rsidR="00597370" w:rsidRDefault="003C2EEE">
      <w:pPr>
        <w:jc w:val="center"/>
        <w:rPr>
          <w:b/>
          <w:color w:val="000000" w:themeColor="text1"/>
        </w:rPr>
      </w:pPr>
      <w:r>
        <w:rPr>
          <w:color w:val="000000" w:themeColor="text1"/>
        </w:rPr>
        <w:t>2024年</w:t>
      </w:r>
      <w:r>
        <w:rPr>
          <w:rFonts w:hint="eastAsia"/>
          <w:color w:val="000000" w:themeColor="text1"/>
        </w:rPr>
        <w:t>1—6</w:t>
      </w:r>
      <w:r>
        <w:rPr>
          <w:color w:val="000000" w:themeColor="text1"/>
        </w:rPr>
        <w:t>月</w:t>
      </w:r>
    </w:p>
    <w:p w:rsidR="00597370" w:rsidRDefault="003C2EEE">
      <w:pPr>
        <w:jc w:val="right"/>
        <w:rPr>
          <w:color w:val="000000" w:themeColor="text1"/>
        </w:rPr>
      </w:pPr>
      <w:r>
        <w:rPr>
          <w:color w:val="000000" w:themeColor="text1"/>
        </w:rPr>
        <w:t>单位：</w:t>
      </w:r>
      <w:sdt>
        <w:sdtPr>
          <w:rPr>
            <w:color w:val="000000" w:themeColor="text1"/>
          </w:rPr>
          <w:alias w:val="单位：母公司现金流量表"/>
          <w:tag w:val="_GBC_993ead81b27a41dfaccaacfaec8b7c78"/>
          <w:id w:val="-11112724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sdt>
        <w:sdtPr>
          <w:rPr>
            <w:color w:val="000000" w:themeColor="text1"/>
          </w:rPr>
          <w:alias w:val="币种：母公司现金流量表"/>
          <w:tag w:val="_GBC_2dd4b706d0a244a4b4c21166025356cc"/>
          <w:id w:val="-14291161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4939"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93"/>
        <w:gridCol w:w="1257"/>
        <w:gridCol w:w="2409"/>
        <w:gridCol w:w="2032"/>
        <w:gridCol w:w="24"/>
      </w:tblGrid>
      <w:tr w:rsidR="00597370">
        <w:trPr>
          <w:gridAfter w:val="1"/>
          <w:wAfter w:w="14" w:type="pct"/>
        </w:trPr>
        <w:sdt>
          <w:sdtPr>
            <w:rPr>
              <w:color w:val="000000" w:themeColor="text1"/>
            </w:rPr>
            <w:tag w:val="_PLD_20ae0904ed714106892a5beddfe5846a"/>
            <w:id w:val="2114702163"/>
          </w:sdtPr>
          <w:sdtEndPr/>
          <w:sdtContent>
            <w:tc>
              <w:tcPr>
                <w:tcW w:w="1717" w:type="pct"/>
                <w:tcBorders>
                  <w:top w:val="outset" w:sz="4" w:space="0" w:color="auto"/>
                  <w:left w:val="outset" w:sz="4" w:space="0" w:color="auto"/>
                  <w:bottom w:val="outset" w:sz="4" w:space="0" w:color="auto"/>
                  <w:right w:val="outset" w:sz="4" w:space="0" w:color="auto"/>
                </w:tcBorders>
              </w:tcPr>
              <w:p w:rsidR="00597370" w:rsidRDefault="003C2EEE">
                <w:pPr>
                  <w:jc w:val="center"/>
                  <w:rPr>
                    <w:b/>
                    <w:color w:val="000000" w:themeColor="text1"/>
                  </w:rPr>
                </w:pPr>
                <w:r>
                  <w:rPr>
                    <w:b/>
                    <w:color w:val="000000" w:themeColor="text1"/>
                  </w:rPr>
                  <w:t>项目</w:t>
                </w:r>
              </w:p>
            </w:tc>
          </w:sdtContent>
        </w:sdt>
        <w:sdt>
          <w:sdtPr>
            <w:rPr>
              <w:color w:val="000000" w:themeColor="text1"/>
            </w:rPr>
            <w:tag w:val="_PLD_9cb87427e0de42d2b7e58a286ff58290"/>
            <w:id w:val="-1618291401"/>
          </w:sdtPr>
          <w:sdtEndPr/>
          <w:sdtContent>
            <w:tc>
              <w:tcPr>
                <w:tcW w:w="721" w:type="pct"/>
                <w:tcBorders>
                  <w:top w:val="outset" w:sz="4" w:space="0" w:color="auto"/>
                  <w:left w:val="outset" w:sz="4" w:space="0" w:color="auto"/>
                  <w:bottom w:val="outset" w:sz="4" w:space="0" w:color="auto"/>
                  <w:right w:val="outset" w:sz="4" w:space="0" w:color="auto"/>
                </w:tcBorders>
              </w:tcPr>
              <w:p w:rsidR="00597370" w:rsidRDefault="003C2EEE">
                <w:pPr>
                  <w:autoSpaceDE w:val="0"/>
                  <w:autoSpaceDN w:val="0"/>
                  <w:adjustRightInd w:val="0"/>
                  <w:jc w:val="center"/>
                  <w:rPr>
                    <w:b/>
                    <w:color w:val="000000" w:themeColor="text1"/>
                  </w:rPr>
                </w:pPr>
                <w:r>
                  <w:rPr>
                    <w:b/>
                    <w:color w:val="000000" w:themeColor="text1"/>
                  </w:rPr>
                  <w:t>附注</w:t>
                </w:r>
              </w:p>
            </w:tc>
          </w:sdtContent>
        </w:sdt>
        <w:sdt>
          <w:sdtPr>
            <w:rPr>
              <w:color w:val="000000" w:themeColor="text1"/>
            </w:rPr>
            <w:tag w:val="_PLD_514bbce28b6040e393e59c5ec50c3820"/>
            <w:id w:val="297279099"/>
          </w:sdtPr>
          <w:sdtEndPr/>
          <w:sdtContent>
            <w:tc>
              <w:tcPr>
                <w:tcW w:w="1382" w:type="pct"/>
                <w:tcBorders>
                  <w:top w:val="outset" w:sz="4" w:space="0" w:color="auto"/>
                  <w:left w:val="outset" w:sz="4" w:space="0" w:color="auto"/>
                  <w:bottom w:val="outset" w:sz="4" w:space="0" w:color="auto"/>
                  <w:right w:val="outset" w:sz="4" w:space="0" w:color="auto"/>
                </w:tcBorders>
              </w:tcPr>
              <w:p w:rsidR="00597370" w:rsidRDefault="003C2EEE">
                <w:pPr>
                  <w:autoSpaceDE w:val="0"/>
                  <w:autoSpaceDN w:val="0"/>
                  <w:adjustRightInd w:val="0"/>
                  <w:jc w:val="center"/>
                  <w:rPr>
                    <w:b/>
                    <w:color w:val="000000" w:themeColor="text1"/>
                  </w:rPr>
                </w:pPr>
                <w:r>
                  <w:rPr>
                    <w:rFonts w:hint="eastAsia"/>
                    <w:b/>
                    <w:color w:val="000000" w:themeColor="text1"/>
                  </w:rPr>
                  <w:t>2024年半年度</w:t>
                </w:r>
              </w:p>
            </w:tc>
          </w:sdtContent>
        </w:sdt>
        <w:sdt>
          <w:sdtPr>
            <w:rPr>
              <w:color w:val="000000" w:themeColor="text1"/>
            </w:rPr>
            <w:tag w:val="_PLD_de39c3f730c74ecca3c9a890bc08a2c1"/>
            <w:id w:val="-1788428145"/>
          </w:sdtPr>
          <w:sdtEndPr/>
          <w:sdtContent>
            <w:tc>
              <w:tcPr>
                <w:tcW w:w="1166" w:type="pct"/>
                <w:tcBorders>
                  <w:top w:val="outset" w:sz="4" w:space="0" w:color="auto"/>
                  <w:left w:val="outset" w:sz="4" w:space="0" w:color="auto"/>
                  <w:bottom w:val="outset" w:sz="4" w:space="0" w:color="auto"/>
                  <w:right w:val="outset" w:sz="4" w:space="0" w:color="auto"/>
                </w:tcBorders>
              </w:tcPr>
              <w:p w:rsidR="00597370" w:rsidRDefault="003C2EEE">
                <w:pPr>
                  <w:autoSpaceDE w:val="0"/>
                  <w:autoSpaceDN w:val="0"/>
                  <w:adjustRightInd w:val="0"/>
                  <w:jc w:val="center"/>
                  <w:rPr>
                    <w:b/>
                    <w:color w:val="000000" w:themeColor="text1"/>
                  </w:rPr>
                </w:pPr>
                <w:r>
                  <w:rPr>
                    <w:rFonts w:hint="eastAsia"/>
                    <w:b/>
                    <w:color w:val="000000" w:themeColor="text1"/>
                  </w:rPr>
                  <w:t>2023年半年度</w:t>
                </w:r>
              </w:p>
            </w:tc>
          </w:sdtContent>
        </w:sdt>
      </w:tr>
      <w:tr w:rsidR="00597370">
        <w:sdt>
          <w:sdtPr>
            <w:rPr>
              <w:color w:val="000000" w:themeColor="text1"/>
            </w:rPr>
            <w:tag w:val="_PLD_575fd724a7cb4261a6c80660162ce2fb"/>
            <w:id w:val="-1819330214"/>
          </w:sdtPr>
          <w:sdtEndPr/>
          <w:sdtContent>
            <w:tc>
              <w:tcPr>
                <w:tcW w:w="5000" w:type="pct"/>
                <w:gridSpan w:val="5"/>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一、经营活动产生的现金流量：</w:t>
                </w:r>
              </w:p>
            </w:tc>
          </w:sdtContent>
        </w:sdt>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销售商品、提供劳务收到的现金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790,586,295.00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858,669,814.25</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收到的税费返还</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21,581,749.63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收到其他与经营活动有关的现金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92,280,739.46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36,291,850.66</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经营活动现金流入小计</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904,448,784.09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894,961,664.91</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购买商品、接受劳务支付的现金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879,927,941.25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737,584,392.46</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支付给职工及为职工支付的现金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102,597,634.34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95,323,927.64</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支付的各项税费</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12,699,691.51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23,415,555.93</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支付其他与经营活动有关的现金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103,913,049.55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70,445,992.63</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经营活动现金流出小计</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1,099,138,316.65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926,769,868.66</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经营活动产生的现金流量净额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-194,689,532.56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-31,808,203.75</w:t>
            </w:r>
          </w:p>
        </w:tc>
      </w:tr>
      <w:tr w:rsidR="00597370">
        <w:sdt>
          <w:sdtPr>
            <w:rPr>
              <w:color w:val="000000" w:themeColor="text1"/>
            </w:rPr>
            <w:tag w:val="_PLD_8f9190ce4227402ab02ac6431a00b46e"/>
            <w:id w:val="-1853643185"/>
          </w:sdtPr>
          <w:sdtEndPr/>
          <w:sdtContent>
            <w:tc>
              <w:tcPr>
                <w:tcW w:w="5000" w:type="pct"/>
                <w:gridSpan w:val="5"/>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二、投资活动产生的现金流量：</w:t>
                </w:r>
              </w:p>
            </w:tc>
          </w:sdtContent>
        </w:sdt>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收回投资收到的现金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rFonts w:hint="eastAsia"/>
                <w:color w:val="000000"/>
              </w:rPr>
              <w:t xml:space="preserve">   </w:t>
            </w:r>
          </w:p>
        </w:tc>
        <w:tc>
          <w:tcPr>
            <w:tcW w:w="1166" w:type="pct"/>
            <w:tcBorders>
              <w:top w:val="outset" w:sz="4" w:space="0" w:color="auto"/>
              <w:left w:val="outset" w:sz="4" w:space="0" w:color="auto"/>
              <w:bottom w:val="outset" w:sz="4" w:space="0" w:color="auto"/>
              <w:right w:val="outset" w:sz="4" w:space="0" w:color="auto"/>
            </w:tcBorders>
          </w:tcPr>
          <w:p w:rsidR="00597370" w:rsidRDefault="003C2EEE">
            <w:pPr>
              <w:jc w:val="right"/>
            </w:pPr>
            <w:r>
              <w:t>70,107,835.62</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取得投资收益收到的现金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rFonts w:hint="eastAsia"/>
                <w:color w:val="000000"/>
              </w:rPr>
              <w:t xml:space="preserve"> 6,907,019.15 </w:t>
            </w:r>
          </w:p>
        </w:tc>
        <w:tc>
          <w:tcPr>
            <w:tcW w:w="1166"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处置固定资产、无形资产和其他长期资产收回的现金净额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rFonts w:hint="eastAsia"/>
                <w:color w:val="000000"/>
              </w:rPr>
              <w:t xml:space="preserve"> 42,600.00 </w:t>
            </w:r>
          </w:p>
        </w:tc>
        <w:tc>
          <w:tcPr>
            <w:tcW w:w="1166"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处置子公司及其他营业单位收到的现金净额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rFonts w:hint="eastAsia"/>
                <w:color w:val="000000"/>
              </w:rPr>
              <w:t xml:space="preserve">   </w:t>
            </w:r>
          </w:p>
        </w:tc>
        <w:tc>
          <w:tcPr>
            <w:tcW w:w="1166"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收到其他与投资活动有关的现金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10,625,086.65</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投资活动现金流入小计</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17,574,705.80</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70,107,835.62</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购建固定资产、无形资产和其他长期资产支付的现金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126,592,373.21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224,034,059.07</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投资支付的现金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69,723,000.00</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取得子公司及其他营业单位支付的现金净额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rFonts w:hint="eastAsia"/>
                <w:color w:val="000000"/>
              </w:rPr>
              <w:t>559,816,869.00</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597370">
            <w:pPr>
              <w:jc w:val="right"/>
            </w:pP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支付其他与投资活动有关的现金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center"/>
          </w:tcPr>
          <w:p w:rsidR="00597370" w:rsidRDefault="003C2EEE">
            <w:pPr>
              <w:jc w:val="right"/>
            </w:pPr>
            <w:r>
              <w:rPr>
                <w:color w:val="000000"/>
              </w:rPr>
              <w:t>607,435,281.83</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6,000,000.00</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投资活动现金流出小计</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color w:val="000000"/>
              </w:rPr>
              <w:t>1,293,844,524.04</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299,757,059.07</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投资活动产生的现金流量净额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-1,276,269,818.24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-229,649,223.45</w:t>
            </w:r>
          </w:p>
        </w:tc>
      </w:tr>
      <w:tr w:rsidR="00597370">
        <w:sdt>
          <w:sdtPr>
            <w:rPr>
              <w:color w:val="000000" w:themeColor="text1"/>
            </w:rPr>
            <w:tag w:val="_PLD_7d68e34216d04af0934267b3078d3c35"/>
            <w:id w:val="2044170198"/>
          </w:sdtPr>
          <w:sdtEndPr/>
          <w:sdtContent>
            <w:tc>
              <w:tcPr>
                <w:tcW w:w="5000" w:type="pct"/>
                <w:gridSpan w:val="5"/>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三、筹资活动产生的现金流量：</w:t>
                </w:r>
              </w:p>
            </w:tc>
          </w:sdtContent>
        </w:sdt>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吸收投资收到的现金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tcPr>
          <w:p w:rsidR="00597370" w:rsidRDefault="003C2EEE">
            <w:pPr>
              <w:jc w:val="right"/>
            </w:pPr>
            <w:r>
              <w:rPr>
                <w:rFonts w:hint="eastAsia"/>
                <w:color w:val="000000"/>
              </w:rPr>
              <w:t xml:space="preserve">   </w:t>
            </w:r>
          </w:p>
        </w:tc>
        <w:tc>
          <w:tcPr>
            <w:tcW w:w="1166" w:type="pct"/>
            <w:tcBorders>
              <w:top w:val="outset" w:sz="4" w:space="0" w:color="auto"/>
              <w:left w:val="outset" w:sz="4" w:space="0" w:color="auto"/>
              <w:bottom w:val="outset" w:sz="4" w:space="0" w:color="auto"/>
              <w:right w:val="outset" w:sz="4" w:space="0" w:color="auto"/>
            </w:tcBorders>
          </w:tcPr>
          <w:p w:rsidR="00597370" w:rsidRDefault="00597370">
            <w:pPr>
              <w:jc w:val="right"/>
            </w:pP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取得借款收到的现金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770,881,376.60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372,637,468.50</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收到其他与筹资活动有关的现金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26,015,038.07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11,679,151.12</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筹资活动现金流入小计</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796,896,414.67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tabs>
                <w:tab w:val="center" w:pos="989"/>
                <w:tab w:val="right" w:pos="1979"/>
              </w:tabs>
              <w:jc w:val="right"/>
            </w:pPr>
            <w:r>
              <w:t>384,316,619.62</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偿还债务支付的现金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181,334,446.25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14,000,000.00</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lastRenderedPageBreak/>
              <w:t>分配股利、利润或偿付利息支付的现金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44,048,161.54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64,513,182.42</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支付其他与筹资活动有关的现金</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2,698,883.88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1,346,208.46</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筹资活动现金流出小计</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228,081,491.67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79,859,390.88</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筹资活动产生的现金流量净额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568,814,923.00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304,457,228.74</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四、汇率变动对现金及现金等价物的影响</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2,593,537.05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1,943,076.86</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五、现金及现金等价物净增加额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-899,550,890.75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44,942,878.40</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color w:val="000000" w:themeColor="text1"/>
              </w:rPr>
              <w:t>加：期初现金及现金等价物余额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1,191,040,237.98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873,740,754.49</w:t>
            </w:r>
          </w:p>
        </w:tc>
      </w:tr>
      <w:tr w:rsidR="00597370">
        <w:trPr>
          <w:gridAfter w:val="1"/>
          <w:wAfter w:w="14" w:type="pct"/>
        </w:trPr>
        <w:tc>
          <w:tcPr>
            <w:tcW w:w="1717" w:type="pct"/>
            <w:tcBorders>
              <w:top w:val="outset" w:sz="4" w:space="0" w:color="auto"/>
              <w:left w:val="outset" w:sz="4" w:space="0" w:color="auto"/>
              <w:bottom w:val="outset" w:sz="4" w:space="0" w:color="auto"/>
              <w:right w:val="outset" w:sz="4" w:space="0" w:color="auto"/>
            </w:tcBorders>
          </w:tcPr>
          <w:p w:rsidR="00597370" w:rsidRDefault="003C2EEE">
            <w:pPr>
              <w:rPr>
                <w:color w:val="000000" w:themeColor="text1"/>
              </w:rPr>
            </w:pPr>
            <w:r>
              <w:rPr>
                <w:rFonts w:hint="eastAsia"/>
                <w:b/>
                <w:color w:val="000000" w:themeColor="text1"/>
              </w:rPr>
              <w:t>六、期末现金及现金等价物余额</w:t>
            </w:r>
          </w:p>
        </w:tc>
        <w:tc>
          <w:tcPr>
            <w:tcW w:w="721" w:type="pct"/>
            <w:tcBorders>
              <w:top w:val="outset" w:sz="4" w:space="0" w:color="auto"/>
              <w:left w:val="outset" w:sz="4" w:space="0" w:color="auto"/>
              <w:bottom w:val="outset" w:sz="4" w:space="0" w:color="auto"/>
              <w:right w:val="outset" w:sz="4" w:space="0" w:color="auto"/>
            </w:tcBorders>
          </w:tcPr>
          <w:p w:rsidR="00597370" w:rsidRDefault="00597370">
            <w:pPr>
              <w:pStyle w:val="Style106"/>
            </w:pPr>
          </w:p>
        </w:tc>
        <w:tc>
          <w:tcPr>
            <w:tcW w:w="1382"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rPr>
                <w:rFonts w:hint="eastAsia"/>
                <w:color w:val="000000"/>
              </w:rPr>
              <w:t xml:space="preserve"> 291,489,347.23 </w:t>
            </w:r>
          </w:p>
        </w:tc>
        <w:tc>
          <w:tcPr>
            <w:tcW w:w="1166" w:type="pct"/>
            <w:tcBorders>
              <w:top w:val="outset" w:sz="4" w:space="0" w:color="auto"/>
              <w:left w:val="outset" w:sz="4" w:space="0" w:color="auto"/>
              <w:bottom w:val="outset" w:sz="4" w:space="0" w:color="auto"/>
              <w:right w:val="outset" w:sz="4" w:space="0" w:color="auto"/>
            </w:tcBorders>
            <w:vAlign w:val="bottom"/>
          </w:tcPr>
          <w:p w:rsidR="00597370" w:rsidRDefault="003C2EEE">
            <w:pPr>
              <w:jc w:val="right"/>
            </w:pPr>
            <w:r>
              <w:t>918,683,632.89</w:t>
            </w:r>
          </w:p>
        </w:tc>
      </w:tr>
    </w:tbl>
    <w:p w:rsidR="00597370" w:rsidRDefault="003C2EEE">
      <w:pPr>
        <w:snapToGrid w:val="0"/>
        <w:spacing w:line="240" w:lineRule="atLeast"/>
        <w:ind w:rightChars="-73" w:right="-153"/>
        <w:rPr>
          <w:b/>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b872f4b10a12453987b2d73dfe2a5ff9"/>
          <w:id w:val="1604450612"/>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29443dd8858043c68f8217b05d1e3346"/>
          <w:id w:val="-1603951995"/>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 xml:space="preserve">      会计机构负责人</w:t>
      </w:r>
      <w:r>
        <w:rPr>
          <w:rFonts w:hint="eastAsia"/>
          <w:color w:val="000000" w:themeColor="text1"/>
        </w:rPr>
        <w:t>：</w:t>
      </w:r>
      <w:sdt>
        <w:sdtPr>
          <w:rPr>
            <w:rFonts w:hint="eastAsia"/>
            <w:color w:val="000000" w:themeColor="text1"/>
          </w:rPr>
          <w:alias w:val="会计机构负责人姓名"/>
          <w:tag w:val="_GBC_952065710c0f41709539d877935c1903"/>
          <w:id w:val="726270965"/>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597370" w:rsidRDefault="00597370">
      <w:pPr>
        <w:rPr>
          <w:b/>
          <w:color w:val="000000" w:themeColor="text1"/>
        </w:rPr>
      </w:pPr>
    </w:p>
    <w:p w:rsidR="00597370" w:rsidRDefault="00597370">
      <w:pPr>
        <w:rPr>
          <w:color w:val="000000" w:themeColor="text1"/>
        </w:rPr>
        <w:sectPr w:rsidR="00597370">
          <w:pgSz w:w="11906" w:h="16838"/>
          <w:pgMar w:top="1525" w:right="1276" w:bottom="1440" w:left="1797" w:header="851" w:footer="992" w:gutter="0"/>
          <w:cols w:space="425"/>
          <w:docGrid w:linePitch="312"/>
        </w:sectPr>
      </w:pPr>
      <w:bookmarkStart w:id="118" w:name="_Hlk10211660"/>
      <w:bookmarkEnd w:id="117"/>
      <w:bookmarkEnd w:id="118"/>
    </w:p>
    <w:p w:rsidR="00597370" w:rsidRDefault="003C2EEE">
      <w:pPr>
        <w:pStyle w:val="Style109"/>
        <w:jc w:val="center"/>
        <w:rPr>
          <w:rFonts w:ascii="宋体" w:hAnsi="宋体"/>
          <w:color w:val="000000" w:themeColor="text1"/>
        </w:rPr>
      </w:pPr>
      <w:bookmarkStart w:id="119" w:name="_Hlk10211858"/>
      <w:r>
        <w:rPr>
          <w:rFonts w:ascii="宋体" w:hAnsi="宋体"/>
          <w:color w:val="000000" w:themeColor="text1"/>
        </w:rPr>
        <w:lastRenderedPageBreak/>
        <w:t>合并</w:t>
      </w:r>
      <w:r>
        <w:rPr>
          <w:rFonts w:ascii="宋体" w:hAnsi="宋体" w:hint="eastAsia"/>
          <w:color w:val="000000" w:themeColor="text1"/>
        </w:rPr>
        <w:t>所有者权益变动表</w:t>
      </w:r>
    </w:p>
    <w:p w:rsidR="00597370" w:rsidRDefault="003C2EEE">
      <w:pPr>
        <w:tabs>
          <w:tab w:val="left" w:pos="10080"/>
        </w:tabs>
        <w:snapToGrid w:val="0"/>
        <w:spacing w:line="240" w:lineRule="atLeast"/>
        <w:ind w:rightChars="12" w:right="25"/>
        <w:jc w:val="center"/>
        <w:rPr>
          <w:color w:val="000000" w:themeColor="text1"/>
        </w:rPr>
      </w:pPr>
      <w:r>
        <w:rPr>
          <w:color w:val="000000" w:themeColor="text1"/>
        </w:rPr>
        <w:t>2024年</w:t>
      </w:r>
      <w:r>
        <w:rPr>
          <w:rFonts w:hint="eastAsia"/>
          <w:color w:val="000000" w:themeColor="text1"/>
        </w:rPr>
        <w:t>1—6月</w:t>
      </w:r>
    </w:p>
    <w:p w:rsidR="00597370" w:rsidRDefault="003C2EEE">
      <w:pPr>
        <w:tabs>
          <w:tab w:val="left" w:pos="10080"/>
        </w:tabs>
        <w:snapToGrid w:val="0"/>
        <w:spacing w:line="240" w:lineRule="atLeast"/>
        <w:jc w:val="right"/>
        <w:rPr>
          <w:color w:val="000000" w:themeColor="text1"/>
        </w:rPr>
      </w:pPr>
      <w:r>
        <w:rPr>
          <w:color w:val="000000" w:themeColor="text1"/>
        </w:rPr>
        <w:t>单位：</w:t>
      </w:r>
      <w:sdt>
        <w:sdtPr>
          <w:rPr>
            <w:color w:val="000000" w:themeColor="text1"/>
          </w:rPr>
          <w:alias w:val="单位：合并股东权益调节表"/>
          <w:tag w:val="_GBC_57faea4e453e49ad93821b7dd6ce8bc4"/>
          <w:id w:val="3192377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sdt>
        <w:sdtPr>
          <w:rPr>
            <w:color w:val="000000" w:themeColor="text1"/>
          </w:rPr>
          <w:alias w:val="币种：合并股东权益调节表"/>
          <w:tag w:val="_GBC_cef77704267643d794145c73763360e5"/>
          <w:id w:val="6708460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798"/>
        <w:gridCol w:w="1281"/>
        <w:gridCol w:w="413"/>
        <w:gridCol w:w="416"/>
        <w:gridCol w:w="416"/>
        <w:gridCol w:w="832"/>
        <w:gridCol w:w="970"/>
        <w:gridCol w:w="832"/>
        <w:gridCol w:w="970"/>
        <w:gridCol w:w="1248"/>
        <w:gridCol w:w="555"/>
        <w:gridCol w:w="1250"/>
        <w:gridCol w:w="552"/>
        <w:gridCol w:w="1109"/>
        <w:gridCol w:w="835"/>
        <w:gridCol w:w="1386"/>
      </w:tblGrid>
      <w:tr w:rsidR="00597370">
        <w:trPr>
          <w:trHeight w:val="397"/>
          <w:jc w:val="center"/>
        </w:trPr>
        <w:tc>
          <w:tcPr>
            <w:tcW w:w="288" w:type="pct"/>
            <w:vMerge w:val="restart"/>
            <w:vAlign w:val="center"/>
          </w:tcPr>
          <w:sdt>
            <w:sdtPr>
              <w:rPr>
                <w:rFonts w:hint="eastAsia"/>
                <w:color w:val="000000" w:themeColor="text1"/>
                <w:sz w:val="18"/>
                <w:szCs w:val="18"/>
              </w:rPr>
              <w:tag w:val="_PLD_5bd68ed5796041328d1a003c1362ceaf"/>
              <w:id w:val="1186871950"/>
            </w:sdtPr>
            <w:sdtEndPr/>
            <w:sdtContent>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项目</w:t>
                </w:r>
              </w:p>
            </w:sdtContent>
          </w:sdt>
        </w:tc>
        <w:tc>
          <w:tcPr>
            <w:tcW w:w="4712" w:type="pct"/>
            <w:gridSpan w:val="15"/>
            <w:vAlign w:val="center"/>
          </w:tcPr>
          <w:p w:rsidR="00597370" w:rsidRDefault="006840ED">
            <w:pPr>
              <w:snapToGrid w:val="0"/>
              <w:spacing w:line="240" w:lineRule="atLeast"/>
              <w:ind w:rightChars="-759" w:right="-1594"/>
              <w:jc w:val="center"/>
              <w:rPr>
                <w:color w:val="000000" w:themeColor="text1"/>
              </w:rPr>
            </w:pPr>
            <w:sdt>
              <w:sdtPr>
                <w:rPr>
                  <w:color w:val="000000" w:themeColor="text1"/>
                </w:rPr>
                <w:tag w:val="_PLD_70c71cd0427542b1b96a0fa943173d3d"/>
                <w:id w:val="-1179573316"/>
              </w:sdtPr>
              <w:sdtEndPr/>
              <w:sdtContent>
                <w:r w:rsidR="003C2EEE">
                  <w:rPr>
                    <w:rFonts w:hint="eastAsia"/>
                    <w:color w:val="000000" w:themeColor="text1"/>
                    <w:sz w:val="18"/>
                    <w:szCs w:val="18"/>
                  </w:rPr>
                  <w:t>2024年半年度</w:t>
                </w:r>
              </w:sdtContent>
            </w:sdt>
          </w:p>
        </w:tc>
      </w:tr>
      <w:tr w:rsidR="00597370">
        <w:trPr>
          <w:trHeight w:val="397"/>
          <w:jc w:val="center"/>
        </w:trPr>
        <w:tc>
          <w:tcPr>
            <w:tcW w:w="288" w:type="pct"/>
            <w:vMerge/>
          </w:tcPr>
          <w:p w:rsidR="00597370" w:rsidRDefault="00597370">
            <w:pPr>
              <w:snapToGrid w:val="0"/>
              <w:spacing w:line="240" w:lineRule="atLeast"/>
              <w:ind w:rightChars="-759" w:right="-1594"/>
              <w:rPr>
                <w:color w:val="000000" w:themeColor="text1"/>
                <w:sz w:val="18"/>
                <w:szCs w:val="18"/>
              </w:rPr>
            </w:pPr>
          </w:p>
        </w:tc>
        <w:sdt>
          <w:sdtPr>
            <w:rPr>
              <w:color w:val="000000" w:themeColor="text1"/>
            </w:rPr>
            <w:tag w:val="_PLD_e146ec74496c4c03a714dcef40faa972"/>
            <w:id w:val="882139620"/>
          </w:sdtPr>
          <w:sdtEndPr/>
          <w:sdtContent>
            <w:tc>
              <w:tcPr>
                <w:tcW w:w="3911" w:type="pct"/>
                <w:gridSpan w:val="13"/>
                <w:vAlign w:val="center"/>
              </w:tcPr>
              <w:p w:rsidR="00597370" w:rsidRDefault="003C2EEE">
                <w:pPr>
                  <w:jc w:val="center"/>
                  <w:rPr>
                    <w:color w:val="000000" w:themeColor="text1"/>
                  </w:rPr>
                </w:pPr>
                <w:r>
                  <w:rPr>
                    <w:color w:val="000000" w:themeColor="text1"/>
                    <w:sz w:val="18"/>
                    <w:szCs w:val="18"/>
                  </w:rPr>
                  <w:t>归属于母公司所有者权益</w:t>
                </w:r>
              </w:p>
            </w:tc>
          </w:sdtContent>
        </w:sdt>
        <w:sdt>
          <w:sdtPr>
            <w:rPr>
              <w:color w:val="000000" w:themeColor="text1"/>
            </w:rPr>
            <w:tag w:val="_PLD_b1ca85c50c1341e59b4b412e92d87f2f"/>
            <w:id w:val="-789817435"/>
          </w:sdtPr>
          <w:sdtEndPr/>
          <w:sdtContent>
            <w:tc>
              <w:tcPr>
                <w:tcW w:w="301" w:type="pct"/>
                <w:vMerge w:val="restart"/>
                <w:vAlign w:val="center"/>
              </w:tcPr>
              <w:p w:rsidR="00597370" w:rsidRDefault="003C2EEE">
                <w:pPr>
                  <w:jc w:val="center"/>
                  <w:rPr>
                    <w:color w:val="000000" w:themeColor="text1"/>
                    <w:sz w:val="18"/>
                    <w:szCs w:val="18"/>
                  </w:rPr>
                </w:pPr>
                <w:r>
                  <w:rPr>
                    <w:color w:val="000000" w:themeColor="text1"/>
                    <w:sz w:val="18"/>
                    <w:szCs w:val="18"/>
                  </w:rPr>
                  <w:t>少数股东权益</w:t>
                </w:r>
              </w:p>
            </w:tc>
          </w:sdtContent>
        </w:sdt>
        <w:sdt>
          <w:sdtPr>
            <w:rPr>
              <w:color w:val="000000" w:themeColor="text1"/>
            </w:rPr>
            <w:tag w:val="_PLD_0e252e0d00f04386b93d4e3064ba423d"/>
            <w:id w:val="-1317416948"/>
          </w:sdtPr>
          <w:sdtEndPr/>
          <w:sdtContent>
            <w:tc>
              <w:tcPr>
                <w:tcW w:w="500" w:type="pct"/>
                <w:vMerge w:val="restart"/>
                <w:vAlign w:val="center"/>
              </w:tcPr>
              <w:p w:rsidR="00597370" w:rsidRDefault="003C2EEE">
                <w:pPr>
                  <w:jc w:val="center"/>
                  <w:rPr>
                    <w:color w:val="000000" w:themeColor="text1"/>
                    <w:sz w:val="18"/>
                    <w:szCs w:val="18"/>
                  </w:rPr>
                </w:pPr>
                <w:r>
                  <w:rPr>
                    <w:color w:val="000000" w:themeColor="text1"/>
                    <w:sz w:val="18"/>
                    <w:szCs w:val="18"/>
                  </w:rPr>
                  <w:t>所有者权益合计</w:t>
                </w:r>
              </w:p>
            </w:tc>
          </w:sdtContent>
        </w:sdt>
      </w:tr>
      <w:tr w:rsidR="00597370">
        <w:trPr>
          <w:trHeight w:val="397"/>
          <w:jc w:val="center"/>
        </w:trPr>
        <w:tc>
          <w:tcPr>
            <w:tcW w:w="288" w:type="pct"/>
            <w:vMerge/>
          </w:tcPr>
          <w:p w:rsidR="00597370" w:rsidRDefault="00597370">
            <w:pPr>
              <w:snapToGrid w:val="0"/>
              <w:spacing w:line="240" w:lineRule="atLeast"/>
              <w:ind w:rightChars="-759" w:right="-1594"/>
              <w:rPr>
                <w:color w:val="000000" w:themeColor="text1"/>
                <w:sz w:val="18"/>
                <w:szCs w:val="18"/>
              </w:rPr>
            </w:pPr>
          </w:p>
        </w:tc>
        <w:sdt>
          <w:sdtPr>
            <w:rPr>
              <w:color w:val="000000" w:themeColor="text1"/>
            </w:rPr>
            <w:tag w:val="_PLD_1605afb5a60946a9ba86cca783d492d3"/>
            <w:id w:val="-744020602"/>
          </w:sdtPr>
          <w:sdtEndPr/>
          <w:sdtContent>
            <w:tc>
              <w:tcPr>
                <w:tcW w:w="462"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实收资本</w:t>
                </w:r>
                <w:r>
                  <w:rPr>
                    <w:color w:val="000000" w:themeColor="text1"/>
                    <w:sz w:val="18"/>
                    <w:szCs w:val="18"/>
                  </w:rPr>
                  <w:t xml:space="preserve"> (或股本)</w:t>
                </w:r>
              </w:p>
            </w:tc>
          </w:sdtContent>
        </w:sdt>
        <w:sdt>
          <w:sdtPr>
            <w:rPr>
              <w:color w:val="000000" w:themeColor="text1"/>
            </w:rPr>
            <w:tag w:val="_PLD_78f5e518a65d422c99d27d23e96afb9e"/>
            <w:id w:val="-898977829"/>
          </w:sdtPr>
          <w:sdtEndPr/>
          <w:sdtContent>
            <w:tc>
              <w:tcPr>
                <w:tcW w:w="449" w:type="pct"/>
                <w:gridSpan w:val="3"/>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其他权益工具</w:t>
                </w:r>
              </w:p>
            </w:tc>
          </w:sdtContent>
        </w:sdt>
        <w:sdt>
          <w:sdtPr>
            <w:rPr>
              <w:color w:val="000000" w:themeColor="text1"/>
            </w:rPr>
            <w:tag w:val="_PLD_f67d05ac9f6f4daaafdf90084911dcee"/>
            <w:id w:val="-1055618514"/>
          </w:sdtPr>
          <w:sdtEndPr/>
          <w:sdtContent>
            <w:tc>
              <w:tcPr>
                <w:tcW w:w="30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资本公积</w:t>
                </w:r>
              </w:p>
            </w:tc>
          </w:sdtContent>
        </w:sdt>
        <w:sdt>
          <w:sdtPr>
            <w:rPr>
              <w:color w:val="000000" w:themeColor="text1"/>
            </w:rPr>
            <w:tag w:val="_PLD_21df11f52b3443acacf7dd8421b5cc67"/>
            <w:id w:val="1535544454"/>
          </w:sdtPr>
          <w:sdtEndPr/>
          <w:sdtContent>
            <w:tc>
              <w:tcPr>
                <w:tcW w:w="35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减：库存股</w:t>
                </w:r>
              </w:p>
            </w:tc>
          </w:sdtContent>
        </w:sdt>
        <w:sdt>
          <w:sdtPr>
            <w:rPr>
              <w:color w:val="000000" w:themeColor="text1"/>
            </w:rPr>
            <w:tag w:val="_PLD_bdc12fd277ea4fbe9c90f9480d9ecddb"/>
            <w:id w:val="1241143005"/>
          </w:sdtPr>
          <w:sdtEndPr/>
          <w:sdtContent>
            <w:tc>
              <w:tcPr>
                <w:tcW w:w="30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其他综合收益</w:t>
                </w:r>
              </w:p>
            </w:tc>
          </w:sdtContent>
        </w:sdt>
        <w:sdt>
          <w:sdtPr>
            <w:rPr>
              <w:color w:val="000000" w:themeColor="text1"/>
            </w:rPr>
            <w:tag w:val="_PLD_b4aa95f4be904a02958b77b5542bb78d"/>
            <w:id w:val="-1455551888"/>
          </w:sdtPr>
          <w:sdtEndPr/>
          <w:sdtContent>
            <w:tc>
              <w:tcPr>
                <w:tcW w:w="35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专项储备</w:t>
                </w:r>
              </w:p>
            </w:tc>
          </w:sdtContent>
        </w:sdt>
        <w:sdt>
          <w:sdtPr>
            <w:rPr>
              <w:color w:val="000000" w:themeColor="text1"/>
            </w:rPr>
            <w:tag w:val="_PLD_1ee8f47ee38e4000af64e781a1a0e729"/>
            <w:id w:val="-1262209883"/>
          </w:sdtPr>
          <w:sdtEndPr/>
          <w:sdtContent>
            <w:tc>
              <w:tcPr>
                <w:tcW w:w="45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盈余公积</w:t>
                </w:r>
              </w:p>
            </w:tc>
          </w:sdtContent>
        </w:sdt>
        <w:sdt>
          <w:sdtPr>
            <w:rPr>
              <w:color w:val="000000" w:themeColor="text1"/>
            </w:rPr>
            <w:tag w:val="_PLD_b09258af0aa4494b8e88e711ca2dd7b8"/>
            <w:id w:val="-51546179"/>
          </w:sdtPr>
          <w:sdtEndPr/>
          <w:sdtContent>
            <w:tc>
              <w:tcPr>
                <w:tcW w:w="20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一般风险准备</w:t>
                </w:r>
              </w:p>
            </w:tc>
          </w:sdtContent>
        </w:sdt>
        <w:sdt>
          <w:sdtPr>
            <w:rPr>
              <w:color w:val="000000" w:themeColor="text1"/>
            </w:rPr>
            <w:tag w:val="_PLD_f20054bead0a491aafe7bb5a5952f48f"/>
            <w:id w:val="-701785967"/>
          </w:sdtPr>
          <w:sdtEndPr/>
          <w:sdtContent>
            <w:tc>
              <w:tcPr>
                <w:tcW w:w="451"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未分配利润</w:t>
                </w:r>
              </w:p>
            </w:tc>
          </w:sdtContent>
        </w:sdt>
        <w:tc>
          <w:tcPr>
            <w:tcW w:w="199" w:type="pct"/>
            <w:vMerge w:val="restart"/>
            <w:vAlign w:val="center"/>
          </w:tcPr>
          <w:sdt>
            <w:sdtPr>
              <w:rPr>
                <w:rFonts w:hint="eastAsia"/>
                <w:color w:val="000000" w:themeColor="text1"/>
                <w:sz w:val="18"/>
                <w:szCs w:val="18"/>
              </w:rPr>
              <w:tag w:val="_PLD_ee763dfa69fd4fa3bec927cefa83eadc"/>
              <w:id w:val="1358705750"/>
            </w:sdtPr>
            <w:sdtEndPr/>
            <w:sdtContent>
              <w:p w:rsidR="00597370" w:rsidRDefault="003C2EEE">
                <w:pPr>
                  <w:jc w:val="center"/>
                  <w:rPr>
                    <w:color w:val="000000" w:themeColor="text1"/>
                    <w:sz w:val="18"/>
                    <w:szCs w:val="18"/>
                  </w:rPr>
                </w:pPr>
                <w:r>
                  <w:rPr>
                    <w:rFonts w:hint="eastAsia"/>
                    <w:color w:val="000000" w:themeColor="text1"/>
                    <w:sz w:val="18"/>
                    <w:szCs w:val="18"/>
                  </w:rPr>
                  <w:t>其他</w:t>
                </w:r>
              </w:p>
            </w:sdtContent>
          </w:sdt>
        </w:tc>
        <w:tc>
          <w:tcPr>
            <w:tcW w:w="400" w:type="pct"/>
            <w:vMerge w:val="restart"/>
            <w:vAlign w:val="center"/>
          </w:tcPr>
          <w:sdt>
            <w:sdtPr>
              <w:rPr>
                <w:rFonts w:hint="eastAsia"/>
                <w:color w:val="000000" w:themeColor="text1"/>
                <w:sz w:val="18"/>
                <w:szCs w:val="18"/>
              </w:rPr>
              <w:tag w:val="_PLD_97c92cf2be1e4f36880a16a2c16704b4"/>
              <w:id w:val="364338822"/>
            </w:sdtPr>
            <w:sdtEndPr/>
            <w:sdtContent>
              <w:p w:rsidR="00597370" w:rsidRDefault="003C2EEE">
                <w:pPr>
                  <w:jc w:val="center"/>
                  <w:rPr>
                    <w:color w:val="000000" w:themeColor="text1"/>
                    <w:sz w:val="18"/>
                    <w:szCs w:val="18"/>
                  </w:rPr>
                </w:pPr>
                <w:r>
                  <w:rPr>
                    <w:rFonts w:hint="eastAsia"/>
                    <w:color w:val="000000" w:themeColor="text1"/>
                    <w:sz w:val="18"/>
                    <w:szCs w:val="18"/>
                  </w:rPr>
                  <w:t>小计</w:t>
                </w:r>
              </w:p>
            </w:sdtContent>
          </w:sdt>
        </w:tc>
        <w:tc>
          <w:tcPr>
            <w:tcW w:w="301" w:type="pct"/>
            <w:vMerge/>
          </w:tcPr>
          <w:p w:rsidR="00597370" w:rsidRDefault="00597370">
            <w:pPr>
              <w:jc w:val="center"/>
              <w:rPr>
                <w:color w:val="000000" w:themeColor="text1"/>
                <w:sz w:val="18"/>
                <w:szCs w:val="18"/>
              </w:rPr>
            </w:pPr>
          </w:p>
        </w:tc>
        <w:tc>
          <w:tcPr>
            <w:tcW w:w="500" w:type="pct"/>
            <w:vMerge/>
          </w:tcPr>
          <w:p w:rsidR="00597370" w:rsidRDefault="00597370">
            <w:pPr>
              <w:jc w:val="center"/>
              <w:rPr>
                <w:color w:val="000000" w:themeColor="text1"/>
                <w:sz w:val="18"/>
                <w:szCs w:val="18"/>
              </w:rPr>
            </w:pPr>
          </w:p>
        </w:tc>
      </w:tr>
      <w:tr w:rsidR="00597370">
        <w:trPr>
          <w:trHeight w:val="397"/>
          <w:jc w:val="center"/>
        </w:trPr>
        <w:tc>
          <w:tcPr>
            <w:tcW w:w="288" w:type="pct"/>
            <w:vMerge/>
          </w:tcPr>
          <w:p w:rsidR="00597370" w:rsidRDefault="00597370">
            <w:pPr>
              <w:snapToGrid w:val="0"/>
              <w:spacing w:line="240" w:lineRule="atLeast"/>
              <w:ind w:rightChars="-759" w:right="-1594"/>
              <w:rPr>
                <w:color w:val="000000" w:themeColor="text1"/>
                <w:sz w:val="18"/>
                <w:szCs w:val="18"/>
              </w:rPr>
            </w:pPr>
          </w:p>
        </w:tc>
        <w:tc>
          <w:tcPr>
            <w:tcW w:w="462" w:type="pct"/>
            <w:vMerge/>
          </w:tcPr>
          <w:p w:rsidR="00597370" w:rsidRDefault="00597370">
            <w:pPr>
              <w:snapToGrid w:val="0"/>
              <w:spacing w:line="240" w:lineRule="atLeast"/>
              <w:jc w:val="center"/>
              <w:rPr>
                <w:color w:val="000000" w:themeColor="text1"/>
                <w:sz w:val="18"/>
                <w:szCs w:val="18"/>
              </w:rPr>
            </w:pPr>
          </w:p>
        </w:tc>
        <w:sdt>
          <w:sdtPr>
            <w:rPr>
              <w:color w:val="000000" w:themeColor="text1"/>
            </w:rPr>
            <w:tag w:val="_PLD_7b6493af25ff4e3986120f711cb3be4e"/>
            <w:id w:val="-1740710045"/>
          </w:sdtPr>
          <w:sdtEndPr/>
          <w:sdtContent>
            <w:tc>
              <w:tcPr>
                <w:tcW w:w="149" w:type="pc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优先股</w:t>
                </w:r>
              </w:p>
            </w:tc>
          </w:sdtContent>
        </w:sdt>
        <w:sdt>
          <w:sdtPr>
            <w:rPr>
              <w:color w:val="000000" w:themeColor="text1"/>
            </w:rPr>
            <w:tag w:val="_PLD_446c35c8857c4ad0bb648db82e104141"/>
            <w:id w:val="1203362784"/>
          </w:sdtPr>
          <w:sdtEndPr/>
          <w:sdtContent>
            <w:tc>
              <w:tcPr>
                <w:tcW w:w="150" w:type="pc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永续债</w:t>
                </w:r>
              </w:p>
            </w:tc>
          </w:sdtContent>
        </w:sdt>
        <w:sdt>
          <w:sdtPr>
            <w:rPr>
              <w:color w:val="000000" w:themeColor="text1"/>
            </w:rPr>
            <w:tag w:val="_PLD_e8048d05ab294ec8a2a849ca1f70a7c9"/>
            <w:id w:val="-1956015494"/>
          </w:sdtPr>
          <w:sdtEndPr/>
          <w:sdtContent>
            <w:tc>
              <w:tcPr>
                <w:tcW w:w="150" w:type="pc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其他</w:t>
                </w:r>
              </w:p>
            </w:tc>
          </w:sdtContent>
        </w:sdt>
        <w:tc>
          <w:tcPr>
            <w:tcW w:w="300" w:type="pct"/>
            <w:vMerge/>
          </w:tcPr>
          <w:p w:rsidR="00597370" w:rsidRDefault="00597370">
            <w:pPr>
              <w:snapToGrid w:val="0"/>
              <w:spacing w:line="240" w:lineRule="atLeast"/>
              <w:jc w:val="center"/>
              <w:rPr>
                <w:color w:val="000000" w:themeColor="text1"/>
                <w:sz w:val="18"/>
                <w:szCs w:val="18"/>
              </w:rPr>
            </w:pPr>
          </w:p>
        </w:tc>
        <w:tc>
          <w:tcPr>
            <w:tcW w:w="350" w:type="pct"/>
            <w:vMerge/>
          </w:tcPr>
          <w:p w:rsidR="00597370" w:rsidRDefault="00597370">
            <w:pPr>
              <w:snapToGrid w:val="0"/>
              <w:spacing w:line="240" w:lineRule="atLeast"/>
              <w:jc w:val="center"/>
              <w:rPr>
                <w:color w:val="000000" w:themeColor="text1"/>
                <w:sz w:val="18"/>
                <w:szCs w:val="18"/>
              </w:rPr>
            </w:pPr>
          </w:p>
        </w:tc>
        <w:tc>
          <w:tcPr>
            <w:tcW w:w="300" w:type="pct"/>
            <w:vMerge/>
          </w:tcPr>
          <w:p w:rsidR="00597370" w:rsidRDefault="00597370">
            <w:pPr>
              <w:snapToGrid w:val="0"/>
              <w:spacing w:line="240" w:lineRule="atLeast"/>
              <w:jc w:val="center"/>
              <w:rPr>
                <w:color w:val="000000" w:themeColor="text1"/>
                <w:sz w:val="18"/>
                <w:szCs w:val="18"/>
              </w:rPr>
            </w:pPr>
          </w:p>
        </w:tc>
        <w:tc>
          <w:tcPr>
            <w:tcW w:w="350" w:type="pct"/>
            <w:vMerge/>
          </w:tcPr>
          <w:p w:rsidR="00597370" w:rsidRDefault="00597370">
            <w:pPr>
              <w:snapToGrid w:val="0"/>
              <w:spacing w:line="240" w:lineRule="atLeast"/>
              <w:jc w:val="center"/>
              <w:rPr>
                <w:color w:val="000000" w:themeColor="text1"/>
                <w:sz w:val="18"/>
                <w:szCs w:val="18"/>
              </w:rPr>
            </w:pPr>
          </w:p>
        </w:tc>
        <w:tc>
          <w:tcPr>
            <w:tcW w:w="450" w:type="pct"/>
            <w:vMerge/>
          </w:tcPr>
          <w:p w:rsidR="00597370" w:rsidRDefault="00597370">
            <w:pPr>
              <w:snapToGrid w:val="0"/>
              <w:spacing w:line="240" w:lineRule="atLeast"/>
              <w:jc w:val="center"/>
              <w:rPr>
                <w:color w:val="000000" w:themeColor="text1"/>
                <w:sz w:val="18"/>
                <w:szCs w:val="18"/>
              </w:rPr>
            </w:pPr>
          </w:p>
        </w:tc>
        <w:tc>
          <w:tcPr>
            <w:tcW w:w="200" w:type="pct"/>
            <w:vMerge/>
          </w:tcPr>
          <w:p w:rsidR="00597370" w:rsidRDefault="00597370">
            <w:pPr>
              <w:snapToGrid w:val="0"/>
              <w:spacing w:line="240" w:lineRule="atLeast"/>
              <w:jc w:val="center"/>
              <w:rPr>
                <w:color w:val="000000" w:themeColor="text1"/>
                <w:sz w:val="18"/>
                <w:szCs w:val="18"/>
              </w:rPr>
            </w:pPr>
          </w:p>
        </w:tc>
        <w:tc>
          <w:tcPr>
            <w:tcW w:w="451" w:type="pct"/>
            <w:vMerge/>
          </w:tcPr>
          <w:p w:rsidR="00597370" w:rsidRDefault="00597370">
            <w:pPr>
              <w:snapToGrid w:val="0"/>
              <w:spacing w:line="240" w:lineRule="atLeast"/>
              <w:jc w:val="center"/>
              <w:rPr>
                <w:color w:val="000000" w:themeColor="text1"/>
                <w:sz w:val="18"/>
                <w:szCs w:val="18"/>
              </w:rPr>
            </w:pPr>
          </w:p>
        </w:tc>
        <w:tc>
          <w:tcPr>
            <w:tcW w:w="199" w:type="pct"/>
            <w:vMerge/>
          </w:tcPr>
          <w:p w:rsidR="00597370" w:rsidRDefault="00597370">
            <w:pPr>
              <w:jc w:val="center"/>
              <w:rPr>
                <w:color w:val="000000" w:themeColor="text1"/>
                <w:sz w:val="18"/>
                <w:szCs w:val="18"/>
              </w:rPr>
            </w:pPr>
          </w:p>
        </w:tc>
        <w:tc>
          <w:tcPr>
            <w:tcW w:w="400" w:type="pct"/>
            <w:vMerge/>
          </w:tcPr>
          <w:p w:rsidR="00597370" w:rsidRDefault="00597370">
            <w:pPr>
              <w:jc w:val="center"/>
              <w:rPr>
                <w:color w:val="000000" w:themeColor="text1"/>
                <w:sz w:val="18"/>
                <w:szCs w:val="18"/>
              </w:rPr>
            </w:pPr>
          </w:p>
        </w:tc>
        <w:tc>
          <w:tcPr>
            <w:tcW w:w="301" w:type="pct"/>
            <w:vMerge/>
          </w:tcPr>
          <w:p w:rsidR="00597370" w:rsidRDefault="00597370">
            <w:pPr>
              <w:jc w:val="center"/>
              <w:rPr>
                <w:color w:val="000000" w:themeColor="text1"/>
                <w:sz w:val="18"/>
                <w:szCs w:val="18"/>
              </w:rPr>
            </w:pPr>
          </w:p>
        </w:tc>
        <w:tc>
          <w:tcPr>
            <w:tcW w:w="500" w:type="pct"/>
            <w:vMerge/>
            <w:tcBorders>
              <w:bottom w:val="nil"/>
            </w:tcBorders>
          </w:tcPr>
          <w:p w:rsidR="00597370" w:rsidRDefault="00597370">
            <w:pPr>
              <w:jc w:val="center"/>
              <w:rPr>
                <w:color w:val="000000" w:themeColor="text1"/>
                <w:sz w:val="18"/>
                <w:szCs w:val="18"/>
              </w:rPr>
            </w:pPr>
          </w:p>
        </w:tc>
      </w:tr>
      <w:tr w:rsidR="00597370">
        <w:trPr>
          <w:trHeight w:val="397"/>
          <w:jc w:val="center"/>
        </w:trPr>
        <w:sdt>
          <w:sdtPr>
            <w:rPr>
              <w:color w:val="000000" w:themeColor="text1"/>
            </w:rPr>
            <w:tag w:val="_PLD_1f22f69e67ea4292afb08dec65f863c7"/>
            <w:id w:val="-1029256092"/>
          </w:sdtPr>
          <w:sdtEndPr/>
          <w:sdtContent>
            <w:tc>
              <w:tcPr>
                <w:tcW w:w="288" w:type="pct"/>
              </w:tcPr>
              <w:p w:rsidR="00597370" w:rsidRDefault="003C2EEE">
                <w:pPr>
                  <w:rPr>
                    <w:color w:val="000000" w:themeColor="text1"/>
                    <w:sz w:val="18"/>
                    <w:szCs w:val="18"/>
                  </w:rPr>
                </w:pPr>
                <w:r>
                  <w:rPr>
                    <w:color w:val="000000" w:themeColor="text1"/>
                    <w:sz w:val="18"/>
                    <w:szCs w:val="18"/>
                  </w:rPr>
                  <w:t>一、上年</w:t>
                </w:r>
                <w:r>
                  <w:rPr>
                    <w:rFonts w:hint="eastAsia"/>
                    <w:color w:val="000000" w:themeColor="text1"/>
                    <w:sz w:val="18"/>
                    <w:szCs w:val="18"/>
                  </w:rPr>
                  <w:t>期</w:t>
                </w:r>
                <w:r>
                  <w:rPr>
                    <w:color w:val="000000" w:themeColor="text1"/>
                    <w:sz w:val="18"/>
                    <w:szCs w:val="18"/>
                  </w:rPr>
                  <w:t>末余额</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333,167,407.00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975,698,666.95 </w:t>
            </w:r>
          </w:p>
        </w:tc>
        <w:tc>
          <w:tcPr>
            <w:tcW w:w="350" w:type="pct"/>
            <w:vAlign w:val="bottom"/>
          </w:tcPr>
          <w:p w:rsidR="00597370" w:rsidRDefault="003C2EEE">
            <w:pPr>
              <w:jc w:val="right"/>
              <w:rPr>
                <w:sz w:val="18"/>
                <w:szCs w:val="18"/>
              </w:rPr>
            </w:pPr>
            <w:r>
              <w:rPr>
                <w:rFonts w:hint="eastAsia"/>
                <w:color w:val="000000"/>
                <w:sz w:val="18"/>
                <w:szCs w:val="18"/>
              </w:rPr>
              <w:t xml:space="preserve"> 50,299,241.28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21,903,104.70 </w:t>
            </w:r>
          </w:p>
        </w:tc>
        <w:tc>
          <w:tcPr>
            <w:tcW w:w="450" w:type="pct"/>
            <w:vAlign w:val="bottom"/>
          </w:tcPr>
          <w:p w:rsidR="00597370" w:rsidRDefault="003C2EEE">
            <w:pPr>
              <w:jc w:val="right"/>
              <w:rPr>
                <w:sz w:val="18"/>
                <w:szCs w:val="18"/>
              </w:rPr>
            </w:pPr>
            <w:r>
              <w:rPr>
                <w:rFonts w:hint="eastAsia"/>
                <w:color w:val="000000"/>
                <w:sz w:val="18"/>
                <w:szCs w:val="18"/>
              </w:rPr>
              <w:t xml:space="preserve"> 118,088,672.71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992,249,846.86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2,390,808,456.94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2,390,808,456.94 </w:t>
            </w:r>
          </w:p>
        </w:tc>
      </w:tr>
      <w:tr w:rsidR="00597370">
        <w:trPr>
          <w:trHeight w:val="397"/>
          <w:jc w:val="center"/>
        </w:trPr>
        <w:sdt>
          <w:sdtPr>
            <w:rPr>
              <w:color w:val="000000" w:themeColor="text1"/>
            </w:rPr>
            <w:tag w:val="_PLD_8753148a28244d68bf92b2fbad32f9b8"/>
            <w:id w:val="2017736392"/>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加：</w:t>
                </w:r>
                <w:r>
                  <w:rPr>
                    <w:color w:val="000000" w:themeColor="text1"/>
                    <w:sz w:val="18"/>
                    <w:szCs w:val="18"/>
                  </w:rPr>
                  <w:t>会计政策变更</w:t>
                </w:r>
              </w:p>
            </w:tc>
          </w:sdtContent>
        </w:sdt>
        <w:tc>
          <w:tcPr>
            <w:tcW w:w="462" w:type="pct"/>
            <w:vAlign w:val="bottom"/>
          </w:tcPr>
          <w:p w:rsidR="00597370" w:rsidRDefault="00597370">
            <w:pPr>
              <w:jc w:val="right"/>
              <w:rPr>
                <w:sz w:val="18"/>
                <w:szCs w:val="18"/>
              </w:rPr>
            </w:pPr>
          </w:p>
        </w:tc>
        <w:tc>
          <w:tcPr>
            <w:tcW w:w="149" w:type="pct"/>
            <w:vAlign w:val="bottom"/>
          </w:tcPr>
          <w:p w:rsidR="00597370" w:rsidRDefault="00597370">
            <w:pPr>
              <w:jc w:val="right"/>
              <w:rPr>
                <w:sz w:val="18"/>
                <w:szCs w:val="18"/>
              </w:rPr>
            </w:pPr>
          </w:p>
        </w:tc>
        <w:tc>
          <w:tcPr>
            <w:tcW w:w="150" w:type="pct"/>
            <w:vAlign w:val="bottom"/>
          </w:tcPr>
          <w:p w:rsidR="00597370" w:rsidRDefault="00597370">
            <w:pPr>
              <w:jc w:val="right"/>
              <w:rPr>
                <w:sz w:val="18"/>
                <w:szCs w:val="18"/>
              </w:rPr>
            </w:pPr>
          </w:p>
        </w:tc>
        <w:tc>
          <w:tcPr>
            <w:tcW w:w="150" w:type="pct"/>
            <w:vAlign w:val="bottom"/>
          </w:tcPr>
          <w:p w:rsidR="00597370" w:rsidRDefault="00597370">
            <w:pPr>
              <w:jc w:val="right"/>
              <w:rPr>
                <w:sz w:val="18"/>
                <w:szCs w:val="18"/>
              </w:rPr>
            </w:pPr>
          </w:p>
        </w:tc>
        <w:tc>
          <w:tcPr>
            <w:tcW w:w="300" w:type="pct"/>
            <w:vAlign w:val="bottom"/>
          </w:tcPr>
          <w:p w:rsidR="00597370" w:rsidRDefault="00597370">
            <w:pPr>
              <w:jc w:val="right"/>
              <w:rPr>
                <w:sz w:val="18"/>
                <w:szCs w:val="18"/>
              </w:rPr>
            </w:pPr>
          </w:p>
        </w:tc>
        <w:tc>
          <w:tcPr>
            <w:tcW w:w="350" w:type="pct"/>
            <w:vAlign w:val="bottom"/>
          </w:tcPr>
          <w:p w:rsidR="00597370" w:rsidRDefault="00597370">
            <w:pPr>
              <w:jc w:val="right"/>
              <w:rPr>
                <w:sz w:val="18"/>
                <w:szCs w:val="18"/>
              </w:rPr>
            </w:pPr>
          </w:p>
        </w:tc>
        <w:tc>
          <w:tcPr>
            <w:tcW w:w="300" w:type="pct"/>
            <w:vAlign w:val="bottom"/>
          </w:tcPr>
          <w:p w:rsidR="00597370" w:rsidRDefault="00597370">
            <w:pPr>
              <w:jc w:val="right"/>
              <w:rPr>
                <w:sz w:val="18"/>
                <w:szCs w:val="18"/>
              </w:rPr>
            </w:pPr>
          </w:p>
        </w:tc>
        <w:tc>
          <w:tcPr>
            <w:tcW w:w="350" w:type="pct"/>
            <w:vAlign w:val="bottom"/>
          </w:tcPr>
          <w:p w:rsidR="00597370" w:rsidRDefault="00597370">
            <w:pPr>
              <w:jc w:val="right"/>
              <w:rPr>
                <w:sz w:val="18"/>
                <w:szCs w:val="18"/>
              </w:rPr>
            </w:pPr>
          </w:p>
        </w:tc>
        <w:tc>
          <w:tcPr>
            <w:tcW w:w="450" w:type="pct"/>
            <w:vAlign w:val="bottom"/>
          </w:tcPr>
          <w:p w:rsidR="00597370" w:rsidRDefault="00597370">
            <w:pPr>
              <w:jc w:val="right"/>
              <w:rPr>
                <w:sz w:val="18"/>
                <w:szCs w:val="18"/>
              </w:rPr>
            </w:pPr>
          </w:p>
        </w:tc>
        <w:tc>
          <w:tcPr>
            <w:tcW w:w="200" w:type="pct"/>
            <w:vAlign w:val="bottom"/>
          </w:tcPr>
          <w:p w:rsidR="00597370" w:rsidRDefault="00597370">
            <w:pPr>
              <w:jc w:val="right"/>
              <w:rPr>
                <w:sz w:val="18"/>
                <w:szCs w:val="18"/>
              </w:rPr>
            </w:pPr>
          </w:p>
        </w:tc>
        <w:tc>
          <w:tcPr>
            <w:tcW w:w="451" w:type="pct"/>
            <w:vAlign w:val="bottom"/>
          </w:tcPr>
          <w:p w:rsidR="00597370" w:rsidRDefault="00597370">
            <w:pPr>
              <w:jc w:val="right"/>
              <w:rPr>
                <w:sz w:val="18"/>
                <w:szCs w:val="18"/>
              </w:rPr>
            </w:pPr>
          </w:p>
        </w:tc>
        <w:tc>
          <w:tcPr>
            <w:tcW w:w="199" w:type="pct"/>
            <w:vAlign w:val="bottom"/>
          </w:tcPr>
          <w:p w:rsidR="00597370" w:rsidRDefault="00597370">
            <w:pPr>
              <w:jc w:val="right"/>
              <w:rPr>
                <w:sz w:val="18"/>
                <w:szCs w:val="18"/>
              </w:rPr>
            </w:pPr>
          </w:p>
        </w:tc>
        <w:tc>
          <w:tcPr>
            <w:tcW w:w="400" w:type="pct"/>
            <w:vAlign w:val="bottom"/>
          </w:tcPr>
          <w:p w:rsidR="00597370" w:rsidRDefault="00597370">
            <w:pPr>
              <w:jc w:val="right"/>
              <w:rPr>
                <w:sz w:val="18"/>
                <w:szCs w:val="18"/>
              </w:rPr>
            </w:pPr>
          </w:p>
        </w:tc>
        <w:tc>
          <w:tcPr>
            <w:tcW w:w="301" w:type="pct"/>
            <w:vAlign w:val="bottom"/>
          </w:tcPr>
          <w:p w:rsidR="00597370" w:rsidRDefault="00597370">
            <w:pPr>
              <w:jc w:val="right"/>
              <w:rPr>
                <w:sz w:val="18"/>
                <w:szCs w:val="18"/>
              </w:rPr>
            </w:pPr>
          </w:p>
        </w:tc>
        <w:tc>
          <w:tcPr>
            <w:tcW w:w="500" w:type="pct"/>
            <w:vAlign w:val="bottom"/>
          </w:tcPr>
          <w:p w:rsidR="00597370" w:rsidRDefault="00597370">
            <w:pPr>
              <w:jc w:val="right"/>
              <w:rPr>
                <w:sz w:val="18"/>
                <w:szCs w:val="18"/>
              </w:rPr>
            </w:pPr>
          </w:p>
        </w:tc>
      </w:tr>
      <w:tr w:rsidR="00597370">
        <w:trPr>
          <w:trHeight w:val="397"/>
          <w:jc w:val="center"/>
        </w:trPr>
        <w:sdt>
          <w:sdtPr>
            <w:rPr>
              <w:color w:val="000000" w:themeColor="text1"/>
            </w:rPr>
            <w:tag w:val="_PLD_291ece6b974e4962be6cec3c398fd5be"/>
            <w:id w:val="-185676378"/>
          </w:sdtPr>
          <w:sdtEndPr/>
          <w:sdtContent>
            <w:tc>
              <w:tcPr>
                <w:tcW w:w="288" w:type="pct"/>
              </w:tcPr>
              <w:p w:rsidR="00597370" w:rsidRDefault="003C2EEE">
                <w:pPr>
                  <w:ind w:firstLineChars="200" w:firstLine="420"/>
                  <w:rPr>
                    <w:color w:val="000000" w:themeColor="text1"/>
                    <w:sz w:val="18"/>
                    <w:szCs w:val="18"/>
                  </w:rPr>
                </w:pPr>
                <w:r>
                  <w:rPr>
                    <w:color w:val="000000" w:themeColor="text1"/>
                    <w:sz w:val="18"/>
                    <w:szCs w:val="18"/>
                  </w:rPr>
                  <w:t>前期差错更正</w:t>
                </w:r>
              </w:p>
            </w:tc>
          </w:sdtContent>
        </w:sdt>
        <w:tc>
          <w:tcPr>
            <w:tcW w:w="462" w:type="pct"/>
            <w:vAlign w:val="bottom"/>
          </w:tcPr>
          <w:p w:rsidR="00597370" w:rsidRDefault="00597370">
            <w:pPr>
              <w:jc w:val="right"/>
              <w:rPr>
                <w:sz w:val="18"/>
                <w:szCs w:val="18"/>
              </w:rPr>
            </w:pPr>
          </w:p>
        </w:tc>
        <w:tc>
          <w:tcPr>
            <w:tcW w:w="149" w:type="pct"/>
            <w:vAlign w:val="bottom"/>
          </w:tcPr>
          <w:p w:rsidR="00597370" w:rsidRDefault="00597370">
            <w:pPr>
              <w:jc w:val="right"/>
              <w:rPr>
                <w:sz w:val="18"/>
                <w:szCs w:val="18"/>
              </w:rPr>
            </w:pPr>
          </w:p>
        </w:tc>
        <w:tc>
          <w:tcPr>
            <w:tcW w:w="150" w:type="pct"/>
            <w:vAlign w:val="bottom"/>
          </w:tcPr>
          <w:p w:rsidR="00597370" w:rsidRDefault="00597370">
            <w:pPr>
              <w:jc w:val="right"/>
              <w:rPr>
                <w:sz w:val="18"/>
                <w:szCs w:val="18"/>
              </w:rPr>
            </w:pPr>
          </w:p>
        </w:tc>
        <w:tc>
          <w:tcPr>
            <w:tcW w:w="150" w:type="pct"/>
            <w:vAlign w:val="bottom"/>
          </w:tcPr>
          <w:p w:rsidR="00597370" w:rsidRDefault="00597370">
            <w:pPr>
              <w:jc w:val="right"/>
              <w:rPr>
                <w:sz w:val="18"/>
                <w:szCs w:val="18"/>
              </w:rPr>
            </w:pPr>
          </w:p>
        </w:tc>
        <w:tc>
          <w:tcPr>
            <w:tcW w:w="300" w:type="pct"/>
            <w:vAlign w:val="bottom"/>
          </w:tcPr>
          <w:p w:rsidR="00597370" w:rsidRDefault="00597370">
            <w:pPr>
              <w:jc w:val="right"/>
              <w:rPr>
                <w:sz w:val="18"/>
                <w:szCs w:val="18"/>
              </w:rPr>
            </w:pPr>
          </w:p>
        </w:tc>
        <w:tc>
          <w:tcPr>
            <w:tcW w:w="350" w:type="pct"/>
            <w:vAlign w:val="bottom"/>
          </w:tcPr>
          <w:p w:rsidR="00597370" w:rsidRDefault="00597370">
            <w:pPr>
              <w:jc w:val="right"/>
              <w:rPr>
                <w:sz w:val="18"/>
                <w:szCs w:val="18"/>
              </w:rPr>
            </w:pPr>
          </w:p>
        </w:tc>
        <w:tc>
          <w:tcPr>
            <w:tcW w:w="300" w:type="pct"/>
            <w:vAlign w:val="bottom"/>
          </w:tcPr>
          <w:p w:rsidR="00597370" w:rsidRDefault="00597370">
            <w:pPr>
              <w:jc w:val="right"/>
              <w:rPr>
                <w:sz w:val="18"/>
                <w:szCs w:val="18"/>
              </w:rPr>
            </w:pPr>
          </w:p>
        </w:tc>
        <w:tc>
          <w:tcPr>
            <w:tcW w:w="350" w:type="pct"/>
            <w:vAlign w:val="bottom"/>
          </w:tcPr>
          <w:p w:rsidR="00597370" w:rsidRDefault="00597370">
            <w:pPr>
              <w:jc w:val="right"/>
              <w:rPr>
                <w:sz w:val="18"/>
                <w:szCs w:val="18"/>
              </w:rPr>
            </w:pPr>
          </w:p>
        </w:tc>
        <w:tc>
          <w:tcPr>
            <w:tcW w:w="450" w:type="pct"/>
            <w:vAlign w:val="bottom"/>
          </w:tcPr>
          <w:p w:rsidR="00597370" w:rsidRDefault="00597370">
            <w:pPr>
              <w:jc w:val="right"/>
              <w:rPr>
                <w:sz w:val="18"/>
                <w:szCs w:val="18"/>
              </w:rPr>
            </w:pPr>
          </w:p>
        </w:tc>
        <w:tc>
          <w:tcPr>
            <w:tcW w:w="200" w:type="pct"/>
            <w:vAlign w:val="bottom"/>
          </w:tcPr>
          <w:p w:rsidR="00597370" w:rsidRDefault="00597370">
            <w:pPr>
              <w:jc w:val="right"/>
              <w:rPr>
                <w:sz w:val="18"/>
                <w:szCs w:val="18"/>
              </w:rPr>
            </w:pPr>
          </w:p>
        </w:tc>
        <w:tc>
          <w:tcPr>
            <w:tcW w:w="451" w:type="pct"/>
            <w:vAlign w:val="bottom"/>
          </w:tcPr>
          <w:p w:rsidR="00597370" w:rsidRDefault="00597370">
            <w:pPr>
              <w:jc w:val="right"/>
              <w:rPr>
                <w:sz w:val="18"/>
                <w:szCs w:val="18"/>
              </w:rPr>
            </w:pPr>
          </w:p>
        </w:tc>
        <w:tc>
          <w:tcPr>
            <w:tcW w:w="199" w:type="pct"/>
            <w:vAlign w:val="bottom"/>
          </w:tcPr>
          <w:p w:rsidR="00597370" w:rsidRDefault="00597370">
            <w:pPr>
              <w:jc w:val="right"/>
              <w:rPr>
                <w:sz w:val="18"/>
                <w:szCs w:val="18"/>
              </w:rPr>
            </w:pPr>
          </w:p>
        </w:tc>
        <w:tc>
          <w:tcPr>
            <w:tcW w:w="400" w:type="pct"/>
            <w:vAlign w:val="bottom"/>
          </w:tcPr>
          <w:p w:rsidR="00597370" w:rsidRDefault="00597370">
            <w:pPr>
              <w:jc w:val="right"/>
              <w:rPr>
                <w:sz w:val="18"/>
                <w:szCs w:val="18"/>
              </w:rPr>
            </w:pPr>
          </w:p>
        </w:tc>
        <w:tc>
          <w:tcPr>
            <w:tcW w:w="301" w:type="pct"/>
            <w:vAlign w:val="bottom"/>
          </w:tcPr>
          <w:p w:rsidR="00597370" w:rsidRDefault="00597370">
            <w:pPr>
              <w:jc w:val="right"/>
              <w:rPr>
                <w:sz w:val="18"/>
                <w:szCs w:val="18"/>
              </w:rPr>
            </w:pPr>
          </w:p>
        </w:tc>
        <w:tc>
          <w:tcPr>
            <w:tcW w:w="500" w:type="pct"/>
            <w:vAlign w:val="bottom"/>
          </w:tcPr>
          <w:p w:rsidR="00597370" w:rsidRDefault="00597370">
            <w:pPr>
              <w:jc w:val="right"/>
              <w:rPr>
                <w:sz w:val="18"/>
                <w:szCs w:val="18"/>
              </w:rPr>
            </w:pPr>
          </w:p>
        </w:tc>
      </w:tr>
      <w:tr w:rsidR="00597370">
        <w:trPr>
          <w:trHeight w:val="397"/>
          <w:jc w:val="center"/>
        </w:trPr>
        <w:sdt>
          <w:sdtPr>
            <w:rPr>
              <w:color w:val="000000" w:themeColor="text1"/>
            </w:rPr>
            <w:tag w:val="_PLD_7953fd87201b462ab8c42a4716d6cb65"/>
            <w:id w:val="-1212259030"/>
          </w:sdtPr>
          <w:sdtEndPr/>
          <w:sdtContent>
            <w:tc>
              <w:tcPr>
                <w:tcW w:w="288" w:type="pct"/>
              </w:tcPr>
              <w:p w:rsidR="00597370" w:rsidRDefault="003C2EEE">
                <w:pPr>
                  <w:ind w:firstLineChars="200" w:firstLine="420"/>
                  <w:rPr>
                    <w:color w:val="000000" w:themeColor="text1"/>
                    <w:sz w:val="18"/>
                    <w:szCs w:val="18"/>
                  </w:rPr>
                </w:pPr>
                <w:r>
                  <w:rPr>
                    <w:rFonts w:hint="eastAsia"/>
                    <w:color w:val="000000" w:themeColor="text1"/>
                    <w:sz w:val="18"/>
                    <w:szCs w:val="18"/>
                  </w:rPr>
                  <w:t>其他</w:t>
                </w:r>
              </w:p>
            </w:tc>
          </w:sdtContent>
        </w:sdt>
        <w:tc>
          <w:tcPr>
            <w:tcW w:w="462" w:type="pct"/>
            <w:vAlign w:val="bottom"/>
          </w:tcPr>
          <w:p w:rsidR="00597370" w:rsidRDefault="00597370">
            <w:pPr>
              <w:jc w:val="right"/>
              <w:rPr>
                <w:sz w:val="18"/>
                <w:szCs w:val="18"/>
              </w:rPr>
            </w:pPr>
          </w:p>
        </w:tc>
        <w:tc>
          <w:tcPr>
            <w:tcW w:w="149" w:type="pct"/>
            <w:vAlign w:val="bottom"/>
          </w:tcPr>
          <w:p w:rsidR="00597370" w:rsidRDefault="00597370">
            <w:pPr>
              <w:jc w:val="right"/>
              <w:rPr>
                <w:sz w:val="18"/>
                <w:szCs w:val="18"/>
              </w:rPr>
            </w:pPr>
          </w:p>
        </w:tc>
        <w:tc>
          <w:tcPr>
            <w:tcW w:w="150" w:type="pct"/>
            <w:vAlign w:val="bottom"/>
          </w:tcPr>
          <w:p w:rsidR="00597370" w:rsidRDefault="00597370">
            <w:pPr>
              <w:jc w:val="right"/>
              <w:rPr>
                <w:sz w:val="18"/>
                <w:szCs w:val="18"/>
              </w:rPr>
            </w:pPr>
          </w:p>
        </w:tc>
        <w:tc>
          <w:tcPr>
            <w:tcW w:w="150" w:type="pct"/>
            <w:vAlign w:val="bottom"/>
          </w:tcPr>
          <w:p w:rsidR="00597370" w:rsidRDefault="00597370">
            <w:pPr>
              <w:jc w:val="right"/>
              <w:rPr>
                <w:sz w:val="18"/>
                <w:szCs w:val="18"/>
              </w:rPr>
            </w:pPr>
          </w:p>
        </w:tc>
        <w:tc>
          <w:tcPr>
            <w:tcW w:w="300" w:type="pct"/>
            <w:vAlign w:val="bottom"/>
          </w:tcPr>
          <w:p w:rsidR="00597370" w:rsidRDefault="00597370">
            <w:pPr>
              <w:jc w:val="right"/>
              <w:rPr>
                <w:sz w:val="18"/>
                <w:szCs w:val="18"/>
              </w:rPr>
            </w:pPr>
          </w:p>
        </w:tc>
        <w:tc>
          <w:tcPr>
            <w:tcW w:w="350" w:type="pct"/>
            <w:vAlign w:val="bottom"/>
          </w:tcPr>
          <w:p w:rsidR="00597370" w:rsidRDefault="00597370">
            <w:pPr>
              <w:jc w:val="right"/>
              <w:rPr>
                <w:sz w:val="18"/>
                <w:szCs w:val="18"/>
              </w:rPr>
            </w:pPr>
          </w:p>
        </w:tc>
        <w:tc>
          <w:tcPr>
            <w:tcW w:w="300" w:type="pct"/>
            <w:vAlign w:val="bottom"/>
          </w:tcPr>
          <w:p w:rsidR="00597370" w:rsidRDefault="00597370">
            <w:pPr>
              <w:jc w:val="right"/>
              <w:rPr>
                <w:sz w:val="18"/>
                <w:szCs w:val="18"/>
              </w:rPr>
            </w:pPr>
          </w:p>
        </w:tc>
        <w:tc>
          <w:tcPr>
            <w:tcW w:w="350" w:type="pct"/>
            <w:vAlign w:val="bottom"/>
          </w:tcPr>
          <w:p w:rsidR="00597370" w:rsidRDefault="00597370">
            <w:pPr>
              <w:jc w:val="right"/>
              <w:rPr>
                <w:sz w:val="18"/>
                <w:szCs w:val="18"/>
              </w:rPr>
            </w:pPr>
          </w:p>
        </w:tc>
        <w:tc>
          <w:tcPr>
            <w:tcW w:w="450" w:type="pct"/>
            <w:vAlign w:val="bottom"/>
          </w:tcPr>
          <w:p w:rsidR="00597370" w:rsidRDefault="00597370">
            <w:pPr>
              <w:jc w:val="right"/>
              <w:rPr>
                <w:sz w:val="18"/>
                <w:szCs w:val="18"/>
              </w:rPr>
            </w:pPr>
          </w:p>
        </w:tc>
        <w:tc>
          <w:tcPr>
            <w:tcW w:w="200" w:type="pct"/>
            <w:vAlign w:val="bottom"/>
          </w:tcPr>
          <w:p w:rsidR="00597370" w:rsidRDefault="00597370">
            <w:pPr>
              <w:jc w:val="right"/>
              <w:rPr>
                <w:sz w:val="18"/>
                <w:szCs w:val="18"/>
              </w:rPr>
            </w:pPr>
          </w:p>
        </w:tc>
        <w:tc>
          <w:tcPr>
            <w:tcW w:w="451" w:type="pct"/>
            <w:vAlign w:val="bottom"/>
          </w:tcPr>
          <w:p w:rsidR="00597370" w:rsidRDefault="00597370">
            <w:pPr>
              <w:jc w:val="right"/>
              <w:rPr>
                <w:sz w:val="18"/>
                <w:szCs w:val="18"/>
              </w:rPr>
            </w:pPr>
          </w:p>
        </w:tc>
        <w:tc>
          <w:tcPr>
            <w:tcW w:w="199" w:type="pct"/>
            <w:vAlign w:val="bottom"/>
          </w:tcPr>
          <w:p w:rsidR="00597370" w:rsidRDefault="00597370">
            <w:pPr>
              <w:jc w:val="right"/>
              <w:rPr>
                <w:sz w:val="18"/>
                <w:szCs w:val="18"/>
              </w:rPr>
            </w:pPr>
          </w:p>
        </w:tc>
        <w:tc>
          <w:tcPr>
            <w:tcW w:w="400" w:type="pct"/>
            <w:vAlign w:val="bottom"/>
          </w:tcPr>
          <w:p w:rsidR="00597370" w:rsidRDefault="00597370">
            <w:pPr>
              <w:jc w:val="right"/>
              <w:rPr>
                <w:sz w:val="18"/>
                <w:szCs w:val="18"/>
              </w:rPr>
            </w:pPr>
          </w:p>
        </w:tc>
        <w:tc>
          <w:tcPr>
            <w:tcW w:w="301" w:type="pct"/>
            <w:vAlign w:val="bottom"/>
          </w:tcPr>
          <w:p w:rsidR="00597370" w:rsidRDefault="00597370">
            <w:pPr>
              <w:jc w:val="right"/>
              <w:rPr>
                <w:sz w:val="18"/>
                <w:szCs w:val="18"/>
              </w:rPr>
            </w:pPr>
          </w:p>
        </w:tc>
        <w:tc>
          <w:tcPr>
            <w:tcW w:w="500" w:type="pct"/>
            <w:vAlign w:val="bottom"/>
          </w:tcPr>
          <w:p w:rsidR="00597370" w:rsidRDefault="00597370">
            <w:pPr>
              <w:jc w:val="right"/>
              <w:rPr>
                <w:sz w:val="18"/>
                <w:szCs w:val="18"/>
              </w:rPr>
            </w:pPr>
          </w:p>
        </w:tc>
      </w:tr>
      <w:tr w:rsidR="00597370">
        <w:trPr>
          <w:trHeight w:val="397"/>
          <w:jc w:val="center"/>
        </w:trPr>
        <w:sdt>
          <w:sdtPr>
            <w:rPr>
              <w:color w:val="000000" w:themeColor="text1"/>
            </w:rPr>
            <w:tag w:val="_PLD_16d601e73dc14990b60ca53acf1371ba"/>
            <w:id w:val="1129281470"/>
          </w:sdtPr>
          <w:sdtEndPr/>
          <w:sdtContent>
            <w:tc>
              <w:tcPr>
                <w:tcW w:w="288" w:type="pct"/>
              </w:tcPr>
              <w:p w:rsidR="00597370" w:rsidRDefault="003C2EEE">
                <w:pPr>
                  <w:rPr>
                    <w:color w:val="000000" w:themeColor="text1"/>
                    <w:sz w:val="18"/>
                    <w:szCs w:val="18"/>
                  </w:rPr>
                </w:pPr>
                <w:r>
                  <w:rPr>
                    <w:color w:val="000000" w:themeColor="text1"/>
                    <w:sz w:val="18"/>
                    <w:szCs w:val="18"/>
                  </w:rPr>
                  <w:t>二、本年</w:t>
                </w:r>
                <w:r>
                  <w:rPr>
                    <w:rFonts w:hint="eastAsia"/>
                    <w:color w:val="000000" w:themeColor="text1"/>
                    <w:sz w:val="18"/>
                    <w:szCs w:val="18"/>
                  </w:rPr>
                  <w:t>期</w:t>
                </w:r>
                <w:r>
                  <w:rPr>
                    <w:color w:val="000000" w:themeColor="text1"/>
                    <w:sz w:val="18"/>
                    <w:szCs w:val="18"/>
                  </w:rPr>
                  <w:t>初余额</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333,167,407.00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975,698,666.95 </w:t>
            </w:r>
          </w:p>
        </w:tc>
        <w:tc>
          <w:tcPr>
            <w:tcW w:w="350" w:type="pct"/>
            <w:vAlign w:val="bottom"/>
          </w:tcPr>
          <w:p w:rsidR="00597370" w:rsidRDefault="003C2EEE">
            <w:pPr>
              <w:jc w:val="right"/>
              <w:rPr>
                <w:sz w:val="18"/>
                <w:szCs w:val="18"/>
              </w:rPr>
            </w:pPr>
            <w:r>
              <w:rPr>
                <w:rFonts w:hint="eastAsia"/>
                <w:color w:val="000000"/>
                <w:sz w:val="18"/>
                <w:szCs w:val="18"/>
              </w:rPr>
              <w:t xml:space="preserve"> 50,299,241.28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21,903,104.70 </w:t>
            </w:r>
          </w:p>
        </w:tc>
        <w:tc>
          <w:tcPr>
            <w:tcW w:w="450" w:type="pct"/>
            <w:vAlign w:val="bottom"/>
          </w:tcPr>
          <w:p w:rsidR="00597370" w:rsidRDefault="003C2EEE">
            <w:pPr>
              <w:jc w:val="right"/>
              <w:rPr>
                <w:sz w:val="18"/>
                <w:szCs w:val="18"/>
              </w:rPr>
            </w:pPr>
            <w:r>
              <w:rPr>
                <w:rFonts w:hint="eastAsia"/>
                <w:color w:val="000000"/>
                <w:sz w:val="18"/>
                <w:szCs w:val="18"/>
              </w:rPr>
              <w:t xml:space="preserve"> 118,088,672.71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992,249,846.86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2,390,808,456.94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2,390,808,456.94 </w:t>
            </w:r>
          </w:p>
        </w:tc>
      </w:tr>
      <w:tr w:rsidR="00597370">
        <w:trPr>
          <w:trHeight w:val="397"/>
          <w:jc w:val="center"/>
        </w:trPr>
        <w:sdt>
          <w:sdtPr>
            <w:rPr>
              <w:color w:val="000000" w:themeColor="text1"/>
            </w:rPr>
            <w:tag w:val="_PLD_60156dcb8ac241a7929015e75c8eef16"/>
            <w:id w:val="427700784"/>
          </w:sdtPr>
          <w:sdtEndPr/>
          <w:sdtContent>
            <w:tc>
              <w:tcPr>
                <w:tcW w:w="288" w:type="pct"/>
              </w:tcPr>
              <w:p w:rsidR="00597370" w:rsidRDefault="003C2EEE">
                <w:pPr>
                  <w:rPr>
                    <w:color w:val="000000" w:themeColor="text1"/>
                    <w:sz w:val="18"/>
                    <w:szCs w:val="18"/>
                  </w:rPr>
                </w:pPr>
                <w:r>
                  <w:rPr>
                    <w:color w:val="000000" w:themeColor="text1"/>
                    <w:sz w:val="18"/>
                    <w:szCs w:val="18"/>
                  </w:rPr>
                  <w:t>三、本</w:t>
                </w:r>
                <w:r>
                  <w:rPr>
                    <w:rFonts w:hint="eastAsia"/>
                    <w:color w:val="000000" w:themeColor="text1"/>
                    <w:sz w:val="18"/>
                    <w:szCs w:val="18"/>
                  </w:rPr>
                  <w:t>期</w:t>
                </w:r>
                <w:r>
                  <w:rPr>
                    <w:color w:val="000000" w:themeColor="text1"/>
                    <w:sz w:val="18"/>
                    <w:szCs w:val="18"/>
                  </w:rPr>
                  <w:t>增减变动金额（减少以“－”号填列）</w:t>
                </w:r>
              </w:p>
            </w:tc>
          </w:sdtContent>
        </w:sdt>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3,847,666.44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1,602,227.56 </w:t>
            </w:r>
          </w:p>
        </w:tc>
        <w:tc>
          <w:tcPr>
            <w:tcW w:w="350" w:type="pct"/>
            <w:vAlign w:val="bottom"/>
          </w:tcPr>
          <w:p w:rsidR="00597370" w:rsidRDefault="003C2EEE">
            <w:pPr>
              <w:jc w:val="right"/>
              <w:rPr>
                <w:sz w:val="18"/>
                <w:szCs w:val="18"/>
              </w:rPr>
            </w:pPr>
            <w:r>
              <w:rPr>
                <w:rFonts w:hint="eastAsia"/>
                <w:color w:val="000000"/>
                <w:sz w:val="18"/>
                <w:szCs w:val="18"/>
              </w:rPr>
              <w:t xml:space="preserve"> 3,779,240.76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-15,083,973.17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-5,854,838.41 </w:t>
            </w:r>
          </w:p>
        </w:tc>
        <w:tc>
          <w:tcPr>
            <w:tcW w:w="301" w:type="pct"/>
            <w:vAlign w:val="bottom"/>
          </w:tcPr>
          <w:p w:rsidR="00597370" w:rsidRDefault="003C2EEE">
            <w:pPr>
              <w:jc w:val="right"/>
              <w:rPr>
                <w:sz w:val="18"/>
                <w:szCs w:val="18"/>
              </w:rPr>
            </w:pPr>
            <w:r>
              <w:rPr>
                <w:rFonts w:hint="eastAsia"/>
                <w:color w:val="000000"/>
                <w:sz w:val="18"/>
                <w:szCs w:val="18"/>
              </w:rPr>
              <w:t xml:space="preserve"> 131,376,968.77 </w:t>
            </w:r>
          </w:p>
        </w:tc>
        <w:tc>
          <w:tcPr>
            <w:tcW w:w="500" w:type="pct"/>
            <w:vAlign w:val="bottom"/>
          </w:tcPr>
          <w:p w:rsidR="00597370" w:rsidRDefault="003C2EEE">
            <w:pPr>
              <w:jc w:val="right"/>
              <w:rPr>
                <w:sz w:val="18"/>
                <w:szCs w:val="18"/>
              </w:rPr>
            </w:pPr>
            <w:r>
              <w:rPr>
                <w:rFonts w:hint="eastAsia"/>
                <w:color w:val="000000"/>
                <w:sz w:val="18"/>
                <w:szCs w:val="18"/>
              </w:rPr>
              <w:t xml:space="preserve"> 125,522,130.35 </w:t>
            </w:r>
          </w:p>
        </w:tc>
      </w:tr>
      <w:tr w:rsidR="00597370">
        <w:trPr>
          <w:trHeight w:val="397"/>
          <w:jc w:val="center"/>
        </w:trPr>
        <w:sdt>
          <w:sdtPr>
            <w:rPr>
              <w:color w:val="000000" w:themeColor="text1"/>
            </w:rPr>
            <w:tag w:val="_PLD_b05dacde51ff43abaf7ec73bf9668d99"/>
            <w:id w:val="-1166247152"/>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（一）综合收益总额</w:t>
                </w:r>
              </w:p>
            </w:tc>
          </w:sdtContent>
        </w:sdt>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1,602,227.56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34,793,222.68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36,395,450.24 </w:t>
            </w:r>
          </w:p>
        </w:tc>
        <w:tc>
          <w:tcPr>
            <w:tcW w:w="301" w:type="pct"/>
            <w:vAlign w:val="bottom"/>
          </w:tcPr>
          <w:p w:rsidR="00597370" w:rsidRDefault="003C2EEE">
            <w:pPr>
              <w:jc w:val="right"/>
              <w:rPr>
                <w:sz w:val="18"/>
                <w:szCs w:val="18"/>
              </w:rPr>
            </w:pPr>
            <w:r>
              <w:rPr>
                <w:rFonts w:hint="eastAsia"/>
                <w:color w:val="000000"/>
                <w:sz w:val="18"/>
                <w:szCs w:val="18"/>
              </w:rPr>
              <w:t xml:space="preserve"> 2,465,657.59 </w:t>
            </w:r>
          </w:p>
        </w:tc>
        <w:tc>
          <w:tcPr>
            <w:tcW w:w="500" w:type="pct"/>
            <w:vAlign w:val="bottom"/>
          </w:tcPr>
          <w:p w:rsidR="00597370" w:rsidRDefault="003C2EEE">
            <w:pPr>
              <w:jc w:val="right"/>
              <w:rPr>
                <w:sz w:val="18"/>
                <w:szCs w:val="18"/>
              </w:rPr>
            </w:pPr>
            <w:r>
              <w:rPr>
                <w:rFonts w:hint="eastAsia"/>
                <w:color w:val="000000"/>
                <w:sz w:val="18"/>
                <w:szCs w:val="18"/>
              </w:rPr>
              <w:t xml:space="preserve"> 38,861,107.83 </w:t>
            </w:r>
          </w:p>
        </w:tc>
      </w:tr>
      <w:tr w:rsidR="00597370">
        <w:trPr>
          <w:trHeight w:val="397"/>
          <w:jc w:val="center"/>
        </w:trPr>
        <w:sdt>
          <w:sdtPr>
            <w:rPr>
              <w:color w:val="000000" w:themeColor="text1"/>
            </w:rPr>
            <w:tag w:val="_PLD_f17921fb207340239c73a056e615d773"/>
            <w:id w:val="1898398929"/>
          </w:sdtPr>
          <w:sdtEndPr/>
          <w:sdtContent>
            <w:tc>
              <w:tcPr>
                <w:tcW w:w="288" w:type="pct"/>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二</w:t>
                </w:r>
                <w:r>
                  <w:rPr>
                    <w:color w:val="000000" w:themeColor="text1"/>
                    <w:sz w:val="18"/>
                    <w:szCs w:val="18"/>
                  </w:rPr>
                  <w:t>）所有者投入</w:t>
                </w:r>
                <w:r>
                  <w:rPr>
                    <w:color w:val="000000" w:themeColor="text1"/>
                    <w:sz w:val="18"/>
                    <w:szCs w:val="18"/>
                  </w:rPr>
                  <w:lastRenderedPageBreak/>
                  <w:t>和减少资本</w:t>
                </w:r>
              </w:p>
            </w:tc>
          </w:sdtContent>
        </w:sdt>
        <w:tc>
          <w:tcPr>
            <w:tcW w:w="462" w:type="pct"/>
          </w:tcPr>
          <w:p w:rsidR="00597370" w:rsidRDefault="003C2EEE">
            <w:pPr>
              <w:jc w:val="right"/>
              <w:rPr>
                <w:sz w:val="18"/>
                <w:szCs w:val="18"/>
              </w:rPr>
            </w:pPr>
            <w:r>
              <w:rPr>
                <w:rFonts w:hint="eastAsia"/>
                <w:color w:val="000000"/>
                <w:sz w:val="18"/>
                <w:szCs w:val="18"/>
              </w:rPr>
              <w:lastRenderedPageBreak/>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3,847,666.44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3,847,666.44 </w:t>
            </w:r>
          </w:p>
        </w:tc>
        <w:tc>
          <w:tcPr>
            <w:tcW w:w="301" w:type="pct"/>
            <w:vAlign w:val="bottom"/>
          </w:tcPr>
          <w:p w:rsidR="00597370" w:rsidRDefault="003C2EEE">
            <w:pPr>
              <w:jc w:val="right"/>
              <w:rPr>
                <w:sz w:val="18"/>
                <w:szCs w:val="18"/>
              </w:rPr>
            </w:pPr>
            <w:r>
              <w:rPr>
                <w:rFonts w:hint="eastAsia"/>
                <w:color w:val="000000"/>
                <w:sz w:val="18"/>
                <w:szCs w:val="18"/>
              </w:rPr>
              <w:t xml:space="preserve"> 128,836,699.07 </w:t>
            </w:r>
          </w:p>
        </w:tc>
        <w:tc>
          <w:tcPr>
            <w:tcW w:w="500" w:type="pct"/>
            <w:vAlign w:val="bottom"/>
          </w:tcPr>
          <w:p w:rsidR="00597370" w:rsidRDefault="003C2EEE">
            <w:pPr>
              <w:jc w:val="right"/>
              <w:rPr>
                <w:sz w:val="18"/>
                <w:szCs w:val="18"/>
              </w:rPr>
            </w:pPr>
            <w:r>
              <w:rPr>
                <w:rFonts w:hint="eastAsia"/>
                <w:color w:val="000000"/>
                <w:sz w:val="18"/>
                <w:szCs w:val="18"/>
              </w:rPr>
              <w:t xml:space="preserve"> 132,684,365.51 </w:t>
            </w:r>
          </w:p>
        </w:tc>
      </w:tr>
      <w:tr w:rsidR="00597370">
        <w:trPr>
          <w:trHeight w:val="397"/>
          <w:jc w:val="center"/>
        </w:trPr>
        <w:sdt>
          <w:sdtPr>
            <w:rPr>
              <w:color w:val="000000" w:themeColor="text1"/>
            </w:rPr>
            <w:tag w:val="_PLD_a4e5a1909d05445a88f8a664e237ae02"/>
            <w:id w:val="1707516623"/>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1．所有者投入的普通股</w:t>
                </w:r>
              </w:p>
            </w:tc>
          </w:sdtContent>
        </w:sdt>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tcPr>
          <w:p w:rsidR="00597370" w:rsidRDefault="003C2EEE">
            <w:pPr>
              <w:jc w:val="right"/>
              <w:rPr>
                <w:sz w:val="18"/>
                <w:szCs w:val="18"/>
              </w:rPr>
            </w:pPr>
            <w:r>
              <w:rPr>
                <w:rFonts w:hint="eastAsia"/>
                <w:color w:val="000000"/>
                <w:sz w:val="18"/>
                <w:szCs w:val="18"/>
              </w:rPr>
              <w:t xml:space="preserve"> -   </w:t>
            </w:r>
          </w:p>
        </w:tc>
        <w:tc>
          <w:tcPr>
            <w:tcW w:w="301" w:type="pct"/>
          </w:tcPr>
          <w:p w:rsidR="00597370" w:rsidRDefault="003C2EEE">
            <w:pPr>
              <w:jc w:val="right"/>
              <w:rPr>
                <w:sz w:val="18"/>
                <w:szCs w:val="18"/>
              </w:rPr>
            </w:pPr>
            <w:r>
              <w:rPr>
                <w:rFonts w:hint="eastAsia"/>
                <w:color w:val="000000"/>
                <w:sz w:val="18"/>
                <w:szCs w:val="18"/>
              </w:rPr>
              <w:t xml:space="preserve"> -   </w:t>
            </w:r>
          </w:p>
        </w:tc>
        <w:tc>
          <w:tcPr>
            <w:tcW w:w="500" w:type="pct"/>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00983bc5e4cc404f92b2fab2c532ec5f"/>
            <w:id w:val="874739518"/>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2．其他权益工具持有者投入资本</w:t>
                </w:r>
              </w:p>
            </w:tc>
          </w:sdtContent>
        </w:sdt>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tcPr>
          <w:p w:rsidR="00597370" w:rsidRDefault="003C2EEE">
            <w:pPr>
              <w:jc w:val="right"/>
              <w:rPr>
                <w:sz w:val="18"/>
                <w:szCs w:val="18"/>
              </w:rPr>
            </w:pPr>
            <w:r>
              <w:rPr>
                <w:rFonts w:hint="eastAsia"/>
                <w:color w:val="000000"/>
                <w:sz w:val="18"/>
                <w:szCs w:val="18"/>
              </w:rPr>
              <w:t xml:space="preserve"> -   </w:t>
            </w:r>
          </w:p>
        </w:tc>
        <w:tc>
          <w:tcPr>
            <w:tcW w:w="301" w:type="pct"/>
          </w:tcPr>
          <w:p w:rsidR="00597370" w:rsidRDefault="003C2EEE">
            <w:pPr>
              <w:jc w:val="right"/>
              <w:rPr>
                <w:sz w:val="18"/>
                <w:szCs w:val="18"/>
              </w:rPr>
            </w:pPr>
            <w:r>
              <w:rPr>
                <w:rFonts w:hint="eastAsia"/>
                <w:color w:val="000000"/>
                <w:sz w:val="18"/>
                <w:szCs w:val="18"/>
              </w:rPr>
              <w:t xml:space="preserve"> -   </w:t>
            </w:r>
          </w:p>
        </w:tc>
        <w:tc>
          <w:tcPr>
            <w:tcW w:w="500" w:type="pct"/>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b945685508384f75ad9507566dd406a5"/>
            <w:id w:val="-278563973"/>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3</w:t>
                </w:r>
                <w:r>
                  <w:rPr>
                    <w:color w:val="000000" w:themeColor="text1"/>
                    <w:sz w:val="18"/>
                    <w:szCs w:val="18"/>
                  </w:rPr>
                  <w:t>．股份支付计入所有者权益的金额</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3,847,666.44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3,847,666.44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3,847,666.44 </w:t>
            </w:r>
          </w:p>
        </w:tc>
      </w:tr>
      <w:tr w:rsidR="00597370">
        <w:trPr>
          <w:trHeight w:val="397"/>
          <w:jc w:val="center"/>
        </w:trPr>
        <w:sdt>
          <w:sdtPr>
            <w:rPr>
              <w:color w:val="000000" w:themeColor="text1"/>
            </w:rPr>
            <w:tag w:val="_PLD_86538f5d06744ca9be65b0b439b17643"/>
            <w:id w:val="-1595696955"/>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4</w:t>
                </w:r>
                <w:r>
                  <w:rPr>
                    <w:color w:val="000000" w:themeColor="text1"/>
                    <w:sz w:val="18"/>
                    <w:szCs w:val="18"/>
                  </w:rPr>
                  <w:t>．其他</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   </w:t>
            </w:r>
          </w:p>
        </w:tc>
        <w:tc>
          <w:tcPr>
            <w:tcW w:w="301" w:type="pct"/>
            <w:vAlign w:val="bottom"/>
          </w:tcPr>
          <w:p w:rsidR="00597370" w:rsidRDefault="003C2EEE">
            <w:pPr>
              <w:jc w:val="right"/>
              <w:rPr>
                <w:sz w:val="18"/>
                <w:szCs w:val="18"/>
              </w:rPr>
            </w:pPr>
            <w:r>
              <w:rPr>
                <w:rFonts w:hint="eastAsia"/>
                <w:color w:val="000000"/>
                <w:sz w:val="18"/>
                <w:szCs w:val="18"/>
              </w:rPr>
              <w:t xml:space="preserve">128,836,699.07 </w:t>
            </w:r>
          </w:p>
        </w:tc>
        <w:tc>
          <w:tcPr>
            <w:tcW w:w="500" w:type="pct"/>
            <w:vAlign w:val="bottom"/>
          </w:tcPr>
          <w:p w:rsidR="00597370" w:rsidRDefault="003C2EEE">
            <w:pPr>
              <w:jc w:val="right"/>
              <w:rPr>
                <w:sz w:val="18"/>
                <w:szCs w:val="18"/>
              </w:rPr>
            </w:pPr>
            <w:r>
              <w:rPr>
                <w:rFonts w:hint="eastAsia"/>
                <w:color w:val="000000"/>
                <w:sz w:val="18"/>
                <w:szCs w:val="18"/>
              </w:rPr>
              <w:t xml:space="preserve"> 128,836,699.07 </w:t>
            </w:r>
          </w:p>
        </w:tc>
      </w:tr>
      <w:tr w:rsidR="00597370">
        <w:trPr>
          <w:trHeight w:val="397"/>
          <w:jc w:val="center"/>
        </w:trPr>
        <w:sdt>
          <w:sdtPr>
            <w:rPr>
              <w:color w:val="000000" w:themeColor="text1"/>
            </w:rPr>
            <w:tag w:val="_PLD_8fb1d678e8ca4e3ba31e34bed05e6c58"/>
            <w:id w:val="595518698"/>
          </w:sdtPr>
          <w:sdtEndPr/>
          <w:sdtContent>
            <w:tc>
              <w:tcPr>
                <w:tcW w:w="288" w:type="pct"/>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三</w:t>
                </w:r>
                <w:r>
                  <w:rPr>
                    <w:color w:val="000000" w:themeColor="text1"/>
                    <w:sz w:val="18"/>
                    <w:szCs w:val="18"/>
                  </w:rPr>
                  <w:t>）利润分配</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-49,877,195.85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-49,877,195.85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-49,877,195.85 </w:t>
            </w:r>
          </w:p>
        </w:tc>
      </w:tr>
      <w:tr w:rsidR="00597370">
        <w:trPr>
          <w:trHeight w:val="397"/>
          <w:jc w:val="center"/>
        </w:trPr>
        <w:sdt>
          <w:sdtPr>
            <w:rPr>
              <w:color w:val="000000" w:themeColor="text1"/>
            </w:rPr>
            <w:tag w:val="_PLD_5badbc22860d48e29f8d8d9a4a633d8c"/>
            <w:id w:val="1338730894"/>
          </w:sdtPr>
          <w:sdtEndPr/>
          <w:sdtContent>
            <w:tc>
              <w:tcPr>
                <w:tcW w:w="288" w:type="pct"/>
              </w:tcPr>
              <w:p w:rsidR="00597370" w:rsidRDefault="003C2EEE">
                <w:pPr>
                  <w:rPr>
                    <w:color w:val="000000" w:themeColor="text1"/>
                    <w:sz w:val="18"/>
                    <w:szCs w:val="18"/>
                  </w:rPr>
                </w:pPr>
                <w:r>
                  <w:rPr>
                    <w:color w:val="000000" w:themeColor="text1"/>
                    <w:sz w:val="18"/>
                    <w:szCs w:val="18"/>
                  </w:rPr>
                  <w:t>1．提取盈余公积</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2c8b649d670044a9b5fda521dd40705d"/>
            <w:id w:val="-1053385076"/>
          </w:sdtPr>
          <w:sdtEndPr/>
          <w:sdtContent>
            <w:tc>
              <w:tcPr>
                <w:tcW w:w="288" w:type="pct"/>
              </w:tcPr>
              <w:p w:rsidR="00597370" w:rsidRDefault="003C2EEE">
                <w:pPr>
                  <w:rPr>
                    <w:color w:val="000000" w:themeColor="text1"/>
                    <w:sz w:val="18"/>
                    <w:szCs w:val="18"/>
                  </w:rPr>
                </w:pPr>
                <w:r>
                  <w:rPr>
                    <w:color w:val="000000" w:themeColor="text1"/>
                    <w:sz w:val="18"/>
                    <w:szCs w:val="18"/>
                  </w:rPr>
                  <w:t>2．提取一般风险准备</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254428ff3bee49c2acd11ef634901543"/>
            <w:id w:val="-979384872"/>
          </w:sdtPr>
          <w:sdtEndPr/>
          <w:sdtContent>
            <w:tc>
              <w:tcPr>
                <w:tcW w:w="288" w:type="pct"/>
              </w:tcPr>
              <w:p w:rsidR="00597370" w:rsidRDefault="003C2EEE">
                <w:pPr>
                  <w:rPr>
                    <w:color w:val="000000" w:themeColor="text1"/>
                    <w:sz w:val="18"/>
                    <w:szCs w:val="18"/>
                  </w:rPr>
                </w:pPr>
                <w:r>
                  <w:rPr>
                    <w:color w:val="000000" w:themeColor="text1"/>
                    <w:sz w:val="18"/>
                    <w:szCs w:val="18"/>
                  </w:rPr>
                  <w:t>3．对所有者（或股东）的分配</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-49,877,195.85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-49,877,195.85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-49,877,195.85 </w:t>
            </w:r>
          </w:p>
        </w:tc>
      </w:tr>
      <w:tr w:rsidR="00597370">
        <w:trPr>
          <w:trHeight w:val="397"/>
          <w:jc w:val="center"/>
        </w:trPr>
        <w:sdt>
          <w:sdtPr>
            <w:rPr>
              <w:color w:val="000000" w:themeColor="text1"/>
            </w:rPr>
            <w:tag w:val="_PLD_b3d350728a6c49ccaa6dbb4adf16c691"/>
            <w:id w:val="1291860884"/>
          </w:sdtPr>
          <w:sdtEndPr/>
          <w:sdtContent>
            <w:tc>
              <w:tcPr>
                <w:tcW w:w="288" w:type="pct"/>
              </w:tcPr>
              <w:p w:rsidR="00597370" w:rsidRDefault="003C2EEE">
                <w:pPr>
                  <w:rPr>
                    <w:color w:val="000000" w:themeColor="text1"/>
                    <w:sz w:val="18"/>
                    <w:szCs w:val="18"/>
                  </w:rPr>
                </w:pPr>
                <w:r>
                  <w:rPr>
                    <w:color w:val="000000" w:themeColor="text1"/>
                    <w:sz w:val="18"/>
                    <w:szCs w:val="18"/>
                  </w:rPr>
                  <w:t>4．其他</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03ab84b7536c4ddcaaad4c99a2dd5fd3"/>
            <w:id w:val="-295376887"/>
          </w:sdtPr>
          <w:sdtEndPr/>
          <w:sdtContent>
            <w:tc>
              <w:tcPr>
                <w:tcW w:w="288" w:type="pct"/>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四</w:t>
                </w:r>
                <w:r>
                  <w:rPr>
                    <w:color w:val="000000" w:themeColor="text1"/>
                    <w:sz w:val="18"/>
                    <w:szCs w:val="18"/>
                  </w:rPr>
                  <w:t>）所有者权益内部结转</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88233f88b9ea4ceb82a1cc6cd7a5030d"/>
            <w:id w:val="445206382"/>
          </w:sdtPr>
          <w:sdtEndPr/>
          <w:sdtContent>
            <w:tc>
              <w:tcPr>
                <w:tcW w:w="288" w:type="pct"/>
              </w:tcPr>
              <w:p w:rsidR="00597370" w:rsidRDefault="003C2EEE">
                <w:pPr>
                  <w:rPr>
                    <w:color w:val="000000" w:themeColor="text1"/>
                    <w:sz w:val="18"/>
                    <w:szCs w:val="18"/>
                  </w:rPr>
                </w:pPr>
                <w:r>
                  <w:rPr>
                    <w:color w:val="000000" w:themeColor="text1"/>
                    <w:sz w:val="18"/>
                    <w:szCs w:val="18"/>
                  </w:rPr>
                  <w:t>1．资本公积转增资本（或股本）</w:t>
                </w:r>
              </w:p>
            </w:tc>
          </w:sdtContent>
        </w:sdt>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tcPr>
          <w:p w:rsidR="00597370" w:rsidRDefault="003C2EEE">
            <w:pPr>
              <w:jc w:val="right"/>
              <w:rPr>
                <w:sz w:val="18"/>
                <w:szCs w:val="18"/>
              </w:rPr>
            </w:pPr>
            <w:r>
              <w:rPr>
                <w:rFonts w:hint="eastAsia"/>
                <w:color w:val="000000"/>
                <w:sz w:val="18"/>
                <w:szCs w:val="18"/>
              </w:rPr>
              <w:t xml:space="preserve"> -   </w:t>
            </w:r>
          </w:p>
        </w:tc>
        <w:tc>
          <w:tcPr>
            <w:tcW w:w="301" w:type="pct"/>
          </w:tcPr>
          <w:p w:rsidR="00597370" w:rsidRDefault="003C2EEE">
            <w:pPr>
              <w:jc w:val="right"/>
              <w:rPr>
                <w:sz w:val="18"/>
                <w:szCs w:val="18"/>
              </w:rPr>
            </w:pPr>
            <w:r>
              <w:rPr>
                <w:rFonts w:hint="eastAsia"/>
                <w:color w:val="000000"/>
                <w:sz w:val="18"/>
                <w:szCs w:val="18"/>
              </w:rPr>
              <w:t xml:space="preserve"> -   </w:t>
            </w:r>
          </w:p>
        </w:tc>
        <w:tc>
          <w:tcPr>
            <w:tcW w:w="500" w:type="pct"/>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4a9492c5a232434296cfdef5eeded778"/>
            <w:id w:val="-1928256040"/>
          </w:sdtPr>
          <w:sdtEndPr/>
          <w:sdtContent>
            <w:tc>
              <w:tcPr>
                <w:tcW w:w="288" w:type="pct"/>
              </w:tcPr>
              <w:p w:rsidR="00597370" w:rsidRDefault="003C2EEE">
                <w:pPr>
                  <w:rPr>
                    <w:color w:val="000000" w:themeColor="text1"/>
                    <w:sz w:val="18"/>
                    <w:szCs w:val="18"/>
                  </w:rPr>
                </w:pPr>
                <w:r>
                  <w:rPr>
                    <w:color w:val="000000" w:themeColor="text1"/>
                    <w:sz w:val="18"/>
                    <w:szCs w:val="18"/>
                  </w:rPr>
                  <w:t>2．盈余公积转增资本（或股本）</w:t>
                </w:r>
              </w:p>
            </w:tc>
          </w:sdtContent>
        </w:sdt>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tcPr>
          <w:p w:rsidR="00597370" w:rsidRDefault="003C2EEE">
            <w:pPr>
              <w:jc w:val="right"/>
              <w:rPr>
                <w:sz w:val="18"/>
                <w:szCs w:val="18"/>
              </w:rPr>
            </w:pPr>
            <w:r>
              <w:rPr>
                <w:rFonts w:hint="eastAsia"/>
                <w:color w:val="000000"/>
                <w:sz w:val="18"/>
                <w:szCs w:val="18"/>
              </w:rPr>
              <w:t xml:space="preserve"> -   </w:t>
            </w:r>
          </w:p>
        </w:tc>
        <w:tc>
          <w:tcPr>
            <w:tcW w:w="301" w:type="pct"/>
          </w:tcPr>
          <w:p w:rsidR="00597370" w:rsidRDefault="003C2EEE">
            <w:pPr>
              <w:jc w:val="right"/>
              <w:rPr>
                <w:sz w:val="18"/>
                <w:szCs w:val="18"/>
              </w:rPr>
            </w:pPr>
            <w:r>
              <w:rPr>
                <w:rFonts w:hint="eastAsia"/>
                <w:color w:val="000000"/>
                <w:sz w:val="18"/>
                <w:szCs w:val="18"/>
              </w:rPr>
              <w:t xml:space="preserve"> -   </w:t>
            </w:r>
          </w:p>
        </w:tc>
        <w:tc>
          <w:tcPr>
            <w:tcW w:w="500" w:type="pct"/>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25911664beff496799fc3193be7c3182"/>
            <w:id w:val="507023755"/>
          </w:sdtPr>
          <w:sdtEndPr/>
          <w:sdtContent>
            <w:tc>
              <w:tcPr>
                <w:tcW w:w="288" w:type="pct"/>
              </w:tcPr>
              <w:p w:rsidR="00597370" w:rsidRDefault="003C2EEE">
                <w:pPr>
                  <w:rPr>
                    <w:color w:val="000000" w:themeColor="text1"/>
                    <w:sz w:val="18"/>
                    <w:szCs w:val="18"/>
                  </w:rPr>
                </w:pPr>
                <w:r>
                  <w:rPr>
                    <w:color w:val="000000" w:themeColor="text1"/>
                    <w:sz w:val="18"/>
                    <w:szCs w:val="18"/>
                  </w:rPr>
                  <w:t>3．盈余公积弥补亏损</w:t>
                </w:r>
              </w:p>
            </w:tc>
          </w:sdtContent>
        </w:sdt>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tcPr>
          <w:p w:rsidR="00597370" w:rsidRDefault="003C2EEE">
            <w:pPr>
              <w:jc w:val="right"/>
              <w:rPr>
                <w:sz w:val="18"/>
                <w:szCs w:val="18"/>
              </w:rPr>
            </w:pPr>
            <w:r>
              <w:rPr>
                <w:rFonts w:hint="eastAsia"/>
                <w:color w:val="000000"/>
                <w:sz w:val="18"/>
                <w:szCs w:val="18"/>
              </w:rPr>
              <w:t xml:space="preserve"> -   </w:t>
            </w:r>
          </w:p>
        </w:tc>
        <w:tc>
          <w:tcPr>
            <w:tcW w:w="301" w:type="pct"/>
          </w:tcPr>
          <w:p w:rsidR="00597370" w:rsidRDefault="003C2EEE">
            <w:pPr>
              <w:jc w:val="right"/>
              <w:rPr>
                <w:sz w:val="18"/>
                <w:szCs w:val="18"/>
              </w:rPr>
            </w:pPr>
            <w:r>
              <w:rPr>
                <w:rFonts w:hint="eastAsia"/>
                <w:color w:val="000000"/>
                <w:sz w:val="18"/>
                <w:szCs w:val="18"/>
              </w:rPr>
              <w:t xml:space="preserve"> -   </w:t>
            </w:r>
          </w:p>
        </w:tc>
        <w:tc>
          <w:tcPr>
            <w:tcW w:w="500" w:type="pct"/>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tc>
          <w:tcPr>
            <w:tcW w:w="288" w:type="pct"/>
          </w:tcPr>
          <w:sdt>
            <w:sdtPr>
              <w:rPr>
                <w:color w:val="000000" w:themeColor="text1"/>
                <w:sz w:val="18"/>
                <w:szCs w:val="18"/>
              </w:rPr>
              <w:tag w:val="_PLD_c2918ada9b53437193e4f9cfffa064e3"/>
              <w:id w:val="-457949799"/>
            </w:sdtPr>
            <w:sdtEndPr/>
            <w:sdtContent>
              <w:p w:rsidR="00597370" w:rsidRDefault="003C2EEE">
                <w:pPr>
                  <w:rPr>
                    <w:color w:val="000000" w:themeColor="text1"/>
                  </w:rPr>
                </w:pPr>
                <w:r>
                  <w:rPr>
                    <w:color w:val="000000" w:themeColor="text1"/>
                    <w:sz w:val="18"/>
                    <w:szCs w:val="18"/>
                  </w:rPr>
                  <w:t>4．设定受益计划变动额结转留存收益</w:t>
                </w:r>
              </w:p>
            </w:sdtContent>
          </w:sdt>
        </w:tc>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tcPr>
          <w:p w:rsidR="00597370" w:rsidRDefault="003C2EEE">
            <w:pPr>
              <w:jc w:val="right"/>
              <w:rPr>
                <w:sz w:val="18"/>
                <w:szCs w:val="18"/>
              </w:rPr>
            </w:pPr>
            <w:r>
              <w:rPr>
                <w:rFonts w:hint="eastAsia"/>
                <w:color w:val="000000"/>
                <w:sz w:val="18"/>
                <w:szCs w:val="18"/>
              </w:rPr>
              <w:t xml:space="preserve"> -   </w:t>
            </w:r>
          </w:p>
        </w:tc>
        <w:tc>
          <w:tcPr>
            <w:tcW w:w="301" w:type="pct"/>
          </w:tcPr>
          <w:p w:rsidR="00597370" w:rsidRDefault="003C2EEE">
            <w:pPr>
              <w:jc w:val="right"/>
              <w:rPr>
                <w:sz w:val="18"/>
                <w:szCs w:val="18"/>
              </w:rPr>
            </w:pPr>
            <w:r>
              <w:rPr>
                <w:rFonts w:hint="eastAsia"/>
                <w:color w:val="000000"/>
                <w:sz w:val="18"/>
                <w:szCs w:val="18"/>
              </w:rPr>
              <w:t xml:space="preserve"> -   </w:t>
            </w:r>
          </w:p>
        </w:tc>
        <w:tc>
          <w:tcPr>
            <w:tcW w:w="500" w:type="pct"/>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tc>
          <w:tcPr>
            <w:tcW w:w="288" w:type="pct"/>
          </w:tcPr>
          <w:sdt>
            <w:sdtPr>
              <w:rPr>
                <w:color w:val="000000" w:themeColor="text1"/>
                <w:sz w:val="18"/>
                <w:szCs w:val="18"/>
              </w:rPr>
              <w:tag w:val="_PLD_ea153cdd99f74bf1b50bc1743d25f429"/>
              <w:id w:val="1797252989"/>
            </w:sdtPr>
            <w:sdtEndPr/>
            <w:sdtContent>
              <w:p w:rsidR="00597370" w:rsidRDefault="003C2EEE">
                <w:pPr>
                  <w:rPr>
                    <w:color w:val="000000" w:themeColor="text1"/>
                    <w:sz w:val="18"/>
                    <w:szCs w:val="18"/>
                  </w:rPr>
                </w:pPr>
                <w:r>
                  <w:rPr>
                    <w:color w:val="000000" w:themeColor="text1"/>
                    <w:sz w:val="18"/>
                    <w:szCs w:val="18"/>
                  </w:rPr>
                  <w:t>5．其他综合收益结转留存收益</w:t>
                </w:r>
              </w:p>
            </w:sdtContent>
          </w:sdt>
        </w:tc>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tcPr>
          <w:p w:rsidR="00597370" w:rsidRDefault="003C2EEE">
            <w:pPr>
              <w:jc w:val="right"/>
              <w:rPr>
                <w:sz w:val="18"/>
                <w:szCs w:val="18"/>
              </w:rPr>
            </w:pPr>
            <w:r>
              <w:rPr>
                <w:rFonts w:hint="eastAsia"/>
                <w:color w:val="000000"/>
                <w:sz w:val="18"/>
                <w:szCs w:val="18"/>
              </w:rPr>
              <w:t xml:space="preserve"> -   </w:t>
            </w:r>
          </w:p>
        </w:tc>
        <w:tc>
          <w:tcPr>
            <w:tcW w:w="301" w:type="pct"/>
          </w:tcPr>
          <w:p w:rsidR="00597370" w:rsidRDefault="003C2EEE">
            <w:pPr>
              <w:jc w:val="right"/>
              <w:rPr>
                <w:sz w:val="18"/>
                <w:szCs w:val="18"/>
              </w:rPr>
            </w:pPr>
            <w:r>
              <w:rPr>
                <w:rFonts w:hint="eastAsia"/>
                <w:color w:val="000000"/>
                <w:sz w:val="18"/>
                <w:szCs w:val="18"/>
              </w:rPr>
              <w:t xml:space="preserve"> -   </w:t>
            </w:r>
          </w:p>
        </w:tc>
        <w:tc>
          <w:tcPr>
            <w:tcW w:w="500" w:type="pct"/>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tc>
          <w:tcPr>
            <w:tcW w:w="288" w:type="pct"/>
          </w:tcPr>
          <w:sdt>
            <w:sdtPr>
              <w:rPr>
                <w:color w:val="000000" w:themeColor="text1"/>
                <w:sz w:val="18"/>
                <w:szCs w:val="18"/>
              </w:rPr>
              <w:tag w:val="_PLD_de42fced9d0547ecb946b8443ac4ea20"/>
              <w:id w:val="524370244"/>
            </w:sdtPr>
            <w:sdtEndPr/>
            <w:sdtContent>
              <w:p w:rsidR="00597370" w:rsidRDefault="003C2EEE">
                <w:pPr>
                  <w:rPr>
                    <w:color w:val="000000" w:themeColor="text1"/>
                  </w:rPr>
                </w:pPr>
                <w:r>
                  <w:rPr>
                    <w:color w:val="000000" w:themeColor="text1"/>
                    <w:sz w:val="18"/>
                    <w:szCs w:val="18"/>
                  </w:rPr>
                  <w:t>6．其他</w:t>
                </w:r>
              </w:p>
            </w:sdtContent>
          </w:sdt>
        </w:tc>
        <w:tc>
          <w:tcPr>
            <w:tcW w:w="462" w:type="pct"/>
          </w:tcPr>
          <w:p w:rsidR="00597370" w:rsidRDefault="003C2EEE">
            <w:pPr>
              <w:jc w:val="right"/>
              <w:rPr>
                <w:sz w:val="18"/>
                <w:szCs w:val="18"/>
              </w:rPr>
            </w:pPr>
            <w:r>
              <w:rPr>
                <w:rFonts w:hint="eastAsia"/>
                <w:color w:val="000000"/>
                <w:sz w:val="18"/>
                <w:szCs w:val="18"/>
              </w:rPr>
              <w:t xml:space="preserve"> -   </w:t>
            </w:r>
          </w:p>
        </w:tc>
        <w:tc>
          <w:tcPr>
            <w:tcW w:w="149"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1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300" w:type="pct"/>
          </w:tcPr>
          <w:p w:rsidR="00597370" w:rsidRDefault="003C2EEE">
            <w:pPr>
              <w:jc w:val="right"/>
              <w:rPr>
                <w:sz w:val="18"/>
                <w:szCs w:val="18"/>
              </w:rPr>
            </w:pPr>
            <w:r>
              <w:rPr>
                <w:rFonts w:hint="eastAsia"/>
                <w:color w:val="000000"/>
                <w:sz w:val="18"/>
                <w:szCs w:val="18"/>
              </w:rPr>
              <w:t xml:space="preserve"> -   </w:t>
            </w:r>
          </w:p>
        </w:tc>
        <w:tc>
          <w:tcPr>
            <w:tcW w:w="350" w:type="pct"/>
          </w:tcPr>
          <w:p w:rsidR="00597370" w:rsidRDefault="003C2EEE">
            <w:pPr>
              <w:jc w:val="right"/>
              <w:rPr>
                <w:sz w:val="18"/>
                <w:szCs w:val="18"/>
              </w:rPr>
            </w:pPr>
            <w:r>
              <w:rPr>
                <w:rFonts w:hint="eastAsia"/>
                <w:color w:val="000000"/>
                <w:sz w:val="18"/>
                <w:szCs w:val="18"/>
              </w:rPr>
              <w:t xml:space="preserve"> -   </w:t>
            </w:r>
          </w:p>
        </w:tc>
        <w:tc>
          <w:tcPr>
            <w:tcW w:w="450" w:type="pct"/>
          </w:tcPr>
          <w:p w:rsidR="00597370" w:rsidRDefault="003C2EEE">
            <w:pPr>
              <w:jc w:val="right"/>
              <w:rPr>
                <w:sz w:val="18"/>
                <w:szCs w:val="18"/>
              </w:rPr>
            </w:pPr>
            <w:r>
              <w:rPr>
                <w:rFonts w:hint="eastAsia"/>
                <w:color w:val="000000"/>
                <w:sz w:val="18"/>
                <w:szCs w:val="18"/>
              </w:rPr>
              <w:t xml:space="preserve"> -   </w:t>
            </w:r>
          </w:p>
        </w:tc>
        <w:tc>
          <w:tcPr>
            <w:tcW w:w="200" w:type="pct"/>
          </w:tcPr>
          <w:p w:rsidR="00597370" w:rsidRDefault="003C2EEE">
            <w:pPr>
              <w:jc w:val="right"/>
              <w:rPr>
                <w:sz w:val="18"/>
                <w:szCs w:val="18"/>
              </w:rPr>
            </w:pPr>
            <w:r>
              <w:rPr>
                <w:rFonts w:hint="eastAsia"/>
                <w:color w:val="000000"/>
                <w:sz w:val="18"/>
                <w:szCs w:val="18"/>
              </w:rPr>
              <w:t xml:space="preserve"> -   </w:t>
            </w:r>
          </w:p>
        </w:tc>
        <w:tc>
          <w:tcPr>
            <w:tcW w:w="451" w:type="pct"/>
          </w:tcPr>
          <w:p w:rsidR="00597370" w:rsidRDefault="003C2EEE">
            <w:pPr>
              <w:jc w:val="right"/>
              <w:rPr>
                <w:sz w:val="18"/>
                <w:szCs w:val="18"/>
              </w:rPr>
            </w:pPr>
            <w:r>
              <w:rPr>
                <w:rFonts w:hint="eastAsia"/>
                <w:color w:val="000000"/>
                <w:sz w:val="18"/>
                <w:szCs w:val="18"/>
              </w:rPr>
              <w:t xml:space="preserve"> -   </w:t>
            </w:r>
          </w:p>
        </w:tc>
        <w:tc>
          <w:tcPr>
            <w:tcW w:w="199" w:type="pct"/>
          </w:tcPr>
          <w:p w:rsidR="00597370" w:rsidRDefault="003C2EEE">
            <w:pPr>
              <w:jc w:val="right"/>
              <w:rPr>
                <w:sz w:val="18"/>
                <w:szCs w:val="18"/>
              </w:rPr>
            </w:pPr>
            <w:r>
              <w:rPr>
                <w:rFonts w:hint="eastAsia"/>
                <w:color w:val="000000"/>
                <w:sz w:val="18"/>
                <w:szCs w:val="18"/>
              </w:rPr>
              <w:t xml:space="preserve"> -   </w:t>
            </w:r>
          </w:p>
        </w:tc>
        <w:tc>
          <w:tcPr>
            <w:tcW w:w="400" w:type="pct"/>
          </w:tcPr>
          <w:p w:rsidR="00597370" w:rsidRDefault="003C2EEE">
            <w:pPr>
              <w:jc w:val="right"/>
              <w:rPr>
                <w:sz w:val="18"/>
                <w:szCs w:val="18"/>
              </w:rPr>
            </w:pPr>
            <w:r>
              <w:rPr>
                <w:rFonts w:hint="eastAsia"/>
                <w:color w:val="000000"/>
                <w:sz w:val="18"/>
                <w:szCs w:val="18"/>
              </w:rPr>
              <w:t xml:space="preserve"> -   </w:t>
            </w:r>
          </w:p>
        </w:tc>
        <w:tc>
          <w:tcPr>
            <w:tcW w:w="301" w:type="pct"/>
          </w:tcPr>
          <w:p w:rsidR="00597370" w:rsidRDefault="003C2EEE">
            <w:pPr>
              <w:jc w:val="right"/>
              <w:rPr>
                <w:sz w:val="18"/>
                <w:szCs w:val="18"/>
              </w:rPr>
            </w:pPr>
            <w:r>
              <w:rPr>
                <w:rFonts w:hint="eastAsia"/>
                <w:color w:val="000000"/>
                <w:sz w:val="18"/>
                <w:szCs w:val="18"/>
              </w:rPr>
              <w:t xml:space="preserve"> -   </w:t>
            </w:r>
          </w:p>
        </w:tc>
        <w:tc>
          <w:tcPr>
            <w:tcW w:w="500" w:type="pct"/>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14d25c6e75074c52a0f884581cc84dba"/>
            <w:id w:val="318469487"/>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（五）专项储备</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3,779,240.76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3,779,240.76 </w:t>
            </w:r>
          </w:p>
        </w:tc>
        <w:tc>
          <w:tcPr>
            <w:tcW w:w="301" w:type="pct"/>
            <w:vAlign w:val="bottom"/>
          </w:tcPr>
          <w:p w:rsidR="00597370" w:rsidRDefault="003C2EEE">
            <w:pPr>
              <w:jc w:val="right"/>
              <w:rPr>
                <w:sz w:val="18"/>
                <w:szCs w:val="18"/>
              </w:rPr>
            </w:pPr>
            <w:r>
              <w:rPr>
                <w:rFonts w:hint="eastAsia"/>
                <w:color w:val="000000"/>
                <w:sz w:val="18"/>
                <w:szCs w:val="18"/>
              </w:rPr>
              <w:t xml:space="preserve"> 74,612.10 </w:t>
            </w:r>
          </w:p>
        </w:tc>
        <w:tc>
          <w:tcPr>
            <w:tcW w:w="500" w:type="pct"/>
            <w:vAlign w:val="bottom"/>
          </w:tcPr>
          <w:p w:rsidR="00597370" w:rsidRDefault="003C2EEE">
            <w:pPr>
              <w:jc w:val="right"/>
              <w:rPr>
                <w:sz w:val="18"/>
                <w:szCs w:val="18"/>
              </w:rPr>
            </w:pPr>
            <w:r>
              <w:rPr>
                <w:rFonts w:hint="eastAsia"/>
                <w:color w:val="000000"/>
                <w:sz w:val="18"/>
                <w:szCs w:val="18"/>
              </w:rPr>
              <w:t xml:space="preserve"> 3,853,852.86 </w:t>
            </w:r>
          </w:p>
        </w:tc>
      </w:tr>
      <w:tr w:rsidR="00597370">
        <w:trPr>
          <w:trHeight w:val="397"/>
          <w:jc w:val="center"/>
        </w:trPr>
        <w:sdt>
          <w:sdtPr>
            <w:rPr>
              <w:color w:val="000000" w:themeColor="text1"/>
            </w:rPr>
            <w:tag w:val="_PLD_672c666008dd4adfa2ab5933e9cd1671"/>
            <w:id w:val="2077856545"/>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1．本期提取</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6,738,400.55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6,738,400.55 </w:t>
            </w:r>
          </w:p>
        </w:tc>
        <w:tc>
          <w:tcPr>
            <w:tcW w:w="301" w:type="pct"/>
            <w:vAlign w:val="bottom"/>
          </w:tcPr>
          <w:p w:rsidR="00597370" w:rsidRDefault="003C2EEE">
            <w:pPr>
              <w:jc w:val="right"/>
              <w:rPr>
                <w:sz w:val="18"/>
                <w:szCs w:val="18"/>
              </w:rPr>
            </w:pPr>
            <w:r>
              <w:rPr>
                <w:rFonts w:hint="eastAsia"/>
                <w:color w:val="000000"/>
                <w:sz w:val="18"/>
                <w:szCs w:val="18"/>
              </w:rPr>
              <w:t xml:space="preserve"> 156,770.47 </w:t>
            </w:r>
          </w:p>
        </w:tc>
        <w:tc>
          <w:tcPr>
            <w:tcW w:w="500" w:type="pct"/>
            <w:vAlign w:val="bottom"/>
          </w:tcPr>
          <w:p w:rsidR="00597370" w:rsidRDefault="003C2EEE">
            <w:pPr>
              <w:jc w:val="right"/>
              <w:rPr>
                <w:sz w:val="18"/>
                <w:szCs w:val="18"/>
              </w:rPr>
            </w:pPr>
            <w:r>
              <w:rPr>
                <w:rFonts w:hint="eastAsia"/>
                <w:color w:val="000000"/>
                <w:sz w:val="18"/>
                <w:szCs w:val="18"/>
              </w:rPr>
              <w:t xml:space="preserve"> 6,895,171.02 </w:t>
            </w:r>
          </w:p>
        </w:tc>
      </w:tr>
      <w:tr w:rsidR="00597370">
        <w:trPr>
          <w:trHeight w:val="397"/>
          <w:jc w:val="center"/>
        </w:trPr>
        <w:sdt>
          <w:sdtPr>
            <w:rPr>
              <w:color w:val="000000" w:themeColor="text1"/>
            </w:rPr>
            <w:tag w:val="_PLD_810ec2533aac40f59079e8e8d20e52c3"/>
            <w:id w:val="-1474985811"/>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2．本期使用</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-2,959,159.79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-2,959,159.79 </w:t>
            </w:r>
          </w:p>
        </w:tc>
        <w:tc>
          <w:tcPr>
            <w:tcW w:w="301" w:type="pct"/>
            <w:vAlign w:val="bottom"/>
          </w:tcPr>
          <w:p w:rsidR="00597370" w:rsidRDefault="003C2EEE">
            <w:pPr>
              <w:jc w:val="right"/>
              <w:rPr>
                <w:sz w:val="18"/>
                <w:szCs w:val="18"/>
              </w:rPr>
            </w:pPr>
            <w:r>
              <w:rPr>
                <w:rFonts w:hint="eastAsia"/>
                <w:color w:val="000000"/>
                <w:sz w:val="18"/>
                <w:szCs w:val="18"/>
              </w:rPr>
              <w:t xml:space="preserve"> -82,158.37 </w:t>
            </w:r>
          </w:p>
        </w:tc>
        <w:tc>
          <w:tcPr>
            <w:tcW w:w="500" w:type="pct"/>
            <w:vAlign w:val="bottom"/>
          </w:tcPr>
          <w:p w:rsidR="00597370" w:rsidRDefault="003C2EEE">
            <w:pPr>
              <w:jc w:val="right"/>
              <w:rPr>
                <w:sz w:val="18"/>
                <w:szCs w:val="18"/>
              </w:rPr>
            </w:pPr>
            <w:r>
              <w:rPr>
                <w:rFonts w:hint="eastAsia"/>
                <w:color w:val="000000"/>
                <w:sz w:val="18"/>
                <w:szCs w:val="18"/>
              </w:rPr>
              <w:t xml:space="preserve"> -3,041,318.16 </w:t>
            </w:r>
          </w:p>
        </w:tc>
      </w:tr>
      <w:tr w:rsidR="00597370">
        <w:trPr>
          <w:trHeight w:val="397"/>
          <w:jc w:val="center"/>
        </w:trPr>
        <w:sdt>
          <w:sdtPr>
            <w:rPr>
              <w:color w:val="000000" w:themeColor="text1"/>
            </w:rPr>
            <w:tag w:val="_PLD_f4bc69f9c7d34151a4b7a0d89088f0ee"/>
            <w:id w:val="-753211809"/>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（六）其他</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   </w:t>
            </w:r>
          </w:p>
        </w:tc>
        <w:tc>
          <w:tcPr>
            <w:tcW w:w="350" w:type="pct"/>
            <w:vAlign w:val="bottom"/>
          </w:tcPr>
          <w:p w:rsidR="00597370" w:rsidRDefault="003C2EEE">
            <w:pPr>
              <w:jc w:val="right"/>
              <w:rPr>
                <w:sz w:val="18"/>
                <w:szCs w:val="18"/>
              </w:rPr>
            </w:pPr>
            <w:r>
              <w:rPr>
                <w:rFonts w:hint="eastAsia"/>
                <w:color w:val="000000"/>
                <w:sz w:val="18"/>
                <w:szCs w:val="18"/>
              </w:rPr>
              <w:t xml:space="preserve"> -   </w:t>
            </w:r>
          </w:p>
        </w:tc>
        <w:tc>
          <w:tcPr>
            <w:tcW w:w="450" w:type="pct"/>
            <w:vAlign w:val="bottom"/>
          </w:tcPr>
          <w:p w:rsidR="00597370" w:rsidRDefault="003C2EEE">
            <w:pPr>
              <w:jc w:val="right"/>
              <w:rPr>
                <w:sz w:val="18"/>
                <w:szCs w:val="18"/>
              </w:rPr>
            </w:pPr>
            <w:r>
              <w:rPr>
                <w:rFonts w:hint="eastAsia"/>
                <w:color w:val="000000"/>
                <w:sz w:val="18"/>
                <w:szCs w:val="18"/>
              </w:rPr>
              <w:t xml:space="preserve"> -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   </w:t>
            </w:r>
          </w:p>
        </w:tc>
        <w:tc>
          <w:tcPr>
            <w:tcW w:w="301" w:type="pct"/>
            <w:vAlign w:val="bottom"/>
          </w:tcPr>
          <w:p w:rsidR="00597370" w:rsidRDefault="003C2EEE">
            <w:pPr>
              <w:jc w:val="right"/>
              <w:rPr>
                <w:sz w:val="18"/>
                <w:szCs w:val="18"/>
              </w:rPr>
            </w:pPr>
            <w:r>
              <w:rPr>
                <w:rFonts w:hint="eastAsia"/>
                <w:color w:val="000000"/>
                <w:sz w:val="18"/>
                <w:szCs w:val="18"/>
              </w:rPr>
              <w:t xml:space="preserve"> -   </w:t>
            </w:r>
          </w:p>
        </w:tc>
        <w:tc>
          <w:tcPr>
            <w:tcW w:w="500" w:type="pct"/>
            <w:vAlign w:val="bottom"/>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033ca7ec3c1d4c1b905d0af57ca8a614"/>
            <w:id w:val="666521240"/>
          </w:sdtPr>
          <w:sdtEndPr/>
          <w:sdtContent>
            <w:tc>
              <w:tcPr>
                <w:tcW w:w="288" w:type="pct"/>
              </w:tcPr>
              <w:p w:rsidR="00597370" w:rsidRDefault="003C2EEE">
                <w:pPr>
                  <w:rPr>
                    <w:color w:val="000000" w:themeColor="text1"/>
                    <w:sz w:val="18"/>
                    <w:szCs w:val="18"/>
                  </w:rPr>
                </w:pPr>
                <w:r>
                  <w:rPr>
                    <w:color w:val="000000" w:themeColor="text1"/>
                    <w:sz w:val="18"/>
                    <w:szCs w:val="18"/>
                  </w:rPr>
                  <w:t>四、本期期末余额</w:t>
                </w:r>
              </w:p>
            </w:tc>
          </w:sdtContent>
        </w:sdt>
        <w:tc>
          <w:tcPr>
            <w:tcW w:w="462" w:type="pct"/>
            <w:vAlign w:val="bottom"/>
          </w:tcPr>
          <w:p w:rsidR="00597370" w:rsidRDefault="003C2EEE">
            <w:pPr>
              <w:jc w:val="right"/>
              <w:rPr>
                <w:sz w:val="18"/>
                <w:szCs w:val="18"/>
              </w:rPr>
            </w:pPr>
            <w:r>
              <w:rPr>
                <w:rFonts w:hint="eastAsia"/>
                <w:color w:val="000000"/>
                <w:sz w:val="18"/>
                <w:szCs w:val="18"/>
              </w:rPr>
              <w:t xml:space="preserve"> 333,167,407.00 </w:t>
            </w:r>
          </w:p>
        </w:tc>
        <w:tc>
          <w:tcPr>
            <w:tcW w:w="149"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150" w:type="pct"/>
            <w:vAlign w:val="bottom"/>
          </w:tcPr>
          <w:p w:rsidR="00597370" w:rsidRDefault="003C2EEE">
            <w:pPr>
              <w:jc w:val="right"/>
              <w:rPr>
                <w:sz w:val="18"/>
                <w:szCs w:val="18"/>
              </w:rPr>
            </w:pPr>
            <w:r>
              <w:rPr>
                <w:rFonts w:hint="eastAsia"/>
                <w:color w:val="000000"/>
                <w:sz w:val="18"/>
                <w:szCs w:val="18"/>
              </w:rPr>
              <w:t xml:space="preserve"> -   </w:t>
            </w:r>
          </w:p>
        </w:tc>
        <w:tc>
          <w:tcPr>
            <w:tcW w:w="300" w:type="pct"/>
            <w:vAlign w:val="bottom"/>
          </w:tcPr>
          <w:p w:rsidR="00597370" w:rsidRDefault="003C2EEE">
            <w:pPr>
              <w:jc w:val="right"/>
              <w:rPr>
                <w:sz w:val="18"/>
                <w:szCs w:val="18"/>
              </w:rPr>
            </w:pPr>
            <w:r>
              <w:rPr>
                <w:rFonts w:hint="eastAsia"/>
                <w:color w:val="000000"/>
                <w:sz w:val="18"/>
                <w:szCs w:val="18"/>
              </w:rPr>
              <w:t xml:space="preserve"> 979,546,333.39 </w:t>
            </w:r>
          </w:p>
        </w:tc>
        <w:tc>
          <w:tcPr>
            <w:tcW w:w="350" w:type="pct"/>
            <w:vAlign w:val="bottom"/>
          </w:tcPr>
          <w:p w:rsidR="00597370" w:rsidRDefault="003C2EEE">
            <w:pPr>
              <w:jc w:val="right"/>
              <w:rPr>
                <w:sz w:val="18"/>
                <w:szCs w:val="18"/>
              </w:rPr>
            </w:pPr>
            <w:r>
              <w:rPr>
                <w:rFonts w:hint="eastAsia"/>
                <w:color w:val="000000"/>
                <w:sz w:val="18"/>
                <w:szCs w:val="18"/>
              </w:rPr>
              <w:t xml:space="preserve"> 50,299,241.28 </w:t>
            </w:r>
          </w:p>
        </w:tc>
        <w:tc>
          <w:tcPr>
            <w:tcW w:w="300" w:type="pct"/>
            <w:vAlign w:val="bottom"/>
          </w:tcPr>
          <w:p w:rsidR="00597370" w:rsidRDefault="003C2EEE">
            <w:pPr>
              <w:jc w:val="right"/>
              <w:rPr>
                <w:sz w:val="18"/>
                <w:szCs w:val="18"/>
              </w:rPr>
            </w:pPr>
            <w:r>
              <w:rPr>
                <w:rFonts w:hint="eastAsia"/>
                <w:color w:val="000000"/>
                <w:sz w:val="18"/>
                <w:szCs w:val="18"/>
              </w:rPr>
              <w:t xml:space="preserve"> 1,602,227.56 </w:t>
            </w:r>
          </w:p>
        </w:tc>
        <w:tc>
          <w:tcPr>
            <w:tcW w:w="350" w:type="pct"/>
            <w:vAlign w:val="bottom"/>
          </w:tcPr>
          <w:p w:rsidR="00597370" w:rsidRDefault="003C2EEE">
            <w:pPr>
              <w:jc w:val="right"/>
              <w:rPr>
                <w:sz w:val="18"/>
                <w:szCs w:val="18"/>
              </w:rPr>
            </w:pPr>
            <w:r>
              <w:rPr>
                <w:rFonts w:hint="eastAsia"/>
                <w:color w:val="000000"/>
                <w:sz w:val="18"/>
                <w:szCs w:val="18"/>
              </w:rPr>
              <w:t xml:space="preserve"> 25,682,345.46 </w:t>
            </w:r>
          </w:p>
        </w:tc>
        <w:tc>
          <w:tcPr>
            <w:tcW w:w="450" w:type="pct"/>
            <w:vAlign w:val="bottom"/>
          </w:tcPr>
          <w:p w:rsidR="00597370" w:rsidRDefault="003C2EEE">
            <w:pPr>
              <w:jc w:val="right"/>
              <w:rPr>
                <w:sz w:val="18"/>
                <w:szCs w:val="18"/>
              </w:rPr>
            </w:pPr>
            <w:r>
              <w:rPr>
                <w:rFonts w:hint="eastAsia"/>
                <w:color w:val="000000"/>
                <w:sz w:val="18"/>
                <w:szCs w:val="18"/>
              </w:rPr>
              <w:t xml:space="preserve"> 118,088,672.71 </w:t>
            </w:r>
          </w:p>
        </w:tc>
        <w:tc>
          <w:tcPr>
            <w:tcW w:w="200" w:type="pct"/>
            <w:vAlign w:val="bottom"/>
          </w:tcPr>
          <w:p w:rsidR="00597370" w:rsidRDefault="003C2EEE">
            <w:pPr>
              <w:jc w:val="right"/>
              <w:rPr>
                <w:sz w:val="18"/>
                <w:szCs w:val="18"/>
              </w:rPr>
            </w:pPr>
            <w:r>
              <w:rPr>
                <w:rFonts w:hint="eastAsia"/>
                <w:color w:val="000000"/>
                <w:sz w:val="18"/>
                <w:szCs w:val="18"/>
              </w:rPr>
              <w:t xml:space="preserve"> -   </w:t>
            </w:r>
          </w:p>
        </w:tc>
        <w:tc>
          <w:tcPr>
            <w:tcW w:w="451" w:type="pct"/>
            <w:vAlign w:val="bottom"/>
          </w:tcPr>
          <w:p w:rsidR="00597370" w:rsidRDefault="003C2EEE">
            <w:pPr>
              <w:jc w:val="right"/>
              <w:rPr>
                <w:sz w:val="18"/>
                <w:szCs w:val="18"/>
              </w:rPr>
            </w:pPr>
            <w:r>
              <w:rPr>
                <w:rFonts w:hint="eastAsia"/>
                <w:color w:val="000000"/>
                <w:sz w:val="18"/>
                <w:szCs w:val="18"/>
              </w:rPr>
              <w:t xml:space="preserve"> 977,165,873.69 </w:t>
            </w:r>
          </w:p>
        </w:tc>
        <w:tc>
          <w:tcPr>
            <w:tcW w:w="199" w:type="pct"/>
            <w:vAlign w:val="bottom"/>
          </w:tcPr>
          <w:p w:rsidR="00597370" w:rsidRDefault="003C2EEE">
            <w:pPr>
              <w:jc w:val="right"/>
              <w:rPr>
                <w:sz w:val="18"/>
                <w:szCs w:val="18"/>
              </w:rPr>
            </w:pPr>
            <w:r>
              <w:rPr>
                <w:rFonts w:hint="eastAsia"/>
                <w:color w:val="000000"/>
                <w:sz w:val="18"/>
                <w:szCs w:val="18"/>
              </w:rPr>
              <w:t xml:space="preserve"> -   </w:t>
            </w:r>
          </w:p>
        </w:tc>
        <w:tc>
          <w:tcPr>
            <w:tcW w:w="400" w:type="pct"/>
            <w:vAlign w:val="bottom"/>
          </w:tcPr>
          <w:p w:rsidR="00597370" w:rsidRDefault="003C2EEE">
            <w:pPr>
              <w:jc w:val="right"/>
              <w:rPr>
                <w:sz w:val="18"/>
                <w:szCs w:val="18"/>
              </w:rPr>
            </w:pPr>
            <w:r>
              <w:rPr>
                <w:rFonts w:hint="eastAsia"/>
                <w:color w:val="000000"/>
                <w:sz w:val="18"/>
                <w:szCs w:val="18"/>
              </w:rPr>
              <w:t xml:space="preserve"> 2,384,953,618.53 </w:t>
            </w:r>
          </w:p>
        </w:tc>
        <w:tc>
          <w:tcPr>
            <w:tcW w:w="301" w:type="pct"/>
            <w:vAlign w:val="bottom"/>
          </w:tcPr>
          <w:p w:rsidR="00597370" w:rsidRDefault="003C2EEE">
            <w:pPr>
              <w:jc w:val="right"/>
              <w:rPr>
                <w:sz w:val="18"/>
                <w:szCs w:val="18"/>
              </w:rPr>
            </w:pPr>
            <w:r>
              <w:rPr>
                <w:rFonts w:hint="eastAsia"/>
                <w:color w:val="000000"/>
                <w:sz w:val="18"/>
                <w:szCs w:val="18"/>
              </w:rPr>
              <w:t xml:space="preserve"> 131,376,968.7</w:t>
            </w:r>
            <w:r>
              <w:rPr>
                <w:color w:val="000000"/>
                <w:sz w:val="18"/>
                <w:szCs w:val="18"/>
              </w:rPr>
              <w:t>6</w:t>
            </w:r>
            <w:r>
              <w:rPr>
                <w:rFonts w:hint="eastAsia"/>
                <w:color w:val="000000"/>
                <w:sz w:val="18"/>
                <w:szCs w:val="18"/>
              </w:rPr>
              <w:t xml:space="preserve"> </w:t>
            </w:r>
          </w:p>
        </w:tc>
        <w:tc>
          <w:tcPr>
            <w:tcW w:w="500" w:type="pct"/>
            <w:vAlign w:val="bottom"/>
          </w:tcPr>
          <w:p w:rsidR="00597370" w:rsidRDefault="003C2EEE">
            <w:pPr>
              <w:jc w:val="right"/>
              <w:rPr>
                <w:sz w:val="18"/>
                <w:szCs w:val="18"/>
              </w:rPr>
            </w:pPr>
            <w:r>
              <w:rPr>
                <w:rFonts w:hint="eastAsia"/>
                <w:color w:val="000000"/>
                <w:sz w:val="18"/>
                <w:szCs w:val="18"/>
              </w:rPr>
              <w:t xml:space="preserve"> 2,516,330,587.29 </w:t>
            </w:r>
          </w:p>
        </w:tc>
      </w:tr>
    </w:tbl>
    <w:p w:rsidR="00597370" w:rsidRDefault="00597370">
      <w:pPr>
        <w:snapToGrid w:val="0"/>
        <w:spacing w:line="240" w:lineRule="atLeast"/>
        <w:ind w:rightChars="-759" w:right="-1594"/>
        <w:rPr>
          <w:color w:val="000000" w:themeColor="text1"/>
        </w:rPr>
      </w:pPr>
    </w:p>
    <w:tbl>
      <w:tblPr>
        <w:tblStyle w:val="g15"/>
        <w:tblW w:w="5111"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10"/>
        <w:gridCol w:w="425"/>
        <w:gridCol w:w="425"/>
        <w:gridCol w:w="425"/>
        <w:gridCol w:w="1275"/>
        <w:gridCol w:w="567"/>
        <w:gridCol w:w="422"/>
        <w:gridCol w:w="1559"/>
        <w:gridCol w:w="992"/>
        <w:gridCol w:w="425"/>
        <w:gridCol w:w="1275"/>
        <w:gridCol w:w="425"/>
        <w:gridCol w:w="1420"/>
        <w:gridCol w:w="1275"/>
        <w:gridCol w:w="1134"/>
      </w:tblGrid>
      <w:tr w:rsidR="00597370">
        <w:trPr>
          <w:cantSplit/>
        </w:trPr>
        <w:tc>
          <w:tcPr>
            <w:tcW w:w="288" w:type="pct"/>
            <w:vMerge w:val="restart"/>
            <w:vAlign w:val="center"/>
          </w:tcPr>
          <w:sdt>
            <w:sdtPr>
              <w:rPr>
                <w:rFonts w:hint="eastAsia"/>
                <w:color w:val="000000" w:themeColor="text1"/>
                <w:sz w:val="18"/>
                <w:szCs w:val="18"/>
              </w:rPr>
              <w:tag w:val="_PLD_20eb9c9dd1e14fb0a0790f87b63a489d"/>
              <w:id w:val="1693568373"/>
            </w:sdtPr>
            <w:sdtEndPr/>
            <w:sdtContent>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项目</w:t>
                </w:r>
              </w:p>
            </w:sdtContent>
          </w:sdt>
        </w:tc>
        <w:tc>
          <w:tcPr>
            <w:tcW w:w="4712" w:type="pct"/>
            <w:gridSpan w:val="15"/>
          </w:tcPr>
          <w:p w:rsidR="00597370" w:rsidRDefault="003C2EEE">
            <w:pPr>
              <w:snapToGrid w:val="0"/>
              <w:spacing w:line="240" w:lineRule="atLeast"/>
              <w:jc w:val="center"/>
              <w:rPr>
                <w:color w:val="000000" w:themeColor="text1"/>
              </w:rPr>
            </w:pPr>
            <w:r>
              <w:rPr>
                <w:rFonts w:hint="eastAsia"/>
                <w:color w:val="000000" w:themeColor="text1"/>
              </w:rPr>
              <w:t xml:space="preserve"> </w:t>
            </w:r>
            <w:sdt>
              <w:sdtPr>
                <w:rPr>
                  <w:rFonts w:hint="eastAsia"/>
                  <w:color w:val="000000" w:themeColor="text1"/>
                </w:rPr>
                <w:tag w:val="_PLD_95c0e6e5f75a49daa1b601f67b7dd704"/>
                <w:id w:val="1454139012"/>
              </w:sdtPr>
              <w:sdtEndPr/>
              <w:sdtContent>
                <w:r>
                  <w:rPr>
                    <w:rFonts w:hint="eastAsia"/>
                    <w:color w:val="000000" w:themeColor="text1"/>
                    <w:sz w:val="18"/>
                    <w:szCs w:val="18"/>
                  </w:rPr>
                  <w:t>2023年半年度</w:t>
                </w:r>
              </w:sdtContent>
            </w:sdt>
          </w:p>
        </w:tc>
      </w:tr>
      <w:tr w:rsidR="00597370">
        <w:trPr>
          <w:cantSplit/>
          <w:trHeight w:val="471"/>
        </w:trPr>
        <w:tc>
          <w:tcPr>
            <w:tcW w:w="288" w:type="pct"/>
            <w:vMerge/>
          </w:tcPr>
          <w:p w:rsidR="00597370" w:rsidRDefault="00597370">
            <w:pPr>
              <w:snapToGrid w:val="0"/>
              <w:spacing w:line="240" w:lineRule="atLeast"/>
              <w:ind w:rightChars="-759" w:right="-1594"/>
              <w:rPr>
                <w:color w:val="000000" w:themeColor="text1"/>
                <w:sz w:val="18"/>
                <w:szCs w:val="18"/>
              </w:rPr>
            </w:pPr>
          </w:p>
        </w:tc>
        <w:sdt>
          <w:sdtPr>
            <w:rPr>
              <w:color w:val="000000" w:themeColor="text1"/>
            </w:rPr>
            <w:tag w:val="_PLD_3c5d65171933469ea16eac46afc03a54"/>
            <w:id w:val="947816979"/>
          </w:sdtPr>
          <w:sdtEndPr/>
          <w:sdtContent>
            <w:tc>
              <w:tcPr>
                <w:tcW w:w="3862" w:type="pct"/>
                <w:gridSpan w:val="13"/>
                <w:vAlign w:val="center"/>
              </w:tcPr>
              <w:p w:rsidR="00597370" w:rsidRDefault="003C2EEE">
                <w:pPr>
                  <w:jc w:val="center"/>
                  <w:rPr>
                    <w:color w:val="000000" w:themeColor="text1"/>
                  </w:rPr>
                </w:pPr>
                <w:r>
                  <w:rPr>
                    <w:color w:val="000000" w:themeColor="text1"/>
                    <w:sz w:val="18"/>
                    <w:szCs w:val="18"/>
                  </w:rPr>
                  <w:t>归属于母公司所有者权益</w:t>
                </w:r>
              </w:p>
            </w:tc>
          </w:sdtContent>
        </w:sdt>
        <w:sdt>
          <w:sdtPr>
            <w:rPr>
              <w:color w:val="000000" w:themeColor="text1"/>
            </w:rPr>
            <w:tag w:val="_PLD_ba7b1c99b1634f48939c500d6c46ce09"/>
            <w:id w:val="1706524137"/>
          </w:sdtPr>
          <w:sdtEndPr/>
          <w:sdtContent>
            <w:tc>
              <w:tcPr>
                <w:tcW w:w="450" w:type="pct"/>
                <w:vMerge w:val="restart"/>
                <w:vAlign w:val="center"/>
              </w:tcPr>
              <w:p w:rsidR="00597370" w:rsidRDefault="003C2EEE">
                <w:pPr>
                  <w:jc w:val="center"/>
                  <w:rPr>
                    <w:color w:val="000000" w:themeColor="text1"/>
                    <w:sz w:val="18"/>
                    <w:szCs w:val="18"/>
                  </w:rPr>
                </w:pPr>
                <w:r>
                  <w:rPr>
                    <w:color w:val="000000" w:themeColor="text1"/>
                    <w:sz w:val="18"/>
                    <w:szCs w:val="18"/>
                  </w:rPr>
                  <w:t>少数股东权益</w:t>
                </w:r>
              </w:p>
            </w:tc>
          </w:sdtContent>
        </w:sdt>
        <w:sdt>
          <w:sdtPr>
            <w:rPr>
              <w:color w:val="000000" w:themeColor="text1"/>
            </w:rPr>
            <w:tag w:val="_PLD_fb367567c5f141a5863649df07435b71"/>
            <w:id w:val="-1024785167"/>
          </w:sdtPr>
          <w:sdtEndPr/>
          <w:sdtContent>
            <w:tc>
              <w:tcPr>
                <w:tcW w:w="400" w:type="pct"/>
                <w:vMerge w:val="restart"/>
                <w:vAlign w:val="center"/>
              </w:tcPr>
              <w:p w:rsidR="00597370" w:rsidRDefault="003C2EEE">
                <w:pPr>
                  <w:jc w:val="center"/>
                  <w:rPr>
                    <w:color w:val="000000" w:themeColor="text1"/>
                    <w:sz w:val="18"/>
                    <w:szCs w:val="18"/>
                  </w:rPr>
                </w:pPr>
                <w:r>
                  <w:rPr>
                    <w:color w:val="000000" w:themeColor="text1"/>
                    <w:sz w:val="18"/>
                    <w:szCs w:val="18"/>
                  </w:rPr>
                  <w:t>所有者权益合计</w:t>
                </w:r>
              </w:p>
            </w:tc>
          </w:sdtContent>
        </w:sdt>
      </w:tr>
      <w:tr w:rsidR="00597370">
        <w:trPr>
          <w:cantSplit/>
          <w:trHeight w:val="383"/>
        </w:trPr>
        <w:tc>
          <w:tcPr>
            <w:tcW w:w="288" w:type="pct"/>
            <w:vMerge/>
          </w:tcPr>
          <w:p w:rsidR="00597370" w:rsidRDefault="00597370">
            <w:pPr>
              <w:snapToGrid w:val="0"/>
              <w:spacing w:line="240" w:lineRule="atLeast"/>
              <w:ind w:rightChars="-759" w:right="-1594"/>
              <w:rPr>
                <w:color w:val="000000" w:themeColor="text1"/>
                <w:sz w:val="18"/>
                <w:szCs w:val="18"/>
              </w:rPr>
            </w:pPr>
          </w:p>
        </w:tc>
        <w:sdt>
          <w:sdtPr>
            <w:rPr>
              <w:color w:val="000000" w:themeColor="text1"/>
            </w:rPr>
            <w:tag w:val="_PLD_36b3a5c009c04b53b0bd25afc2596e7e"/>
            <w:id w:val="-634876827"/>
          </w:sdtPr>
          <w:sdtEndPr/>
          <w:sdtContent>
            <w:tc>
              <w:tcPr>
                <w:tcW w:w="462"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实收资本</w:t>
                </w:r>
                <w:r>
                  <w:rPr>
                    <w:color w:val="000000" w:themeColor="text1"/>
                    <w:sz w:val="18"/>
                    <w:szCs w:val="18"/>
                  </w:rPr>
                  <w:t>(或股本)</w:t>
                </w:r>
              </w:p>
            </w:tc>
          </w:sdtContent>
        </w:sdt>
        <w:sdt>
          <w:sdtPr>
            <w:rPr>
              <w:color w:val="000000" w:themeColor="text1"/>
            </w:rPr>
            <w:tag w:val="_PLD_c0579a9940424a129a85d26955bb30bc"/>
            <w:id w:val="1681774454"/>
          </w:sdtPr>
          <w:sdtEndPr/>
          <w:sdtContent>
            <w:tc>
              <w:tcPr>
                <w:tcW w:w="450" w:type="pct"/>
                <w:gridSpan w:val="3"/>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其他权益工具</w:t>
                </w:r>
              </w:p>
            </w:tc>
          </w:sdtContent>
        </w:sdt>
        <w:sdt>
          <w:sdtPr>
            <w:rPr>
              <w:color w:val="000000" w:themeColor="text1"/>
            </w:rPr>
            <w:tag w:val="_PLD_f728bf12d1d64c4fa04dfc828a7a0411"/>
            <w:id w:val="599919313"/>
          </w:sdtPr>
          <w:sdtEndPr/>
          <w:sdtContent>
            <w:tc>
              <w:tcPr>
                <w:tcW w:w="45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资本公积</w:t>
                </w:r>
              </w:p>
            </w:tc>
          </w:sdtContent>
        </w:sdt>
        <w:sdt>
          <w:sdtPr>
            <w:rPr>
              <w:color w:val="000000" w:themeColor="text1"/>
            </w:rPr>
            <w:tag w:val="_PLD_8c191e0685ac4367b113504c484a11e9"/>
            <w:id w:val="802730531"/>
          </w:sdtPr>
          <w:sdtEndPr/>
          <w:sdtContent>
            <w:tc>
              <w:tcPr>
                <w:tcW w:w="20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减：库存股</w:t>
                </w:r>
              </w:p>
            </w:tc>
          </w:sdtContent>
        </w:sdt>
        <w:sdt>
          <w:sdtPr>
            <w:rPr>
              <w:color w:val="000000" w:themeColor="text1"/>
            </w:rPr>
            <w:tag w:val="_PLD_68ae3206209542ea8491f40d49bafeb7"/>
            <w:id w:val="-1350941649"/>
          </w:sdtPr>
          <w:sdtEndPr/>
          <w:sdtContent>
            <w:tc>
              <w:tcPr>
                <w:tcW w:w="149"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其他综合收益</w:t>
                </w:r>
              </w:p>
            </w:tc>
          </w:sdtContent>
        </w:sdt>
        <w:sdt>
          <w:sdtPr>
            <w:rPr>
              <w:color w:val="000000" w:themeColor="text1"/>
            </w:rPr>
            <w:tag w:val="_PLD_6402f064d7a041d58973d8b8205096d0"/>
            <w:id w:val="334122027"/>
          </w:sdtPr>
          <w:sdtEndPr/>
          <w:sdtContent>
            <w:tc>
              <w:tcPr>
                <w:tcW w:w="55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专项储备</w:t>
                </w:r>
              </w:p>
            </w:tc>
          </w:sdtContent>
        </w:sdt>
        <w:sdt>
          <w:sdtPr>
            <w:rPr>
              <w:color w:val="000000" w:themeColor="text1"/>
            </w:rPr>
            <w:tag w:val="_PLD_b1d22d8686164205bfa14ef647cebfcd"/>
            <w:id w:val="1468463849"/>
          </w:sdtPr>
          <w:sdtEndPr/>
          <w:sdtContent>
            <w:tc>
              <w:tcPr>
                <w:tcW w:w="35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盈余公积</w:t>
                </w:r>
              </w:p>
            </w:tc>
          </w:sdtContent>
        </w:sdt>
        <w:sdt>
          <w:sdtPr>
            <w:rPr>
              <w:color w:val="000000" w:themeColor="text1"/>
            </w:rPr>
            <w:tag w:val="_PLD_c5c57d0195b14864b413898a9c76e89d"/>
            <w:id w:val="553043501"/>
          </w:sdtPr>
          <w:sdtEndPr/>
          <w:sdtContent>
            <w:tc>
              <w:tcPr>
                <w:tcW w:w="15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一般风险准备</w:t>
                </w:r>
              </w:p>
            </w:tc>
          </w:sdtContent>
        </w:sdt>
        <w:sdt>
          <w:sdtPr>
            <w:rPr>
              <w:color w:val="000000" w:themeColor="text1"/>
            </w:rPr>
            <w:tag w:val="_PLD_c9bffd2027d24ca1955db036ad79f5ea"/>
            <w:id w:val="555755896"/>
          </w:sdtPr>
          <w:sdtEndPr/>
          <w:sdtContent>
            <w:tc>
              <w:tcPr>
                <w:tcW w:w="450" w:type="pct"/>
                <w:vMerge w:val="restart"/>
                <w:vAlign w:val="center"/>
              </w:tcPr>
              <w:p w:rsidR="00597370" w:rsidRDefault="003C2EEE">
                <w:pPr>
                  <w:snapToGrid w:val="0"/>
                  <w:spacing w:line="240" w:lineRule="atLeast"/>
                  <w:jc w:val="center"/>
                  <w:rPr>
                    <w:color w:val="000000" w:themeColor="text1"/>
                    <w:sz w:val="18"/>
                    <w:szCs w:val="18"/>
                  </w:rPr>
                </w:pPr>
                <w:r>
                  <w:rPr>
                    <w:rFonts w:hint="eastAsia"/>
                    <w:color w:val="000000" w:themeColor="text1"/>
                    <w:sz w:val="18"/>
                    <w:szCs w:val="18"/>
                  </w:rPr>
                  <w:t>未分配利润</w:t>
                </w:r>
              </w:p>
            </w:tc>
          </w:sdtContent>
        </w:sdt>
        <w:tc>
          <w:tcPr>
            <w:tcW w:w="150" w:type="pct"/>
            <w:vMerge w:val="restart"/>
            <w:vAlign w:val="center"/>
          </w:tcPr>
          <w:sdt>
            <w:sdtPr>
              <w:rPr>
                <w:rFonts w:hint="eastAsia"/>
                <w:color w:val="000000" w:themeColor="text1"/>
                <w:sz w:val="18"/>
                <w:szCs w:val="18"/>
              </w:rPr>
              <w:tag w:val="_PLD_de6da1e2128f48e49564e44af75ff7ab"/>
              <w:id w:val="1839645738"/>
            </w:sdtPr>
            <w:sdtEndPr/>
            <w:sdtContent>
              <w:sdt>
                <w:sdtPr>
                  <w:rPr>
                    <w:rFonts w:hint="eastAsia"/>
                    <w:color w:val="000000" w:themeColor="text1"/>
                    <w:sz w:val="18"/>
                    <w:szCs w:val="18"/>
                  </w:rPr>
                  <w:tag w:val="_PLD_ff5e808cf3794086a9aee4c489a9f6eb"/>
                  <w:id w:val="675461348"/>
                </w:sdtPr>
                <w:sdtEndPr/>
                <w:sdtContent>
                  <w:p w:rsidR="00597370" w:rsidRDefault="003C2EEE">
                    <w:pPr>
                      <w:jc w:val="center"/>
                      <w:rPr>
                        <w:color w:val="000000" w:themeColor="text1"/>
                        <w:sz w:val="18"/>
                        <w:szCs w:val="18"/>
                      </w:rPr>
                    </w:pPr>
                    <w:r>
                      <w:rPr>
                        <w:rFonts w:hint="eastAsia"/>
                        <w:color w:val="000000" w:themeColor="text1"/>
                        <w:sz w:val="18"/>
                        <w:szCs w:val="18"/>
                      </w:rPr>
                      <w:t>其他</w:t>
                    </w:r>
                  </w:p>
                </w:sdtContent>
              </w:sdt>
            </w:sdtContent>
          </w:sdt>
        </w:tc>
        <w:tc>
          <w:tcPr>
            <w:tcW w:w="501" w:type="pct"/>
            <w:vMerge w:val="restart"/>
            <w:vAlign w:val="center"/>
          </w:tcPr>
          <w:sdt>
            <w:sdtPr>
              <w:rPr>
                <w:rFonts w:hint="eastAsia"/>
                <w:color w:val="000000" w:themeColor="text1"/>
                <w:sz w:val="18"/>
                <w:szCs w:val="18"/>
              </w:rPr>
              <w:tag w:val="_PLD_e6df9793a438430a8df9730b2cdd8a99"/>
              <w:id w:val="-602956588"/>
            </w:sdtPr>
            <w:sdtEndPr/>
            <w:sdtContent>
              <w:p w:rsidR="00597370" w:rsidRDefault="003C2EEE">
                <w:pPr>
                  <w:jc w:val="center"/>
                  <w:rPr>
                    <w:color w:val="000000" w:themeColor="text1"/>
                    <w:sz w:val="18"/>
                    <w:szCs w:val="18"/>
                  </w:rPr>
                </w:pPr>
                <w:r>
                  <w:rPr>
                    <w:rFonts w:hint="eastAsia"/>
                    <w:color w:val="000000" w:themeColor="text1"/>
                    <w:sz w:val="18"/>
                    <w:szCs w:val="18"/>
                  </w:rPr>
                  <w:t>小计</w:t>
                </w:r>
              </w:p>
            </w:sdtContent>
          </w:sdt>
        </w:tc>
        <w:tc>
          <w:tcPr>
            <w:tcW w:w="450" w:type="pct"/>
            <w:vMerge/>
          </w:tcPr>
          <w:p w:rsidR="00597370" w:rsidRDefault="00597370">
            <w:pPr>
              <w:jc w:val="center"/>
              <w:rPr>
                <w:color w:val="000000" w:themeColor="text1"/>
                <w:sz w:val="18"/>
                <w:szCs w:val="18"/>
              </w:rPr>
            </w:pPr>
          </w:p>
        </w:tc>
        <w:tc>
          <w:tcPr>
            <w:tcW w:w="400" w:type="pct"/>
            <w:vMerge/>
          </w:tcPr>
          <w:p w:rsidR="00597370" w:rsidRDefault="00597370">
            <w:pPr>
              <w:jc w:val="center"/>
              <w:rPr>
                <w:color w:val="000000" w:themeColor="text1"/>
                <w:sz w:val="18"/>
                <w:szCs w:val="18"/>
              </w:rPr>
            </w:pPr>
          </w:p>
        </w:tc>
      </w:tr>
      <w:tr w:rsidR="00597370">
        <w:trPr>
          <w:cantSplit/>
          <w:trHeight w:val="303"/>
        </w:trPr>
        <w:tc>
          <w:tcPr>
            <w:tcW w:w="288" w:type="pct"/>
            <w:vMerge/>
          </w:tcPr>
          <w:p w:rsidR="00597370" w:rsidRDefault="00597370">
            <w:pPr>
              <w:snapToGrid w:val="0"/>
              <w:spacing w:line="240" w:lineRule="atLeast"/>
              <w:ind w:rightChars="-759" w:right="-1594"/>
              <w:rPr>
                <w:color w:val="000000" w:themeColor="text1"/>
                <w:sz w:val="18"/>
                <w:szCs w:val="18"/>
              </w:rPr>
            </w:pPr>
          </w:p>
        </w:tc>
        <w:tc>
          <w:tcPr>
            <w:tcW w:w="462" w:type="pct"/>
            <w:vMerge/>
          </w:tcPr>
          <w:p w:rsidR="00597370" w:rsidRDefault="00597370">
            <w:pPr>
              <w:snapToGrid w:val="0"/>
              <w:spacing w:line="240" w:lineRule="atLeast"/>
              <w:jc w:val="center"/>
              <w:rPr>
                <w:color w:val="000000" w:themeColor="text1"/>
                <w:sz w:val="18"/>
                <w:szCs w:val="18"/>
              </w:rPr>
            </w:pPr>
          </w:p>
        </w:tc>
        <w:sdt>
          <w:sdtPr>
            <w:rPr>
              <w:color w:val="000000" w:themeColor="text1"/>
            </w:rPr>
            <w:tag w:val="_PLD_052ae87eff474159aaedec0c5ce4bb50"/>
            <w:id w:val="-607577864"/>
          </w:sdtPr>
          <w:sdtEndPr/>
          <w:sdtContent>
            <w:tc>
              <w:tcPr>
                <w:tcW w:w="150" w:type="pct"/>
                <w:vAlign w:val="center"/>
              </w:tcPr>
              <w:p w:rsidR="00597370" w:rsidRDefault="003C2EEE">
                <w:pPr>
                  <w:jc w:val="center"/>
                  <w:rPr>
                    <w:color w:val="000000" w:themeColor="text1"/>
                    <w:sz w:val="18"/>
                    <w:szCs w:val="18"/>
                  </w:rPr>
                </w:pPr>
                <w:r>
                  <w:rPr>
                    <w:rFonts w:hint="eastAsia"/>
                    <w:color w:val="000000" w:themeColor="text1"/>
                    <w:sz w:val="18"/>
                    <w:szCs w:val="18"/>
                  </w:rPr>
                  <w:t>优先股</w:t>
                </w:r>
              </w:p>
            </w:tc>
          </w:sdtContent>
        </w:sdt>
        <w:sdt>
          <w:sdtPr>
            <w:rPr>
              <w:color w:val="000000" w:themeColor="text1"/>
            </w:rPr>
            <w:tag w:val="_PLD_f40d311f528a48d8a47457e11ad5ccd5"/>
            <w:id w:val="890690912"/>
          </w:sdtPr>
          <w:sdtEndPr/>
          <w:sdtContent>
            <w:tc>
              <w:tcPr>
                <w:tcW w:w="150" w:type="pct"/>
                <w:vAlign w:val="center"/>
              </w:tcPr>
              <w:p w:rsidR="00597370" w:rsidRDefault="003C2EEE">
                <w:pPr>
                  <w:jc w:val="center"/>
                  <w:rPr>
                    <w:color w:val="000000" w:themeColor="text1"/>
                    <w:sz w:val="18"/>
                    <w:szCs w:val="18"/>
                  </w:rPr>
                </w:pPr>
                <w:r>
                  <w:rPr>
                    <w:rFonts w:hint="eastAsia"/>
                    <w:color w:val="000000" w:themeColor="text1"/>
                    <w:sz w:val="18"/>
                    <w:szCs w:val="18"/>
                  </w:rPr>
                  <w:t>永续债</w:t>
                </w:r>
              </w:p>
            </w:tc>
          </w:sdtContent>
        </w:sdt>
        <w:sdt>
          <w:sdtPr>
            <w:rPr>
              <w:color w:val="000000" w:themeColor="text1"/>
            </w:rPr>
            <w:tag w:val="_PLD_90f98adf8eaf44078005d57f570c4291"/>
            <w:id w:val="514347697"/>
          </w:sdtPr>
          <w:sdtEndPr/>
          <w:sdtContent>
            <w:tc>
              <w:tcPr>
                <w:tcW w:w="150" w:type="pct"/>
                <w:vAlign w:val="center"/>
              </w:tcPr>
              <w:p w:rsidR="00597370" w:rsidRDefault="003C2EEE">
                <w:pPr>
                  <w:jc w:val="center"/>
                  <w:rPr>
                    <w:color w:val="000000" w:themeColor="text1"/>
                    <w:sz w:val="18"/>
                    <w:szCs w:val="18"/>
                  </w:rPr>
                </w:pPr>
                <w:r>
                  <w:rPr>
                    <w:rFonts w:hint="eastAsia"/>
                    <w:color w:val="000000" w:themeColor="text1"/>
                    <w:sz w:val="18"/>
                    <w:szCs w:val="18"/>
                  </w:rPr>
                  <w:t>其他</w:t>
                </w:r>
              </w:p>
            </w:tc>
          </w:sdtContent>
        </w:sdt>
        <w:tc>
          <w:tcPr>
            <w:tcW w:w="450" w:type="pct"/>
            <w:vMerge/>
          </w:tcPr>
          <w:p w:rsidR="00597370" w:rsidRDefault="00597370">
            <w:pPr>
              <w:snapToGrid w:val="0"/>
              <w:spacing w:line="240" w:lineRule="atLeast"/>
              <w:jc w:val="center"/>
              <w:rPr>
                <w:color w:val="000000" w:themeColor="text1"/>
                <w:sz w:val="18"/>
                <w:szCs w:val="18"/>
              </w:rPr>
            </w:pPr>
          </w:p>
        </w:tc>
        <w:tc>
          <w:tcPr>
            <w:tcW w:w="200" w:type="pct"/>
            <w:vMerge/>
          </w:tcPr>
          <w:p w:rsidR="00597370" w:rsidRDefault="00597370">
            <w:pPr>
              <w:snapToGrid w:val="0"/>
              <w:spacing w:line="240" w:lineRule="atLeast"/>
              <w:jc w:val="center"/>
              <w:rPr>
                <w:color w:val="000000" w:themeColor="text1"/>
                <w:sz w:val="18"/>
                <w:szCs w:val="18"/>
              </w:rPr>
            </w:pPr>
          </w:p>
        </w:tc>
        <w:tc>
          <w:tcPr>
            <w:tcW w:w="149" w:type="pct"/>
            <w:vMerge/>
          </w:tcPr>
          <w:p w:rsidR="00597370" w:rsidRDefault="00597370">
            <w:pPr>
              <w:snapToGrid w:val="0"/>
              <w:spacing w:line="240" w:lineRule="atLeast"/>
              <w:jc w:val="center"/>
              <w:rPr>
                <w:color w:val="000000" w:themeColor="text1"/>
                <w:sz w:val="18"/>
                <w:szCs w:val="18"/>
              </w:rPr>
            </w:pPr>
          </w:p>
        </w:tc>
        <w:tc>
          <w:tcPr>
            <w:tcW w:w="550" w:type="pct"/>
            <w:vMerge/>
          </w:tcPr>
          <w:p w:rsidR="00597370" w:rsidRDefault="00597370">
            <w:pPr>
              <w:snapToGrid w:val="0"/>
              <w:spacing w:line="240" w:lineRule="atLeast"/>
              <w:jc w:val="center"/>
              <w:rPr>
                <w:color w:val="000000" w:themeColor="text1"/>
                <w:sz w:val="18"/>
                <w:szCs w:val="18"/>
              </w:rPr>
            </w:pPr>
          </w:p>
        </w:tc>
        <w:tc>
          <w:tcPr>
            <w:tcW w:w="350" w:type="pct"/>
            <w:vMerge/>
          </w:tcPr>
          <w:p w:rsidR="00597370" w:rsidRDefault="00597370">
            <w:pPr>
              <w:snapToGrid w:val="0"/>
              <w:spacing w:line="240" w:lineRule="atLeast"/>
              <w:jc w:val="center"/>
              <w:rPr>
                <w:color w:val="000000" w:themeColor="text1"/>
                <w:sz w:val="18"/>
                <w:szCs w:val="18"/>
              </w:rPr>
            </w:pPr>
          </w:p>
        </w:tc>
        <w:tc>
          <w:tcPr>
            <w:tcW w:w="150" w:type="pct"/>
            <w:vMerge/>
          </w:tcPr>
          <w:p w:rsidR="00597370" w:rsidRDefault="00597370">
            <w:pPr>
              <w:snapToGrid w:val="0"/>
              <w:spacing w:line="240" w:lineRule="atLeast"/>
              <w:jc w:val="center"/>
              <w:rPr>
                <w:color w:val="000000" w:themeColor="text1"/>
                <w:sz w:val="18"/>
                <w:szCs w:val="18"/>
              </w:rPr>
            </w:pPr>
          </w:p>
        </w:tc>
        <w:tc>
          <w:tcPr>
            <w:tcW w:w="450" w:type="pct"/>
            <w:vMerge/>
          </w:tcPr>
          <w:p w:rsidR="00597370" w:rsidRDefault="00597370">
            <w:pPr>
              <w:snapToGrid w:val="0"/>
              <w:spacing w:line="240" w:lineRule="atLeast"/>
              <w:jc w:val="center"/>
              <w:rPr>
                <w:color w:val="000000" w:themeColor="text1"/>
                <w:sz w:val="18"/>
                <w:szCs w:val="18"/>
              </w:rPr>
            </w:pPr>
          </w:p>
        </w:tc>
        <w:tc>
          <w:tcPr>
            <w:tcW w:w="150" w:type="pct"/>
            <w:vMerge/>
          </w:tcPr>
          <w:p w:rsidR="00597370" w:rsidRDefault="00597370">
            <w:pPr>
              <w:jc w:val="center"/>
              <w:rPr>
                <w:color w:val="000000" w:themeColor="text1"/>
                <w:sz w:val="18"/>
                <w:szCs w:val="18"/>
              </w:rPr>
            </w:pPr>
          </w:p>
        </w:tc>
        <w:tc>
          <w:tcPr>
            <w:tcW w:w="501" w:type="pct"/>
            <w:vMerge/>
          </w:tcPr>
          <w:p w:rsidR="00597370" w:rsidRDefault="00597370">
            <w:pPr>
              <w:jc w:val="center"/>
              <w:rPr>
                <w:color w:val="000000" w:themeColor="text1"/>
                <w:sz w:val="18"/>
                <w:szCs w:val="18"/>
              </w:rPr>
            </w:pPr>
          </w:p>
        </w:tc>
        <w:tc>
          <w:tcPr>
            <w:tcW w:w="450" w:type="pct"/>
            <w:vMerge/>
          </w:tcPr>
          <w:p w:rsidR="00597370" w:rsidRDefault="00597370">
            <w:pPr>
              <w:jc w:val="center"/>
              <w:rPr>
                <w:color w:val="000000" w:themeColor="text1"/>
                <w:sz w:val="18"/>
                <w:szCs w:val="18"/>
              </w:rPr>
            </w:pPr>
          </w:p>
        </w:tc>
        <w:tc>
          <w:tcPr>
            <w:tcW w:w="400" w:type="pct"/>
            <w:vMerge/>
            <w:tcBorders>
              <w:bottom w:val="nil"/>
            </w:tcBorders>
          </w:tcPr>
          <w:p w:rsidR="00597370" w:rsidRDefault="00597370">
            <w:pPr>
              <w:jc w:val="center"/>
              <w:rPr>
                <w:color w:val="000000" w:themeColor="text1"/>
                <w:sz w:val="18"/>
                <w:szCs w:val="18"/>
              </w:rPr>
            </w:pPr>
          </w:p>
        </w:tc>
      </w:tr>
      <w:tr w:rsidR="00597370">
        <w:sdt>
          <w:sdtPr>
            <w:rPr>
              <w:color w:val="000000" w:themeColor="text1"/>
            </w:rPr>
            <w:tag w:val="_PLD_7e9607e7cfb34d74bf0fce08e0866d34"/>
            <w:id w:val="-1599247725"/>
          </w:sdtPr>
          <w:sdtEndPr/>
          <w:sdtContent>
            <w:tc>
              <w:tcPr>
                <w:tcW w:w="288" w:type="pct"/>
              </w:tcPr>
              <w:p w:rsidR="00597370" w:rsidRDefault="003C2EEE">
                <w:pPr>
                  <w:rPr>
                    <w:color w:val="000000" w:themeColor="text1"/>
                    <w:sz w:val="18"/>
                    <w:szCs w:val="18"/>
                  </w:rPr>
                </w:pPr>
                <w:r>
                  <w:rPr>
                    <w:color w:val="000000" w:themeColor="text1"/>
                    <w:sz w:val="18"/>
                    <w:szCs w:val="18"/>
                  </w:rPr>
                  <w:t>一、上年</w:t>
                </w:r>
                <w:r>
                  <w:rPr>
                    <w:rFonts w:hint="eastAsia"/>
                    <w:color w:val="000000" w:themeColor="text1"/>
                    <w:sz w:val="18"/>
                    <w:szCs w:val="18"/>
                  </w:rPr>
                  <w:t>期</w:t>
                </w:r>
                <w:r>
                  <w:rPr>
                    <w:color w:val="000000" w:themeColor="text1"/>
                    <w:sz w:val="18"/>
                    <w:szCs w:val="18"/>
                  </w:rPr>
                  <w:t>末余额</w:t>
                </w:r>
              </w:p>
            </w:tc>
          </w:sdtContent>
        </w:sdt>
        <w:tc>
          <w:tcPr>
            <w:tcW w:w="462" w:type="pct"/>
            <w:vAlign w:val="center"/>
          </w:tcPr>
          <w:p w:rsidR="00597370" w:rsidRDefault="003C2EEE">
            <w:pPr>
              <w:jc w:val="right"/>
              <w:rPr>
                <w:sz w:val="18"/>
                <w:szCs w:val="18"/>
              </w:rPr>
            </w:pPr>
            <w:r>
              <w:rPr>
                <w:sz w:val="18"/>
                <w:szCs w:val="18"/>
              </w:rPr>
              <w:t>333,167,407.00</w:t>
            </w: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3C2EEE">
            <w:pPr>
              <w:jc w:val="right"/>
              <w:rPr>
                <w:sz w:val="18"/>
                <w:szCs w:val="18"/>
              </w:rPr>
            </w:pPr>
            <w:r>
              <w:rPr>
                <w:sz w:val="18"/>
                <w:szCs w:val="18"/>
              </w:rPr>
              <w:t>982,384,564.80</w:t>
            </w: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3C2EEE">
            <w:pPr>
              <w:jc w:val="right"/>
              <w:rPr>
                <w:sz w:val="18"/>
                <w:szCs w:val="18"/>
              </w:rPr>
            </w:pPr>
            <w:r>
              <w:rPr>
                <w:sz w:val="18"/>
                <w:szCs w:val="18"/>
              </w:rPr>
              <w:t>15,311,928.33</w:t>
            </w:r>
          </w:p>
        </w:tc>
        <w:tc>
          <w:tcPr>
            <w:tcW w:w="350" w:type="pct"/>
            <w:vAlign w:val="center"/>
          </w:tcPr>
          <w:p w:rsidR="00597370" w:rsidRDefault="003C2EEE">
            <w:pPr>
              <w:jc w:val="right"/>
              <w:rPr>
                <w:sz w:val="18"/>
                <w:szCs w:val="18"/>
              </w:rPr>
            </w:pPr>
            <w:r>
              <w:rPr>
                <w:sz w:val="18"/>
                <w:szCs w:val="18"/>
              </w:rPr>
              <w:t>94,090,598.13</w:t>
            </w:r>
          </w:p>
        </w:tc>
        <w:tc>
          <w:tcPr>
            <w:tcW w:w="150" w:type="pct"/>
            <w:vAlign w:val="center"/>
          </w:tcPr>
          <w:p w:rsidR="00597370" w:rsidRDefault="00597370">
            <w:pPr>
              <w:jc w:val="right"/>
              <w:rPr>
                <w:sz w:val="18"/>
                <w:szCs w:val="18"/>
              </w:rPr>
            </w:pPr>
          </w:p>
        </w:tc>
        <w:tc>
          <w:tcPr>
            <w:tcW w:w="450" w:type="pct"/>
            <w:vAlign w:val="center"/>
          </w:tcPr>
          <w:p w:rsidR="00597370" w:rsidRDefault="003C2EEE">
            <w:pPr>
              <w:jc w:val="right"/>
              <w:rPr>
                <w:sz w:val="18"/>
                <w:szCs w:val="18"/>
              </w:rPr>
            </w:pPr>
            <w:r>
              <w:rPr>
                <w:sz w:val="18"/>
                <w:szCs w:val="18"/>
              </w:rPr>
              <w:t>841,631,315.88</w:t>
            </w:r>
          </w:p>
        </w:tc>
        <w:tc>
          <w:tcPr>
            <w:tcW w:w="150" w:type="pct"/>
            <w:vAlign w:val="center"/>
          </w:tcPr>
          <w:p w:rsidR="00597370" w:rsidRDefault="00597370">
            <w:pPr>
              <w:jc w:val="right"/>
              <w:rPr>
                <w:sz w:val="18"/>
                <w:szCs w:val="18"/>
              </w:rPr>
            </w:pPr>
          </w:p>
        </w:tc>
        <w:tc>
          <w:tcPr>
            <w:tcW w:w="501" w:type="pct"/>
            <w:vAlign w:val="center"/>
          </w:tcPr>
          <w:p w:rsidR="00597370" w:rsidRDefault="003C2EEE">
            <w:pPr>
              <w:jc w:val="right"/>
              <w:rPr>
                <w:sz w:val="18"/>
                <w:szCs w:val="18"/>
              </w:rPr>
            </w:pPr>
            <w:r>
              <w:rPr>
                <w:sz w:val="18"/>
                <w:szCs w:val="18"/>
              </w:rPr>
              <w:t>2,266,585,814.14</w:t>
            </w:r>
          </w:p>
        </w:tc>
        <w:tc>
          <w:tcPr>
            <w:tcW w:w="450" w:type="pct"/>
            <w:vAlign w:val="center"/>
          </w:tcPr>
          <w:p w:rsidR="00597370" w:rsidRDefault="003C2EEE">
            <w:pPr>
              <w:jc w:val="right"/>
              <w:rPr>
                <w:sz w:val="18"/>
                <w:szCs w:val="18"/>
              </w:rPr>
            </w:pPr>
            <w:r>
              <w:rPr>
                <w:sz w:val="18"/>
                <w:szCs w:val="18"/>
              </w:rPr>
              <w:t>687,677.57</w:t>
            </w:r>
          </w:p>
        </w:tc>
        <w:tc>
          <w:tcPr>
            <w:tcW w:w="400" w:type="pct"/>
            <w:vAlign w:val="center"/>
          </w:tcPr>
          <w:p w:rsidR="00597370" w:rsidRDefault="003C2EEE">
            <w:pPr>
              <w:jc w:val="right"/>
              <w:rPr>
                <w:sz w:val="18"/>
                <w:szCs w:val="18"/>
              </w:rPr>
            </w:pPr>
            <w:r>
              <w:rPr>
                <w:sz w:val="18"/>
                <w:szCs w:val="18"/>
              </w:rPr>
              <w:t>2,267,273,491.71</w:t>
            </w:r>
          </w:p>
        </w:tc>
      </w:tr>
      <w:tr w:rsidR="00597370">
        <w:sdt>
          <w:sdtPr>
            <w:rPr>
              <w:color w:val="000000" w:themeColor="text1"/>
            </w:rPr>
            <w:tag w:val="_PLD_fd33bb0caf614a75b319dc40c7515dcc"/>
            <w:id w:val="-343017126"/>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加：</w:t>
                </w:r>
                <w:r>
                  <w:rPr>
                    <w:color w:val="000000" w:themeColor="text1"/>
                    <w:sz w:val="18"/>
                    <w:szCs w:val="18"/>
                  </w:rPr>
                  <w:t>会计政策变更</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15b4364437fa4ad39040010f7c204056"/>
            <w:id w:val="1399325346"/>
          </w:sdtPr>
          <w:sdtEndPr/>
          <w:sdtContent>
            <w:tc>
              <w:tcPr>
                <w:tcW w:w="288" w:type="pct"/>
              </w:tcPr>
              <w:p w:rsidR="00597370" w:rsidRDefault="003C2EEE">
                <w:pPr>
                  <w:ind w:firstLineChars="200" w:firstLine="420"/>
                  <w:rPr>
                    <w:color w:val="000000" w:themeColor="text1"/>
                    <w:sz w:val="18"/>
                    <w:szCs w:val="18"/>
                  </w:rPr>
                </w:pPr>
                <w:r>
                  <w:rPr>
                    <w:color w:val="000000" w:themeColor="text1"/>
                    <w:sz w:val="18"/>
                    <w:szCs w:val="18"/>
                  </w:rPr>
                  <w:t>前期差错更正</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87118e97730e486dbbcc5e072b67665f"/>
            <w:id w:val="1569377029"/>
          </w:sdtPr>
          <w:sdtEndPr/>
          <w:sdtContent>
            <w:tc>
              <w:tcPr>
                <w:tcW w:w="288" w:type="pct"/>
              </w:tcPr>
              <w:p w:rsidR="00597370" w:rsidRDefault="003C2EEE">
                <w:pPr>
                  <w:ind w:firstLineChars="200" w:firstLine="420"/>
                  <w:rPr>
                    <w:color w:val="000000" w:themeColor="text1"/>
                    <w:sz w:val="18"/>
                    <w:szCs w:val="18"/>
                  </w:rPr>
                </w:pPr>
                <w:r>
                  <w:rPr>
                    <w:rFonts w:hint="eastAsia"/>
                    <w:color w:val="000000" w:themeColor="text1"/>
                    <w:sz w:val="18"/>
                    <w:szCs w:val="18"/>
                  </w:rPr>
                  <w:t>其他</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b579c38070f04b86951daea3037af89c"/>
            <w:id w:val="-452783787"/>
          </w:sdtPr>
          <w:sdtEndPr/>
          <w:sdtContent>
            <w:tc>
              <w:tcPr>
                <w:tcW w:w="288" w:type="pct"/>
              </w:tcPr>
              <w:p w:rsidR="00597370" w:rsidRDefault="003C2EEE">
                <w:pPr>
                  <w:rPr>
                    <w:color w:val="000000" w:themeColor="text1"/>
                    <w:sz w:val="18"/>
                    <w:szCs w:val="18"/>
                  </w:rPr>
                </w:pPr>
                <w:r>
                  <w:rPr>
                    <w:color w:val="000000" w:themeColor="text1"/>
                    <w:sz w:val="18"/>
                    <w:szCs w:val="18"/>
                  </w:rPr>
                  <w:t>二、本年</w:t>
                </w:r>
                <w:r>
                  <w:rPr>
                    <w:rFonts w:hint="eastAsia"/>
                    <w:color w:val="000000" w:themeColor="text1"/>
                    <w:sz w:val="18"/>
                    <w:szCs w:val="18"/>
                  </w:rPr>
                  <w:t>期</w:t>
                </w:r>
                <w:r>
                  <w:rPr>
                    <w:color w:val="000000" w:themeColor="text1"/>
                    <w:sz w:val="18"/>
                    <w:szCs w:val="18"/>
                  </w:rPr>
                  <w:t>初余额</w:t>
                </w:r>
              </w:p>
            </w:tc>
          </w:sdtContent>
        </w:sdt>
        <w:tc>
          <w:tcPr>
            <w:tcW w:w="462" w:type="pct"/>
            <w:vAlign w:val="center"/>
          </w:tcPr>
          <w:p w:rsidR="00597370" w:rsidRDefault="003C2EEE">
            <w:pPr>
              <w:jc w:val="right"/>
              <w:rPr>
                <w:sz w:val="18"/>
                <w:szCs w:val="18"/>
              </w:rPr>
            </w:pPr>
            <w:r>
              <w:rPr>
                <w:sz w:val="18"/>
                <w:szCs w:val="18"/>
              </w:rPr>
              <w:t>333,167,407.00</w:t>
            </w: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3C2EEE">
            <w:pPr>
              <w:jc w:val="right"/>
              <w:rPr>
                <w:sz w:val="18"/>
                <w:szCs w:val="18"/>
              </w:rPr>
            </w:pPr>
            <w:r>
              <w:rPr>
                <w:sz w:val="18"/>
                <w:szCs w:val="18"/>
              </w:rPr>
              <w:t>982,384,564.80</w:t>
            </w: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3C2EEE">
            <w:pPr>
              <w:jc w:val="right"/>
              <w:rPr>
                <w:sz w:val="18"/>
                <w:szCs w:val="18"/>
              </w:rPr>
            </w:pPr>
            <w:r>
              <w:rPr>
                <w:sz w:val="18"/>
                <w:szCs w:val="18"/>
              </w:rPr>
              <w:t>15,311,928.33</w:t>
            </w:r>
          </w:p>
        </w:tc>
        <w:tc>
          <w:tcPr>
            <w:tcW w:w="350" w:type="pct"/>
            <w:vAlign w:val="center"/>
          </w:tcPr>
          <w:p w:rsidR="00597370" w:rsidRDefault="003C2EEE">
            <w:pPr>
              <w:jc w:val="right"/>
              <w:rPr>
                <w:sz w:val="18"/>
                <w:szCs w:val="18"/>
              </w:rPr>
            </w:pPr>
            <w:r>
              <w:rPr>
                <w:sz w:val="18"/>
                <w:szCs w:val="18"/>
              </w:rPr>
              <w:t>94,090,598.13</w:t>
            </w:r>
          </w:p>
        </w:tc>
        <w:tc>
          <w:tcPr>
            <w:tcW w:w="150" w:type="pct"/>
            <w:vAlign w:val="center"/>
          </w:tcPr>
          <w:p w:rsidR="00597370" w:rsidRDefault="00597370">
            <w:pPr>
              <w:jc w:val="right"/>
              <w:rPr>
                <w:sz w:val="18"/>
                <w:szCs w:val="18"/>
              </w:rPr>
            </w:pPr>
          </w:p>
        </w:tc>
        <w:tc>
          <w:tcPr>
            <w:tcW w:w="450" w:type="pct"/>
            <w:vAlign w:val="center"/>
          </w:tcPr>
          <w:p w:rsidR="00597370" w:rsidRDefault="003C2EEE">
            <w:pPr>
              <w:jc w:val="right"/>
              <w:rPr>
                <w:sz w:val="18"/>
                <w:szCs w:val="18"/>
              </w:rPr>
            </w:pPr>
            <w:r>
              <w:rPr>
                <w:sz w:val="18"/>
                <w:szCs w:val="18"/>
              </w:rPr>
              <w:t>841,631,315.88</w:t>
            </w:r>
          </w:p>
        </w:tc>
        <w:tc>
          <w:tcPr>
            <w:tcW w:w="150" w:type="pct"/>
            <w:vAlign w:val="center"/>
          </w:tcPr>
          <w:p w:rsidR="00597370" w:rsidRDefault="00597370">
            <w:pPr>
              <w:jc w:val="right"/>
              <w:rPr>
                <w:sz w:val="18"/>
                <w:szCs w:val="18"/>
              </w:rPr>
            </w:pPr>
          </w:p>
        </w:tc>
        <w:tc>
          <w:tcPr>
            <w:tcW w:w="501" w:type="pct"/>
            <w:vAlign w:val="center"/>
          </w:tcPr>
          <w:p w:rsidR="00597370" w:rsidRDefault="003C2EEE">
            <w:pPr>
              <w:jc w:val="right"/>
              <w:rPr>
                <w:sz w:val="18"/>
                <w:szCs w:val="18"/>
              </w:rPr>
            </w:pPr>
            <w:r>
              <w:rPr>
                <w:sz w:val="18"/>
                <w:szCs w:val="18"/>
              </w:rPr>
              <w:t>2,266,585,814.14</w:t>
            </w:r>
          </w:p>
        </w:tc>
        <w:tc>
          <w:tcPr>
            <w:tcW w:w="450" w:type="pct"/>
            <w:vAlign w:val="center"/>
          </w:tcPr>
          <w:p w:rsidR="00597370" w:rsidRDefault="003C2EEE">
            <w:pPr>
              <w:jc w:val="right"/>
              <w:rPr>
                <w:sz w:val="18"/>
                <w:szCs w:val="18"/>
              </w:rPr>
            </w:pPr>
            <w:r>
              <w:rPr>
                <w:sz w:val="18"/>
                <w:szCs w:val="18"/>
              </w:rPr>
              <w:t>687,677.57</w:t>
            </w:r>
          </w:p>
        </w:tc>
        <w:tc>
          <w:tcPr>
            <w:tcW w:w="400" w:type="pct"/>
            <w:vAlign w:val="center"/>
          </w:tcPr>
          <w:p w:rsidR="00597370" w:rsidRDefault="003C2EEE">
            <w:pPr>
              <w:jc w:val="right"/>
              <w:rPr>
                <w:sz w:val="18"/>
                <w:szCs w:val="18"/>
              </w:rPr>
            </w:pPr>
            <w:r>
              <w:rPr>
                <w:sz w:val="18"/>
                <w:szCs w:val="18"/>
              </w:rPr>
              <w:t>2,267,273,491.71</w:t>
            </w:r>
          </w:p>
        </w:tc>
      </w:tr>
      <w:tr w:rsidR="00597370">
        <w:sdt>
          <w:sdtPr>
            <w:rPr>
              <w:color w:val="000000" w:themeColor="text1"/>
            </w:rPr>
            <w:tag w:val="_PLD_186aec2424a047ee9af21797aa0ee0d8"/>
            <w:id w:val="642933408"/>
          </w:sdtPr>
          <w:sdtEndPr/>
          <w:sdtContent>
            <w:tc>
              <w:tcPr>
                <w:tcW w:w="288" w:type="pct"/>
              </w:tcPr>
              <w:p w:rsidR="00597370" w:rsidRDefault="003C2EEE">
                <w:pPr>
                  <w:rPr>
                    <w:color w:val="000000" w:themeColor="text1"/>
                    <w:sz w:val="18"/>
                    <w:szCs w:val="18"/>
                  </w:rPr>
                </w:pPr>
                <w:r>
                  <w:rPr>
                    <w:color w:val="000000" w:themeColor="text1"/>
                    <w:sz w:val="18"/>
                    <w:szCs w:val="18"/>
                  </w:rPr>
                  <w:t>三、本</w:t>
                </w:r>
                <w:r>
                  <w:rPr>
                    <w:rFonts w:hint="eastAsia"/>
                    <w:color w:val="000000" w:themeColor="text1"/>
                    <w:sz w:val="18"/>
                    <w:szCs w:val="18"/>
                  </w:rPr>
                  <w:t>期</w:t>
                </w:r>
                <w:r>
                  <w:rPr>
                    <w:color w:val="000000" w:themeColor="text1"/>
                    <w:sz w:val="18"/>
                    <w:szCs w:val="18"/>
                  </w:rPr>
                  <w:t>增减变动金额（减少以“－”号填列）</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ind w:right="720"/>
              <w:rPr>
                <w:sz w:val="18"/>
                <w:szCs w:val="18"/>
              </w:rPr>
            </w:pPr>
          </w:p>
          <w:p w:rsidR="00597370" w:rsidRDefault="003C2EEE">
            <w:pPr>
              <w:jc w:val="right"/>
              <w:rPr>
                <w:sz w:val="18"/>
                <w:szCs w:val="18"/>
              </w:rPr>
            </w:pPr>
            <w:r>
              <w:rPr>
                <w:sz w:val="18"/>
                <w:szCs w:val="18"/>
              </w:rPr>
              <w:t>3,141,843.27</w:t>
            </w: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ind w:right="720"/>
              <w:rPr>
                <w:sz w:val="18"/>
                <w:szCs w:val="18"/>
              </w:rPr>
            </w:pPr>
          </w:p>
          <w:p w:rsidR="00597370" w:rsidRDefault="003C2EEE">
            <w:pPr>
              <w:jc w:val="right"/>
              <w:rPr>
                <w:sz w:val="18"/>
                <w:szCs w:val="18"/>
              </w:rPr>
            </w:pPr>
            <w:r>
              <w:rPr>
                <w:sz w:val="18"/>
                <w:szCs w:val="18"/>
              </w:rPr>
              <w:t>94,110,179.40</w:t>
            </w:r>
          </w:p>
        </w:tc>
        <w:tc>
          <w:tcPr>
            <w:tcW w:w="150" w:type="pct"/>
            <w:vAlign w:val="center"/>
          </w:tcPr>
          <w:p w:rsidR="00597370" w:rsidRDefault="00597370">
            <w:pPr>
              <w:jc w:val="right"/>
              <w:rPr>
                <w:sz w:val="18"/>
                <w:szCs w:val="18"/>
              </w:rPr>
            </w:pPr>
          </w:p>
        </w:tc>
        <w:tc>
          <w:tcPr>
            <w:tcW w:w="501" w:type="pct"/>
            <w:vAlign w:val="center"/>
          </w:tcPr>
          <w:p w:rsidR="00597370" w:rsidRDefault="00597370">
            <w:pPr>
              <w:ind w:right="720"/>
              <w:rPr>
                <w:sz w:val="18"/>
                <w:szCs w:val="18"/>
              </w:rPr>
            </w:pPr>
          </w:p>
          <w:p w:rsidR="00597370" w:rsidRDefault="003C2EEE">
            <w:pPr>
              <w:jc w:val="right"/>
              <w:rPr>
                <w:sz w:val="18"/>
                <w:szCs w:val="18"/>
              </w:rPr>
            </w:pPr>
            <w:r>
              <w:rPr>
                <w:sz w:val="18"/>
                <w:szCs w:val="18"/>
              </w:rPr>
              <w:t>97,252,022.67</w:t>
            </w:r>
          </w:p>
        </w:tc>
        <w:tc>
          <w:tcPr>
            <w:tcW w:w="450" w:type="pct"/>
            <w:vAlign w:val="center"/>
          </w:tcPr>
          <w:p w:rsidR="00597370" w:rsidRDefault="00597370">
            <w:pPr>
              <w:ind w:right="720"/>
              <w:rPr>
                <w:sz w:val="18"/>
                <w:szCs w:val="18"/>
              </w:rPr>
            </w:pPr>
          </w:p>
          <w:p w:rsidR="00597370" w:rsidRDefault="003C2EEE">
            <w:pPr>
              <w:jc w:val="right"/>
              <w:rPr>
                <w:sz w:val="18"/>
                <w:szCs w:val="18"/>
              </w:rPr>
            </w:pPr>
            <w:r>
              <w:rPr>
                <w:sz w:val="18"/>
                <w:szCs w:val="18"/>
              </w:rPr>
              <w:t>-2,636,486.03</w:t>
            </w:r>
          </w:p>
        </w:tc>
        <w:tc>
          <w:tcPr>
            <w:tcW w:w="400" w:type="pct"/>
            <w:vAlign w:val="center"/>
          </w:tcPr>
          <w:p w:rsidR="00597370" w:rsidRDefault="00597370">
            <w:pPr>
              <w:ind w:right="720"/>
              <w:rPr>
                <w:sz w:val="18"/>
                <w:szCs w:val="18"/>
              </w:rPr>
            </w:pPr>
          </w:p>
          <w:p w:rsidR="00597370" w:rsidRDefault="003C2EEE">
            <w:pPr>
              <w:jc w:val="right"/>
              <w:rPr>
                <w:sz w:val="18"/>
                <w:szCs w:val="18"/>
              </w:rPr>
            </w:pPr>
            <w:r>
              <w:rPr>
                <w:sz w:val="18"/>
                <w:szCs w:val="18"/>
              </w:rPr>
              <w:t>94,615,536.64</w:t>
            </w:r>
          </w:p>
        </w:tc>
      </w:tr>
      <w:tr w:rsidR="00597370">
        <w:sdt>
          <w:sdtPr>
            <w:rPr>
              <w:color w:val="000000" w:themeColor="text1"/>
            </w:rPr>
            <w:tag w:val="_PLD_17bf1a1d144b41e18dbd63758cccc7b5"/>
            <w:id w:val="-257065076"/>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（一）综合收益总额</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p w:rsidR="00597370" w:rsidRDefault="003C2EEE">
            <w:pPr>
              <w:jc w:val="right"/>
              <w:rPr>
                <w:sz w:val="18"/>
                <w:szCs w:val="18"/>
              </w:rPr>
            </w:pPr>
            <w:r>
              <w:rPr>
                <w:sz w:val="18"/>
                <w:szCs w:val="18"/>
              </w:rPr>
              <w:t>154,080,312.66</w:t>
            </w: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p w:rsidR="00597370" w:rsidRDefault="003C2EEE">
            <w:pPr>
              <w:jc w:val="right"/>
              <w:rPr>
                <w:sz w:val="18"/>
                <w:szCs w:val="18"/>
              </w:rPr>
            </w:pPr>
            <w:r>
              <w:rPr>
                <w:sz w:val="18"/>
                <w:szCs w:val="18"/>
              </w:rPr>
              <w:t>154,080,312.66</w:t>
            </w:r>
          </w:p>
        </w:tc>
        <w:tc>
          <w:tcPr>
            <w:tcW w:w="450" w:type="pct"/>
            <w:vAlign w:val="center"/>
          </w:tcPr>
          <w:p w:rsidR="00597370" w:rsidRDefault="00597370">
            <w:pPr>
              <w:jc w:val="right"/>
              <w:rPr>
                <w:sz w:val="18"/>
                <w:szCs w:val="18"/>
              </w:rPr>
            </w:pPr>
          </w:p>
          <w:p w:rsidR="00597370" w:rsidRDefault="003C2EEE">
            <w:pPr>
              <w:jc w:val="right"/>
              <w:rPr>
                <w:sz w:val="18"/>
                <w:szCs w:val="18"/>
              </w:rPr>
            </w:pPr>
            <w:r>
              <w:rPr>
                <w:sz w:val="18"/>
                <w:szCs w:val="18"/>
              </w:rPr>
              <w:t>-2,636,486.03</w:t>
            </w:r>
          </w:p>
        </w:tc>
        <w:tc>
          <w:tcPr>
            <w:tcW w:w="400" w:type="pct"/>
            <w:vAlign w:val="center"/>
          </w:tcPr>
          <w:p w:rsidR="00597370" w:rsidRDefault="00597370">
            <w:pPr>
              <w:jc w:val="right"/>
              <w:rPr>
                <w:sz w:val="18"/>
                <w:szCs w:val="18"/>
              </w:rPr>
            </w:pPr>
          </w:p>
          <w:p w:rsidR="00597370" w:rsidRDefault="003C2EEE">
            <w:pPr>
              <w:jc w:val="right"/>
              <w:rPr>
                <w:sz w:val="18"/>
                <w:szCs w:val="18"/>
              </w:rPr>
            </w:pPr>
            <w:r>
              <w:rPr>
                <w:sz w:val="18"/>
                <w:szCs w:val="18"/>
              </w:rPr>
              <w:t>151,443,826.63</w:t>
            </w:r>
          </w:p>
        </w:tc>
      </w:tr>
      <w:tr w:rsidR="00597370">
        <w:sdt>
          <w:sdtPr>
            <w:rPr>
              <w:color w:val="000000" w:themeColor="text1"/>
            </w:rPr>
            <w:tag w:val="_PLD_d55056423dbf4ac187d64bd43c03aca3"/>
            <w:id w:val="1889535614"/>
          </w:sdtPr>
          <w:sdtEndPr/>
          <w:sdtContent>
            <w:tc>
              <w:tcPr>
                <w:tcW w:w="288" w:type="pct"/>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二</w:t>
                </w:r>
                <w:r>
                  <w:rPr>
                    <w:color w:val="000000" w:themeColor="text1"/>
                    <w:sz w:val="18"/>
                    <w:szCs w:val="18"/>
                  </w:rPr>
                  <w:t>）所有者投入和</w:t>
                </w:r>
                <w:r>
                  <w:rPr>
                    <w:color w:val="000000" w:themeColor="text1"/>
                    <w:sz w:val="18"/>
                    <w:szCs w:val="18"/>
                  </w:rPr>
                  <w:lastRenderedPageBreak/>
                  <w:t>减少资本</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284541025868477ca26973c13dd9ff9e"/>
            <w:id w:val="1269195632"/>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1．所有者投入的普通股</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13b4ec8d0fe34f9797d68eab8f95768d"/>
            <w:id w:val="519441848"/>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2．其他权益工具持有者投入资本</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f1f3be9263a748c28f276e78f447b133"/>
            <w:id w:val="-1745478769"/>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3</w:t>
                </w:r>
                <w:r>
                  <w:rPr>
                    <w:color w:val="000000" w:themeColor="text1"/>
                    <w:sz w:val="18"/>
                    <w:szCs w:val="18"/>
                  </w:rPr>
                  <w:t>．股份支付计入所有者权益的金额</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b361f3a237774bcd8ac416b2b21655eb"/>
            <w:id w:val="2083094528"/>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4</w:t>
                </w:r>
                <w:r>
                  <w:rPr>
                    <w:color w:val="000000" w:themeColor="text1"/>
                    <w:sz w:val="18"/>
                    <w:szCs w:val="18"/>
                  </w:rPr>
                  <w:t>．其他</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a7e75a2d1ed049d9bbdb0ef093ac9478"/>
            <w:id w:val="-384109630"/>
          </w:sdtPr>
          <w:sdtEndPr/>
          <w:sdtContent>
            <w:tc>
              <w:tcPr>
                <w:tcW w:w="288" w:type="pct"/>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三</w:t>
                </w:r>
                <w:r>
                  <w:rPr>
                    <w:color w:val="000000" w:themeColor="text1"/>
                    <w:sz w:val="18"/>
                    <w:szCs w:val="18"/>
                  </w:rPr>
                  <w:t>）利润分配</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3C2EEE">
            <w:pPr>
              <w:jc w:val="right"/>
              <w:rPr>
                <w:sz w:val="18"/>
                <w:szCs w:val="18"/>
              </w:rPr>
            </w:pPr>
            <w:r>
              <w:rPr>
                <w:sz w:val="16"/>
                <w:szCs w:val="16"/>
              </w:rPr>
              <w:t>-59,970,133.26</w:t>
            </w: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p w:rsidR="00597370" w:rsidRDefault="003C2EEE">
            <w:pPr>
              <w:jc w:val="right"/>
              <w:rPr>
                <w:sz w:val="18"/>
                <w:szCs w:val="18"/>
              </w:rPr>
            </w:pPr>
            <w:r>
              <w:rPr>
                <w:sz w:val="18"/>
                <w:szCs w:val="18"/>
              </w:rPr>
              <w:t>-59,970,133.26</w:t>
            </w:r>
          </w:p>
        </w:tc>
        <w:tc>
          <w:tcPr>
            <w:tcW w:w="450" w:type="pct"/>
            <w:vAlign w:val="center"/>
          </w:tcPr>
          <w:p w:rsidR="00597370" w:rsidRDefault="00597370">
            <w:pPr>
              <w:jc w:val="right"/>
              <w:rPr>
                <w:sz w:val="18"/>
                <w:szCs w:val="18"/>
              </w:rPr>
            </w:pPr>
          </w:p>
        </w:tc>
        <w:tc>
          <w:tcPr>
            <w:tcW w:w="400" w:type="pct"/>
            <w:vAlign w:val="center"/>
          </w:tcPr>
          <w:p w:rsidR="00597370" w:rsidRDefault="003C2EEE">
            <w:pPr>
              <w:jc w:val="right"/>
              <w:rPr>
                <w:sz w:val="18"/>
                <w:szCs w:val="18"/>
              </w:rPr>
            </w:pPr>
            <w:r>
              <w:rPr>
                <w:sz w:val="16"/>
                <w:szCs w:val="16"/>
              </w:rPr>
              <w:t>-59,970,133.26</w:t>
            </w:r>
          </w:p>
        </w:tc>
      </w:tr>
      <w:tr w:rsidR="00597370">
        <w:sdt>
          <w:sdtPr>
            <w:rPr>
              <w:color w:val="000000" w:themeColor="text1"/>
            </w:rPr>
            <w:tag w:val="_PLD_728c39864cdd4a7c93d6a2bae73ac47f"/>
            <w:id w:val="-1193213429"/>
          </w:sdtPr>
          <w:sdtEndPr/>
          <w:sdtContent>
            <w:tc>
              <w:tcPr>
                <w:tcW w:w="288" w:type="pct"/>
              </w:tcPr>
              <w:p w:rsidR="00597370" w:rsidRDefault="003C2EEE">
                <w:pPr>
                  <w:rPr>
                    <w:color w:val="000000" w:themeColor="text1"/>
                    <w:sz w:val="18"/>
                    <w:szCs w:val="18"/>
                  </w:rPr>
                </w:pPr>
                <w:r>
                  <w:rPr>
                    <w:color w:val="000000" w:themeColor="text1"/>
                    <w:sz w:val="18"/>
                    <w:szCs w:val="18"/>
                  </w:rPr>
                  <w:t>1．提取盈余公积</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6d8c8a0de80b4f6a97fdb16b82b3a6ac"/>
            <w:id w:val="-1410454085"/>
          </w:sdtPr>
          <w:sdtEndPr/>
          <w:sdtContent>
            <w:tc>
              <w:tcPr>
                <w:tcW w:w="288" w:type="pct"/>
              </w:tcPr>
              <w:p w:rsidR="00597370" w:rsidRDefault="003C2EEE">
                <w:pPr>
                  <w:rPr>
                    <w:color w:val="000000" w:themeColor="text1"/>
                    <w:sz w:val="18"/>
                    <w:szCs w:val="18"/>
                  </w:rPr>
                </w:pPr>
                <w:r>
                  <w:rPr>
                    <w:color w:val="000000" w:themeColor="text1"/>
                    <w:sz w:val="18"/>
                    <w:szCs w:val="18"/>
                  </w:rPr>
                  <w:t>2．提取一般风险准备</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a5531db3e1d84f3897cb962fdc73ab3d"/>
            <w:id w:val="-1272785892"/>
          </w:sdtPr>
          <w:sdtEndPr/>
          <w:sdtContent>
            <w:tc>
              <w:tcPr>
                <w:tcW w:w="288" w:type="pct"/>
              </w:tcPr>
              <w:p w:rsidR="00597370" w:rsidRDefault="003C2EEE">
                <w:pPr>
                  <w:rPr>
                    <w:color w:val="000000" w:themeColor="text1"/>
                    <w:sz w:val="18"/>
                    <w:szCs w:val="18"/>
                  </w:rPr>
                </w:pPr>
                <w:r>
                  <w:rPr>
                    <w:color w:val="000000" w:themeColor="text1"/>
                    <w:sz w:val="18"/>
                    <w:szCs w:val="18"/>
                  </w:rPr>
                  <w:t>3．对所有者（或股东）的分配</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ind w:right="720"/>
              <w:rPr>
                <w:sz w:val="18"/>
                <w:szCs w:val="18"/>
              </w:rPr>
            </w:pPr>
          </w:p>
          <w:p w:rsidR="00597370" w:rsidRDefault="003C2EEE">
            <w:pPr>
              <w:jc w:val="right"/>
              <w:rPr>
                <w:sz w:val="18"/>
                <w:szCs w:val="18"/>
              </w:rPr>
            </w:pPr>
            <w:r>
              <w:rPr>
                <w:sz w:val="18"/>
                <w:szCs w:val="18"/>
              </w:rPr>
              <w:t>-59,970,133.26</w:t>
            </w:r>
          </w:p>
        </w:tc>
        <w:tc>
          <w:tcPr>
            <w:tcW w:w="150" w:type="pct"/>
            <w:vAlign w:val="center"/>
          </w:tcPr>
          <w:p w:rsidR="00597370" w:rsidRDefault="00597370">
            <w:pPr>
              <w:jc w:val="right"/>
              <w:rPr>
                <w:sz w:val="18"/>
                <w:szCs w:val="18"/>
              </w:rPr>
            </w:pPr>
          </w:p>
        </w:tc>
        <w:tc>
          <w:tcPr>
            <w:tcW w:w="501" w:type="pct"/>
            <w:vAlign w:val="center"/>
          </w:tcPr>
          <w:p w:rsidR="00597370" w:rsidRDefault="00597370">
            <w:pPr>
              <w:ind w:right="720"/>
              <w:rPr>
                <w:sz w:val="18"/>
                <w:szCs w:val="18"/>
              </w:rPr>
            </w:pPr>
          </w:p>
          <w:p w:rsidR="00597370" w:rsidRDefault="003C2EEE">
            <w:pPr>
              <w:jc w:val="right"/>
              <w:rPr>
                <w:sz w:val="18"/>
                <w:szCs w:val="18"/>
              </w:rPr>
            </w:pPr>
            <w:r>
              <w:rPr>
                <w:sz w:val="18"/>
                <w:szCs w:val="18"/>
              </w:rPr>
              <w:t>-59,970,133.26</w:t>
            </w:r>
          </w:p>
        </w:tc>
        <w:tc>
          <w:tcPr>
            <w:tcW w:w="450" w:type="pct"/>
            <w:vAlign w:val="center"/>
          </w:tcPr>
          <w:p w:rsidR="00597370" w:rsidRDefault="00597370">
            <w:pPr>
              <w:jc w:val="right"/>
              <w:rPr>
                <w:sz w:val="18"/>
                <w:szCs w:val="18"/>
              </w:rPr>
            </w:pPr>
          </w:p>
        </w:tc>
        <w:tc>
          <w:tcPr>
            <w:tcW w:w="400" w:type="pct"/>
            <w:vAlign w:val="center"/>
          </w:tcPr>
          <w:p w:rsidR="00597370" w:rsidRDefault="00597370">
            <w:pPr>
              <w:ind w:right="720"/>
              <w:rPr>
                <w:sz w:val="18"/>
                <w:szCs w:val="18"/>
              </w:rPr>
            </w:pPr>
          </w:p>
          <w:p w:rsidR="00597370" w:rsidRDefault="003C2EEE">
            <w:pPr>
              <w:jc w:val="right"/>
              <w:rPr>
                <w:sz w:val="18"/>
                <w:szCs w:val="18"/>
              </w:rPr>
            </w:pPr>
            <w:r>
              <w:rPr>
                <w:sz w:val="18"/>
                <w:szCs w:val="18"/>
              </w:rPr>
              <w:t>-59,970,133.26</w:t>
            </w:r>
          </w:p>
        </w:tc>
      </w:tr>
      <w:tr w:rsidR="00597370">
        <w:sdt>
          <w:sdtPr>
            <w:rPr>
              <w:color w:val="000000" w:themeColor="text1"/>
            </w:rPr>
            <w:tag w:val="_PLD_f3206f8cddd54371b8a1b220dc836af8"/>
            <w:id w:val="-1472747930"/>
          </w:sdtPr>
          <w:sdtEndPr/>
          <w:sdtContent>
            <w:tc>
              <w:tcPr>
                <w:tcW w:w="288" w:type="pct"/>
              </w:tcPr>
              <w:p w:rsidR="00597370" w:rsidRDefault="003C2EEE">
                <w:pPr>
                  <w:rPr>
                    <w:color w:val="000000" w:themeColor="text1"/>
                    <w:sz w:val="18"/>
                    <w:szCs w:val="18"/>
                  </w:rPr>
                </w:pPr>
                <w:r>
                  <w:rPr>
                    <w:color w:val="000000" w:themeColor="text1"/>
                    <w:sz w:val="18"/>
                    <w:szCs w:val="18"/>
                  </w:rPr>
                  <w:t>4．其他</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c0c9652bd3724ad8b729d3650a0840d4"/>
            <w:id w:val="-258601564"/>
          </w:sdtPr>
          <w:sdtEndPr/>
          <w:sdtContent>
            <w:tc>
              <w:tcPr>
                <w:tcW w:w="288" w:type="pct"/>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四</w:t>
                </w:r>
                <w:r>
                  <w:rPr>
                    <w:color w:val="000000" w:themeColor="text1"/>
                    <w:sz w:val="18"/>
                    <w:szCs w:val="18"/>
                  </w:rPr>
                  <w:t>）所有者权益内部结转</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469a000ac571436189f1cb682bbe4ce7"/>
            <w:id w:val="-1509517159"/>
          </w:sdtPr>
          <w:sdtEndPr/>
          <w:sdtContent>
            <w:tc>
              <w:tcPr>
                <w:tcW w:w="288" w:type="pct"/>
              </w:tcPr>
              <w:p w:rsidR="00597370" w:rsidRDefault="003C2EEE">
                <w:pPr>
                  <w:rPr>
                    <w:color w:val="000000" w:themeColor="text1"/>
                    <w:sz w:val="18"/>
                    <w:szCs w:val="18"/>
                  </w:rPr>
                </w:pPr>
                <w:r>
                  <w:rPr>
                    <w:color w:val="000000" w:themeColor="text1"/>
                    <w:sz w:val="18"/>
                    <w:szCs w:val="18"/>
                  </w:rPr>
                  <w:t>1．资本公积转增资本（或股本）</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8874e17dc09c419baab53299f7967f44"/>
            <w:id w:val="-1896813746"/>
          </w:sdtPr>
          <w:sdtEndPr/>
          <w:sdtContent>
            <w:tc>
              <w:tcPr>
                <w:tcW w:w="288" w:type="pct"/>
              </w:tcPr>
              <w:p w:rsidR="00597370" w:rsidRDefault="003C2EEE">
                <w:pPr>
                  <w:rPr>
                    <w:color w:val="000000" w:themeColor="text1"/>
                    <w:sz w:val="18"/>
                    <w:szCs w:val="18"/>
                  </w:rPr>
                </w:pPr>
                <w:r>
                  <w:rPr>
                    <w:color w:val="000000" w:themeColor="text1"/>
                    <w:sz w:val="18"/>
                    <w:szCs w:val="18"/>
                  </w:rPr>
                  <w:t>2．盈余公积转增资本（或股本）</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e3c6e2e078f649258bfa4dadb9266249"/>
            <w:id w:val="1899160629"/>
          </w:sdtPr>
          <w:sdtEndPr/>
          <w:sdtContent>
            <w:tc>
              <w:tcPr>
                <w:tcW w:w="288" w:type="pct"/>
              </w:tcPr>
              <w:p w:rsidR="00597370" w:rsidRDefault="003C2EEE">
                <w:pPr>
                  <w:rPr>
                    <w:color w:val="000000" w:themeColor="text1"/>
                    <w:sz w:val="18"/>
                    <w:szCs w:val="18"/>
                  </w:rPr>
                </w:pPr>
                <w:r>
                  <w:rPr>
                    <w:color w:val="000000" w:themeColor="text1"/>
                    <w:sz w:val="18"/>
                    <w:szCs w:val="18"/>
                  </w:rPr>
                  <w:t>3．盈余公积弥补亏损</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tc>
          <w:tcPr>
            <w:tcW w:w="288" w:type="pct"/>
          </w:tcPr>
          <w:sdt>
            <w:sdtPr>
              <w:rPr>
                <w:color w:val="000000" w:themeColor="text1"/>
                <w:sz w:val="18"/>
                <w:szCs w:val="18"/>
              </w:rPr>
              <w:tag w:val="_PLD_7a03b853b8c74c2fb2e89f59e327b578"/>
              <w:id w:val="600844068"/>
            </w:sdtPr>
            <w:sdtEndPr/>
            <w:sdtContent>
              <w:p w:rsidR="00597370" w:rsidRDefault="003C2EEE">
                <w:pPr>
                  <w:rPr>
                    <w:color w:val="000000" w:themeColor="text1"/>
                  </w:rPr>
                </w:pPr>
                <w:r>
                  <w:rPr>
                    <w:color w:val="000000" w:themeColor="text1"/>
                    <w:sz w:val="18"/>
                    <w:szCs w:val="18"/>
                  </w:rPr>
                  <w:t>4．设定受益计划变动额结转留存收益</w:t>
                </w:r>
              </w:p>
            </w:sdtContent>
          </w:sdt>
        </w:tc>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tc>
          <w:tcPr>
            <w:tcW w:w="288" w:type="pct"/>
          </w:tcPr>
          <w:sdt>
            <w:sdtPr>
              <w:rPr>
                <w:color w:val="000000" w:themeColor="text1"/>
                <w:sz w:val="18"/>
                <w:szCs w:val="18"/>
              </w:rPr>
              <w:tag w:val="_PLD_1db95d2c039e4fb6b41eae5a5c0aeb0a"/>
              <w:id w:val="-524711790"/>
            </w:sdtPr>
            <w:sdtEndPr/>
            <w:sdtContent>
              <w:p w:rsidR="00597370" w:rsidRDefault="003C2EEE">
                <w:pPr>
                  <w:rPr>
                    <w:color w:val="000000" w:themeColor="text1"/>
                    <w:sz w:val="18"/>
                    <w:szCs w:val="18"/>
                  </w:rPr>
                </w:pPr>
                <w:r>
                  <w:rPr>
                    <w:color w:val="000000" w:themeColor="text1"/>
                    <w:sz w:val="18"/>
                    <w:szCs w:val="18"/>
                  </w:rPr>
                  <w:t>5．其他综合收益结转留存收益</w:t>
                </w:r>
              </w:p>
            </w:sdtContent>
          </w:sdt>
        </w:tc>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tc>
          <w:tcPr>
            <w:tcW w:w="288" w:type="pct"/>
          </w:tcPr>
          <w:sdt>
            <w:sdtPr>
              <w:rPr>
                <w:color w:val="000000" w:themeColor="text1"/>
                <w:sz w:val="18"/>
                <w:szCs w:val="18"/>
              </w:rPr>
              <w:tag w:val="_PLD_44b366cf670e4514b5f91bc8cef97e27"/>
              <w:id w:val="-1672014879"/>
            </w:sdtPr>
            <w:sdtEndPr/>
            <w:sdtContent>
              <w:p w:rsidR="00597370" w:rsidRDefault="003C2EEE">
                <w:pPr>
                  <w:rPr>
                    <w:color w:val="000000" w:themeColor="text1"/>
                  </w:rPr>
                </w:pPr>
                <w:r>
                  <w:rPr>
                    <w:color w:val="000000" w:themeColor="text1"/>
                    <w:sz w:val="18"/>
                    <w:szCs w:val="18"/>
                  </w:rPr>
                  <w:t>6．其他</w:t>
                </w:r>
              </w:p>
            </w:sdtContent>
          </w:sdt>
        </w:tc>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4c2ffccd1b8247f8b48874b508665dc1"/>
            <w:id w:val="-657611185"/>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（五）专项储备</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p w:rsidR="00597370" w:rsidRDefault="003C2EEE">
            <w:pPr>
              <w:jc w:val="right"/>
              <w:rPr>
                <w:sz w:val="18"/>
                <w:szCs w:val="18"/>
              </w:rPr>
            </w:pPr>
            <w:r>
              <w:rPr>
                <w:sz w:val="18"/>
                <w:szCs w:val="18"/>
              </w:rPr>
              <w:t>3,141,843.27</w:t>
            </w: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p w:rsidR="00597370" w:rsidRDefault="003C2EEE">
            <w:pPr>
              <w:jc w:val="right"/>
              <w:rPr>
                <w:sz w:val="18"/>
                <w:szCs w:val="18"/>
              </w:rPr>
            </w:pPr>
            <w:r>
              <w:rPr>
                <w:sz w:val="18"/>
                <w:szCs w:val="18"/>
              </w:rPr>
              <w:t>3,141,843.27</w:t>
            </w: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p w:rsidR="00597370" w:rsidRDefault="003C2EEE">
            <w:pPr>
              <w:jc w:val="right"/>
              <w:rPr>
                <w:sz w:val="18"/>
                <w:szCs w:val="18"/>
              </w:rPr>
            </w:pPr>
            <w:r>
              <w:rPr>
                <w:sz w:val="18"/>
                <w:szCs w:val="18"/>
              </w:rPr>
              <w:t>3,141,843.27</w:t>
            </w:r>
          </w:p>
        </w:tc>
      </w:tr>
      <w:tr w:rsidR="00597370">
        <w:sdt>
          <w:sdtPr>
            <w:rPr>
              <w:color w:val="000000" w:themeColor="text1"/>
            </w:rPr>
            <w:tag w:val="_PLD_d7da1c1428f3471c9d74c89a582725d7"/>
            <w:id w:val="-2000024458"/>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1．本期提取</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3C2EEE">
            <w:pPr>
              <w:jc w:val="right"/>
              <w:rPr>
                <w:sz w:val="18"/>
                <w:szCs w:val="18"/>
              </w:rPr>
            </w:pPr>
            <w:r>
              <w:rPr>
                <w:sz w:val="18"/>
                <w:szCs w:val="18"/>
              </w:rPr>
              <w:t>5,392,502.23</w:t>
            </w: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3C2EEE">
            <w:pPr>
              <w:jc w:val="right"/>
              <w:rPr>
                <w:sz w:val="18"/>
                <w:szCs w:val="18"/>
              </w:rPr>
            </w:pPr>
            <w:r>
              <w:rPr>
                <w:sz w:val="18"/>
                <w:szCs w:val="18"/>
              </w:rPr>
              <w:t>5,392,502.23</w:t>
            </w:r>
          </w:p>
        </w:tc>
        <w:tc>
          <w:tcPr>
            <w:tcW w:w="450" w:type="pct"/>
            <w:vAlign w:val="center"/>
          </w:tcPr>
          <w:p w:rsidR="00597370" w:rsidRDefault="00597370">
            <w:pPr>
              <w:jc w:val="right"/>
              <w:rPr>
                <w:sz w:val="18"/>
                <w:szCs w:val="18"/>
              </w:rPr>
            </w:pPr>
          </w:p>
        </w:tc>
        <w:tc>
          <w:tcPr>
            <w:tcW w:w="400" w:type="pct"/>
            <w:vAlign w:val="center"/>
          </w:tcPr>
          <w:p w:rsidR="00597370" w:rsidRDefault="003C2EEE">
            <w:pPr>
              <w:jc w:val="right"/>
              <w:rPr>
                <w:sz w:val="18"/>
                <w:szCs w:val="18"/>
              </w:rPr>
            </w:pPr>
            <w:r>
              <w:rPr>
                <w:sz w:val="18"/>
                <w:szCs w:val="18"/>
              </w:rPr>
              <w:t>5,392,502.23</w:t>
            </w:r>
          </w:p>
        </w:tc>
      </w:tr>
      <w:tr w:rsidR="00597370">
        <w:sdt>
          <w:sdtPr>
            <w:rPr>
              <w:color w:val="000000" w:themeColor="text1"/>
            </w:rPr>
            <w:tag w:val="_PLD_f11a5c1cf32e432cb3dba158baca32fc"/>
            <w:id w:val="1244059691"/>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2．本期使用</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3C2EEE">
            <w:pPr>
              <w:jc w:val="right"/>
              <w:rPr>
                <w:sz w:val="18"/>
                <w:szCs w:val="18"/>
              </w:rPr>
            </w:pPr>
            <w:r>
              <w:rPr>
                <w:sz w:val="18"/>
                <w:szCs w:val="18"/>
              </w:rPr>
              <w:t>-2,250,658.96</w:t>
            </w: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3C2EEE">
            <w:pPr>
              <w:jc w:val="right"/>
              <w:rPr>
                <w:sz w:val="18"/>
                <w:szCs w:val="18"/>
              </w:rPr>
            </w:pPr>
            <w:r>
              <w:rPr>
                <w:sz w:val="16"/>
                <w:szCs w:val="16"/>
              </w:rPr>
              <w:t>-2,250,658.96</w:t>
            </w:r>
          </w:p>
        </w:tc>
        <w:tc>
          <w:tcPr>
            <w:tcW w:w="450" w:type="pct"/>
            <w:vAlign w:val="center"/>
          </w:tcPr>
          <w:p w:rsidR="00597370" w:rsidRDefault="00597370">
            <w:pPr>
              <w:jc w:val="right"/>
              <w:rPr>
                <w:sz w:val="18"/>
                <w:szCs w:val="18"/>
              </w:rPr>
            </w:pPr>
          </w:p>
        </w:tc>
        <w:tc>
          <w:tcPr>
            <w:tcW w:w="400" w:type="pct"/>
            <w:vAlign w:val="center"/>
          </w:tcPr>
          <w:p w:rsidR="00597370" w:rsidRDefault="003C2EEE">
            <w:pPr>
              <w:jc w:val="right"/>
              <w:rPr>
                <w:sz w:val="18"/>
                <w:szCs w:val="18"/>
              </w:rPr>
            </w:pPr>
            <w:r>
              <w:rPr>
                <w:sz w:val="18"/>
                <w:szCs w:val="18"/>
              </w:rPr>
              <w:t>-2,250,658.96</w:t>
            </w:r>
          </w:p>
        </w:tc>
      </w:tr>
      <w:tr w:rsidR="00597370">
        <w:sdt>
          <w:sdtPr>
            <w:rPr>
              <w:color w:val="000000" w:themeColor="text1"/>
            </w:rPr>
            <w:tag w:val="_PLD_749e92980f334c9cae023bb1dba136fc"/>
            <w:id w:val="1172605656"/>
          </w:sdtPr>
          <w:sdtEndPr/>
          <w:sdtContent>
            <w:tc>
              <w:tcPr>
                <w:tcW w:w="288" w:type="pct"/>
              </w:tcPr>
              <w:p w:rsidR="00597370" w:rsidRDefault="003C2EEE">
                <w:pPr>
                  <w:rPr>
                    <w:color w:val="000000" w:themeColor="text1"/>
                    <w:sz w:val="18"/>
                    <w:szCs w:val="18"/>
                  </w:rPr>
                </w:pPr>
                <w:r>
                  <w:rPr>
                    <w:rFonts w:hint="eastAsia"/>
                    <w:color w:val="000000" w:themeColor="text1"/>
                    <w:sz w:val="18"/>
                    <w:szCs w:val="18"/>
                  </w:rPr>
                  <w:t>（六）其他</w:t>
                </w:r>
              </w:p>
            </w:tc>
          </w:sdtContent>
        </w:sdt>
        <w:tc>
          <w:tcPr>
            <w:tcW w:w="462"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tc>
        <w:tc>
          <w:tcPr>
            <w:tcW w:w="3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tc>
        <w:tc>
          <w:tcPr>
            <w:tcW w:w="400" w:type="pct"/>
            <w:vAlign w:val="center"/>
          </w:tcPr>
          <w:p w:rsidR="00597370" w:rsidRDefault="00597370">
            <w:pPr>
              <w:jc w:val="right"/>
              <w:rPr>
                <w:sz w:val="18"/>
                <w:szCs w:val="18"/>
              </w:rPr>
            </w:pPr>
          </w:p>
        </w:tc>
      </w:tr>
      <w:tr w:rsidR="00597370">
        <w:sdt>
          <w:sdtPr>
            <w:rPr>
              <w:color w:val="000000" w:themeColor="text1"/>
            </w:rPr>
            <w:tag w:val="_PLD_e9c8435b637745858c6ad855ad7bbea0"/>
            <w:id w:val="-327680733"/>
          </w:sdtPr>
          <w:sdtEndPr/>
          <w:sdtContent>
            <w:tc>
              <w:tcPr>
                <w:tcW w:w="288" w:type="pct"/>
              </w:tcPr>
              <w:p w:rsidR="00597370" w:rsidRDefault="003C2EEE">
                <w:pPr>
                  <w:rPr>
                    <w:color w:val="000000" w:themeColor="text1"/>
                    <w:sz w:val="18"/>
                    <w:szCs w:val="18"/>
                  </w:rPr>
                </w:pPr>
                <w:r>
                  <w:rPr>
                    <w:color w:val="000000" w:themeColor="text1"/>
                    <w:sz w:val="18"/>
                    <w:szCs w:val="18"/>
                  </w:rPr>
                  <w:t>四、本期期末余额</w:t>
                </w:r>
              </w:p>
            </w:tc>
          </w:sdtContent>
        </w:sdt>
        <w:tc>
          <w:tcPr>
            <w:tcW w:w="462" w:type="pct"/>
            <w:vAlign w:val="center"/>
          </w:tcPr>
          <w:p w:rsidR="00597370" w:rsidRDefault="00597370">
            <w:pPr>
              <w:jc w:val="right"/>
              <w:rPr>
                <w:sz w:val="18"/>
                <w:szCs w:val="18"/>
              </w:rPr>
            </w:pPr>
          </w:p>
          <w:p w:rsidR="00597370" w:rsidRDefault="003C2EEE">
            <w:pPr>
              <w:jc w:val="right"/>
              <w:rPr>
                <w:sz w:val="18"/>
                <w:szCs w:val="18"/>
              </w:rPr>
            </w:pPr>
            <w:r>
              <w:rPr>
                <w:sz w:val="18"/>
                <w:szCs w:val="18"/>
              </w:rPr>
              <w:t>333,167,407.00</w:t>
            </w: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p w:rsidR="00597370" w:rsidRDefault="003C2EEE">
            <w:pPr>
              <w:jc w:val="right"/>
              <w:rPr>
                <w:sz w:val="18"/>
                <w:szCs w:val="18"/>
              </w:rPr>
            </w:pPr>
            <w:r>
              <w:rPr>
                <w:sz w:val="18"/>
                <w:szCs w:val="18"/>
              </w:rPr>
              <w:t>982,384,564.80</w:t>
            </w:r>
          </w:p>
        </w:tc>
        <w:tc>
          <w:tcPr>
            <w:tcW w:w="200" w:type="pct"/>
            <w:vAlign w:val="center"/>
          </w:tcPr>
          <w:p w:rsidR="00597370" w:rsidRDefault="00597370">
            <w:pPr>
              <w:jc w:val="right"/>
              <w:rPr>
                <w:sz w:val="18"/>
                <w:szCs w:val="18"/>
              </w:rPr>
            </w:pPr>
          </w:p>
        </w:tc>
        <w:tc>
          <w:tcPr>
            <w:tcW w:w="149" w:type="pct"/>
            <w:vAlign w:val="center"/>
          </w:tcPr>
          <w:p w:rsidR="00597370" w:rsidRDefault="00597370">
            <w:pPr>
              <w:jc w:val="right"/>
              <w:rPr>
                <w:sz w:val="18"/>
                <w:szCs w:val="18"/>
              </w:rPr>
            </w:pPr>
          </w:p>
        </w:tc>
        <w:tc>
          <w:tcPr>
            <w:tcW w:w="550" w:type="pct"/>
            <w:vAlign w:val="center"/>
          </w:tcPr>
          <w:p w:rsidR="00597370" w:rsidRDefault="00597370">
            <w:pPr>
              <w:jc w:val="right"/>
              <w:rPr>
                <w:sz w:val="18"/>
                <w:szCs w:val="18"/>
              </w:rPr>
            </w:pPr>
          </w:p>
          <w:p w:rsidR="00597370" w:rsidRDefault="003C2EEE">
            <w:pPr>
              <w:jc w:val="right"/>
              <w:rPr>
                <w:sz w:val="18"/>
                <w:szCs w:val="18"/>
              </w:rPr>
            </w:pPr>
            <w:r>
              <w:rPr>
                <w:sz w:val="18"/>
                <w:szCs w:val="18"/>
              </w:rPr>
              <w:t>18,453,771.60</w:t>
            </w:r>
          </w:p>
        </w:tc>
        <w:tc>
          <w:tcPr>
            <w:tcW w:w="350" w:type="pct"/>
            <w:vAlign w:val="center"/>
          </w:tcPr>
          <w:p w:rsidR="00597370" w:rsidRDefault="00597370">
            <w:pPr>
              <w:jc w:val="right"/>
              <w:rPr>
                <w:sz w:val="18"/>
                <w:szCs w:val="18"/>
              </w:rPr>
            </w:pPr>
          </w:p>
          <w:p w:rsidR="00597370" w:rsidRDefault="003C2EEE">
            <w:pPr>
              <w:jc w:val="right"/>
              <w:rPr>
                <w:sz w:val="18"/>
                <w:szCs w:val="18"/>
              </w:rPr>
            </w:pPr>
            <w:r>
              <w:rPr>
                <w:sz w:val="18"/>
                <w:szCs w:val="18"/>
              </w:rPr>
              <w:t>94,090,598.13</w:t>
            </w:r>
          </w:p>
        </w:tc>
        <w:tc>
          <w:tcPr>
            <w:tcW w:w="150" w:type="pct"/>
            <w:vAlign w:val="center"/>
          </w:tcPr>
          <w:p w:rsidR="00597370" w:rsidRDefault="00597370">
            <w:pPr>
              <w:jc w:val="right"/>
              <w:rPr>
                <w:sz w:val="18"/>
                <w:szCs w:val="18"/>
              </w:rPr>
            </w:pPr>
          </w:p>
        </w:tc>
        <w:tc>
          <w:tcPr>
            <w:tcW w:w="450" w:type="pct"/>
            <w:vAlign w:val="center"/>
          </w:tcPr>
          <w:p w:rsidR="00597370" w:rsidRDefault="00597370">
            <w:pPr>
              <w:jc w:val="right"/>
              <w:rPr>
                <w:sz w:val="18"/>
                <w:szCs w:val="18"/>
              </w:rPr>
            </w:pPr>
          </w:p>
          <w:p w:rsidR="00597370" w:rsidRDefault="003C2EEE">
            <w:pPr>
              <w:jc w:val="right"/>
              <w:rPr>
                <w:sz w:val="18"/>
                <w:szCs w:val="18"/>
              </w:rPr>
            </w:pPr>
            <w:r>
              <w:rPr>
                <w:sz w:val="18"/>
                <w:szCs w:val="18"/>
              </w:rPr>
              <w:t>935,741,495.28</w:t>
            </w:r>
          </w:p>
        </w:tc>
        <w:tc>
          <w:tcPr>
            <w:tcW w:w="150" w:type="pct"/>
            <w:vAlign w:val="center"/>
          </w:tcPr>
          <w:p w:rsidR="00597370" w:rsidRDefault="00597370">
            <w:pPr>
              <w:jc w:val="right"/>
              <w:rPr>
                <w:sz w:val="18"/>
                <w:szCs w:val="18"/>
              </w:rPr>
            </w:pPr>
          </w:p>
        </w:tc>
        <w:tc>
          <w:tcPr>
            <w:tcW w:w="501" w:type="pct"/>
            <w:vAlign w:val="center"/>
          </w:tcPr>
          <w:p w:rsidR="00597370" w:rsidRDefault="00597370">
            <w:pPr>
              <w:jc w:val="right"/>
              <w:rPr>
                <w:sz w:val="18"/>
                <w:szCs w:val="18"/>
              </w:rPr>
            </w:pPr>
          </w:p>
          <w:p w:rsidR="00597370" w:rsidRDefault="003C2EEE">
            <w:pPr>
              <w:jc w:val="right"/>
              <w:rPr>
                <w:sz w:val="18"/>
                <w:szCs w:val="18"/>
              </w:rPr>
            </w:pPr>
            <w:r>
              <w:rPr>
                <w:sz w:val="18"/>
                <w:szCs w:val="18"/>
              </w:rPr>
              <w:t>2,363,837,836.81</w:t>
            </w:r>
          </w:p>
        </w:tc>
        <w:tc>
          <w:tcPr>
            <w:tcW w:w="450" w:type="pct"/>
            <w:vAlign w:val="center"/>
          </w:tcPr>
          <w:p w:rsidR="00597370" w:rsidRDefault="003C2EEE">
            <w:pPr>
              <w:jc w:val="right"/>
              <w:rPr>
                <w:sz w:val="18"/>
                <w:szCs w:val="18"/>
              </w:rPr>
            </w:pPr>
            <w:r>
              <w:rPr>
                <w:sz w:val="16"/>
                <w:szCs w:val="16"/>
              </w:rPr>
              <w:t>-1,948,808.46</w:t>
            </w:r>
          </w:p>
        </w:tc>
        <w:tc>
          <w:tcPr>
            <w:tcW w:w="400" w:type="pct"/>
            <w:vAlign w:val="center"/>
          </w:tcPr>
          <w:p w:rsidR="00597370" w:rsidRDefault="00597370">
            <w:pPr>
              <w:jc w:val="right"/>
              <w:rPr>
                <w:sz w:val="18"/>
                <w:szCs w:val="18"/>
              </w:rPr>
            </w:pPr>
          </w:p>
          <w:p w:rsidR="00597370" w:rsidRDefault="003C2EEE">
            <w:pPr>
              <w:jc w:val="right"/>
              <w:rPr>
                <w:sz w:val="18"/>
                <w:szCs w:val="18"/>
              </w:rPr>
            </w:pPr>
            <w:r>
              <w:rPr>
                <w:sz w:val="18"/>
                <w:szCs w:val="18"/>
              </w:rPr>
              <w:t>2,361,889,028.35</w:t>
            </w:r>
          </w:p>
        </w:tc>
      </w:tr>
    </w:tbl>
    <w:p w:rsidR="00597370" w:rsidRDefault="00597370">
      <w:pPr>
        <w:rPr>
          <w:color w:val="000000" w:themeColor="text1"/>
        </w:rPr>
      </w:pPr>
    </w:p>
    <w:p w:rsidR="00597370" w:rsidRDefault="003C2EEE">
      <w:pPr>
        <w:snapToGrid w:val="0"/>
        <w:spacing w:line="240" w:lineRule="atLeast"/>
        <w:rPr>
          <w:b/>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076a4a0998a840bab20f0ed83e5bab3d"/>
          <w:id w:val="-1757272507"/>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 xml:space="preserve">              主管会计工作负责人</w:t>
      </w:r>
      <w:r>
        <w:rPr>
          <w:rFonts w:hint="eastAsia"/>
          <w:color w:val="000000" w:themeColor="text1"/>
        </w:rPr>
        <w:t>：</w:t>
      </w:r>
      <w:sdt>
        <w:sdtPr>
          <w:rPr>
            <w:rFonts w:hint="eastAsia"/>
            <w:color w:val="000000" w:themeColor="text1"/>
          </w:rPr>
          <w:alias w:val="主管会计工作负责人姓名"/>
          <w:tag w:val="_GBC_5b21002df9e248fa81a6770579ce76cd"/>
          <w:id w:val="2013488732"/>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 xml:space="preserve">                             会计机构负责人</w:t>
      </w:r>
      <w:r>
        <w:rPr>
          <w:rFonts w:hint="eastAsia"/>
          <w:color w:val="000000" w:themeColor="text1"/>
        </w:rPr>
        <w:t>：</w:t>
      </w:r>
      <w:sdt>
        <w:sdtPr>
          <w:rPr>
            <w:rFonts w:hint="eastAsia"/>
            <w:color w:val="000000" w:themeColor="text1"/>
          </w:rPr>
          <w:alias w:val="会计机构负责人姓名"/>
          <w:tag w:val="_GBC_6a446d6543174dc48c72d440eefb0b71"/>
          <w:id w:val="583496361"/>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597370" w:rsidRDefault="00597370">
      <w:pPr>
        <w:rPr>
          <w:color w:val="000000" w:themeColor="text1"/>
        </w:rPr>
      </w:pPr>
    </w:p>
    <w:p w:rsidR="00597370" w:rsidRDefault="003C2EEE">
      <w:pPr>
        <w:pStyle w:val="Style109"/>
        <w:jc w:val="center"/>
        <w:rPr>
          <w:rFonts w:ascii="宋体" w:hAnsi="宋体"/>
          <w:color w:val="000000" w:themeColor="text1"/>
        </w:rPr>
      </w:pPr>
      <w:r>
        <w:rPr>
          <w:rFonts w:ascii="宋体" w:hAnsi="宋体"/>
          <w:color w:val="000000" w:themeColor="text1"/>
        </w:rPr>
        <w:t>母公司</w:t>
      </w:r>
      <w:r>
        <w:rPr>
          <w:rFonts w:ascii="宋体" w:hAnsi="宋体" w:hint="eastAsia"/>
          <w:color w:val="000000" w:themeColor="text1"/>
        </w:rPr>
        <w:t>所有者权益变动表</w:t>
      </w:r>
    </w:p>
    <w:p w:rsidR="00597370" w:rsidRDefault="003C2EEE">
      <w:pPr>
        <w:tabs>
          <w:tab w:val="left" w:pos="10080"/>
        </w:tabs>
        <w:snapToGrid w:val="0"/>
        <w:spacing w:line="240" w:lineRule="atLeast"/>
        <w:ind w:rightChars="12" w:right="25"/>
        <w:jc w:val="center"/>
        <w:rPr>
          <w:b/>
          <w:color w:val="000000" w:themeColor="text1"/>
        </w:rPr>
      </w:pPr>
      <w:r>
        <w:rPr>
          <w:color w:val="000000" w:themeColor="text1"/>
        </w:rPr>
        <w:t>2024年</w:t>
      </w:r>
      <w:r>
        <w:rPr>
          <w:rFonts w:hint="eastAsia"/>
          <w:color w:val="000000" w:themeColor="text1"/>
        </w:rPr>
        <w:t>1—6</w:t>
      </w:r>
      <w:r>
        <w:rPr>
          <w:color w:val="000000" w:themeColor="text1"/>
        </w:rPr>
        <w:t>月</w:t>
      </w:r>
    </w:p>
    <w:p w:rsidR="00597370" w:rsidRDefault="003C2EEE">
      <w:pPr>
        <w:snapToGrid w:val="0"/>
        <w:spacing w:line="240" w:lineRule="atLeast"/>
        <w:jc w:val="right"/>
        <w:rPr>
          <w:color w:val="000000" w:themeColor="text1"/>
        </w:rPr>
      </w:pPr>
      <w:r>
        <w:rPr>
          <w:color w:val="000000" w:themeColor="text1"/>
        </w:rPr>
        <w:t>单位：</w:t>
      </w:r>
      <w:sdt>
        <w:sdtPr>
          <w:rPr>
            <w:color w:val="000000" w:themeColor="text1"/>
          </w:rPr>
          <w:alias w:val="单位：母公司股东权益调节表"/>
          <w:tag w:val="_GBC_048773409e614c6bb753000b028316a5"/>
          <w:id w:val="17855391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sdt>
        <w:sdtPr>
          <w:rPr>
            <w:color w:val="000000" w:themeColor="text1"/>
          </w:rPr>
          <w:alias w:val="币种：母公司股东权益调节表"/>
          <w:tag w:val="_GBC_5214b7a188334da286fc3038d017d072"/>
          <w:id w:val="-3932722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A0" w:firstRow="1" w:lastRow="0" w:firstColumn="1" w:lastColumn="0" w:noHBand="0" w:noVBand="1"/>
      </w:tblPr>
      <w:tblGrid>
        <w:gridCol w:w="2452"/>
        <w:gridCol w:w="1323"/>
        <w:gridCol w:w="425"/>
        <w:gridCol w:w="426"/>
        <w:gridCol w:w="426"/>
        <w:gridCol w:w="1279"/>
        <w:gridCol w:w="1279"/>
        <w:gridCol w:w="996"/>
        <w:gridCol w:w="1279"/>
        <w:gridCol w:w="1279"/>
        <w:gridCol w:w="1278"/>
        <w:gridCol w:w="1421"/>
      </w:tblGrid>
      <w:tr w:rsidR="00597370">
        <w:trPr>
          <w:trHeight w:val="397"/>
          <w:jc w:val="center"/>
        </w:trPr>
        <w:sdt>
          <w:sdtPr>
            <w:rPr>
              <w:color w:val="000000" w:themeColor="text1"/>
            </w:rPr>
            <w:tag w:val="_PLD_e16babcb874e4410be91226aac3d24db"/>
            <w:id w:val="1796177086"/>
          </w:sdtPr>
          <w:sdtEndPr/>
          <w:sdtContent>
            <w:tc>
              <w:tcPr>
                <w:tcW w:w="2452" w:type="dxa"/>
                <w:vMerge w:val="restart"/>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项目</w:t>
                </w:r>
              </w:p>
            </w:tc>
          </w:sdtContent>
        </w:sdt>
        <w:tc>
          <w:tcPr>
            <w:tcW w:w="11411" w:type="dxa"/>
            <w:gridSpan w:val="11"/>
            <w:vAlign w:val="center"/>
          </w:tcPr>
          <w:p w:rsidR="00597370" w:rsidRDefault="003C2EEE">
            <w:pPr>
              <w:adjustRightInd w:val="0"/>
              <w:snapToGrid w:val="0"/>
              <w:jc w:val="center"/>
              <w:rPr>
                <w:color w:val="000000" w:themeColor="text1"/>
              </w:rPr>
            </w:pPr>
            <w:r>
              <w:rPr>
                <w:rFonts w:hint="eastAsia"/>
                <w:color w:val="000000" w:themeColor="text1"/>
              </w:rPr>
              <w:t xml:space="preserve"> </w:t>
            </w:r>
            <w:sdt>
              <w:sdtPr>
                <w:rPr>
                  <w:rFonts w:hint="eastAsia"/>
                  <w:color w:val="000000" w:themeColor="text1"/>
                </w:rPr>
                <w:tag w:val="_PLD_f6e21c3ce66d4e148eea3bf743a653b8"/>
                <w:id w:val="-345098029"/>
              </w:sdtPr>
              <w:sdtEndPr/>
              <w:sdtContent>
                <w:r>
                  <w:rPr>
                    <w:rFonts w:hint="eastAsia"/>
                    <w:color w:val="000000" w:themeColor="text1"/>
                    <w:sz w:val="18"/>
                  </w:rPr>
                  <w:t>2024年半年度</w:t>
                </w:r>
              </w:sdtContent>
            </w:sdt>
          </w:p>
        </w:tc>
      </w:tr>
      <w:tr w:rsidR="00597370">
        <w:trPr>
          <w:trHeight w:val="397"/>
          <w:jc w:val="center"/>
        </w:trPr>
        <w:tc>
          <w:tcPr>
            <w:tcW w:w="2452" w:type="dxa"/>
            <w:vMerge/>
          </w:tcPr>
          <w:p w:rsidR="00597370" w:rsidRDefault="00597370">
            <w:pPr>
              <w:adjustRightInd w:val="0"/>
              <w:snapToGrid w:val="0"/>
              <w:rPr>
                <w:color w:val="000000" w:themeColor="text1"/>
                <w:sz w:val="18"/>
                <w:szCs w:val="18"/>
              </w:rPr>
            </w:pPr>
          </w:p>
        </w:tc>
        <w:sdt>
          <w:sdtPr>
            <w:rPr>
              <w:color w:val="000000" w:themeColor="text1"/>
            </w:rPr>
            <w:tag w:val="_PLD_0b6e9703ed65458cb162afd47e6cc9f5"/>
            <w:id w:val="1251941100"/>
          </w:sdtPr>
          <w:sdtEndPr/>
          <w:sdtContent>
            <w:tc>
              <w:tcPr>
                <w:tcW w:w="1323" w:type="dxa"/>
                <w:vMerge w:val="restart"/>
                <w:tcBorders>
                  <w:right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实收资本</w:t>
                </w:r>
                <w:r>
                  <w:rPr>
                    <w:color w:val="000000" w:themeColor="text1"/>
                    <w:sz w:val="18"/>
                    <w:szCs w:val="18"/>
                  </w:rPr>
                  <w:t xml:space="preserve"> (或股本)</w:t>
                </w:r>
              </w:p>
            </w:tc>
          </w:sdtContent>
        </w:sdt>
        <w:sdt>
          <w:sdtPr>
            <w:rPr>
              <w:color w:val="000000" w:themeColor="text1"/>
            </w:rPr>
            <w:tag w:val="_PLD_385a3413585444238bb59d181b958311"/>
            <w:id w:val="193426958"/>
          </w:sdtPr>
          <w:sdtEndPr/>
          <w:sdtContent>
            <w:tc>
              <w:tcPr>
                <w:tcW w:w="1277" w:type="dxa"/>
                <w:gridSpan w:val="3"/>
                <w:tcBorders>
                  <w:left w:val="single" w:sz="4" w:space="0" w:color="auto"/>
                  <w:bottom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其他权益工具</w:t>
                </w:r>
              </w:p>
            </w:tc>
          </w:sdtContent>
        </w:sdt>
        <w:sdt>
          <w:sdtPr>
            <w:rPr>
              <w:color w:val="000000" w:themeColor="text1"/>
            </w:rPr>
            <w:tag w:val="_PLD_670488de432c4150880353e82f6ebb21"/>
            <w:id w:val="1198738128"/>
          </w:sdtPr>
          <w:sdtEndPr/>
          <w:sdtContent>
            <w:tc>
              <w:tcPr>
                <w:tcW w:w="1279"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资本公积</w:t>
                </w:r>
              </w:p>
            </w:tc>
          </w:sdtContent>
        </w:sdt>
        <w:sdt>
          <w:sdtPr>
            <w:rPr>
              <w:color w:val="000000" w:themeColor="text1"/>
            </w:rPr>
            <w:tag w:val="_PLD_c1c25c4e521b4e8aba5ccfef16a558c5"/>
            <w:id w:val="1606532023"/>
          </w:sdtPr>
          <w:sdtEndPr/>
          <w:sdtContent>
            <w:tc>
              <w:tcPr>
                <w:tcW w:w="1279"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减：库存股</w:t>
                </w:r>
              </w:p>
            </w:tc>
          </w:sdtContent>
        </w:sdt>
        <w:sdt>
          <w:sdtPr>
            <w:rPr>
              <w:color w:val="000000" w:themeColor="text1"/>
            </w:rPr>
            <w:tag w:val="_PLD_4ef83c170ca54a08ac6fcebc6a487dcd"/>
            <w:id w:val="-1156831671"/>
          </w:sdtPr>
          <w:sdtEndPr/>
          <w:sdtContent>
            <w:tc>
              <w:tcPr>
                <w:tcW w:w="996" w:type="dxa"/>
                <w:vMerge w:val="restart"/>
                <w:vAlign w:val="center"/>
              </w:tcPr>
              <w:p w:rsidR="00597370" w:rsidRDefault="003C2EEE">
                <w:pPr>
                  <w:jc w:val="center"/>
                  <w:rPr>
                    <w:color w:val="000000" w:themeColor="text1"/>
                    <w:sz w:val="18"/>
                    <w:szCs w:val="18"/>
                  </w:rPr>
                </w:pPr>
                <w:r>
                  <w:rPr>
                    <w:rFonts w:hint="eastAsia"/>
                    <w:color w:val="000000" w:themeColor="text1"/>
                    <w:sz w:val="18"/>
                    <w:szCs w:val="18"/>
                  </w:rPr>
                  <w:t>其他综合收益</w:t>
                </w:r>
              </w:p>
            </w:tc>
          </w:sdtContent>
        </w:sdt>
        <w:sdt>
          <w:sdtPr>
            <w:rPr>
              <w:color w:val="000000" w:themeColor="text1"/>
            </w:rPr>
            <w:tag w:val="_PLD_5a42f2a835d44138928915520fc5e902"/>
            <w:id w:val="72245154"/>
          </w:sdtPr>
          <w:sdtEndPr/>
          <w:sdtContent>
            <w:tc>
              <w:tcPr>
                <w:tcW w:w="1279" w:type="dxa"/>
                <w:vMerge w:val="restart"/>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专项储备</w:t>
                </w:r>
              </w:p>
            </w:tc>
          </w:sdtContent>
        </w:sdt>
        <w:sdt>
          <w:sdtPr>
            <w:rPr>
              <w:color w:val="000000" w:themeColor="text1"/>
            </w:rPr>
            <w:tag w:val="_PLD_dbef0e1514f54b8ab8b43e975d3451b6"/>
            <w:id w:val="398785788"/>
          </w:sdtPr>
          <w:sdtEndPr/>
          <w:sdtContent>
            <w:tc>
              <w:tcPr>
                <w:tcW w:w="1279"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盈余公积</w:t>
                </w:r>
              </w:p>
            </w:tc>
          </w:sdtContent>
        </w:sdt>
        <w:sdt>
          <w:sdtPr>
            <w:rPr>
              <w:color w:val="000000" w:themeColor="text1"/>
            </w:rPr>
            <w:tag w:val="_PLD_63b6c2969ec64e7abb1802f027c1069a"/>
            <w:id w:val="-1301379223"/>
          </w:sdtPr>
          <w:sdtEndPr/>
          <w:sdtContent>
            <w:tc>
              <w:tcPr>
                <w:tcW w:w="1278"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未分配利润</w:t>
                </w:r>
              </w:p>
            </w:tc>
          </w:sdtContent>
        </w:sdt>
        <w:sdt>
          <w:sdtPr>
            <w:rPr>
              <w:color w:val="000000" w:themeColor="text1"/>
            </w:rPr>
            <w:tag w:val="_PLD_cdd38492b3a84e28b52c6700432babfd"/>
            <w:id w:val="735822786"/>
          </w:sdtPr>
          <w:sdtEndPr/>
          <w:sdtContent>
            <w:tc>
              <w:tcPr>
                <w:tcW w:w="1421"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所有者权益合计</w:t>
                </w:r>
              </w:p>
            </w:tc>
          </w:sdtContent>
        </w:sdt>
      </w:tr>
      <w:tr w:rsidR="00597370">
        <w:trPr>
          <w:trHeight w:val="397"/>
          <w:jc w:val="center"/>
        </w:trPr>
        <w:tc>
          <w:tcPr>
            <w:tcW w:w="2452" w:type="dxa"/>
            <w:vMerge/>
          </w:tcPr>
          <w:p w:rsidR="00597370" w:rsidRDefault="00597370">
            <w:pPr>
              <w:adjustRightInd w:val="0"/>
              <w:snapToGrid w:val="0"/>
              <w:rPr>
                <w:color w:val="000000" w:themeColor="text1"/>
                <w:sz w:val="18"/>
                <w:szCs w:val="18"/>
              </w:rPr>
            </w:pPr>
          </w:p>
        </w:tc>
        <w:tc>
          <w:tcPr>
            <w:tcW w:w="1323" w:type="dxa"/>
            <w:vMerge/>
            <w:tcBorders>
              <w:right w:val="single" w:sz="4" w:space="0" w:color="auto"/>
            </w:tcBorders>
            <w:vAlign w:val="center"/>
          </w:tcPr>
          <w:p w:rsidR="00597370" w:rsidRDefault="00597370">
            <w:pPr>
              <w:adjustRightInd w:val="0"/>
              <w:snapToGrid w:val="0"/>
              <w:jc w:val="center"/>
              <w:rPr>
                <w:color w:val="000000" w:themeColor="text1"/>
                <w:sz w:val="18"/>
                <w:szCs w:val="18"/>
              </w:rPr>
            </w:pPr>
          </w:p>
        </w:tc>
        <w:sdt>
          <w:sdtPr>
            <w:rPr>
              <w:color w:val="000000" w:themeColor="text1"/>
            </w:rPr>
            <w:tag w:val="_PLD_90c1cf3c29414463ba491093caed23a7"/>
            <w:id w:val="1553276467"/>
          </w:sdtPr>
          <w:sdtEndPr/>
          <w:sdtContent>
            <w:tc>
              <w:tcPr>
                <w:tcW w:w="425" w:type="dxa"/>
                <w:tcBorders>
                  <w:top w:val="single" w:sz="4" w:space="0" w:color="auto"/>
                  <w:left w:val="single" w:sz="4" w:space="0" w:color="auto"/>
                  <w:right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优先股</w:t>
                </w:r>
              </w:p>
            </w:tc>
          </w:sdtContent>
        </w:sdt>
        <w:sdt>
          <w:sdtPr>
            <w:rPr>
              <w:color w:val="000000" w:themeColor="text1"/>
            </w:rPr>
            <w:tag w:val="_PLD_7dac20c025664b94b7a2176be4c24d00"/>
            <w:id w:val="-864593524"/>
          </w:sdtPr>
          <w:sdtEndPr/>
          <w:sdtContent>
            <w:tc>
              <w:tcPr>
                <w:tcW w:w="426" w:type="dxa"/>
                <w:tcBorders>
                  <w:top w:val="single" w:sz="4" w:space="0" w:color="auto"/>
                  <w:left w:val="single" w:sz="4" w:space="0" w:color="auto"/>
                  <w:right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永续债</w:t>
                </w:r>
              </w:p>
            </w:tc>
          </w:sdtContent>
        </w:sdt>
        <w:sdt>
          <w:sdtPr>
            <w:rPr>
              <w:color w:val="000000" w:themeColor="text1"/>
            </w:rPr>
            <w:tag w:val="_PLD_23829f284d5149ee92e64b94083b1ade"/>
            <w:id w:val="-1757433084"/>
          </w:sdtPr>
          <w:sdtEndPr/>
          <w:sdtContent>
            <w:tc>
              <w:tcPr>
                <w:tcW w:w="426" w:type="dxa"/>
                <w:tcBorders>
                  <w:top w:val="single" w:sz="4" w:space="0" w:color="auto"/>
                  <w:left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其他</w:t>
                </w:r>
              </w:p>
            </w:tc>
          </w:sdtContent>
        </w:sdt>
        <w:tc>
          <w:tcPr>
            <w:tcW w:w="1279" w:type="dxa"/>
            <w:vMerge/>
          </w:tcPr>
          <w:p w:rsidR="00597370" w:rsidRDefault="00597370">
            <w:pPr>
              <w:adjustRightInd w:val="0"/>
              <w:snapToGrid w:val="0"/>
              <w:jc w:val="center"/>
              <w:rPr>
                <w:color w:val="000000" w:themeColor="text1"/>
                <w:sz w:val="18"/>
                <w:szCs w:val="18"/>
              </w:rPr>
            </w:pPr>
          </w:p>
        </w:tc>
        <w:tc>
          <w:tcPr>
            <w:tcW w:w="1279" w:type="dxa"/>
            <w:vMerge/>
          </w:tcPr>
          <w:p w:rsidR="00597370" w:rsidRDefault="00597370">
            <w:pPr>
              <w:adjustRightInd w:val="0"/>
              <w:snapToGrid w:val="0"/>
              <w:jc w:val="center"/>
              <w:rPr>
                <w:color w:val="000000" w:themeColor="text1"/>
                <w:sz w:val="18"/>
                <w:szCs w:val="18"/>
              </w:rPr>
            </w:pPr>
          </w:p>
        </w:tc>
        <w:tc>
          <w:tcPr>
            <w:tcW w:w="996" w:type="dxa"/>
            <w:vMerge/>
          </w:tcPr>
          <w:p w:rsidR="00597370" w:rsidRDefault="00597370">
            <w:pPr>
              <w:jc w:val="center"/>
              <w:rPr>
                <w:color w:val="000000" w:themeColor="text1"/>
                <w:sz w:val="18"/>
                <w:szCs w:val="18"/>
              </w:rPr>
            </w:pPr>
          </w:p>
        </w:tc>
        <w:tc>
          <w:tcPr>
            <w:tcW w:w="1279" w:type="dxa"/>
            <w:vMerge/>
          </w:tcPr>
          <w:p w:rsidR="00597370" w:rsidRDefault="00597370">
            <w:pPr>
              <w:adjustRightInd w:val="0"/>
              <w:snapToGrid w:val="0"/>
              <w:jc w:val="center"/>
              <w:rPr>
                <w:color w:val="000000" w:themeColor="text1"/>
                <w:sz w:val="18"/>
                <w:szCs w:val="18"/>
              </w:rPr>
            </w:pPr>
          </w:p>
        </w:tc>
        <w:tc>
          <w:tcPr>
            <w:tcW w:w="1279" w:type="dxa"/>
            <w:vMerge/>
          </w:tcPr>
          <w:p w:rsidR="00597370" w:rsidRDefault="00597370">
            <w:pPr>
              <w:adjustRightInd w:val="0"/>
              <w:snapToGrid w:val="0"/>
              <w:jc w:val="center"/>
              <w:rPr>
                <w:color w:val="000000" w:themeColor="text1"/>
                <w:sz w:val="18"/>
                <w:szCs w:val="18"/>
              </w:rPr>
            </w:pPr>
          </w:p>
        </w:tc>
        <w:tc>
          <w:tcPr>
            <w:tcW w:w="1278" w:type="dxa"/>
            <w:vMerge/>
          </w:tcPr>
          <w:p w:rsidR="00597370" w:rsidRDefault="00597370">
            <w:pPr>
              <w:adjustRightInd w:val="0"/>
              <w:snapToGrid w:val="0"/>
              <w:jc w:val="center"/>
              <w:rPr>
                <w:color w:val="000000" w:themeColor="text1"/>
                <w:sz w:val="18"/>
                <w:szCs w:val="18"/>
              </w:rPr>
            </w:pPr>
          </w:p>
        </w:tc>
        <w:tc>
          <w:tcPr>
            <w:tcW w:w="1421" w:type="dxa"/>
            <w:vMerge/>
          </w:tcPr>
          <w:p w:rsidR="00597370" w:rsidRDefault="00597370">
            <w:pPr>
              <w:adjustRightInd w:val="0"/>
              <w:snapToGrid w:val="0"/>
              <w:jc w:val="center"/>
              <w:rPr>
                <w:color w:val="000000" w:themeColor="text1"/>
                <w:sz w:val="18"/>
                <w:szCs w:val="18"/>
              </w:rPr>
            </w:pPr>
          </w:p>
        </w:tc>
      </w:tr>
      <w:tr w:rsidR="00597370">
        <w:trPr>
          <w:trHeight w:val="397"/>
          <w:jc w:val="center"/>
        </w:trPr>
        <w:sdt>
          <w:sdtPr>
            <w:rPr>
              <w:color w:val="000000" w:themeColor="text1"/>
            </w:rPr>
            <w:tag w:val="_PLD_b5131b53bda244fcbd76916797d6b666"/>
            <w:id w:val="103150603"/>
          </w:sdtPr>
          <w:sdtEndPr/>
          <w:sdtContent>
            <w:tc>
              <w:tcPr>
                <w:tcW w:w="2452" w:type="dxa"/>
              </w:tcPr>
              <w:p w:rsidR="00597370" w:rsidRDefault="003C2EEE">
                <w:pPr>
                  <w:rPr>
                    <w:color w:val="000000" w:themeColor="text1"/>
                    <w:sz w:val="18"/>
                    <w:szCs w:val="18"/>
                  </w:rPr>
                </w:pPr>
                <w:r>
                  <w:rPr>
                    <w:color w:val="000000" w:themeColor="text1"/>
                    <w:sz w:val="18"/>
                    <w:szCs w:val="18"/>
                  </w:rPr>
                  <w:t>一、上年</w:t>
                </w:r>
                <w:r>
                  <w:rPr>
                    <w:rFonts w:hint="eastAsia"/>
                    <w:color w:val="000000" w:themeColor="text1"/>
                    <w:sz w:val="18"/>
                    <w:szCs w:val="18"/>
                  </w:rPr>
                  <w:t>期</w:t>
                </w:r>
                <w:r>
                  <w:rPr>
                    <w:color w:val="000000" w:themeColor="text1"/>
                    <w:sz w:val="18"/>
                    <w:szCs w:val="18"/>
                  </w:rPr>
                  <w:t>末余额</w:t>
                </w:r>
              </w:p>
            </w:tc>
          </w:sdtContent>
        </w:sdt>
        <w:tc>
          <w:tcPr>
            <w:tcW w:w="1323" w:type="dxa"/>
            <w:tcBorders>
              <w:right w:val="single" w:sz="4" w:space="0" w:color="auto"/>
            </w:tcBorders>
            <w:vAlign w:val="bottom"/>
          </w:tcPr>
          <w:p w:rsidR="00597370" w:rsidRDefault="003C2EEE">
            <w:pPr>
              <w:jc w:val="right"/>
              <w:rPr>
                <w:sz w:val="18"/>
                <w:szCs w:val="18"/>
              </w:rPr>
            </w:pPr>
            <w:r>
              <w:rPr>
                <w:rFonts w:hint="eastAsia"/>
                <w:color w:val="000000"/>
                <w:sz w:val="18"/>
                <w:szCs w:val="18"/>
              </w:rPr>
              <w:t xml:space="preserve"> 333,167,407.00 </w:t>
            </w: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1279" w:type="dxa"/>
            <w:tcBorders>
              <w:left w:val="single" w:sz="4" w:space="0" w:color="auto"/>
            </w:tcBorders>
            <w:vAlign w:val="bottom"/>
          </w:tcPr>
          <w:p w:rsidR="00597370" w:rsidRDefault="003C2EEE">
            <w:pPr>
              <w:jc w:val="right"/>
              <w:rPr>
                <w:sz w:val="18"/>
                <w:szCs w:val="18"/>
              </w:rPr>
            </w:pPr>
            <w:r>
              <w:rPr>
                <w:rFonts w:hint="eastAsia"/>
                <w:color w:val="000000"/>
                <w:sz w:val="18"/>
                <w:szCs w:val="18"/>
              </w:rPr>
              <w:t xml:space="preserve"> 984,845,013.70 </w:t>
            </w:r>
          </w:p>
        </w:tc>
        <w:tc>
          <w:tcPr>
            <w:tcW w:w="1279" w:type="dxa"/>
            <w:vAlign w:val="bottom"/>
          </w:tcPr>
          <w:p w:rsidR="00597370" w:rsidRDefault="003C2EEE">
            <w:pPr>
              <w:jc w:val="right"/>
              <w:rPr>
                <w:sz w:val="18"/>
                <w:szCs w:val="18"/>
              </w:rPr>
            </w:pPr>
            <w:r>
              <w:rPr>
                <w:rFonts w:hint="eastAsia"/>
                <w:color w:val="000000"/>
                <w:sz w:val="18"/>
                <w:szCs w:val="18"/>
              </w:rPr>
              <w:t xml:space="preserve"> 50,299,241.28 </w:t>
            </w:r>
          </w:p>
        </w:tc>
        <w:tc>
          <w:tcPr>
            <w:tcW w:w="996" w:type="dxa"/>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20,486,861.44 </w:t>
            </w:r>
          </w:p>
        </w:tc>
        <w:tc>
          <w:tcPr>
            <w:tcW w:w="1279" w:type="dxa"/>
            <w:vAlign w:val="bottom"/>
          </w:tcPr>
          <w:p w:rsidR="00597370" w:rsidRDefault="003C2EEE">
            <w:pPr>
              <w:jc w:val="right"/>
              <w:rPr>
                <w:sz w:val="18"/>
                <w:szCs w:val="18"/>
              </w:rPr>
            </w:pPr>
            <w:r>
              <w:rPr>
                <w:rFonts w:hint="eastAsia"/>
                <w:color w:val="000000"/>
                <w:sz w:val="18"/>
                <w:szCs w:val="18"/>
              </w:rPr>
              <w:t xml:space="preserve"> 117,387,556.66 </w:t>
            </w:r>
          </w:p>
        </w:tc>
        <w:tc>
          <w:tcPr>
            <w:tcW w:w="1278" w:type="dxa"/>
            <w:vAlign w:val="bottom"/>
          </w:tcPr>
          <w:p w:rsidR="00597370" w:rsidRDefault="003C2EEE">
            <w:pPr>
              <w:jc w:val="right"/>
              <w:rPr>
                <w:sz w:val="18"/>
                <w:szCs w:val="18"/>
              </w:rPr>
            </w:pPr>
            <w:r>
              <w:rPr>
                <w:rFonts w:hint="eastAsia"/>
                <w:color w:val="000000"/>
                <w:sz w:val="18"/>
                <w:szCs w:val="18"/>
              </w:rPr>
              <w:t xml:space="preserve"> 995,843,075.29 </w:t>
            </w:r>
          </w:p>
        </w:tc>
        <w:tc>
          <w:tcPr>
            <w:tcW w:w="1421" w:type="dxa"/>
            <w:vAlign w:val="bottom"/>
          </w:tcPr>
          <w:p w:rsidR="00597370" w:rsidRDefault="003C2EEE">
            <w:pPr>
              <w:jc w:val="right"/>
              <w:rPr>
                <w:sz w:val="18"/>
                <w:szCs w:val="18"/>
              </w:rPr>
            </w:pPr>
            <w:r>
              <w:rPr>
                <w:rFonts w:hint="eastAsia"/>
                <w:color w:val="000000"/>
                <w:sz w:val="18"/>
                <w:szCs w:val="18"/>
              </w:rPr>
              <w:t xml:space="preserve"> 2,401,430,672.81 </w:t>
            </w:r>
          </w:p>
        </w:tc>
      </w:tr>
      <w:tr w:rsidR="00597370">
        <w:trPr>
          <w:trHeight w:val="397"/>
          <w:jc w:val="center"/>
        </w:trPr>
        <w:sdt>
          <w:sdtPr>
            <w:rPr>
              <w:color w:val="000000" w:themeColor="text1"/>
            </w:rPr>
            <w:tag w:val="_PLD_66de901175bd4e50a35a24f0fca7513d"/>
            <w:id w:val="-1198387380"/>
          </w:sdtPr>
          <w:sdtEndPr/>
          <w:sdtContent>
            <w:tc>
              <w:tcPr>
                <w:tcW w:w="2452" w:type="dxa"/>
              </w:tcPr>
              <w:p w:rsidR="00597370" w:rsidRDefault="003C2EEE">
                <w:pPr>
                  <w:rPr>
                    <w:color w:val="000000" w:themeColor="text1"/>
                    <w:sz w:val="18"/>
                    <w:szCs w:val="18"/>
                  </w:rPr>
                </w:pPr>
                <w:r>
                  <w:rPr>
                    <w:color w:val="000000" w:themeColor="text1"/>
                    <w:sz w:val="18"/>
                    <w:szCs w:val="18"/>
                  </w:rPr>
                  <w:t>加：会计政策变更</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1279"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3bfc3b7951f4488f95a7180f02c989cf"/>
            <w:id w:val="853548097"/>
          </w:sdtPr>
          <w:sdtEndPr/>
          <w:sdtContent>
            <w:tc>
              <w:tcPr>
                <w:tcW w:w="2452" w:type="dxa"/>
              </w:tcPr>
              <w:p w:rsidR="00597370" w:rsidRDefault="003C2EEE">
                <w:pPr>
                  <w:ind w:firstLineChars="200" w:firstLine="420"/>
                  <w:rPr>
                    <w:color w:val="000000" w:themeColor="text1"/>
                    <w:sz w:val="18"/>
                    <w:szCs w:val="18"/>
                  </w:rPr>
                </w:pPr>
                <w:r>
                  <w:rPr>
                    <w:color w:val="000000" w:themeColor="text1"/>
                    <w:sz w:val="18"/>
                    <w:szCs w:val="18"/>
                  </w:rPr>
                  <w:t>前期差错更正</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1279"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dc9b9aaf7e384b1eae7dcabb517c2b1e"/>
            <w:id w:val="903406387"/>
          </w:sdtPr>
          <w:sdtEndPr/>
          <w:sdtContent>
            <w:tc>
              <w:tcPr>
                <w:tcW w:w="2452" w:type="dxa"/>
              </w:tcPr>
              <w:p w:rsidR="00597370" w:rsidRDefault="003C2EEE">
                <w:pPr>
                  <w:ind w:firstLineChars="200" w:firstLine="420"/>
                  <w:rPr>
                    <w:color w:val="000000" w:themeColor="text1"/>
                    <w:sz w:val="18"/>
                    <w:szCs w:val="18"/>
                  </w:rPr>
                </w:pPr>
                <w:r>
                  <w:rPr>
                    <w:rFonts w:hint="eastAsia"/>
                    <w:color w:val="000000" w:themeColor="text1"/>
                    <w:sz w:val="18"/>
                    <w:szCs w:val="18"/>
                  </w:rPr>
                  <w:t>其他</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1279"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345919472b384d0eb13471ef5f2f5e92"/>
            <w:id w:val="-1896422963"/>
          </w:sdtPr>
          <w:sdtEndPr/>
          <w:sdtContent>
            <w:tc>
              <w:tcPr>
                <w:tcW w:w="2452" w:type="dxa"/>
              </w:tcPr>
              <w:p w:rsidR="00597370" w:rsidRDefault="003C2EEE">
                <w:pPr>
                  <w:rPr>
                    <w:color w:val="000000" w:themeColor="text1"/>
                    <w:sz w:val="18"/>
                    <w:szCs w:val="18"/>
                  </w:rPr>
                </w:pPr>
                <w:r>
                  <w:rPr>
                    <w:color w:val="000000" w:themeColor="text1"/>
                    <w:sz w:val="18"/>
                    <w:szCs w:val="18"/>
                  </w:rPr>
                  <w:t>二、本年</w:t>
                </w:r>
                <w:r>
                  <w:rPr>
                    <w:rFonts w:hint="eastAsia"/>
                    <w:color w:val="000000" w:themeColor="text1"/>
                    <w:sz w:val="18"/>
                    <w:szCs w:val="18"/>
                  </w:rPr>
                  <w:t>期</w:t>
                </w:r>
                <w:r>
                  <w:rPr>
                    <w:color w:val="000000" w:themeColor="text1"/>
                    <w:sz w:val="18"/>
                    <w:szCs w:val="18"/>
                  </w:rPr>
                  <w:t>初余额</w:t>
                </w:r>
              </w:p>
            </w:tc>
          </w:sdtContent>
        </w:sdt>
        <w:tc>
          <w:tcPr>
            <w:tcW w:w="1323" w:type="dxa"/>
            <w:tcBorders>
              <w:right w:val="single" w:sz="4" w:space="0" w:color="auto"/>
            </w:tcBorders>
            <w:vAlign w:val="bottom"/>
          </w:tcPr>
          <w:p w:rsidR="00597370" w:rsidRDefault="003C2EEE">
            <w:pPr>
              <w:jc w:val="right"/>
              <w:rPr>
                <w:sz w:val="18"/>
                <w:szCs w:val="18"/>
              </w:rPr>
            </w:pPr>
            <w:r>
              <w:rPr>
                <w:rFonts w:hint="eastAsia"/>
                <w:color w:val="000000"/>
                <w:sz w:val="18"/>
                <w:szCs w:val="18"/>
              </w:rPr>
              <w:t xml:space="preserve"> 333,167,407.00 </w:t>
            </w: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1279" w:type="dxa"/>
            <w:tcBorders>
              <w:left w:val="single" w:sz="4" w:space="0" w:color="auto"/>
            </w:tcBorders>
            <w:vAlign w:val="bottom"/>
          </w:tcPr>
          <w:p w:rsidR="00597370" w:rsidRDefault="003C2EEE">
            <w:pPr>
              <w:jc w:val="right"/>
              <w:rPr>
                <w:sz w:val="18"/>
                <w:szCs w:val="18"/>
              </w:rPr>
            </w:pPr>
            <w:r>
              <w:rPr>
                <w:rFonts w:hint="eastAsia"/>
                <w:color w:val="000000"/>
                <w:sz w:val="18"/>
                <w:szCs w:val="18"/>
              </w:rPr>
              <w:t xml:space="preserve"> 984,845,013.70 </w:t>
            </w:r>
          </w:p>
        </w:tc>
        <w:tc>
          <w:tcPr>
            <w:tcW w:w="1279" w:type="dxa"/>
            <w:vAlign w:val="bottom"/>
          </w:tcPr>
          <w:p w:rsidR="00597370" w:rsidRDefault="003C2EEE">
            <w:pPr>
              <w:jc w:val="right"/>
              <w:rPr>
                <w:sz w:val="18"/>
                <w:szCs w:val="18"/>
              </w:rPr>
            </w:pPr>
            <w:r>
              <w:rPr>
                <w:rFonts w:hint="eastAsia"/>
                <w:color w:val="000000"/>
                <w:sz w:val="18"/>
                <w:szCs w:val="18"/>
              </w:rPr>
              <w:t xml:space="preserve"> 50,299,241.28 </w:t>
            </w:r>
          </w:p>
        </w:tc>
        <w:tc>
          <w:tcPr>
            <w:tcW w:w="996" w:type="dxa"/>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20,486,861.44 </w:t>
            </w:r>
          </w:p>
        </w:tc>
        <w:tc>
          <w:tcPr>
            <w:tcW w:w="1279" w:type="dxa"/>
            <w:vAlign w:val="bottom"/>
          </w:tcPr>
          <w:p w:rsidR="00597370" w:rsidRDefault="003C2EEE">
            <w:pPr>
              <w:jc w:val="right"/>
              <w:rPr>
                <w:sz w:val="18"/>
                <w:szCs w:val="18"/>
              </w:rPr>
            </w:pPr>
            <w:r>
              <w:rPr>
                <w:rFonts w:hint="eastAsia"/>
                <w:color w:val="000000"/>
                <w:sz w:val="18"/>
                <w:szCs w:val="18"/>
              </w:rPr>
              <w:t xml:space="preserve"> 117,387,556.66 </w:t>
            </w:r>
          </w:p>
        </w:tc>
        <w:tc>
          <w:tcPr>
            <w:tcW w:w="1278" w:type="dxa"/>
            <w:vAlign w:val="bottom"/>
          </w:tcPr>
          <w:p w:rsidR="00597370" w:rsidRDefault="003C2EEE">
            <w:pPr>
              <w:jc w:val="right"/>
              <w:rPr>
                <w:sz w:val="18"/>
                <w:szCs w:val="18"/>
              </w:rPr>
            </w:pPr>
            <w:r>
              <w:rPr>
                <w:rFonts w:hint="eastAsia"/>
                <w:color w:val="000000"/>
                <w:sz w:val="18"/>
                <w:szCs w:val="18"/>
              </w:rPr>
              <w:t xml:space="preserve"> 995,843,075.29 </w:t>
            </w:r>
          </w:p>
        </w:tc>
        <w:tc>
          <w:tcPr>
            <w:tcW w:w="1421" w:type="dxa"/>
            <w:vAlign w:val="bottom"/>
          </w:tcPr>
          <w:p w:rsidR="00597370" w:rsidRDefault="003C2EEE">
            <w:pPr>
              <w:jc w:val="right"/>
              <w:rPr>
                <w:sz w:val="18"/>
                <w:szCs w:val="18"/>
              </w:rPr>
            </w:pPr>
            <w:r>
              <w:rPr>
                <w:rFonts w:hint="eastAsia"/>
                <w:color w:val="000000"/>
                <w:sz w:val="18"/>
                <w:szCs w:val="18"/>
              </w:rPr>
              <w:t xml:space="preserve"> 2,401,430,672.81 </w:t>
            </w:r>
          </w:p>
        </w:tc>
      </w:tr>
      <w:tr w:rsidR="00597370">
        <w:trPr>
          <w:trHeight w:val="397"/>
          <w:jc w:val="center"/>
        </w:trPr>
        <w:sdt>
          <w:sdtPr>
            <w:rPr>
              <w:color w:val="000000" w:themeColor="text1"/>
            </w:rPr>
            <w:tag w:val="_PLD_4eea4cc259884a6ab5f2fe018aec3d4e"/>
            <w:id w:val="-715037672"/>
          </w:sdtPr>
          <w:sdtEndPr/>
          <w:sdtContent>
            <w:tc>
              <w:tcPr>
                <w:tcW w:w="2452" w:type="dxa"/>
              </w:tcPr>
              <w:p w:rsidR="00597370" w:rsidRDefault="003C2EEE">
                <w:pPr>
                  <w:rPr>
                    <w:color w:val="000000" w:themeColor="text1"/>
                    <w:sz w:val="18"/>
                    <w:szCs w:val="18"/>
                  </w:rPr>
                </w:pPr>
                <w:r>
                  <w:rPr>
                    <w:color w:val="000000" w:themeColor="text1"/>
                    <w:sz w:val="18"/>
                    <w:szCs w:val="18"/>
                  </w:rPr>
                  <w:t>三、本</w:t>
                </w:r>
                <w:r>
                  <w:rPr>
                    <w:rFonts w:hint="eastAsia"/>
                    <w:color w:val="000000" w:themeColor="text1"/>
                    <w:sz w:val="18"/>
                    <w:szCs w:val="18"/>
                  </w:rPr>
                  <w:t>期</w:t>
                </w:r>
                <w:r>
                  <w:rPr>
                    <w:color w:val="000000" w:themeColor="text1"/>
                    <w:sz w:val="18"/>
                    <w:szCs w:val="18"/>
                  </w:rPr>
                  <w:t>增减变动金额（减少以“－”号填列）</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3,847,666.44 </w:t>
            </w:r>
          </w:p>
        </w:tc>
        <w:tc>
          <w:tcPr>
            <w:tcW w:w="1279" w:type="dxa"/>
            <w:vAlign w:val="bottom"/>
          </w:tcPr>
          <w:p w:rsidR="00597370" w:rsidRDefault="003C2EEE">
            <w:pPr>
              <w:jc w:val="right"/>
              <w:rPr>
                <w:sz w:val="18"/>
                <w:szCs w:val="18"/>
              </w:rPr>
            </w:pPr>
            <w:r>
              <w:rPr>
                <w:rFonts w:hint="eastAsia"/>
                <w:color w:val="000000"/>
                <w:sz w:val="18"/>
                <w:szCs w:val="18"/>
              </w:rPr>
              <w:t xml:space="preserve">   </w:t>
            </w:r>
          </w:p>
        </w:tc>
        <w:tc>
          <w:tcPr>
            <w:tcW w:w="996" w:type="dxa"/>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2,825,795.37 </w:t>
            </w:r>
          </w:p>
        </w:tc>
        <w:tc>
          <w:tcPr>
            <w:tcW w:w="1279" w:type="dxa"/>
            <w:vAlign w:val="bottom"/>
          </w:tcPr>
          <w:p w:rsidR="00597370" w:rsidRDefault="003C2EEE">
            <w:pPr>
              <w:jc w:val="right"/>
              <w:rPr>
                <w:sz w:val="18"/>
                <w:szCs w:val="18"/>
              </w:rPr>
            </w:pPr>
            <w:r>
              <w:rPr>
                <w:rFonts w:hint="eastAsia"/>
                <w:color w:val="000000"/>
                <w:sz w:val="18"/>
                <w:szCs w:val="18"/>
              </w:rPr>
              <w:t xml:space="preserve">   </w:t>
            </w:r>
          </w:p>
        </w:tc>
        <w:tc>
          <w:tcPr>
            <w:tcW w:w="1278" w:type="dxa"/>
            <w:vAlign w:val="bottom"/>
          </w:tcPr>
          <w:p w:rsidR="00597370" w:rsidRDefault="003C2EEE">
            <w:pPr>
              <w:jc w:val="right"/>
              <w:rPr>
                <w:sz w:val="18"/>
                <w:szCs w:val="18"/>
              </w:rPr>
            </w:pPr>
            <w:r>
              <w:rPr>
                <w:rFonts w:hint="eastAsia"/>
                <w:color w:val="000000"/>
                <w:sz w:val="18"/>
                <w:szCs w:val="18"/>
              </w:rPr>
              <w:t xml:space="preserve"> -15,399,973.41 </w:t>
            </w:r>
          </w:p>
        </w:tc>
        <w:tc>
          <w:tcPr>
            <w:tcW w:w="1421" w:type="dxa"/>
            <w:vAlign w:val="bottom"/>
          </w:tcPr>
          <w:p w:rsidR="00597370" w:rsidRDefault="003C2EEE">
            <w:pPr>
              <w:jc w:val="right"/>
              <w:rPr>
                <w:sz w:val="18"/>
                <w:szCs w:val="18"/>
              </w:rPr>
            </w:pPr>
            <w:r>
              <w:rPr>
                <w:rFonts w:hint="eastAsia"/>
                <w:color w:val="000000"/>
                <w:sz w:val="18"/>
                <w:szCs w:val="18"/>
              </w:rPr>
              <w:t xml:space="preserve"> -8,726,511.60 </w:t>
            </w:r>
          </w:p>
        </w:tc>
      </w:tr>
      <w:tr w:rsidR="00597370">
        <w:trPr>
          <w:trHeight w:val="397"/>
          <w:jc w:val="center"/>
        </w:trPr>
        <w:sdt>
          <w:sdtPr>
            <w:rPr>
              <w:color w:val="000000" w:themeColor="text1"/>
            </w:rPr>
            <w:tag w:val="_PLD_c2eb317db9474ea9b9513a40ba81d9f7"/>
            <w:id w:val="1116250430"/>
          </w:sdtPr>
          <w:sdtEndPr/>
          <w:sdtContent>
            <w:tc>
              <w:tcPr>
                <w:tcW w:w="2452" w:type="dxa"/>
              </w:tcPr>
              <w:p w:rsidR="00597370" w:rsidRDefault="003C2EEE">
                <w:pPr>
                  <w:rPr>
                    <w:color w:val="000000" w:themeColor="text1"/>
                    <w:sz w:val="18"/>
                    <w:szCs w:val="18"/>
                  </w:rPr>
                </w:pPr>
                <w:r>
                  <w:rPr>
                    <w:rFonts w:hint="eastAsia"/>
                    <w:color w:val="000000" w:themeColor="text1"/>
                    <w:sz w:val="18"/>
                    <w:szCs w:val="18"/>
                  </w:rPr>
                  <w:t>（一）综合收益总额</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3C2EEE">
            <w:pPr>
              <w:jc w:val="right"/>
              <w:rPr>
                <w:sz w:val="18"/>
                <w:szCs w:val="18"/>
              </w:rPr>
            </w:pPr>
            <w:r>
              <w:rPr>
                <w:rFonts w:hint="eastAsia"/>
                <w:color w:val="000000"/>
                <w:sz w:val="18"/>
                <w:szCs w:val="18"/>
              </w:rPr>
              <w:t xml:space="preserve"> 34,477,222.44 </w:t>
            </w:r>
          </w:p>
        </w:tc>
        <w:tc>
          <w:tcPr>
            <w:tcW w:w="1421" w:type="dxa"/>
            <w:vAlign w:val="bottom"/>
          </w:tcPr>
          <w:p w:rsidR="00597370" w:rsidRDefault="003C2EEE">
            <w:pPr>
              <w:jc w:val="right"/>
              <w:rPr>
                <w:sz w:val="18"/>
                <w:szCs w:val="18"/>
              </w:rPr>
            </w:pPr>
            <w:r>
              <w:rPr>
                <w:rFonts w:hint="eastAsia"/>
                <w:color w:val="000000"/>
                <w:sz w:val="18"/>
                <w:szCs w:val="18"/>
              </w:rPr>
              <w:t xml:space="preserve"> 34,477,222.44 </w:t>
            </w:r>
          </w:p>
        </w:tc>
      </w:tr>
      <w:tr w:rsidR="00597370">
        <w:trPr>
          <w:trHeight w:val="397"/>
          <w:jc w:val="center"/>
        </w:trPr>
        <w:sdt>
          <w:sdtPr>
            <w:rPr>
              <w:color w:val="000000" w:themeColor="text1"/>
            </w:rPr>
            <w:tag w:val="_PLD_2c2c42255e12419d81111ac5d28c5859"/>
            <w:id w:val="692421515"/>
          </w:sdtPr>
          <w:sdtEndPr/>
          <w:sdtContent>
            <w:tc>
              <w:tcPr>
                <w:tcW w:w="2452" w:type="dxa"/>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二</w:t>
                </w:r>
                <w:r>
                  <w:rPr>
                    <w:color w:val="000000" w:themeColor="text1"/>
                    <w:sz w:val="18"/>
                    <w:szCs w:val="18"/>
                  </w:rPr>
                  <w:t>）所有者投入和减少资本</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3,847,666.44 </w:t>
            </w: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3C2EEE">
            <w:pPr>
              <w:jc w:val="right"/>
              <w:rPr>
                <w:sz w:val="18"/>
                <w:szCs w:val="18"/>
              </w:rPr>
            </w:pPr>
            <w:r>
              <w:rPr>
                <w:rFonts w:hint="eastAsia"/>
                <w:color w:val="000000"/>
                <w:sz w:val="18"/>
                <w:szCs w:val="18"/>
              </w:rPr>
              <w:t xml:space="preserve"> 3,847,666.44 </w:t>
            </w:r>
          </w:p>
        </w:tc>
      </w:tr>
      <w:tr w:rsidR="00597370">
        <w:trPr>
          <w:trHeight w:val="397"/>
          <w:jc w:val="center"/>
        </w:trPr>
        <w:sdt>
          <w:sdtPr>
            <w:rPr>
              <w:color w:val="000000" w:themeColor="text1"/>
            </w:rPr>
            <w:tag w:val="_PLD_ced9c335ab0c4ec8b683bd42730e309b"/>
            <w:id w:val="-1166557421"/>
          </w:sdtPr>
          <w:sdtEndPr/>
          <w:sdtContent>
            <w:tc>
              <w:tcPr>
                <w:tcW w:w="2452" w:type="dxa"/>
              </w:tcPr>
              <w:p w:rsidR="00597370" w:rsidRDefault="003C2EEE">
                <w:pPr>
                  <w:rPr>
                    <w:color w:val="000000" w:themeColor="text1"/>
                    <w:sz w:val="18"/>
                    <w:szCs w:val="18"/>
                  </w:rPr>
                </w:pPr>
                <w:r>
                  <w:rPr>
                    <w:rFonts w:hint="eastAsia"/>
                    <w:color w:val="000000" w:themeColor="text1"/>
                    <w:sz w:val="18"/>
                    <w:szCs w:val="18"/>
                  </w:rPr>
                  <w:t>1．所有者投入的普通股</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5db7714c048b45cb8fc2f783898126a2"/>
            <w:id w:val="-1564095806"/>
          </w:sdtPr>
          <w:sdtEndPr/>
          <w:sdtContent>
            <w:tc>
              <w:tcPr>
                <w:tcW w:w="2452" w:type="dxa"/>
              </w:tcPr>
              <w:p w:rsidR="00597370" w:rsidRDefault="003C2EEE">
                <w:pPr>
                  <w:rPr>
                    <w:color w:val="000000" w:themeColor="text1"/>
                    <w:sz w:val="18"/>
                    <w:szCs w:val="18"/>
                  </w:rPr>
                </w:pPr>
                <w:r>
                  <w:rPr>
                    <w:rFonts w:hint="eastAsia"/>
                    <w:color w:val="000000" w:themeColor="text1"/>
                    <w:sz w:val="18"/>
                    <w:szCs w:val="18"/>
                  </w:rPr>
                  <w:t>2．其他权益工具持有者投入资本</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3C2EEE">
            <w:pPr>
              <w:jc w:val="right"/>
              <w:rPr>
                <w:sz w:val="18"/>
                <w:szCs w:val="18"/>
              </w:rPr>
            </w:pPr>
            <w:r>
              <w:rPr>
                <w:rFonts w:hint="eastAsia"/>
                <w:color w:val="000000"/>
                <w:sz w:val="18"/>
                <w:szCs w:val="18"/>
              </w:rPr>
              <w:t xml:space="preserve"> -   </w:t>
            </w:r>
          </w:p>
        </w:tc>
      </w:tr>
      <w:tr w:rsidR="00597370">
        <w:trPr>
          <w:trHeight w:val="397"/>
          <w:jc w:val="center"/>
        </w:trPr>
        <w:sdt>
          <w:sdtPr>
            <w:rPr>
              <w:color w:val="000000" w:themeColor="text1"/>
            </w:rPr>
            <w:tag w:val="_PLD_0c8627dcaed14beabce3c3a65384cf01"/>
            <w:id w:val="-621233581"/>
          </w:sdtPr>
          <w:sdtEndPr/>
          <w:sdtContent>
            <w:tc>
              <w:tcPr>
                <w:tcW w:w="2452" w:type="dxa"/>
              </w:tcPr>
              <w:p w:rsidR="00597370" w:rsidRDefault="003C2EEE">
                <w:pPr>
                  <w:rPr>
                    <w:color w:val="000000" w:themeColor="text1"/>
                    <w:sz w:val="18"/>
                    <w:szCs w:val="18"/>
                  </w:rPr>
                </w:pPr>
                <w:r>
                  <w:rPr>
                    <w:rFonts w:hint="eastAsia"/>
                    <w:color w:val="000000" w:themeColor="text1"/>
                    <w:sz w:val="18"/>
                    <w:szCs w:val="18"/>
                  </w:rPr>
                  <w:t>3</w:t>
                </w:r>
                <w:r>
                  <w:rPr>
                    <w:color w:val="000000" w:themeColor="text1"/>
                    <w:sz w:val="18"/>
                    <w:szCs w:val="18"/>
                  </w:rPr>
                  <w:t>．股份支付计入所有者权益的金额</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3,847,666.44 </w:t>
            </w: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3C2EEE">
            <w:pPr>
              <w:jc w:val="right"/>
              <w:rPr>
                <w:sz w:val="18"/>
                <w:szCs w:val="18"/>
              </w:rPr>
            </w:pPr>
            <w:r>
              <w:rPr>
                <w:rFonts w:hint="eastAsia"/>
                <w:color w:val="000000"/>
                <w:sz w:val="18"/>
                <w:szCs w:val="18"/>
              </w:rPr>
              <w:t xml:space="preserve"> 3,847,666.44 </w:t>
            </w:r>
          </w:p>
        </w:tc>
      </w:tr>
      <w:tr w:rsidR="00597370">
        <w:trPr>
          <w:trHeight w:val="397"/>
          <w:jc w:val="center"/>
        </w:trPr>
        <w:sdt>
          <w:sdtPr>
            <w:rPr>
              <w:color w:val="000000" w:themeColor="text1"/>
            </w:rPr>
            <w:tag w:val="_PLD_4815225e85794febad32622528b72229"/>
            <w:id w:val="1613247129"/>
          </w:sdtPr>
          <w:sdtEndPr/>
          <w:sdtContent>
            <w:tc>
              <w:tcPr>
                <w:tcW w:w="2452" w:type="dxa"/>
              </w:tcPr>
              <w:p w:rsidR="00597370" w:rsidRDefault="003C2EEE">
                <w:pPr>
                  <w:rPr>
                    <w:color w:val="000000" w:themeColor="text1"/>
                    <w:sz w:val="18"/>
                    <w:szCs w:val="18"/>
                  </w:rPr>
                </w:pPr>
                <w:r>
                  <w:rPr>
                    <w:rFonts w:hint="eastAsia"/>
                    <w:color w:val="000000" w:themeColor="text1"/>
                    <w:sz w:val="18"/>
                    <w:szCs w:val="18"/>
                  </w:rPr>
                  <w:t>4</w:t>
                </w:r>
                <w:r>
                  <w:rPr>
                    <w:color w:val="000000" w:themeColor="text1"/>
                    <w:sz w:val="18"/>
                    <w:szCs w:val="18"/>
                  </w:rPr>
                  <w:t>．其他</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1277678c10f343d5a55853e3552c21df"/>
            <w:id w:val="1519129683"/>
          </w:sdtPr>
          <w:sdtEndPr/>
          <w:sdtContent>
            <w:tc>
              <w:tcPr>
                <w:tcW w:w="2452" w:type="dxa"/>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三</w:t>
                </w:r>
                <w:r>
                  <w:rPr>
                    <w:color w:val="000000" w:themeColor="text1"/>
                    <w:sz w:val="18"/>
                    <w:szCs w:val="18"/>
                  </w:rPr>
                  <w:t>）利润分配</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3C2EEE">
            <w:pPr>
              <w:jc w:val="right"/>
              <w:rPr>
                <w:sz w:val="18"/>
                <w:szCs w:val="18"/>
              </w:rPr>
            </w:pPr>
            <w:r>
              <w:rPr>
                <w:rFonts w:hint="eastAsia"/>
                <w:color w:val="000000"/>
                <w:sz w:val="18"/>
                <w:szCs w:val="18"/>
              </w:rPr>
              <w:t xml:space="preserve"> -49,877,195.85 </w:t>
            </w:r>
          </w:p>
        </w:tc>
        <w:tc>
          <w:tcPr>
            <w:tcW w:w="1421" w:type="dxa"/>
            <w:vAlign w:val="bottom"/>
          </w:tcPr>
          <w:p w:rsidR="00597370" w:rsidRDefault="003C2EEE">
            <w:pPr>
              <w:jc w:val="right"/>
              <w:rPr>
                <w:sz w:val="18"/>
                <w:szCs w:val="18"/>
              </w:rPr>
            </w:pPr>
            <w:r>
              <w:rPr>
                <w:rFonts w:hint="eastAsia"/>
                <w:color w:val="000000"/>
                <w:sz w:val="18"/>
                <w:szCs w:val="18"/>
              </w:rPr>
              <w:t xml:space="preserve"> -49,877,195.85 </w:t>
            </w:r>
          </w:p>
        </w:tc>
      </w:tr>
      <w:tr w:rsidR="00597370">
        <w:trPr>
          <w:trHeight w:val="397"/>
          <w:jc w:val="center"/>
        </w:trPr>
        <w:sdt>
          <w:sdtPr>
            <w:rPr>
              <w:color w:val="000000" w:themeColor="text1"/>
            </w:rPr>
            <w:tag w:val="_PLD_6be0f6b7609247d98f239c435a57bdf2"/>
            <w:id w:val="-170340076"/>
          </w:sdtPr>
          <w:sdtEndPr/>
          <w:sdtContent>
            <w:tc>
              <w:tcPr>
                <w:tcW w:w="2452" w:type="dxa"/>
              </w:tcPr>
              <w:p w:rsidR="00597370" w:rsidRDefault="003C2EEE">
                <w:pPr>
                  <w:rPr>
                    <w:color w:val="000000" w:themeColor="text1"/>
                    <w:sz w:val="18"/>
                    <w:szCs w:val="18"/>
                  </w:rPr>
                </w:pPr>
                <w:r>
                  <w:rPr>
                    <w:color w:val="000000" w:themeColor="text1"/>
                    <w:sz w:val="18"/>
                    <w:szCs w:val="18"/>
                  </w:rPr>
                  <w:t>1．提取盈余公积</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b4a66855afc2407cbaf93baeafe0ad7f"/>
            <w:id w:val="1233198949"/>
          </w:sdtPr>
          <w:sdtEndPr/>
          <w:sdtContent>
            <w:tc>
              <w:tcPr>
                <w:tcW w:w="2452" w:type="dxa"/>
              </w:tcPr>
              <w:p w:rsidR="00597370" w:rsidRDefault="003C2EEE">
                <w:pPr>
                  <w:rPr>
                    <w:color w:val="000000" w:themeColor="text1"/>
                    <w:sz w:val="18"/>
                    <w:szCs w:val="18"/>
                  </w:rPr>
                </w:pPr>
                <w:r>
                  <w:rPr>
                    <w:rFonts w:hint="eastAsia"/>
                    <w:color w:val="000000" w:themeColor="text1"/>
                    <w:sz w:val="18"/>
                    <w:szCs w:val="18"/>
                  </w:rPr>
                  <w:t>2</w:t>
                </w:r>
                <w:r>
                  <w:rPr>
                    <w:color w:val="000000" w:themeColor="text1"/>
                    <w:sz w:val="18"/>
                    <w:szCs w:val="18"/>
                  </w:rPr>
                  <w:t>．对所有者（或股东）的分配</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3C2EEE">
            <w:pPr>
              <w:jc w:val="right"/>
              <w:rPr>
                <w:sz w:val="18"/>
                <w:szCs w:val="18"/>
              </w:rPr>
            </w:pPr>
            <w:r>
              <w:rPr>
                <w:rFonts w:hint="eastAsia"/>
                <w:color w:val="000000"/>
                <w:sz w:val="18"/>
                <w:szCs w:val="18"/>
              </w:rPr>
              <w:t xml:space="preserve"> -49,877,195.85 </w:t>
            </w:r>
          </w:p>
        </w:tc>
        <w:tc>
          <w:tcPr>
            <w:tcW w:w="1421" w:type="dxa"/>
            <w:vAlign w:val="bottom"/>
          </w:tcPr>
          <w:p w:rsidR="00597370" w:rsidRDefault="003C2EEE">
            <w:pPr>
              <w:jc w:val="right"/>
              <w:rPr>
                <w:sz w:val="18"/>
                <w:szCs w:val="18"/>
              </w:rPr>
            </w:pPr>
            <w:r>
              <w:rPr>
                <w:rFonts w:hint="eastAsia"/>
                <w:color w:val="000000"/>
                <w:sz w:val="18"/>
                <w:szCs w:val="18"/>
              </w:rPr>
              <w:t xml:space="preserve"> -49,877,195.85 </w:t>
            </w:r>
          </w:p>
        </w:tc>
      </w:tr>
      <w:tr w:rsidR="00597370">
        <w:trPr>
          <w:trHeight w:val="397"/>
          <w:jc w:val="center"/>
        </w:trPr>
        <w:sdt>
          <w:sdtPr>
            <w:rPr>
              <w:color w:val="000000" w:themeColor="text1"/>
            </w:rPr>
            <w:tag w:val="_PLD_f35184bd1aa14b32a781b0ed9b526ffe"/>
            <w:id w:val="-1176413671"/>
          </w:sdtPr>
          <w:sdtEndPr/>
          <w:sdtContent>
            <w:tc>
              <w:tcPr>
                <w:tcW w:w="2452" w:type="dxa"/>
              </w:tcPr>
              <w:p w:rsidR="00597370" w:rsidRDefault="003C2EEE">
                <w:pPr>
                  <w:rPr>
                    <w:color w:val="000000" w:themeColor="text1"/>
                    <w:sz w:val="18"/>
                    <w:szCs w:val="18"/>
                  </w:rPr>
                </w:pPr>
                <w:r>
                  <w:rPr>
                    <w:rFonts w:hint="eastAsia"/>
                    <w:color w:val="000000" w:themeColor="text1"/>
                    <w:sz w:val="18"/>
                    <w:szCs w:val="18"/>
                  </w:rPr>
                  <w:t>3</w:t>
                </w:r>
                <w:r>
                  <w:rPr>
                    <w:color w:val="000000" w:themeColor="text1"/>
                    <w:sz w:val="18"/>
                    <w:szCs w:val="18"/>
                  </w:rPr>
                  <w:t>．其他</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377c539e51b74e8689b49d91a30d6a9f"/>
            <w:id w:val="-1088697830"/>
          </w:sdtPr>
          <w:sdtEndPr/>
          <w:sdtContent>
            <w:tc>
              <w:tcPr>
                <w:tcW w:w="2452" w:type="dxa"/>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四</w:t>
                </w:r>
                <w:r>
                  <w:rPr>
                    <w:color w:val="000000" w:themeColor="text1"/>
                    <w:sz w:val="18"/>
                    <w:szCs w:val="18"/>
                  </w:rPr>
                  <w:t>）所有者权益内部结转</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9d82304ad85542d89ad56bdebdedd7c5"/>
            <w:id w:val="-1186595059"/>
          </w:sdtPr>
          <w:sdtEndPr/>
          <w:sdtContent>
            <w:tc>
              <w:tcPr>
                <w:tcW w:w="2452" w:type="dxa"/>
              </w:tcPr>
              <w:p w:rsidR="00597370" w:rsidRDefault="003C2EEE">
                <w:pPr>
                  <w:rPr>
                    <w:color w:val="000000" w:themeColor="text1"/>
                    <w:sz w:val="18"/>
                    <w:szCs w:val="18"/>
                  </w:rPr>
                </w:pPr>
                <w:r>
                  <w:rPr>
                    <w:color w:val="000000" w:themeColor="text1"/>
                    <w:sz w:val="18"/>
                    <w:szCs w:val="18"/>
                  </w:rPr>
                  <w:t>1．资本公积转增资本（或股本）</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ba5c81951f1c4ff0a188b55532ed96a5"/>
            <w:id w:val="-74747438"/>
          </w:sdtPr>
          <w:sdtEndPr/>
          <w:sdtContent>
            <w:tc>
              <w:tcPr>
                <w:tcW w:w="2452" w:type="dxa"/>
              </w:tcPr>
              <w:p w:rsidR="00597370" w:rsidRDefault="003C2EEE">
                <w:pPr>
                  <w:rPr>
                    <w:color w:val="000000" w:themeColor="text1"/>
                    <w:sz w:val="18"/>
                    <w:szCs w:val="18"/>
                  </w:rPr>
                </w:pPr>
                <w:r>
                  <w:rPr>
                    <w:color w:val="000000" w:themeColor="text1"/>
                    <w:sz w:val="18"/>
                    <w:szCs w:val="18"/>
                  </w:rPr>
                  <w:t>2．盈余公积转增资本（或股本）</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81b068c4cdf2482a9438450e52e9b3b4"/>
            <w:id w:val="-547454131"/>
          </w:sdtPr>
          <w:sdtEndPr/>
          <w:sdtContent>
            <w:tc>
              <w:tcPr>
                <w:tcW w:w="2452" w:type="dxa"/>
              </w:tcPr>
              <w:p w:rsidR="00597370" w:rsidRDefault="003C2EEE">
                <w:pPr>
                  <w:rPr>
                    <w:color w:val="000000" w:themeColor="text1"/>
                    <w:sz w:val="18"/>
                    <w:szCs w:val="18"/>
                  </w:rPr>
                </w:pPr>
                <w:r>
                  <w:rPr>
                    <w:color w:val="000000" w:themeColor="text1"/>
                    <w:sz w:val="18"/>
                    <w:szCs w:val="18"/>
                  </w:rPr>
                  <w:t>3．盈余公积弥补亏损</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tc>
          <w:tcPr>
            <w:tcW w:w="2452" w:type="dxa"/>
          </w:tcPr>
          <w:sdt>
            <w:sdtPr>
              <w:rPr>
                <w:color w:val="000000" w:themeColor="text1"/>
                <w:sz w:val="18"/>
                <w:szCs w:val="18"/>
              </w:rPr>
              <w:tag w:val="_PLD_0e7647effaeb42219d706b118465bdec"/>
              <w:id w:val="-1890025053"/>
            </w:sdtPr>
            <w:sdtEndPr/>
            <w:sdtContent>
              <w:p w:rsidR="00597370" w:rsidRDefault="003C2EEE">
                <w:pPr>
                  <w:rPr>
                    <w:color w:val="000000" w:themeColor="text1"/>
                  </w:rPr>
                </w:pPr>
                <w:r>
                  <w:rPr>
                    <w:color w:val="000000" w:themeColor="text1"/>
                    <w:sz w:val="18"/>
                    <w:szCs w:val="18"/>
                  </w:rPr>
                  <w:t>4．设定受益计划变动额结转留存收益</w:t>
                </w:r>
              </w:p>
            </w:sdtContent>
          </w:sdt>
        </w:tc>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tc>
          <w:tcPr>
            <w:tcW w:w="2452" w:type="dxa"/>
          </w:tcPr>
          <w:sdt>
            <w:sdtPr>
              <w:rPr>
                <w:color w:val="000000" w:themeColor="text1"/>
                <w:sz w:val="18"/>
                <w:szCs w:val="18"/>
              </w:rPr>
              <w:tag w:val="_PLD_1c8ba4a0bb224c1d891e628390545199"/>
              <w:id w:val="-1216803366"/>
            </w:sdtPr>
            <w:sdtEndPr/>
            <w:sdtContent>
              <w:p w:rsidR="00597370" w:rsidRDefault="003C2EEE">
                <w:pPr>
                  <w:rPr>
                    <w:color w:val="000000" w:themeColor="text1"/>
                    <w:sz w:val="18"/>
                    <w:szCs w:val="18"/>
                  </w:rPr>
                </w:pPr>
                <w:r>
                  <w:rPr>
                    <w:color w:val="000000" w:themeColor="text1"/>
                    <w:sz w:val="18"/>
                    <w:szCs w:val="18"/>
                  </w:rPr>
                  <w:t>5．其他综合收益结转留存收益</w:t>
                </w:r>
              </w:p>
            </w:sdtContent>
          </w:sdt>
        </w:tc>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tc>
          <w:tcPr>
            <w:tcW w:w="2452" w:type="dxa"/>
          </w:tcPr>
          <w:sdt>
            <w:sdtPr>
              <w:rPr>
                <w:color w:val="000000" w:themeColor="text1"/>
                <w:sz w:val="18"/>
                <w:szCs w:val="18"/>
              </w:rPr>
              <w:tag w:val="_PLD_69d4adb536bf498a8a9d97dda9d31e75"/>
              <w:id w:val="-1045598250"/>
            </w:sdtPr>
            <w:sdtEndPr/>
            <w:sdtContent>
              <w:p w:rsidR="00597370" w:rsidRDefault="003C2EEE">
                <w:pPr>
                  <w:rPr>
                    <w:color w:val="000000" w:themeColor="text1"/>
                  </w:rPr>
                </w:pPr>
                <w:r>
                  <w:rPr>
                    <w:color w:val="000000" w:themeColor="text1"/>
                    <w:sz w:val="18"/>
                    <w:szCs w:val="18"/>
                  </w:rPr>
                  <w:t>6．其他</w:t>
                </w:r>
              </w:p>
            </w:sdtContent>
          </w:sdt>
        </w:tc>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2ae06251c01740e284196240776af550"/>
            <w:id w:val="-852498044"/>
          </w:sdtPr>
          <w:sdtEndPr/>
          <w:sdtContent>
            <w:tc>
              <w:tcPr>
                <w:tcW w:w="2452" w:type="dxa"/>
                <w:vAlign w:val="center"/>
              </w:tcPr>
              <w:p w:rsidR="00597370" w:rsidRDefault="003C2EEE">
                <w:pPr>
                  <w:rPr>
                    <w:color w:val="000000" w:themeColor="text1"/>
                    <w:sz w:val="18"/>
                    <w:szCs w:val="18"/>
                  </w:rPr>
                </w:pPr>
                <w:r>
                  <w:rPr>
                    <w:rFonts w:hint="eastAsia"/>
                    <w:color w:val="000000" w:themeColor="text1"/>
                    <w:sz w:val="18"/>
                    <w:szCs w:val="18"/>
                  </w:rPr>
                  <w:t>（五）专项储备</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2,825,795.37 </w:t>
            </w: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3C2EEE">
            <w:pPr>
              <w:jc w:val="right"/>
              <w:rPr>
                <w:sz w:val="18"/>
                <w:szCs w:val="18"/>
              </w:rPr>
            </w:pPr>
            <w:r>
              <w:rPr>
                <w:rFonts w:hint="eastAsia"/>
                <w:color w:val="000000"/>
                <w:sz w:val="18"/>
                <w:szCs w:val="18"/>
              </w:rPr>
              <w:t xml:space="preserve"> 2,825,795.37 </w:t>
            </w:r>
          </w:p>
        </w:tc>
      </w:tr>
      <w:tr w:rsidR="00597370">
        <w:trPr>
          <w:trHeight w:val="397"/>
          <w:jc w:val="center"/>
        </w:trPr>
        <w:sdt>
          <w:sdtPr>
            <w:rPr>
              <w:color w:val="000000" w:themeColor="text1"/>
            </w:rPr>
            <w:tag w:val="_PLD_6c9c274129814a4ea45296335d45791b"/>
            <w:id w:val="-469129946"/>
          </w:sdtPr>
          <w:sdtEndPr/>
          <w:sdtContent>
            <w:tc>
              <w:tcPr>
                <w:tcW w:w="2452" w:type="dxa"/>
                <w:vAlign w:val="center"/>
              </w:tcPr>
              <w:p w:rsidR="00597370" w:rsidRDefault="003C2EEE">
                <w:pPr>
                  <w:rPr>
                    <w:color w:val="000000" w:themeColor="text1"/>
                    <w:sz w:val="18"/>
                    <w:szCs w:val="18"/>
                  </w:rPr>
                </w:pPr>
                <w:r>
                  <w:rPr>
                    <w:rFonts w:hint="eastAsia"/>
                    <w:color w:val="000000" w:themeColor="text1"/>
                    <w:sz w:val="18"/>
                    <w:szCs w:val="18"/>
                  </w:rPr>
                  <w:t>1．本期提取</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5,334,598.50 </w:t>
            </w: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3C2EEE">
            <w:pPr>
              <w:jc w:val="right"/>
              <w:rPr>
                <w:sz w:val="18"/>
                <w:szCs w:val="18"/>
              </w:rPr>
            </w:pPr>
            <w:r>
              <w:rPr>
                <w:rFonts w:hint="eastAsia"/>
                <w:color w:val="000000"/>
                <w:sz w:val="18"/>
                <w:szCs w:val="18"/>
              </w:rPr>
              <w:t xml:space="preserve"> 5,334,598.50 </w:t>
            </w:r>
          </w:p>
        </w:tc>
      </w:tr>
      <w:tr w:rsidR="00597370">
        <w:trPr>
          <w:trHeight w:val="397"/>
          <w:jc w:val="center"/>
        </w:trPr>
        <w:sdt>
          <w:sdtPr>
            <w:rPr>
              <w:color w:val="000000" w:themeColor="text1"/>
            </w:rPr>
            <w:tag w:val="_PLD_14398e4dd6ed4c74869a974323e2137e"/>
            <w:id w:val="203145205"/>
          </w:sdtPr>
          <w:sdtEndPr/>
          <w:sdtContent>
            <w:tc>
              <w:tcPr>
                <w:tcW w:w="2452" w:type="dxa"/>
                <w:vAlign w:val="center"/>
              </w:tcPr>
              <w:p w:rsidR="00597370" w:rsidRDefault="003C2EEE">
                <w:pPr>
                  <w:rPr>
                    <w:color w:val="000000" w:themeColor="text1"/>
                    <w:sz w:val="18"/>
                    <w:szCs w:val="18"/>
                  </w:rPr>
                </w:pPr>
                <w:r>
                  <w:rPr>
                    <w:rFonts w:hint="eastAsia"/>
                    <w:color w:val="000000" w:themeColor="text1"/>
                    <w:sz w:val="18"/>
                    <w:szCs w:val="18"/>
                  </w:rPr>
                  <w:t>2．本期使用</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-2,508,803.13 </w:t>
            </w: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3C2EEE">
            <w:pPr>
              <w:jc w:val="right"/>
              <w:rPr>
                <w:sz w:val="18"/>
                <w:szCs w:val="18"/>
              </w:rPr>
            </w:pPr>
            <w:r>
              <w:rPr>
                <w:rFonts w:hint="eastAsia"/>
                <w:color w:val="000000"/>
                <w:sz w:val="18"/>
                <w:szCs w:val="18"/>
              </w:rPr>
              <w:t xml:space="preserve"> -2,508,803.13 </w:t>
            </w:r>
          </w:p>
        </w:tc>
      </w:tr>
      <w:tr w:rsidR="00597370">
        <w:trPr>
          <w:trHeight w:val="397"/>
          <w:jc w:val="center"/>
        </w:trPr>
        <w:sdt>
          <w:sdtPr>
            <w:rPr>
              <w:color w:val="000000" w:themeColor="text1"/>
            </w:rPr>
            <w:tag w:val="_PLD_224fa1ebe84a4d40b88b89a97997e311"/>
            <w:id w:val="2034682130"/>
          </w:sdtPr>
          <w:sdtEndPr/>
          <w:sdtContent>
            <w:tc>
              <w:tcPr>
                <w:tcW w:w="2452" w:type="dxa"/>
              </w:tcPr>
              <w:p w:rsidR="00597370" w:rsidRDefault="003C2EEE">
                <w:pPr>
                  <w:rPr>
                    <w:color w:val="000000" w:themeColor="text1"/>
                    <w:sz w:val="18"/>
                    <w:szCs w:val="18"/>
                  </w:rPr>
                </w:pPr>
                <w:r>
                  <w:rPr>
                    <w:rFonts w:hint="eastAsia"/>
                    <w:color w:val="000000" w:themeColor="text1"/>
                    <w:sz w:val="18"/>
                    <w:szCs w:val="18"/>
                  </w:rPr>
                  <w:t>（六）其他</w:t>
                </w:r>
              </w:p>
            </w:tc>
          </w:sdtContent>
        </w:sdt>
        <w:tc>
          <w:tcPr>
            <w:tcW w:w="1323" w:type="dxa"/>
            <w:tcBorders>
              <w:right w:val="single" w:sz="4" w:space="0" w:color="auto"/>
            </w:tcBorders>
            <w:vAlign w:val="bottom"/>
          </w:tcPr>
          <w:p w:rsidR="00597370" w:rsidRDefault="00597370">
            <w:pPr>
              <w:jc w:val="right"/>
              <w:rPr>
                <w:sz w:val="18"/>
                <w:szCs w:val="18"/>
              </w:rPr>
            </w:pP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996"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9" w:type="dxa"/>
            <w:vAlign w:val="bottom"/>
          </w:tcPr>
          <w:p w:rsidR="00597370" w:rsidRDefault="00597370">
            <w:pPr>
              <w:jc w:val="right"/>
              <w:rPr>
                <w:sz w:val="18"/>
                <w:szCs w:val="18"/>
              </w:rPr>
            </w:pPr>
          </w:p>
        </w:tc>
        <w:tc>
          <w:tcPr>
            <w:tcW w:w="1278" w:type="dxa"/>
            <w:vAlign w:val="bottom"/>
          </w:tcPr>
          <w:p w:rsidR="00597370" w:rsidRDefault="00597370">
            <w:pPr>
              <w:jc w:val="right"/>
              <w:rPr>
                <w:sz w:val="18"/>
                <w:szCs w:val="18"/>
              </w:rPr>
            </w:pPr>
          </w:p>
        </w:tc>
        <w:tc>
          <w:tcPr>
            <w:tcW w:w="1421" w:type="dxa"/>
            <w:vAlign w:val="bottom"/>
          </w:tcPr>
          <w:p w:rsidR="00597370" w:rsidRDefault="00597370">
            <w:pPr>
              <w:jc w:val="right"/>
              <w:rPr>
                <w:sz w:val="18"/>
                <w:szCs w:val="18"/>
              </w:rPr>
            </w:pPr>
          </w:p>
        </w:tc>
      </w:tr>
      <w:tr w:rsidR="00597370">
        <w:trPr>
          <w:trHeight w:val="397"/>
          <w:jc w:val="center"/>
        </w:trPr>
        <w:sdt>
          <w:sdtPr>
            <w:rPr>
              <w:color w:val="000000" w:themeColor="text1"/>
            </w:rPr>
            <w:tag w:val="_PLD_fe962ef732004aec94edafee7e0bef94"/>
            <w:id w:val="333659380"/>
          </w:sdtPr>
          <w:sdtEndPr/>
          <w:sdtContent>
            <w:tc>
              <w:tcPr>
                <w:tcW w:w="2452" w:type="dxa"/>
              </w:tcPr>
              <w:p w:rsidR="00597370" w:rsidRDefault="003C2EEE">
                <w:pPr>
                  <w:rPr>
                    <w:color w:val="000000" w:themeColor="text1"/>
                    <w:sz w:val="18"/>
                    <w:szCs w:val="18"/>
                  </w:rPr>
                </w:pPr>
                <w:r>
                  <w:rPr>
                    <w:color w:val="000000" w:themeColor="text1"/>
                    <w:sz w:val="18"/>
                    <w:szCs w:val="18"/>
                  </w:rPr>
                  <w:t>四、本期期末余额</w:t>
                </w:r>
              </w:p>
            </w:tc>
          </w:sdtContent>
        </w:sdt>
        <w:tc>
          <w:tcPr>
            <w:tcW w:w="1323" w:type="dxa"/>
            <w:tcBorders>
              <w:right w:val="single" w:sz="4" w:space="0" w:color="auto"/>
            </w:tcBorders>
            <w:vAlign w:val="bottom"/>
          </w:tcPr>
          <w:p w:rsidR="00597370" w:rsidRDefault="003C2EEE">
            <w:pPr>
              <w:jc w:val="right"/>
              <w:rPr>
                <w:sz w:val="18"/>
                <w:szCs w:val="18"/>
              </w:rPr>
            </w:pPr>
            <w:r>
              <w:rPr>
                <w:rFonts w:hint="eastAsia"/>
                <w:color w:val="000000"/>
                <w:sz w:val="18"/>
                <w:szCs w:val="18"/>
              </w:rPr>
              <w:t xml:space="preserve"> 333,167,407.00 </w:t>
            </w:r>
          </w:p>
        </w:tc>
        <w:tc>
          <w:tcPr>
            <w:tcW w:w="425"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right w:val="single" w:sz="4" w:space="0" w:color="auto"/>
            </w:tcBorders>
            <w:vAlign w:val="bottom"/>
          </w:tcPr>
          <w:p w:rsidR="00597370" w:rsidRDefault="00597370">
            <w:pPr>
              <w:jc w:val="right"/>
              <w:rPr>
                <w:sz w:val="18"/>
                <w:szCs w:val="18"/>
              </w:rPr>
            </w:pPr>
          </w:p>
        </w:tc>
        <w:tc>
          <w:tcPr>
            <w:tcW w:w="426" w:type="dxa"/>
            <w:tcBorders>
              <w:left w:val="single" w:sz="4" w:space="0" w:color="auto"/>
            </w:tcBorders>
            <w:vAlign w:val="bottom"/>
          </w:tcPr>
          <w:p w:rsidR="00597370" w:rsidRDefault="00597370">
            <w:pPr>
              <w:jc w:val="right"/>
              <w:rPr>
                <w:sz w:val="18"/>
                <w:szCs w:val="18"/>
              </w:rPr>
            </w:pPr>
          </w:p>
        </w:tc>
        <w:tc>
          <w:tcPr>
            <w:tcW w:w="1279" w:type="dxa"/>
            <w:vAlign w:val="bottom"/>
          </w:tcPr>
          <w:p w:rsidR="00597370" w:rsidRDefault="003C2EEE">
            <w:pPr>
              <w:jc w:val="right"/>
              <w:rPr>
                <w:sz w:val="18"/>
                <w:szCs w:val="18"/>
              </w:rPr>
            </w:pPr>
            <w:r>
              <w:rPr>
                <w:rFonts w:hint="eastAsia"/>
                <w:color w:val="000000"/>
                <w:sz w:val="18"/>
                <w:szCs w:val="18"/>
              </w:rPr>
              <w:t xml:space="preserve"> 988,692,680.14 </w:t>
            </w:r>
          </w:p>
        </w:tc>
        <w:tc>
          <w:tcPr>
            <w:tcW w:w="1279" w:type="dxa"/>
            <w:vAlign w:val="bottom"/>
          </w:tcPr>
          <w:p w:rsidR="00597370" w:rsidRDefault="003C2EEE">
            <w:pPr>
              <w:jc w:val="right"/>
              <w:rPr>
                <w:sz w:val="18"/>
                <w:szCs w:val="18"/>
              </w:rPr>
            </w:pPr>
            <w:r>
              <w:rPr>
                <w:rFonts w:hint="eastAsia"/>
                <w:color w:val="000000"/>
                <w:sz w:val="18"/>
                <w:szCs w:val="18"/>
              </w:rPr>
              <w:t xml:space="preserve"> 50,299,241.28 </w:t>
            </w:r>
          </w:p>
        </w:tc>
        <w:tc>
          <w:tcPr>
            <w:tcW w:w="996" w:type="dxa"/>
            <w:vAlign w:val="bottom"/>
          </w:tcPr>
          <w:p w:rsidR="00597370" w:rsidRDefault="003C2EEE">
            <w:pPr>
              <w:jc w:val="right"/>
              <w:rPr>
                <w:sz w:val="18"/>
                <w:szCs w:val="18"/>
              </w:rPr>
            </w:pPr>
            <w:r>
              <w:rPr>
                <w:rFonts w:hint="eastAsia"/>
                <w:color w:val="000000"/>
                <w:sz w:val="18"/>
                <w:szCs w:val="18"/>
              </w:rPr>
              <w:t xml:space="preserve"> -   </w:t>
            </w:r>
          </w:p>
        </w:tc>
        <w:tc>
          <w:tcPr>
            <w:tcW w:w="1279" w:type="dxa"/>
            <w:vAlign w:val="bottom"/>
          </w:tcPr>
          <w:p w:rsidR="00597370" w:rsidRDefault="003C2EEE">
            <w:pPr>
              <w:jc w:val="right"/>
              <w:rPr>
                <w:sz w:val="18"/>
                <w:szCs w:val="18"/>
              </w:rPr>
            </w:pPr>
            <w:r>
              <w:rPr>
                <w:rFonts w:hint="eastAsia"/>
                <w:color w:val="000000"/>
                <w:sz w:val="18"/>
                <w:szCs w:val="18"/>
              </w:rPr>
              <w:t xml:space="preserve"> 23,312,656.81 </w:t>
            </w:r>
          </w:p>
        </w:tc>
        <w:tc>
          <w:tcPr>
            <w:tcW w:w="1279" w:type="dxa"/>
            <w:vAlign w:val="bottom"/>
          </w:tcPr>
          <w:p w:rsidR="00597370" w:rsidRDefault="003C2EEE">
            <w:pPr>
              <w:jc w:val="right"/>
              <w:rPr>
                <w:sz w:val="18"/>
                <w:szCs w:val="18"/>
              </w:rPr>
            </w:pPr>
            <w:r>
              <w:rPr>
                <w:rFonts w:hint="eastAsia"/>
                <w:color w:val="000000"/>
                <w:sz w:val="18"/>
                <w:szCs w:val="18"/>
              </w:rPr>
              <w:t xml:space="preserve"> 117,387,556.66 </w:t>
            </w:r>
          </w:p>
        </w:tc>
        <w:tc>
          <w:tcPr>
            <w:tcW w:w="1278" w:type="dxa"/>
            <w:vAlign w:val="bottom"/>
          </w:tcPr>
          <w:p w:rsidR="00597370" w:rsidRDefault="003C2EEE">
            <w:pPr>
              <w:jc w:val="right"/>
              <w:rPr>
                <w:sz w:val="18"/>
                <w:szCs w:val="18"/>
              </w:rPr>
            </w:pPr>
            <w:r>
              <w:rPr>
                <w:rFonts w:hint="eastAsia"/>
                <w:color w:val="000000"/>
                <w:sz w:val="18"/>
                <w:szCs w:val="18"/>
              </w:rPr>
              <w:t xml:space="preserve"> 980,443,101.88 </w:t>
            </w:r>
          </w:p>
        </w:tc>
        <w:tc>
          <w:tcPr>
            <w:tcW w:w="1421" w:type="dxa"/>
            <w:vAlign w:val="bottom"/>
          </w:tcPr>
          <w:p w:rsidR="00597370" w:rsidRDefault="003C2EEE">
            <w:pPr>
              <w:jc w:val="right"/>
              <w:rPr>
                <w:sz w:val="18"/>
                <w:szCs w:val="18"/>
              </w:rPr>
            </w:pPr>
            <w:r>
              <w:rPr>
                <w:rFonts w:hint="eastAsia"/>
                <w:color w:val="000000"/>
                <w:sz w:val="18"/>
                <w:szCs w:val="18"/>
              </w:rPr>
              <w:t xml:space="preserve"> 2,392,704,161.21 </w:t>
            </w:r>
          </w:p>
        </w:tc>
      </w:tr>
    </w:tbl>
    <w:p w:rsidR="00597370" w:rsidRDefault="00597370">
      <w:pPr>
        <w:rPr>
          <w:color w:val="000000" w:themeColor="text1"/>
        </w:rPr>
      </w:pPr>
    </w:p>
    <w:p w:rsidR="00597370" w:rsidRDefault="00597370">
      <w:pPr>
        <w:rPr>
          <w:color w:val="000000" w:themeColor="text1"/>
        </w:rPr>
      </w:pPr>
    </w:p>
    <w:tbl>
      <w:tblPr>
        <w:tblStyle w:val="g15"/>
        <w:tblW w:w="1390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94"/>
        <w:gridCol w:w="1078"/>
        <w:gridCol w:w="523"/>
        <w:gridCol w:w="425"/>
        <w:gridCol w:w="567"/>
        <w:gridCol w:w="1276"/>
        <w:gridCol w:w="1134"/>
        <w:gridCol w:w="1276"/>
        <w:gridCol w:w="1276"/>
        <w:gridCol w:w="1134"/>
        <w:gridCol w:w="1275"/>
        <w:gridCol w:w="1546"/>
      </w:tblGrid>
      <w:tr w:rsidR="00597370">
        <w:trPr>
          <w:trHeight w:val="20"/>
        </w:trPr>
        <w:tc>
          <w:tcPr>
            <w:tcW w:w="2394" w:type="dxa"/>
            <w:vMerge w:val="restart"/>
            <w:vAlign w:val="center"/>
          </w:tcPr>
          <w:sdt>
            <w:sdtPr>
              <w:rPr>
                <w:rFonts w:hint="eastAsia"/>
                <w:color w:val="000000" w:themeColor="text1"/>
                <w:sz w:val="18"/>
                <w:szCs w:val="18"/>
              </w:rPr>
              <w:tag w:val="_PLD_312727f4b56147c2b646c0fb68a4b58b"/>
              <w:id w:val="-1335301774"/>
            </w:sdtPr>
            <w:sdtEndPr/>
            <w:sdtContent>
              <w:p w:rsidR="00597370" w:rsidRDefault="003C2EEE">
                <w:pPr>
                  <w:adjustRightInd w:val="0"/>
                  <w:snapToGrid w:val="0"/>
                  <w:jc w:val="center"/>
                  <w:rPr>
                    <w:color w:val="000000" w:themeColor="text1"/>
                    <w:sz w:val="18"/>
                    <w:szCs w:val="18"/>
                  </w:rPr>
                </w:pPr>
                <w:r>
                  <w:rPr>
                    <w:rFonts w:hint="eastAsia"/>
                    <w:color w:val="000000" w:themeColor="text1"/>
                    <w:sz w:val="18"/>
                    <w:szCs w:val="18"/>
                  </w:rPr>
                  <w:t>项目</w:t>
                </w:r>
              </w:p>
            </w:sdtContent>
          </w:sdt>
        </w:tc>
        <w:tc>
          <w:tcPr>
            <w:tcW w:w="11510" w:type="dxa"/>
            <w:gridSpan w:val="11"/>
          </w:tcPr>
          <w:p w:rsidR="00597370" w:rsidRDefault="003C2EEE">
            <w:pPr>
              <w:adjustRightInd w:val="0"/>
              <w:snapToGrid w:val="0"/>
              <w:jc w:val="center"/>
              <w:rPr>
                <w:color w:val="000000" w:themeColor="text1"/>
                <w:sz w:val="18"/>
              </w:rPr>
            </w:pPr>
            <w:r>
              <w:rPr>
                <w:rFonts w:hint="eastAsia"/>
                <w:color w:val="000000" w:themeColor="text1"/>
                <w:sz w:val="18"/>
              </w:rPr>
              <w:t xml:space="preserve"> </w:t>
            </w:r>
            <w:sdt>
              <w:sdtPr>
                <w:rPr>
                  <w:rFonts w:hint="eastAsia"/>
                  <w:color w:val="000000" w:themeColor="text1"/>
                  <w:sz w:val="18"/>
                </w:rPr>
                <w:tag w:val="_PLD_35246b22171846ac8ef46c5dfa1d1663"/>
                <w:id w:val="684558137"/>
              </w:sdtPr>
              <w:sdtEndPr/>
              <w:sdtContent>
                <w:r>
                  <w:rPr>
                    <w:rFonts w:hint="eastAsia"/>
                    <w:color w:val="000000" w:themeColor="text1"/>
                    <w:sz w:val="18"/>
                  </w:rPr>
                  <w:t>2023年半年度</w:t>
                </w:r>
              </w:sdtContent>
            </w:sdt>
          </w:p>
        </w:tc>
      </w:tr>
      <w:tr w:rsidR="00597370">
        <w:trPr>
          <w:trHeight w:val="315"/>
        </w:trPr>
        <w:tc>
          <w:tcPr>
            <w:tcW w:w="2394" w:type="dxa"/>
            <w:vMerge/>
          </w:tcPr>
          <w:p w:rsidR="00597370" w:rsidRDefault="00597370">
            <w:pPr>
              <w:adjustRightInd w:val="0"/>
              <w:snapToGrid w:val="0"/>
              <w:rPr>
                <w:color w:val="000000" w:themeColor="text1"/>
                <w:sz w:val="18"/>
                <w:szCs w:val="18"/>
              </w:rPr>
            </w:pPr>
          </w:p>
        </w:tc>
        <w:sdt>
          <w:sdtPr>
            <w:rPr>
              <w:color w:val="000000" w:themeColor="text1"/>
            </w:rPr>
            <w:tag w:val="_PLD_5da9900c5a9e46a085487ea972f44796"/>
            <w:id w:val="-482553734"/>
          </w:sdtPr>
          <w:sdtEndPr/>
          <w:sdtContent>
            <w:tc>
              <w:tcPr>
                <w:tcW w:w="1078" w:type="dxa"/>
                <w:vMerge w:val="restart"/>
                <w:tcBorders>
                  <w:right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实收资本</w:t>
                </w:r>
                <w:r>
                  <w:rPr>
                    <w:color w:val="000000" w:themeColor="text1"/>
                    <w:sz w:val="18"/>
                    <w:szCs w:val="18"/>
                  </w:rPr>
                  <w:t xml:space="preserve"> (或股本)</w:t>
                </w:r>
              </w:p>
            </w:tc>
          </w:sdtContent>
        </w:sdt>
        <w:sdt>
          <w:sdtPr>
            <w:rPr>
              <w:color w:val="000000" w:themeColor="text1"/>
            </w:rPr>
            <w:tag w:val="_PLD_fc0bce3be00144ff950606755a048a76"/>
            <w:id w:val="879757026"/>
          </w:sdtPr>
          <w:sdtEndPr/>
          <w:sdtContent>
            <w:tc>
              <w:tcPr>
                <w:tcW w:w="1515" w:type="dxa"/>
                <w:gridSpan w:val="3"/>
                <w:tcBorders>
                  <w:left w:val="single" w:sz="4" w:space="0" w:color="auto"/>
                  <w:bottom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其他权益工具</w:t>
                </w:r>
              </w:p>
            </w:tc>
          </w:sdtContent>
        </w:sdt>
        <w:sdt>
          <w:sdtPr>
            <w:rPr>
              <w:color w:val="000000" w:themeColor="text1"/>
            </w:rPr>
            <w:tag w:val="_PLD_b31d07f97db344b1b180738b22a76467"/>
            <w:id w:val="1571147244"/>
          </w:sdtPr>
          <w:sdtEndPr/>
          <w:sdtContent>
            <w:tc>
              <w:tcPr>
                <w:tcW w:w="1276"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资本公积</w:t>
                </w:r>
              </w:p>
            </w:tc>
          </w:sdtContent>
        </w:sdt>
        <w:sdt>
          <w:sdtPr>
            <w:rPr>
              <w:color w:val="000000" w:themeColor="text1"/>
            </w:rPr>
            <w:tag w:val="_PLD_244676dcaf4245bd9119f474a4e885f9"/>
            <w:id w:val="967789448"/>
          </w:sdtPr>
          <w:sdtEndPr/>
          <w:sdtContent>
            <w:tc>
              <w:tcPr>
                <w:tcW w:w="1134"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减：库存股</w:t>
                </w:r>
              </w:p>
            </w:tc>
          </w:sdtContent>
        </w:sdt>
        <w:sdt>
          <w:sdtPr>
            <w:rPr>
              <w:color w:val="000000" w:themeColor="text1"/>
            </w:rPr>
            <w:tag w:val="_PLD_01eab1b775574165b2820a19e72d2ad0"/>
            <w:id w:val="-165017438"/>
          </w:sdtPr>
          <w:sdtEndPr/>
          <w:sdtContent>
            <w:tc>
              <w:tcPr>
                <w:tcW w:w="1276" w:type="dxa"/>
                <w:vMerge w:val="restart"/>
                <w:vAlign w:val="center"/>
              </w:tcPr>
              <w:p w:rsidR="00597370" w:rsidRDefault="003C2EEE">
                <w:pPr>
                  <w:jc w:val="center"/>
                  <w:rPr>
                    <w:color w:val="000000" w:themeColor="text1"/>
                    <w:sz w:val="18"/>
                    <w:szCs w:val="18"/>
                  </w:rPr>
                </w:pPr>
                <w:r>
                  <w:rPr>
                    <w:rFonts w:hint="eastAsia"/>
                    <w:color w:val="000000" w:themeColor="text1"/>
                    <w:sz w:val="18"/>
                    <w:szCs w:val="18"/>
                  </w:rPr>
                  <w:t>其他综合收益</w:t>
                </w:r>
              </w:p>
            </w:tc>
          </w:sdtContent>
        </w:sdt>
        <w:sdt>
          <w:sdtPr>
            <w:rPr>
              <w:color w:val="000000" w:themeColor="text1"/>
            </w:rPr>
            <w:tag w:val="_PLD_13f17e2c8a7a404da876af1bac2ae6d1"/>
            <w:id w:val="-2020305091"/>
          </w:sdtPr>
          <w:sdtEndPr/>
          <w:sdtContent>
            <w:tc>
              <w:tcPr>
                <w:tcW w:w="1276" w:type="dxa"/>
                <w:vMerge w:val="restart"/>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专项储备</w:t>
                </w:r>
              </w:p>
            </w:tc>
          </w:sdtContent>
        </w:sdt>
        <w:sdt>
          <w:sdtPr>
            <w:rPr>
              <w:color w:val="000000" w:themeColor="text1"/>
            </w:rPr>
            <w:tag w:val="_PLD_9578f3812cf04a34965a5bdc9ee82115"/>
            <w:id w:val="1657348014"/>
          </w:sdtPr>
          <w:sdtEndPr/>
          <w:sdtContent>
            <w:tc>
              <w:tcPr>
                <w:tcW w:w="1134"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盈余公积</w:t>
                </w:r>
              </w:p>
            </w:tc>
          </w:sdtContent>
        </w:sdt>
        <w:sdt>
          <w:sdtPr>
            <w:rPr>
              <w:color w:val="000000" w:themeColor="text1"/>
            </w:rPr>
            <w:tag w:val="_PLD_5d835cd98ccc4304aec553a0b6a56628"/>
            <w:id w:val="-1431502292"/>
          </w:sdtPr>
          <w:sdtEndPr/>
          <w:sdtContent>
            <w:tc>
              <w:tcPr>
                <w:tcW w:w="1275"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未分配利润</w:t>
                </w:r>
              </w:p>
            </w:tc>
          </w:sdtContent>
        </w:sdt>
        <w:sdt>
          <w:sdtPr>
            <w:rPr>
              <w:color w:val="000000" w:themeColor="text1"/>
            </w:rPr>
            <w:tag w:val="_PLD_1cbb8af374a54430ad1f29ed83c69cd0"/>
            <w:id w:val="-1529563669"/>
          </w:sdtPr>
          <w:sdtEndPr/>
          <w:sdtContent>
            <w:tc>
              <w:tcPr>
                <w:tcW w:w="1546" w:type="dxa"/>
                <w:vMerge w:val="restart"/>
                <w:vAlign w:val="center"/>
              </w:tcPr>
              <w:p w:rsidR="00597370" w:rsidRDefault="003C2EEE">
                <w:pPr>
                  <w:adjustRightInd w:val="0"/>
                  <w:snapToGrid w:val="0"/>
                  <w:jc w:val="center"/>
                  <w:rPr>
                    <w:color w:val="000000" w:themeColor="text1"/>
                    <w:sz w:val="18"/>
                    <w:szCs w:val="18"/>
                  </w:rPr>
                </w:pPr>
                <w:r>
                  <w:rPr>
                    <w:color w:val="000000" w:themeColor="text1"/>
                    <w:sz w:val="18"/>
                    <w:szCs w:val="18"/>
                  </w:rPr>
                  <w:t>所有者权益合计</w:t>
                </w:r>
              </w:p>
            </w:tc>
          </w:sdtContent>
        </w:sdt>
      </w:tr>
      <w:tr w:rsidR="00597370">
        <w:trPr>
          <w:trHeight w:val="294"/>
        </w:trPr>
        <w:tc>
          <w:tcPr>
            <w:tcW w:w="2394" w:type="dxa"/>
            <w:vMerge/>
          </w:tcPr>
          <w:p w:rsidR="00597370" w:rsidRDefault="00597370">
            <w:pPr>
              <w:adjustRightInd w:val="0"/>
              <w:snapToGrid w:val="0"/>
              <w:rPr>
                <w:color w:val="000000" w:themeColor="text1"/>
                <w:sz w:val="18"/>
                <w:szCs w:val="18"/>
              </w:rPr>
            </w:pPr>
          </w:p>
        </w:tc>
        <w:tc>
          <w:tcPr>
            <w:tcW w:w="1078" w:type="dxa"/>
            <w:vMerge/>
            <w:tcBorders>
              <w:right w:val="single" w:sz="4" w:space="0" w:color="auto"/>
            </w:tcBorders>
          </w:tcPr>
          <w:p w:rsidR="00597370" w:rsidRDefault="00597370">
            <w:pPr>
              <w:adjustRightInd w:val="0"/>
              <w:snapToGrid w:val="0"/>
              <w:jc w:val="center"/>
              <w:rPr>
                <w:color w:val="000000" w:themeColor="text1"/>
                <w:sz w:val="18"/>
                <w:szCs w:val="18"/>
              </w:rPr>
            </w:pPr>
          </w:p>
        </w:tc>
        <w:sdt>
          <w:sdtPr>
            <w:rPr>
              <w:color w:val="000000" w:themeColor="text1"/>
            </w:rPr>
            <w:tag w:val="_PLD_dcc9ba0f815c4a99a7c4c9fe219d232e"/>
            <w:id w:val="1491754879"/>
          </w:sdtPr>
          <w:sdtEndPr/>
          <w:sdtContent>
            <w:tc>
              <w:tcPr>
                <w:tcW w:w="523" w:type="dxa"/>
                <w:tcBorders>
                  <w:top w:val="single" w:sz="4" w:space="0" w:color="auto"/>
                  <w:left w:val="single" w:sz="4" w:space="0" w:color="auto"/>
                  <w:right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优先股</w:t>
                </w:r>
              </w:p>
            </w:tc>
          </w:sdtContent>
        </w:sdt>
        <w:sdt>
          <w:sdtPr>
            <w:rPr>
              <w:color w:val="000000" w:themeColor="text1"/>
            </w:rPr>
            <w:tag w:val="_PLD_42f56a6e995041a8b03e0979c7b2350c"/>
            <w:id w:val="-680047454"/>
          </w:sdtPr>
          <w:sdtEndPr/>
          <w:sdtContent>
            <w:tc>
              <w:tcPr>
                <w:tcW w:w="425" w:type="dxa"/>
                <w:tcBorders>
                  <w:top w:val="single" w:sz="4" w:space="0" w:color="auto"/>
                  <w:left w:val="single" w:sz="4" w:space="0" w:color="auto"/>
                  <w:right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永续债</w:t>
                </w:r>
              </w:p>
            </w:tc>
          </w:sdtContent>
        </w:sdt>
        <w:sdt>
          <w:sdtPr>
            <w:rPr>
              <w:color w:val="000000" w:themeColor="text1"/>
            </w:rPr>
            <w:tag w:val="_PLD_30aa853463c54004a69a2235554ee8fd"/>
            <w:id w:val="1509014112"/>
          </w:sdtPr>
          <w:sdtEndPr/>
          <w:sdtContent>
            <w:tc>
              <w:tcPr>
                <w:tcW w:w="567" w:type="dxa"/>
                <w:tcBorders>
                  <w:top w:val="single" w:sz="4" w:space="0" w:color="auto"/>
                  <w:left w:val="single" w:sz="4" w:space="0" w:color="auto"/>
                </w:tcBorders>
                <w:vAlign w:val="center"/>
              </w:tcPr>
              <w:p w:rsidR="00597370" w:rsidRDefault="003C2EEE">
                <w:pPr>
                  <w:adjustRightInd w:val="0"/>
                  <w:snapToGrid w:val="0"/>
                  <w:jc w:val="center"/>
                  <w:rPr>
                    <w:color w:val="000000" w:themeColor="text1"/>
                    <w:sz w:val="18"/>
                    <w:szCs w:val="18"/>
                  </w:rPr>
                </w:pPr>
                <w:r>
                  <w:rPr>
                    <w:rFonts w:hint="eastAsia"/>
                    <w:color w:val="000000" w:themeColor="text1"/>
                    <w:sz w:val="18"/>
                    <w:szCs w:val="18"/>
                  </w:rPr>
                  <w:t>其他</w:t>
                </w:r>
              </w:p>
            </w:tc>
          </w:sdtContent>
        </w:sdt>
        <w:tc>
          <w:tcPr>
            <w:tcW w:w="1276" w:type="dxa"/>
            <w:vMerge/>
          </w:tcPr>
          <w:p w:rsidR="00597370" w:rsidRDefault="00597370">
            <w:pPr>
              <w:adjustRightInd w:val="0"/>
              <w:snapToGrid w:val="0"/>
              <w:jc w:val="center"/>
              <w:rPr>
                <w:color w:val="000000" w:themeColor="text1"/>
                <w:sz w:val="18"/>
                <w:szCs w:val="18"/>
              </w:rPr>
            </w:pPr>
          </w:p>
        </w:tc>
        <w:tc>
          <w:tcPr>
            <w:tcW w:w="1134" w:type="dxa"/>
            <w:vMerge/>
          </w:tcPr>
          <w:p w:rsidR="00597370" w:rsidRDefault="00597370">
            <w:pPr>
              <w:adjustRightInd w:val="0"/>
              <w:snapToGrid w:val="0"/>
              <w:jc w:val="center"/>
              <w:rPr>
                <w:color w:val="000000" w:themeColor="text1"/>
                <w:sz w:val="18"/>
                <w:szCs w:val="18"/>
              </w:rPr>
            </w:pPr>
          </w:p>
        </w:tc>
        <w:tc>
          <w:tcPr>
            <w:tcW w:w="1276" w:type="dxa"/>
            <w:vMerge/>
          </w:tcPr>
          <w:p w:rsidR="00597370" w:rsidRDefault="00597370">
            <w:pPr>
              <w:jc w:val="center"/>
              <w:rPr>
                <w:color w:val="000000" w:themeColor="text1"/>
                <w:sz w:val="18"/>
                <w:szCs w:val="18"/>
              </w:rPr>
            </w:pPr>
          </w:p>
        </w:tc>
        <w:tc>
          <w:tcPr>
            <w:tcW w:w="1276" w:type="dxa"/>
            <w:vMerge/>
          </w:tcPr>
          <w:p w:rsidR="00597370" w:rsidRDefault="00597370">
            <w:pPr>
              <w:adjustRightInd w:val="0"/>
              <w:snapToGrid w:val="0"/>
              <w:jc w:val="center"/>
              <w:rPr>
                <w:color w:val="000000" w:themeColor="text1"/>
                <w:sz w:val="18"/>
                <w:szCs w:val="18"/>
              </w:rPr>
            </w:pPr>
          </w:p>
        </w:tc>
        <w:tc>
          <w:tcPr>
            <w:tcW w:w="1134" w:type="dxa"/>
            <w:vMerge/>
          </w:tcPr>
          <w:p w:rsidR="00597370" w:rsidRDefault="00597370">
            <w:pPr>
              <w:adjustRightInd w:val="0"/>
              <w:snapToGrid w:val="0"/>
              <w:jc w:val="center"/>
              <w:rPr>
                <w:color w:val="000000" w:themeColor="text1"/>
                <w:sz w:val="18"/>
                <w:szCs w:val="18"/>
              </w:rPr>
            </w:pPr>
          </w:p>
        </w:tc>
        <w:tc>
          <w:tcPr>
            <w:tcW w:w="1275" w:type="dxa"/>
            <w:vMerge/>
          </w:tcPr>
          <w:p w:rsidR="00597370" w:rsidRDefault="00597370">
            <w:pPr>
              <w:adjustRightInd w:val="0"/>
              <w:snapToGrid w:val="0"/>
              <w:jc w:val="center"/>
              <w:rPr>
                <w:color w:val="000000" w:themeColor="text1"/>
                <w:sz w:val="18"/>
                <w:szCs w:val="18"/>
              </w:rPr>
            </w:pPr>
          </w:p>
        </w:tc>
        <w:tc>
          <w:tcPr>
            <w:tcW w:w="1546" w:type="dxa"/>
            <w:vMerge/>
          </w:tcPr>
          <w:p w:rsidR="00597370" w:rsidRDefault="00597370">
            <w:pPr>
              <w:adjustRightInd w:val="0"/>
              <w:snapToGrid w:val="0"/>
              <w:jc w:val="center"/>
              <w:rPr>
                <w:color w:val="000000" w:themeColor="text1"/>
                <w:sz w:val="18"/>
                <w:szCs w:val="18"/>
              </w:rPr>
            </w:pPr>
          </w:p>
        </w:tc>
      </w:tr>
      <w:tr w:rsidR="00597370">
        <w:trPr>
          <w:trHeight w:val="20"/>
        </w:trPr>
        <w:sdt>
          <w:sdtPr>
            <w:rPr>
              <w:color w:val="000000" w:themeColor="text1"/>
            </w:rPr>
            <w:tag w:val="_PLD_b00b327c7ecc4ad1bfafd8f9c1a6ce86"/>
            <w:id w:val="1394549288"/>
          </w:sdtPr>
          <w:sdtEndPr/>
          <w:sdtContent>
            <w:tc>
              <w:tcPr>
                <w:tcW w:w="2394" w:type="dxa"/>
              </w:tcPr>
              <w:p w:rsidR="00597370" w:rsidRDefault="003C2EEE">
                <w:pPr>
                  <w:rPr>
                    <w:color w:val="000000" w:themeColor="text1"/>
                    <w:sz w:val="18"/>
                    <w:szCs w:val="18"/>
                  </w:rPr>
                </w:pPr>
                <w:r>
                  <w:rPr>
                    <w:color w:val="000000" w:themeColor="text1"/>
                    <w:sz w:val="18"/>
                    <w:szCs w:val="18"/>
                  </w:rPr>
                  <w:t>一、上年</w:t>
                </w:r>
                <w:r>
                  <w:rPr>
                    <w:rFonts w:hint="eastAsia"/>
                    <w:color w:val="000000" w:themeColor="text1"/>
                    <w:sz w:val="18"/>
                    <w:szCs w:val="18"/>
                  </w:rPr>
                  <w:t>期</w:t>
                </w:r>
                <w:r>
                  <w:rPr>
                    <w:color w:val="000000" w:themeColor="text1"/>
                    <w:sz w:val="18"/>
                    <w:szCs w:val="18"/>
                  </w:rPr>
                  <w:t>末余额</w:t>
                </w:r>
              </w:p>
            </w:tc>
          </w:sdtContent>
        </w:sdt>
        <w:tc>
          <w:tcPr>
            <w:tcW w:w="1078" w:type="dxa"/>
            <w:tcBorders>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333,167,407.00</w:t>
            </w: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tcBorders>
              <w:lef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984,845,013.70</w:t>
            </w: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15,197,905.64</w:t>
            </w:r>
          </w:p>
        </w:tc>
        <w:tc>
          <w:tcPr>
            <w:tcW w:w="1134"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93,389,482.08</w:t>
            </w:r>
          </w:p>
        </w:tc>
        <w:tc>
          <w:tcPr>
            <w:tcW w:w="1275"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839,830,537.34</w:t>
            </w: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2,266,430,345.76</w:t>
            </w:r>
          </w:p>
        </w:tc>
      </w:tr>
      <w:tr w:rsidR="00597370">
        <w:trPr>
          <w:trHeight w:val="20"/>
        </w:trPr>
        <w:sdt>
          <w:sdtPr>
            <w:rPr>
              <w:color w:val="000000" w:themeColor="text1"/>
            </w:rPr>
            <w:tag w:val="_PLD_87ad1d45ba9b40488fdf5165b8168def"/>
            <w:id w:val="-1746568065"/>
          </w:sdtPr>
          <w:sdtEndPr/>
          <w:sdtContent>
            <w:tc>
              <w:tcPr>
                <w:tcW w:w="2394" w:type="dxa"/>
              </w:tcPr>
              <w:p w:rsidR="00597370" w:rsidRDefault="003C2EEE">
                <w:pPr>
                  <w:rPr>
                    <w:color w:val="000000" w:themeColor="text1"/>
                    <w:sz w:val="18"/>
                    <w:szCs w:val="18"/>
                  </w:rPr>
                </w:pPr>
                <w:r>
                  <w:rPr>
                    <w:color w:val="000000" w:themeColor="text1"/>
                    <w:sz w:val="18"/>
                    <w:szCs w:val="18"/>
                  </w:rPr>
                  <w:t>加：会计政策变更</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494f8b7216f946d9a09f6954da6ee226"/>
            <w:id w:val="1703668821"/>
          </w:sdtPr>
          <w:sdtEndPr/>
          <w:sdtContent>
            <w:tc>
              <w:tcPr>
                <w:tcW w:w="2394" w:type="dxa"/>
              </w:tcPr>
              <w:p w:rsidR="00597370" w:rsidRDefault="003C2EEE">
                <w:pPr>
                  <w:ind w:firstLineChars="200" w:firstLine="420"/>
                  <w:rPr>
                    <w:color w:val="000000" w:themeColor="text1"/>
                    <w:sz w:val="18"/>
                    <w:szCs w:val="18"/>
                  </w:rPr>
                </w:pPr>
                <w:r>
                  <w:rPr>
                    <w:color w:val="000000" w:themeColor="text1"/>
                    <w:sz w:val="18"/>
                    <w:szCs w:val="18"/>
                  </w:rPr>
                  <w:t>前期差错更正</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cdd9f72b38894c3eb70b005a61432c29"/>
            <w:id w:val="-184296362"/>
          </w:sdtPr>
          <w:sdtEndPr/>
          <w:sdtContent>
            <w:tc>
              <w:tcPr>
                <w:tcW w:w="2394" w:type="dxa"/>
              </w:tcPr>
              <w:p w:rsidR="00597370" w:rsidRDefault="003C2EEE">
                <w:pPr>
                  <w:ind w:firstLineChars="200" w:firstLine="420"/>
                  <w:rPr>
                    <w:color w:val="000000" w:themeColor="text1"/>
                    <w:sz w:val="18"/>
                    <w:szCs w:val="18"/>
                  </w:rPr>
                </w:pPr>
                <w:r>
                  <w:rPr>
                    <w:rFonts w:hint="eastAsia"/>
                    <w:color w:val="000000" w:themeColor="text1"/>
                    <w:sz w:val="18"/>
                    <w:szCs w:val="18"/>
                  </w:rPr>
                  <w:t>其他</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8593e1735c664981bacefcb1a0cab245"/>
            <w:id w:val="943184117"/>
          </w:sdtPr>
          <w:sdtEndPr/>
          <w:sdtContent>
            <w:tc>
              <w:tcPr>
                <w:tcW w:w="2394" w:type="dxa"/>
              </w:tcPr>
              <w:p w:rsidR="00597370" w:rsidRDefault="003C2EEE">
                <w:pPr>
                  <w:rPr>
                    <w:color w:val="000000" w:themeColor="text1"/>
                    <w:sz w:val="18"/>
                    <w:szCs w:val="18"/>
                  </w:rPr>
                </w:pPr>
                <w:r>
                  <w:rPr>
                    <w:color w:val="000000" w:themeColor="text1"/>
                    <w:sz w:val="18"/>
                    <w:szCs w:val="18"/>
                  </w:rPr>
                  <w:t>二、本年</w:t>
                </w:r>
                <w:r>
                  <w:rPr>
                    <w:rFonts w:hint="eastAsia"/>
                    <w:color w:val="000000" w:themeColor="text1"/>
                    <w:sz w:val="18"/>
                    <w:szCs w:val="18"/>
                  </w:rPr>
                  <w:t>期</w:t>
                </w:r>
                <w:r>
                  <w:rPr>
                    <w:color w:val="000000" w:themeColor="text1"/>
                    <w:sz w:val="18"/>
                    <w:szCs w:val="18"/>
                  </w:rPr>
                  <w:t>初余额</w:t>
                </w:r>
              </w:p>
            </w:tc>
          </w:sdtContent>
        </w:sdt>
        <w:tc>
          <w:tcPr>
            <w:tcW w:w="1078" w:type="dxa"/>
            <w:tcBorders>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333,167,407.00</w:t>
            </w: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tcBorders>
              <w:lef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984,845,013.70</w:t>
            </w: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15,197,905.64</w:t>
            </w:r>
          </w:p>
        </w:tc>
        <w:tc>
          <w:tcPr>
            <w:tcW w:w="1134"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93,389,482.08</w:t>
            </w:r>
          </w:p>
        </w:tc>
        <w:tc>
          <w:tcPr>
            <w:tcW w:w="1275"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839,830,537.34</w:t>
            </w: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2,266,430,345.76</w:t>
            </w:r>
          </w:p>
        </w:tc>
      </w:tr>
      <w:tr w:rsidR="00597370">
        <w:trPr>
          <w:trHeight w:val="20"/>
        </w:trPr>
        <w:sdt>
          <w:sdtPr>
            <w:rPr>
              <w:color w:val="000000" w:themeColor="text1"/>
            </w:rPr>
            <w:tag w:val="_PLD_9ce2d31f4fd34371930cec7fd79a4318"/>
            <w:id w:val="-1948692217"/>
          </w:sdtPr>
          <w:sdtEndPr/>
          <w:sdtContent>
            <w:tc>
              <w:tcPr>
                <w:tcW w:w="2394" w:type="dxa"/>
              </w:tcPr>
              <w:p w:rsidR="00597370" w:rsidRDefault="003C2EEE">
                <w:pPr>
                  <w:rPr>
                    <w:color w:val="000000" w:themeColor="text1"/>
                    <w:sz w:val="18"/>
                    <w:szCs w:val="18"/>
                  </w:rPr>
                </w:pPr>
                <w:r>
                  <w:rPr>
                    <w:color w:val="000000" w:themeColor="text1"/>
                    <w:sz w:val="18"/>
                    <w:szCs w:val="18"/>
                  </w:rPr>
                  <w:t>三、本</w:t>
                </w:r>
                <w:r>
                  <w:rPr>
                    <w:rFonts w:hint="eastAsia"/>
                    <w:color w:val="000000" w:themeColor="text1"/>
                    <w:sz w:val="18"/>
                    <w:szCs w:val="18"/>
                  </w:rPr>
                  <w:t>期</w:t>
                </w:r>
                <w:r>
                  <w:rPr>
                    <w:color w:val="000000" w:themeColor="text1"/>
                    <w:sz w:val="18"/>
                    <w:szCs w:val="18"/>
                  </w:rPr>
                  <w:t>增减变动金额（减少以“－”号填列）</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3,048,736.34</w:t>
            </w: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97,668,738.78</w:t>
            </w: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100,717,475.12</w:t>
            </w:r>
          </w:p>
        </w:tc>
      </w:tr>
      <w:tr w:rsidR="00597370">
        <w:trPr>
          <w:trHeight w:val="20"/>
        </w:trPr>
        <w:sdt>
          <w:sdtPr>
            <w:rPr>
              <w:color w:val="000000" w:themeColor="text1"/>
            </w:rPr>
            <w:tag w:val="_PLD_8e61c9577cd8495fb0815773685b00bb"/>
            <w:id w:val="-694148236"/>
          </w:sdtPr>
          <w:sdtEndPr/>
          <w:sdtContent>
            <w:tc>
              <w:tcPr>
                <w:tcW w:w="2394" w:type="dxa"/>
              </w:tcPr>
              <w:p w:rsidR="00597370" w:rsidRDefault="003C2EEE">
                <w:pPr>
                  <w:rPr>
                    <w:color w:val="000000" w:themeColor="text1"/>
                    <w:sz w:val="18"/>
                    <w:szCs w:val="18"/>
                  </w:rPr>
                </w:pPr>
                <w:r>
                  <w:rPr>
                    <w:rFonts w:hint="eastAsia"/>
                    <w:color w:val="000000" w:themeColor="text1"/>
                    <w:sz w:val="18"/>
                    <w:szCs w:val="18"/>
                  </w:rPr>
                  <w:t>（一）综合收益总额</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157,638,872.04</w:t>
            </w: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157,638,872.04</w:t>
            </w:r>
          </w:p>
        </w:tc>
      </w:tr>
      <w:tr w:rsidR="00597370">
        <w:trPr>
          <w:trHeight w:val="20"/>
        </w:trPr>
        <w:sdt>
          <w:sdtPr>
            <w:rPr>
              <w:color w:val="000000" w:themeColor="text1"/>
            </w:rPr>
            <w:tag w:val="_PLD_e11fbdac72bf4f84a5635701204e5724"/>
            <w:id w:val="1569998472"/>
          </w:sdtPr>
          <w:sdtEndPr/>
          <w:sdtContent>
            <w:tc>
              <w:tcPr>
                <w:tcW w:w="2394" w:type="dxa"/>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二</w:t>
                </w:r>
                <w:r>
                  <w:rPr>
                    <w:color w:val="000000" w:themeColor="text1"/>
                    <w:sz w:val="18"/>
                    <w:szCs w:val="18"/>
                  </w:rPr>
                  <w:t>）所有者投入和减少资本</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7b195f652f0542a9b8fb6e62990feb42"/>
            <w:id w:val="844214380"/>
          </w:sdtPr>
          <w:sdtEndPr/>
          <w:sdtContent>
            <w:tc>
              <w:tcPr>
                <w:tcW w:w="2394" w:type="dxa"/>
              </w:tcPr>
              <w:p w:rsidR="00597370" w:rsidRDefault="003C2EEE">
                <w:pPr>
                  <w:rPr>
                    <w:color w:val="000000" w:themeColor="text1"/>
                    <w:sz w:val="18"/>
                    <w:szCs w:val="18"/>
                  </w:rPr>
                </w:pPr>
                <w:r>
                  <w:rPr>
                    <w:rFonts w:hint="eastAsia"/>
                    <w:color w:val="000000" w:themeColor="text1"/>
                    <w:sz w:val="18"/>
                    <w:szCs w:val="18"/>
                  </w:rPr>
                  <w:t>1．所有者投入的普通股</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4873337789fc42b5ae8485de96f3dad3"/>
            <w:id w:val="-2017982585"/>
          </w:sdtPr>
          <w:sdtEndPr/>
          <w:sdtContent>
            <w:tc>
              <w:tcPr>
                <w:tcW w:w="2394" w:type="dxa"/>
              </w:tcPr>
              <w:p w:rsidR="00597370" w:rsidRDefault="003C2EEE">
                <w:pPr>
                  <w:rPr>
                    <w:color w:val="000000" w:themeColor="text1"/>
                    <w:sz w:val="18"/>
                    <w:szCs w:val="18"/>
                  </w:rPr>
                </w:pPr>
                <w:r>
                  <w:rPr>
                    <w:rFonts w:hint="eastAsia"/>
                    <w:color w:val="000000" w:themeColor="text1"/>
                    <w:sz w:val="18"/>
                    <w:szCs w:val="18"/>
                  </w:rPr>
                  <w:t>2．其他权益工具持有者投入资本</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83c73c5580c0412189f697f05780f9af"/>
            <w:id w:val="268354929"/>
          </w:sdtPr>
          <w:sdtEndPr/>
          <w:sdtContent>
            <w:tc>
              <w:tcPr>
                <w:tcW w:w="2394" w:type="dxa"/>
              </w:tcPr>
              <w:p w:rsidR="00597370" w:rsidRDefault="003C2EEE">
                <w:pPr>
                  <w:rPr>
                    <w:color w:val="000000" w:themeColor="text1"/>
                    <w:sz w:val="18"/>
                    <w:szCs w:val="18"/>
                  </w:rPr>
                </w:pPr>
                <w:r>
                  <w:rPr>
                    <w:rFonts w:hint="eastAsia"/>
                    <w:color w:val="000000" w:themeColor="text1"/>
                    <w:sz w:val="18"/>
                    <w:szCs w:val="18"/>
                  </w:rPr>
                  <w:t>3</w:t>
                </w:r>
                <w:r>
                  <w:rPr>
                    <w:color w:val="000000" w:themeColor="text1"/>
                    <w:sz w:val="18"/>
                    <w:szCs w:val="18"/>
                  </w:rPr>
                  <w:t>．股份支付计入所有者权益的金额</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b328cbc349734354ae3aacf675414174"/>
            <w:id w:val="-659387015"/>
          </w:sdtPr>
          <w:sdtEndPr/>
          <w:sdtContent>
            <w:tc>
              <w:tcPr>
                <w:tcW w:w="2394" w:type="dxa"/>
              </w:tcPr>
              <w:p w:rsidR="00597370" w:rsidRDefault="003C2EEE">
                <w:pPr>
                  <w:rPr>
                    <w:color w:val="000000" w:themeColor="text1"/>
                    <w:sz w:val="18"/>
                    <w:szCs w:val="18"/>
                  </w:rPr>
                </w:pPr>
                <w:r>
                  <w:rPr>
                    <w:rFonts w:hint="eastAsia"/>
                    <w:color w:val="000000" w:themeColor="text1"/>
                    <w:sz w:val="18"/>
                    <w:szCs w:val="18"/>
                  </w:rPr>
                  <w:t>4</w:t>
                </w:r>
                <w:r>
                  <w:rPr>
                    <w:color w:val="000000" w:themeColor="text1"/>
                    <w:sz w:val="18"/>
                    <w:szCs w:val="18"/>
                  </w:rPr>
                  <w:t>．其他</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9773183e97be44a1a360188937e7fe10"/>
            <w:id w:val="-916779025"/>
          </w:sdtPr>
          <w:sdtEndPr/>
          <w:sdtContent>
            <w:tc>
              <w:tcPr>
                <w:tcW w:w="2394" w:type="dxa"/>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三</w:t>
                </w:r>
                <w:r>
                  <w:rPr>
                    <w:color w:val="000000" w:themeColor="text1"/>
                    <w:sz w:val="18"/>
                    <w:szCs w:val="18"/>
                  </w:rPr>
                  <w:t>）利润分配</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-59,970,133.26</w:t>
            </w: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-59,970,133.26</w:t>
            </w:r>
          </w:p>
        </w:tc>
      </w:tr>
      <w:tr w:rsidR="00597370">
        <w:trPr>
          <w:trHeight w:val="20"/>
        </w:trPr>
        <w:sdt>
          <w:sdtPr>
            <w:rPr>
              <w:color w:val="000000" w:themeColor="text1"/>
            </w:rPr>
            <w:tag w:val="_PLD_49d633deae854098a44173514bb3a7b3"/>
            <w:id w:val="-1643266677"/>
          </w:sdtPr>
          <w:sdtEndPr/>
          <w:sdtContent>
            <w:tc>
              <w:tcPr>
                <w:tcW w:w="2394" w:type="dxa"/>
              </w:tcPr>
              <w:p w:rsidR="00597370" w:rsidRDefault="003C2EEE">
                <w:pPr>
                  <w:rPr>
                    <w:color w:val="000000" w:themeColor="text1"/>
                    <w:sz w:val="18"/>
                    <w:szCs w:val="18"/>
                  </w:rPr>
                </w:pPr>
                <w:r>
                  <w:rPr>
                    <w:color w:val="000000" w:themeColor="text1"/>
                    <w:sz w:val="18"/>
                    <w:szCs w:val="18"/>
                  </w:rPr>
                  <w:t>1．提取盈余公积</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w:t>
            </w: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w:t>
            </w:r>
          </w:p>
        </w:tc>
      </w:tr>
      <w:tr w:rsidR="00597370">
        <w:trPr>
          <w:trHeight w:val="20"/>
        </w:trPr>
        <w:sdt>
          <w:sdtPr>
            <w:rPr>
              <w:color w:val="000000" w:themeColor="text1"/>
            </w:rPr>
            <w:tag w:val="_PLD_97bd41fffab4497fb1be0b345aef17bd"/>
            <w:id w:val="-239876317"/>
          </w:sdtPr>
          <w:sdtEndPr/>
          <w:sdtContent>
            <w:tc>
              <w:tcPr>
                <w:tcW w:w="2394" w:type="dxa"/>
              </w:tcPr>
              <w:p w:rsidR="00597370" w:rsidRDefault="003C2EEE">
                <w:pPr>
                  <w:rPr>
                    <w:color w:val="000000" w:themeColor="text1"/>
                    <w:sz w:val="18"/>
                    <w:szCs w:val="18"/>
                  </w:rPr>
                </w:pPr>
                <w:r>
                  <w:rPr>
                    <w:color w:val="000000" w:themeColor="text1"/>
                    <w:sz w:val="18"/>
                    <w:szCs w:val="18"/>
                  </w:rPr>
                  <w:t>2．对所有者（或股东）的分配</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-59,970,133.26</w:t>
            </w: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-59,970,133.26</w:t>
            </w:r>
          </w:p>
        </w:tc>
      </w:tr>
      <w:tr w:rsidR="00597370">
        <w:trPr>
          <w:trHeight w:val="20"/>
        </w:trPr>
        <w:sdt>
          <w:sdtPr>
            <w:rPr>
              <w:color w:val="000000" w:themeColor="text1"/>
            </w:rPr>
            <w:tag w:val="_PLD_a5c6789730e84b389ee95f39091419a8"/>
            <w:id w:val="-338544159"/>
          </w:sdtPr>
          <w:sdtEndPr/>
          <w:sdtContent>
            <w:tc>
              <w:tcPr>
                <w:tcW w:w="2394" w:type="dxa"/>
              </w:tcPr>
              <w:p w:rsidR="00597370" w:rsidRDefault="003C2EEE">
                <w:pPr>
                  <w:rPr>
                    <w:color w:val="000000" w:themeColor="text1"/>
                    <w:sz w:val="18"/>
                    <w:szCs w:val="18"/>
                  </w:rPr>
                </w:pPr>
                <w:r>
                  <w:rPr>
                    <w:color w:val="000000" w:themeColor="text1"/>
                    <w:sz w:val="18"/>
                    <w:szCs w:val="18"/>
                  </w:rPr>
                  <w:t>3．其他</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9c529a92f12642ed93c3ac5d7c5ef52b"/>
            <w:id w:val="-992249731"/>
          </w:sdtPr>
          <w:sdtEndPr/>
          <w:sdtContent>
            <w:tc>
              <w:tcPr>
                <w:tcW w:w="2394" w:type="dxa"/>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四</w:t>
                </w:r>
                <w:r>
                  <w:rPr>
                    <w:color w:val="000000" w:themeColor="text1"/>
                    <w:sz w:val="18"/>
                    <w:szCs w:val="18"/>
                  </w:rPr>
                  <w:t>）所有者权益内部结转</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084a56709ef243f89e8f0aead886c10d"/>
            <w:id w:val="-1652127598"/>
          </w:sdtPr>
          <w:sdtEndPr/>
          <w:sdtContent>
            <w:tc>
              <w:tcPr>
                <w:tcW w:w="2394" w:type="dxa"/>
              </w:tcPr>
              <w:p w:rsidR="00597370" w:rsidRDefault="003C2EEE">
                <w:pPr>
                  <w:rPr>
                    <w:color w:val="000000" w:themeColor="text1"/>
                    <w:sz w:val="18"/>
                    <w:szCs w:val="18"/>
                  </w:rPr>
                </w:pPr>
                <w:r>
                  <w:rPr>
                    <w:color w:val="000000" w:themeColor="text1"/>
                    <w:sz w:val="18"/>
                    <w:szCs w:val="18"/>
                  </w:rPr>
                  <w:t>1．资本公积转增资本（或股本）</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22df50d156334ad9a740cc6d62e17f0b"/>
            <w:id w:val="-1469043251"/>
          </w:sdtPr>
          <w:sdtEndPr/>
          <w:sdtContent>
            <w:tc>
              <w:tcPr>
                <w:tcW w:w="2394" w:type="dxa"/>
              </w:tcPr>
              <w:p w:rsidR="00597370" w:rsidRDefault="003C2EEE">
                <w:pPr>
                  <w:rPr>
                    <w:color w:val="000000" w:themeColor="text1"/>
                    <w:sz w:val="18"/>
                    <w:szCs w:val="18"/>
                  </w:rPr>
                </w:pPr>
                <w:r>
                  <w:rPr>
                    <w:color w:val="000000" w:themeColor="text1"/>
                    <w:sz w:val="18"/>
                    <w:szCs w:val="18"/>
                  </w:rPr>
                  <w:t>2．盈余公积转增资本（或股本）</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4846580862224d1a9e17a9af1fe14d07"/>
            <w:id w:val="1360472545"/>
          </w:sdtPr>
          <w:sdtEndPr/>
          <w:sdtContent>
            <w:tc>
              <w:tcPr>
                <w:tcW w:w="2394" w:type="dxa"/>
              </w:tcPr>
              <w:p w:rsidR="00597370" w:rsidRDefault="003C2EEE">
                <w:pPr>
                  <w:rPr>
                    <w:color w:val="000000" w:themeColor="text1"/>
                    <w:sz w:val="18"/>
                    <w:szCs w:val="18"/>
                  </w:rPr>
                </w:pPr>
                <w:r>
                  <w:rPr>
                    <w:color w:val="000000" w:themeColor="text1"/>
                    <w:sz w:val="18"/>
                    <w:szCs w:val="18"/>
                  </w:rPr>
                  <w:t>3．盈余公积弥补亏损</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tc>
          <w:tcPr>
            <w:tcW w:w="2394" w:type="dxa"/>
          </w:tcPr>
          <w:sdt>
            <w:sdtPr>
              <w:rPr>
                <w:color w:val="000000" w:themeColor="text1"/>
                <w:sz w:val="18"/>
                <w:szCs w:val="18"/>
              </w:rPr>
              <w:tag w:val="_PLD_a2566358e2dc4d0b9e534ee13a2b1a26"/>
              <w:id w:val="-575978239"/>
            </w:sdtPr>
            <w:sdtEndPr/>
            <w:sdtContent>
              <w:p w:rsidR="00597370" w:rsidRDefault="003C2EEE">
                <w:pPr>
                  <w:rPr>
                    <w:color w:val="000000" w:themeColor="text1"/>
                  </w:rPr>
                </w:pPr>
                <w:r>
                  <w:rPr>
                    <w:color w:val="000000" w:themeColor="text1"/>
                    <w:sz w:val="18"/>
                    <w:szCs w:val="18"/>
                  </w:rPr>
                  <w:t>4．设定受益计划变动额结转留存收益</w:t>
                </w:r>
              </w:p>
            </w:sdtContent>
          </w:sdt>
        </w:tc>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tc>
          <w:tcPr>
            <w:tcW w:w="2394" w:type="dxa"/>
          </w:tcPr>
          <w:sdt>
            <w:sdtPr>
              <w:rPr>
                <w:color w:val="000000" w:themeColor="text1"/>
                <w:sz w:val="18"/>
                <w:szCs w:val="18"/>
              </w:rPr>
              <w:tag w:val="_PLD_659907ea90ce4ac18323403c6e02efd1"/>
              <w:id w:val="-1771853543"/>
            </w:sdtPr>
            <w:sdtEndPr/>
            <w:sdtContent>
              <w:p w:rsidR="00597370" w:rsidRDefault="003C2EEE">
                <w:pPr>
                  <w:rPr>
                    <w:color w:val="000000" w:themeColor="text1"/>
                    <w:sz w:val="18"/>
                    <w:szCs w:val="18"/>
                  </w:rPr>
                </w:pPr>
                <w:r>
                  <w:rPr>
                    <w:color w:val="000000" w:themeColor="text1"/>
                    <w:sz w:val="18"/>
                    <w:szCs w:val="18"/>
                  </w:rPr>
                  <w:t>5．其他综合收益结转留存收益</w:t>
                </w:r>
              </w:p>
            </w:sdtContent>
          </w:sdt>
        </w:tc>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tc>
          <w:tcPr>
            <w:tcW w:w="2394" w:type="dxa"/>
          </w:tcPr>
          <w:sdt>
            <w:sdtPr>
              <w:rPr>
                <w:color w:val="000000" w:themeColor="text1"/>
                <w:sz w:val="18"/>
                <w:szCs w:val="18"/>
              </w:rPr>
              <w:tag w:val="_PLD_811577c623d04471a27af10d35119258"/>
              <w:id w:val="-1943607493"/>
            </w:sdtPr>
            <w:sdtEndPr/>
            <w:sdtContent>
              <w:p w:rsidR="00597370" w:rsidRDefault="003C2EEE">
                <w:pPr>
                  <w:rPr>
                    <w:color w:val="000000" w:themeColor="text1"/>
                  </w:rPr>
                </w:pPr>
                <w:r>
                  <w:rPr>
                    <w:color w:val="000000" w:themeColor="text1"/>
                    <w:sz w:val="18"/>
                    <w:szCs w:val="18"/>
                  </w:rPr>
                  <w:t>6．其他</w:t>
                </w:r>
              </w:p>
            </w:sdtContent>
          </w:sdt>
        </w:tc>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597370">
            <w:pPr>
              <w:jc w:val="right"/>
              <w:rPr>
                <w:rFonts w:asciiTheme="minorEastAsia" w:eastAsiaTheme="minorEastAsia" w:hAnsiTheme="minorEastAsia"/>
                <w:sz w:val="18"/>
                <w:szCs w:val="18"/>
              </w:rPr>
            </w:pPr>
          </w:p>
        </w:tc>
      </w:tr>
      <w:tr w:rsidR="00597370">
        <w:trPr>
          <w:trHeight w:val="20"/>
        </w:trPr>
        <w:sdt>
          <w:sdtPr>
            <w:rPr>
              <w:color w:val="000000" w:themeColor="text1"/>
            </w:rPr>
            <w:tag w:val="_PLD_2a0b15de13474fe285b68b48e29b688f"/>
            <w:id w:val="473560132"/>
          </w:sdtPr>
          <w:sdtEndPr/>
          <w:sdtContent>
            <w:tc>
              <w:tcPr>
                <w:tcW w:w="2394" w:type="dxa"/>
                <w:vAlign w:val="center"/>
              </w:tcPr>
              <w:p w:rsidR="00597370" w:rsidRDefault="003C2EEE">
                <w:pPr>
                  <w:rPr>
                    <w:color w:val="000000" w:themeColor="text1"/>
                    <w:sz w:val="18"/>
                    <w:szCs w:val="18"/>
                  </w:rPr>
                </w:pPr>
                <w:r>
                  <w:rPr>
                    <w:rFonts w:hint="eastAsia"/>
                    <w:color w:val="000000" w:themeColor="text1"/>
                    <w:sz w:val="18"/>
                    <w:szCs w:val="18"/>
                  </w:rPr>
                  <w:t>（五）专项储备</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3,048,736.34</w:t>
            </w: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3,048,736.34</w:t>
            </w:r>
          </w:p>
        </w:tc>
      </w:tr>
      <w:tr w:rsidR="00597370">
        <w:trPr>
          <w:trHeight w:val="20"/>
        </w:trPr>
        <w:sdt>
          <w:sdtPr>
            <w:rPr>
              <w:color w:val="000000" w:themeColor="text1"/>
            </w:rPr>
            <w:tag w:val="_PLD_8be2fdb078fc42cdaebf61e81ed6d67b"/>
            <w:id w:val="951980057"/>
          </w:sdtPr>
          <w:sdtEndPr/>
          <w:sdtContent>
            <w:tc>
              <w:tcPr>
                <w:tcW w:w="2394" w:type="dxa"/>
                <w:vAlign w:val="center"/>
              </w:tcPr>
              <w:p w:rsidR="00597370" w:rsidRDefault="003C2EEE">
                <w:pPr>
                  <w:rPr>
                    <w:color w:val="000000" w:themeColor="text1"/>
                    <w:sz w:val="18"/>
                    <w:szCs w:val="18"/>
                  </w:rPr>
                </w:pPr>
                <w:r>
                  <w:rPr>
                    <w:rFonts w:hint="eastAsia"/>
                    <w:color w:val="000000" w:themeColor="text1"/>
                    <w:sz w:val="18"/>
                    <w:szCs w:val="18"/>
                  </w:rPr>
                  <w:t>1．本期提取</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5,299,066.80</w:t>
            </w: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5,299,066.80</w:t>
            </w:r>
          </w:p>
        </w:tc>
      </w:tr>
      <w:tr w:rsidR="00597370">
        <w:trPr>
          <w:trHeight w:val="20"/>
        </w:trPr>
        <w:sdt>
          <w:sdtPr>
            <w:rPr>
              <w:color w:val="000000" w:themeColor="text1"/>
            </w:rPr>
            <w:tag w:val="_PLD_12344832238e442d9f64388fa2af60f1"/>
            <w:id w:val="-749741735"/>
          </w:sdtPr>
          <w:sdtEndPr/>
          <w:sdtContent>
            <w:tc>
              <w:tcPr>
                <w:tcW w:w="2394" w:type="dxa"/>
                <w:vAlign w:val="center"/>
              </w:tcPr>
              <w:p w:rsidR="00597370" w:rsidRDefault="003C2EEE">
                <w:pPr>
                  <w:rPr>
                    <w:color w:val="000000" w:themeColor="text1"/>
                    <w:sz w:val="18"/>
                    <w:szCs w:val="18"/>
                  </w:rPr>
                </w:pPr>
                <w:r>
                  <w:rPr>
                    <w:rFonts w:hint="eastAsia"/>
                    <w:color w:val="000000" w:themeColor="text1"/>
                    <w:sz w:val="18"/>
                    <w:szCs w:val="18"/>
                  </w:rPr>
                  <w:t>2．本期使用</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-2,250,330.46</w:t>
            </w: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-2,250,330.46</w:t>
            </w:r>
          </w:p>
        </w:tc>
      </w:tr>
      <w:tr w:rsidR="00597370">
        <w:trPr>
          <w:trHeight w:val="20"/>
        </w:trPr>
        <w:sdt>
          <w:sdtPr>
            <w:rPr>
              <w:color w:val="000000" w:themeColor="text1"/>
            </w:rPr>
            <w:tag w:val="_PLD_adc6cb0ad3a14129b7edac5f396c8fd5"/>
            <w:id w:val="-1638792836"/>
          </w:sdtPr>
          <w:sdtEndPr/>
          <w:sdtContent>
            <w:tc>
              <w:tcPr>
                <w:tcW w:w="2394" w:type="dxa"/>
              </w:tcPr>
              <w:p w:rsidR="00597370" w:rsidRDefault="003C2EEE">
                <w:pPr>
                  <w:rPr>
                    <w:color w:val="000000" w:themeColor="text1"/>
                    <w:sz w:val="18"/>
                    <w:szCs w:val="18"/>
                  </w:rPr>
                </w:pPr>
                <w:r>
                  <w:rPr>
                    <w:rFonts w:hint="eastAsia"/>
                    <w:color w:val="000000" w:themeColor="text1"/>
                    <w:sz w:val="18"/>
                    <w:szCs w:val="18"/>
                  </w:rPr>
                  <w:t>（六）其他</w:t>
                </w:r>
              </w:p>
            </w:tc>
          </w:sdtContent>
        </w:sdt>
        <w:tc>
          <w:tcPr>
            <w:tcW w:w="1078" w:type="dxa"/>
            <w:tcBorders>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134" w:type="dxa"/>
            <w:vAlign w:val="bottom"/>
          </w:tcPr>
          <w:p w:rsidR="00597370" w:rsidRDefault="00597370">
            <w:pPr>
              <w:jc w:val="right"/>
              <w:rPr>
                <w:rFonts w:asciiTheme="minorEastAsia" w:eastAsiaTheme="minorEastAsia" w:hAnsiTheme="minorEastAsia"/>
                <w:sz w:val="18"/>
                <w:szCs w:val="18"/>
              </w:rPr>
            </w:pPr>
          </w:p>
        </w:tc>
        <w:tc>
          <w:tcPr>
            <w:tcW w:w="1275" w:type="dxa"/>
            <w:vAlign w:val="bottom"/>
          </w:tcPr>
          <w:p w:rsidR="00597370" w:rsidRDefault="00597370">
            <w:pPr>
              <w:jc w:val="right"/>
              <w:rPr>
                <w:rFonts w:asciiTheme="minorEastAsia" w:eastAsiaTheme="minorEastAsia" w:hAnsiTheme="minorEastAsia"/>
                <w:sz w:val="18"/>
                <w:szCs w:val="18"/>
              </w:rPr>
            </w:pP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w:t>
            </w:r>
          </w:p>
        </w:tc>
      </w:tr>
      <w:tr w:rsidR="00597370">
        <w:trPr>
          <w:trHeight w:val="20"/>
        </w:trPr>
        <w:sdt>
          <w:sdtPr>
            <w:rPr>
              <w:color w:val="000000" w:themeColor="text1"/>
            </w:rPr>
            <w:tag w:val="_PLD_0009c8b4e5ca4d7083f8b2619f6a4584"/>
            <w:id w:val="1088817098"/>
          </w:sdtPr>
          <w:sdtEndPr/>
          <w:sdtContent>
            <w:tc>
              <w:tcPr>
                <w:tcW w:w="2394" w:type="dxa"/>
              </w:tcPr>
              <w:p w:rsidR="00597370" w:rsidRDefault="003C2EEE">
                <w:pPr>
                  <w:rPr>
                    <w:color w:val="000000" w:themeColor="text1"/>
                    <w:sz w:val="18"/>
                    <w:szCs w:val="18"/>
                  </w:rPr>
                </w:pPr>
                <w:r>
                  <w:rPr>
                    <w:color w:val="000000" w:themeColor="text1"/>
                    <w:sz w:val="18"/>
                    <w:szCs w:val="18"/>
                  </w:rPr>
                  <w:t>四、本期期末余额</w:t>
                </w:r>
              </w:p>
            </w:tc>
          </w:sdtContent>
        </w:sdt>
        <w:tc>
          <w:tcPr>
            <w:tcW w:w="1078" w:type="dxa"/>
            <w:tcBorders>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333,167,407.00</w:t>
            </w:r>
          </w:p>
        </w:tc>
        <w:tc>
          <w:tcPr>
            <w:tcW w:w="523"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425" w:type="dxa"/>
            <w:tcBorders>
              <w:left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567" w:type="dxa"/>
            <w:tcBorders>
              <w:lef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984,845,013.70</w:t>
            </w:r>
          </w:p>
        </w:tc>
        <w:tc>
          <w:tcPr>
            <w:tcW w:w="1134"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597370">
            <w:pPr>
              <w:jc w:val="right"/>
              <w:rPr>
                <w:rFonts w:asciiTheme="minorEastAsia" w:eastAsiaTheme="minorEastAsia" w:hAnsiTheme="minorEastAsia"/>
                <w:sz w:val="18"/>
                <w:szCs w:val="18"/>
              </w:rPr>
            </w:pPr>
          </w:p>
        </w:tc>
        <w:tc>
          <w:tcPr>
            <w:tcW w:w="127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18,246,641.98</w:t>
            </w:r>
          </w:p>
        </w:tc>
        <w:tc>
          <w:tcPr>
            <w:tcW w:w="1134"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93,389,482.08</w:t>
            </w:r>
          </w:p>
        </w:tc>
        <w:tc>
          <w:tcPr>
            <w:tcW w:w="1275"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937,499,276.12</w:t>
            </w:r>
          </w:p>
        </w:tc>
        <w:tc>
          <w:tcPr>
            <w:tcW w:w="1546" w:type="dxa"/>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2,367,147,820.88</w:t>
            </w:r>
          </w:p>
        </w:tc>
      </w:tr>
    </w:tbl>
    <w:p w:rsidR="00597370" w:rsidRDefault="00597370">
      <w:pPr>
        <w:pStyle w:val="Style106"/>
      </w:pPr>
    </w:p>
    <w:p w:rsidR="00597370" w:rsidRDefault="00597370">
      <w:pPr>
        <w:rPr>
          <w:color w:val="000000" w:themeColor="text1"/>
        </w:rPr>
      </w:pPr>
    </w:p>
    <w:p w:rsidR="00597370" w:rsidRDefault="003C2EEE">
      <w:pPr>
        <w:snapToGrid w:val="0"/>
        <w:spacing w:line="240" w:lineRule="atLeast"/>
        <w:rPr>
          <w:b/>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6042a2c12168484781348969a4da3e4c"/>
          <w:id w:val="362175058"/>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 xml:space="preserve">                主管会计工作负责人</w:t>
      </w:r>
      <w:r>
        <w:rPr>
          <w:rFonts w:hint="eastAsia"/>
          <w:color w:val="000000" w:themeColor="text1"/>
        </w:rPr>
        <w:t>：</w:t>
      </w:r>
      <w:sdt>
        <w:sdtPr>
          <w:rPr>
            <w:rFonts w:hint="eastAsia"/>
            <w:color w:val="000000" w:themeColor="text1"/>
          </w:rPr>
          <w:alias w:val="主管会计工作负责人姓名"/>
          <w:tag w:val="_GBC_3008dab61aca43f0a6d82ef192943e79"/>
          <w:id w:val="1165364443"/>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 xml:space="preserve">                       会计机构负责人</w:t>
      </w:r>
      <w:r>
        <w:rPr>
          <w:rFonts w:hint="eastAsia"/>
          <w:color w:val="000000" w:themeColor="text1"/>
        </w:rPr>
        <w:t>：</w:t>
      </w:r>
      <w:sdt>
        <w:sdtPr>
          <w:rPr>
            <w:rFonts w:hint="eastAsia"/>
            <w:color w:val="000000" w:themeColor="text1"/>
          </w:rPr>
          <w:alias w:val="会计机构负责人姓名"/>
          <w:tag w:val="_GBC_e6c21b270080402ca8dbdc0cab514bde"/>
          <w:id w:val="-2085909488"/>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597370" w:rsidRDefault="00597370">
      <w:pPr>
        <w:rPr>
          <w:color w:val="000000" w:themeColor="text1"/>
        </w:rPr>
      </w:pPr>
    </w:p>
    <w:p w:rsidR="00597370" w:rsidRDefault="00597370">
      <w:pPr>
        <w:snapToGrid w:val="0"/>
        <w:spacing w:line="240" w:lineRule="atLeast"/>
        <w:rPr>
          <w:color w:val="000000" w:themeColor="text1"/>
        </w:rPr>
        <w:sectPr w:rsidR="00597370">
          <w:pgSz w:w="16838" w:h="11906" w:orient="landscape"/>
          <w:pgMar w:top="1797" w:right="1525" w:bottom="1276" w:left="1440" w:header="851" w:footer="992" w:gutter="0"/>
          <w:cols w:space="425"/>
          <w:docGrid w:linePitch="312"/>
        </w:sectPr>
      </w:pPr>
      <w:bookmarkStart w:id="120" w:name="_Hlk10212138"/>
      <w:bookmarkEnd w:id="119"/>
      <w:bookmarkEnd w:id="120"/>
    </w:p>
    <w:p w:rsidR="00597370" w:rsidRDefault="003C2EEE">
      <w:pPr>
        <w:pStyle w:val="Style108"/>
        <w:numPr>
          <w:ilvl w:val="0"/>
          <w:numId w:val="36"/>
        </w:numPr>
        <w:ind w:left="422" w:hanging="422"/>
        <w:rPr>
          <w:rFonts w:ascii="宋体" w:hAnsi="宋体"/>
          <w:color w:val="000000" w:themeColor="text1"/>
        </w:rPr>
      </w:pPr>
      <w:bookmarkStart w:id="121" w:name="_Hlk168646044"/>
      <w:bookmarkStart w:id="122" w:name="_Hlk168993498"/>
      <w:r>
        <w:rPr>
          <w:rFonts w:ascii="宋体" w:hAnsi="宋体" w:hint="eastAsia"/>
          <w:color w:val="000000" w:themeColor="text1"/>
        </w:rPr>
        <w:lastRenderedPageBreak/>
        <w:t>公司基本情况</w:t>
      </w:r>
    </w:p>
    <w:p w:rsidR="00597370" w:rsidRDefault="003C2EEE">
      <w:pPr>
        <w:pStyle w:val="Style109"/>
        <w:numPr>
          <w:ilvl w:val="0"/>
          <w:numId w:val="37"/>
        </w:numPr>
        <w:ind w:left="425" w:hanging="425"/>
        <w:rPr>
          <w:color w:val="000000" w:themeColor="text1"/>
        </w:rPr>
      </w:pPr>
      <w:r>
        <w:rPr>
          <w:rFonts w:hint="eastAsia"/>
          <w:color w:val="000000" w:themeColor="text1"/>
        </w:rPr>
        <w:t>公司概况</w:t>
      </w:r>
    </w:p>
    <w:sdt>
      <w:sdtPr>
        <w:rPr>
          <w:rFonts w:hint="eastAsia"/>
          <w:color w:val="000000" w:themeColor="text1"/>
        </w:rPr>
        <w:alias w:val="是否适用：公司概况[双击切换]"/>
        <w:tag w:val="_GBC_0cae3ba4a5394806810c0303cd783dd4"/>
        <w:id w:val="-137731414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√适用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公司概况"/>
        <w:tag w:val="_GBC_ae08459ad5fd43f3a92abaa61cf00bfd"/>
        <w:id w:val="-2040354085"/>
        <w:placeholder>
          <w:docPart w:val="GBC22222222222222222222222222222"/>
        </w:placeholder>
      </w:sdtPr>
      <w:sdtEndPr/>
      <w:sdtContent>
        <w:p w:rsidR="00597370" w:rsidRDefault="003C2EEE">
          <w:pPr>
            <w:pStyle w:val="Style175"/>
            <w:ind w:firstLine="420"/>
          </w:pPr>
          <w:r>
            <w:t>(</w:t>
          </w:r>
          <w:r>
            <w:rPr>
              <w:rFonts w:hint="eastAsia"/>
            </w:rPr>
            <w:t>1</w:t>
          </w:r>
          <w:r>
            <w:t>)公司注册地、组织形式和总部地址</w:t>
          </w:r>
        </w:p>
        <w:p w:rsidR="00597370" w:rsidRDefault="003C2EEE">
          <w:pPr>
            <w:pStyle w:val="Style175"/>
            <w:ind w:firstLine="420"/>
          </w:pPr>
          <w:proofErr w:type="gramStart"/>
          <w:r>
            <w:rPr>
              <w:rFonts w:hint="eastAsia"/>
            </w:rPr>
            <w:t>重庆望变电气</w:t>
          </w:r>
          <w:proofErr w:type="gramEnd"/>
          <w:r>
            <w:rPr>
              <w:rFonts w:hint="eastAsia"/>
            </w:rPr>
            <w:t>（集团）股份有限公司（以下简称“公司”或“本公司”）前身系长寿金凤电器制造厂，于</w:t>
          </w:r>
          <w:r>
            <w:t>1994年8月，由长寿少数民族联谊会及秦惠兰、杨泽民等9名自然人合计出资20.00万元，经长寿县人民政府民族宗教侨务办公室出具长</w:t>
          </w:r>
          <w:proofErr w:type="gramStart"/>
          <w:r>
            <w:t>民宗侨【1994】</w:t>
          </w:r>
          <w:proofErr w:type="gramEnd"/>
          <w:r>
            <w:t>12号《长寿县民宗侨办公室关于同意开办“长寿金凤电器制造厂”的批复》，同意长寿金凤电器制造厂开办设立。</w:t>
          </w:r>
        </w:p>
        <w:p w:rsidR="00597370" w:rsidRDefault="003C2EEE">
          <w:pPr>
            <w:pStyle w:val="Style175"/>
            <w:ind w:firstLine="420"/>
          </w:pPr>
          <w:r>
            <w:t>1995年11月29日，长寿县工商行政管理局出具《企业名称预先核准书》（企业设立）</w:t>
          </w:r>
          <w:proofErr w:type="gramStart"/>
          <w:r>
            <w:t>名称预核【95】</w:t>
          </w:r>
          <w:proofErr w:type="gramEnd"/>
          <w:r>
            <w:t>第596号，同意预先核准重庆望江变压器厂名称。1995年12月13日，长寿县工商行政管理局核准了上述名称变更申请，并颁发了变更后营业执照。</w:t>
          </w:r>
        </w:p>
        <w:p w:rsidR="00597370" w:rsidRDefault="003C2EEE">
          <w:pPr>
            <w:pStyle w:val="Style175"/>
            <w:ind w:firstLine="420"/>
          </w:pPr>
          <w:r>
            <w:t>2009年12月3日，重庆市工商行政管理局出具《企业（字号）名称预先核准通知书》（渝名称预核准字（2009）</w:t>
          </w:r>
          <w:proofErr w:type="gramStart"/>
          <w:r>
            <w:t>渝直第100641号</w:t>
          </w:r>
          <w:proofErr w:type="gramEnd"/>
          <w:r>
            <w:t>），同意预先核准重庆望江变压器厂有限公司（以下简称“望变有限”）。2009年12月18日，重庆市工商行政管理局长寿区分局核准了上述名称变更申请，并颁发了变更后营业执照</w:t>
          </w:r>
        </w:p>
        <w:p w:rsidR="00597370" w:rsidRDefault="003C2EEE">
          <w:pPr>
            <w:pStyle w:val="Style175"/>
            <w:ind w:firstLine="420"/>
          </w:pPr>
          <w:r>
            <w:t>2014年11月30日，</w:t>
          </w:r>
          <w:proofErr w:type="gramStart"/>
          <w:r>
            <w:t>望变有限</w:t>
          </w:r>
          <w:proofErr w:type="gramEnd"/>
          <w:r>
            <w:t>召开股东会，同意了整体变更设立为股份有限公司的决议。</w:t>
          </w:r>
          <w:proofErr w:type="gramStart"/>
          <w:r>
            <w:t>望变有限</w:t>
          </w:r>
          <w:proofErr w:type="gramEnd"/>
          <w:r>
            <w:t>整体变更为</w:t>
          </w:r>
          <w:proofErr w:type="gramStart"/>
          <w:r>
            <w:t>重庆望变电气</w:t>
          </w:r>
          <w:proofErr w:type="gramEnd"/>
          <w:r>
            <w:t>（集团）股份有限公司，注册资本为人民币18,000万元人民币，各发起人以其拥有的截至2014年9月30日止的净资产共225,503,531.15元折股投入，共折合股本为18,000万股，每股面值1元，变更前后各股东出资比例不变。本公司于2014年12月18日办理了工商登记手续，并领取了变更后企业法人营业执照。</w:t>
          </w:r>
        </w:p>
        <w:p w:rsidR="00597370" w:rsidRDefault="003C2EEE">
          <w:pPr>
            <w:pStyle w:val="Style175"/>
            <w:ind w:firstLine="420"/>
          </w:pPr>
          <w:r>
            <w:t>2022年3月，经中国证券监督管理委员会《关于核准重庆望变电气（集团）股份有限公司首次公开发行股票的批复》（证监许可[2022]490号）核准，并经上海证券交易所同意，公司向社会公众公开发行人民币普通股（A股）83,291,852股，2022年4月28日，公司股票在上海证券交易所上市交易；截止2023年12月31日，本公司股本为33,316.7407万元，统一社会信用代码：91500115203395479N，注册地址：重庆市长寿区晏家街道齐心东路10号，法定代表人：杨泽民，实际控制人为杨泽民、秦惠兰、杨耀</w:t>
          </w:r>
          <w:r>
            <w:rPr>
              <w:rFonts w:hint="eastAsia"/>
            </w:rPr>
            <w:t>、杨秦。</w:t>
          </w:r>
        </w:p>
        <w:p w:rsidR="00597370" w:rsidRDefault="003C2EEE">
          <w:pPr>
            <w:pStyle w:val="Style175"/>
            <w:ind w:firstLine="420"/>
          </w:pPr>
          <w:r>
            <w:t>(</w:t>
          </w:r>
          <w:r>
            <w:rPr>
              <w:rFonts w:hint="eastAsia"/>
            </w:rPr>
            <w:t>2</w:t>
          </w:r>
          <w:r>
            <w:t>)公司业务性质和主要经营活动</w:t>
          </w:r>
        </w:p>
        <w:p w:rsidR="00597370" w:rsidRDefault="003C2EEE">
          <w:pPr>
            <w:pStyle w:val="Style175"/>
            <w:ind w:firstLine="420"/>
          </w:pPr>
          <w:r>
            <w:rPr>
              <w:rFonts w:hint="eastAsia"/>
            </w:rPr>
            <w:t>经营范围：</w:t>
          </w:r>
          <w:r>
            <w:t xml:space="preserve"> 普通货运，货物专用运输(罐式)，水力发电，劳务派遣服务(依法须经批准的项目，经相关部门批准后方可开展经营活动，具体经营项目以相关部门批准文件或许可证件为准)</w:t>
          </w:r>
        </w:p>
        <w:p w:rsidR="00597370" w:rsidRDefault="003C2EEE">
          <w:pPr>
            <w:pStyle w:val="Style175"/>
            <w:ind w:firstLine="420"/>
          </w:pPr>
          <w:r>
            <w:rPr>
              <w:rFonts w:hint="eastAsia"/>
            </w:rPr>
            <w:t>一般项目</w:t>
          </w:r>
          <w:r>
            <w:t>:变压器、电抗器、互感器、电线电缆及其他电气机械器材的制造、销售、检修安装，新材料的研发;电工钢、非</w:t>
          </w:r>
          <w:proofErr w:type="gramStart"/>
          <w:r>
            <w:t>晶材料</w:t>
          </w:r>
          <w:proofErr w:type="gramEnd"/>
          <w:r>
            <w:t>生产、销售，输配电及控制设备制造、安装、修试，高低压开关柜设备制造;机械加工，水利电力工程安装及相关技术、产品的开发与销售，技术咨询，智能电网系统解决方案，输变电设备的出口业务和原辅材料、电工钢、非晶材料、机械设备、仪器、仪表及零配件进出口业务;利用自有资金从事投资业务(不得从事吸收公众存款或变相吸收公</w:t>
          </w:r>
          <w:r>
            <w:lastRenderedPageBreak/>
            <w:t>众存款、发放贷款以及证券、期货等金融业务)，储能技术服务先进电力电子装置销售，新兴能源技术研发</w:t>
          </w:r>
          <w:r>
            <w:rPr>
              <w:rFonts w:hint="eastAsia"/>
            </w:rPr>
            <w:t>，光伏发电设备租赁，光</w:t>
          </w:r>
          <w:proofErr w:type="gramStart"/>
          <w:r>
            <w:rPr>
              <w:rFonts w:hint="eastAsia"/>
            </w:rPr>
            <w:t>伏设备</w:t>
          </w:r>
          <w:proofErr w:type="gramEnd"/>
          <w:r>
            <w:rPr>
              <w:rFonts w:hint="eastAsia"/>
            </w:rPr>
            <w:t>及元器件制造，光</w:t>
          </w:r>
          <w:proofErr w:type="gramStart"/>
          <w:r>
            <w:rPr>
              <w:rFonts w:hint="eastAsia"/>
            </w:rPr>
            <w:t>伏设备</w:t>
          </w:r>
          <w:proofErr w:type="gramEnd"/>
          <w:r>
            <w:rPr>
              <w:rFonts w:hint="eastAsia"/>
            </w:rPr>
            <w:t>及元器件销售，配电开关控制设备制造，配电开关控制设备销售，配电开关控制设备研发，电子专用材料销售，电子专用材料研发，电子专用材料制造，有色金属合金销售有色金属铸造，有色金属合金制造，电子元器件与机电组件设备制造，电子元器件与机电组件设备销售，电力电子元器件制造，电力电子元器件销售，软件开发，网络与信息安全软件开发，人工智能行业应用系统集成服务，物联网设备制造，物联网设备销售，物联网应用服务，物联网技术服务，智能物料搬运装备销售，智能仓储装备销售，工业自动控制系统装置制造，工业自动控制系统装置销售，技术服务、技术开发、技术咨询、技术交流、技术转让、技术推广，租赁服务</w:t>
          </w:r>
          <w:r>
            <w:t>(不含许可类租赁服务)，货物进出口，技术进出口( 除依法须经批准的项目外，凭营业执照依</w:t>
          </w:r>
          <w:r>
            <w:rPr>
              <w:rFonts w:hint="eastAsia"/>
            </w:rPr>
            <w:t>法经营</w:t>
          </w:r>
          <w:r>
            <w:t>）。</w:t>
          </w:r>
        </w:p>
        <w:p w:rsidR="00597370" w:rsidRDefault="003C2EEE">
          <w:pPr>
            <w:pStyle w:val="Style175"/>
            <w:ind w:firstLine="420"/>
          </w:pPr>
          <w:r>
            <w:rPr>
              <w:rFonts w:hint="eastAsia"/>
            </w:rPr>
            <w:t>本公司主要产品和服务为取向硅钢和输配电及控制设备。</w:t>
          </w:r>
        </w:p>
      </w:sdtContent>
    </w:sdt>
    <w:bookmarkEnd w:id="121"/>
    <w:bookmarkEnd w:id="122"/>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财务报表的编制基础</w:t>
      </w:r>
    </w:p>
    <w:p w:rsidR="00597370" w:rsidRDefault="003C2EEE">
      <w:pPr>
        <w:pStyle w:val="Style109"/>
        <w:numPr>
          <w:ilvl w:val="0"/>
          <w:numId w:val="38"/>
        </w:numPr>
        <w:rPr>
          <w:rFonts w:ascii="宋体" w:hAnsi="宋体"/>
          <w:color w:val="000000" w:themeColor="text1"/>
        </w:rPr>
      </w:pPr>
      <w:r>
        <w:rPr>
          <w:rFonts w:ascii="宋体" w:hAnsi="宋体"/>
          <w:color w:val="000000" w:themeColor="text1"/>
        </w:rPr>
        <w:t>编制基础</w:t>
      </w:r>
    </w:p>
    <w:sdt>
      <w:sdtPr>
        <w:rPr>
          <w:rFonts w:hint="eastAsia"/>
          <w:color w:val="000000" w:themeColor="text1"/>
        </w:rPr>
        <w:alias w:val="财务报表的编制基础"/>
        <w:tag w:val="_GBC_1dc2375ed7ab49628f5badf2d5006405"/>
        <w:id w:val="132532728"/>
        <w:placeholder>
          <w:docPart w:val="GBC22222222222222222222222222222"/>
        </w:placeholder>
      </w:sdtPr>
      <w:sdtEndPr/>
      <w:sdtContent>
        <w:p w:rsidR="00597370" w:rsidRDefault="003C2EEE">
          <w:pPr>
            <w:ind w:firstLineChars="200" w:firstLine="420"/>
            <w:rPr>
              <w:color w:val="000000" w:themeColor="text1"/>
            </w:rPr>
          </w:pPr>
          <w:r>
            <w:rPr>
              <w:rFonts w:hint="eastAsia"/>
              <w:color w:val="000000" w:themeColor="text1"/>
            </w:rPr>
            <w:t>本公司根据实际发生的交易和事项，按照财政部颁布的《企业会计准则——基本准则》和具体企业会计准则、企业会计准则应用指南、企业会计准则解释及其他相关规定（以下合称“企业会计准则”）进行确认和计量，在此基础上，结合中国证券监督管理委员会《公开发行证券的公司信息披露编报规则第</w:t>
          </w:r>
          <w:r>
            <w:rPr>
              <w:color w:val="000000" w:themeColor="text1"/>
            </w:rPr>
            <w:t>15号——财务报告的一般规定》（2023年修订）的规定，编制财务报表。</w:t>
          </w:r>
        </w:p>
      </w:sdtContent>
    </w:sdt>
    <w:p w:rsidR="00597370" w:rsidRDefault="003C2EEE">
      <w:pPr>
        <w:pStyle w:val="Style109"/>
        <w:numPr>
          <w:ilvl w:val="0"/>
          <w:numId w:val="38"/>
        </w:numPr>
        <w:rPr>
          <w:rFonts w:ascii="宋体" w:hAnsi="宋体"/>
          <w:color w:val="000000" w:themeColor="text1"/>
        </w:rPr>
      </w:pPr>
      <w:r>
        <w:rPr>
          <w:rFonts w:ascii="宋体" w:hAnsi="宋体"/>
          <w:color w:val="000000" w:themeColor="text1"/>
        </w:rPr>
        <w:t>持续经营</w:t>
      </w:r>
    </w:p>
    <w:sdt>
      <w:sdtPr>
        <w:rPr>
          <w:color w:val="000000" w:themeColor="text1"/>
        </w:rPr>
        <w:alias w:val="是否适用：持续经营[双击切换]"/>
        <w:tag w:val="_GBC_7a7bd82392314f508ef1adfe80947192"/>
        <w:id w:val="-18367294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持续经营"/>
        <w:tag w:val="_GBC_dc876c24006b428987a041949eb554f3"/>
        <w:id w:val="-1874462708"/>
        <w:placeholder>
          <w:docPart w:val="GBC22222222222222222222222222222"/>
        </w:placeholder>
      </w:sdtPr>
      <w:sdtEndPr>
        <w:rPr>
          <w:rStyle w:val="Style176"/>
        </w:rPr>
      </w:sdtEndPr>
      <w:sdtContent>
        <w:p w:rsidR="00597370" w:rsidRDefault="003C2EEE">
          <w:pPr>
            <w:ind w:firstLineChars="200" w:firstLine="420"/>
            <w:rPr>
              <w:color w:val="000000" w:themeColor="text1"/>
            </w:rPr>
          </w:pPr>
          <w:r>
            <w:rPr>
              <w:rStyle w:val="Style176"/>
              <w:rFonts w:hint="eastAsia"/>
            </w:rPr>
            <w:t>本公司对自</w:t>
          </w:r>
          <w:r>
            <w:rPr>
              <w:rStyle w:val="Style176"/>
            </w:rPr>
            <w:t xml:space="preserve"> 2024年6月30日起 12个月的持续经营能力进行了评价，未发现对持续经营能力产生重大怀疑的事项和情况。本财务报表以持续经营为基础列报。</w:t>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重要会计政策及会计估计</w:t>
      </w:r>
    </w:p>
    <w:p w:rsidR="00597370" w:rsidRDefault="003C2EEE">
      <w:pPr>
        <w:rPr>
          <w:color w:val="000000" w:themeColor="text1"/>
        </w:rPr>
      </w:pPr>
      <w:r>
        <w:rPr>
          <w:rFonts w:hint="eastAsia"/>
          <w:color w:val="000000" w:themeColor="text1"/>
        </w:rPr>
        <w:t>具体会计政策和会计估计提示：</w:t>
      </w:r>
    </w:p>
    <w:sdt>
      <w:sdtPr>
        <w:rPr>
          <w:color w:val="000000" w:themeColor="text1"/>
        </w:rPr>
        <w:alias w:val="是否适用：具体会计政策和会计估计提示[双击切换]"/>
        <w:tag w:val="_GBC_77c62823e3884e1fbfb236cea1f9f425"/>
        <w:id w:val="147780379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具体会计政策和会计估计提示"/>
        <w:tag w:val="_GBC_caddaeaf0d1a454ab0bede37f0db7782"/>
        <w:id w:val="-1606341573"/>
        <w:placeholder>
          <w:docPart w:val="GBC22222222222222222222222222222"/>
        </w:placeholder>
      </w:sdtPr>
      <w:sdtEndPr>
        <w:rPr>
          <w:rStyle w:val="Style176"/>
        </w:rPr>
      </w:sdtEndPr>
      <w:sdtContent>
        <w:p w:rsidR="00597370" w:rsidRDefault="003C2EEE">
          <w:pPr>
            <w:ind w:firstLineChars="200" w:firstLine="420"/>
            <w:rPr>
              <w:color w:val="000000" w:themeColor="text1"/>
            </w:rPr>
          </w:pPr>
          <w:r>
            <w:rPr>
              <w:rStyle w:val="Style176"/>
              <w:rFonts w:hint="eastAsia"/>
            </w:rPr>
            <w:t>本公司根据生产经营特点确定具体会计政策和会计估计，主要体现在应收款项预期信用损失计提的方法（第十节</w:t>
          </w:r>
          <w:r>
            <w:rPr>
              <w:rStyle w:val="Style176"/>
            </w:rPr>
            <w:t>.五.13）、收入的确认时点（第十节.五.34）等，具体如下内容所述。</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遵循企业会计准则的声明</w:t>
      </w:r>
    </w:p>
    <w:sdt>
      <w:sdtPr>
        <w:rPr>
          <w:rFonts w:hint="eastAsia"/>
          <w:color w:val="000000" w:themeColor="text1"/>
        </w:rPr>
        <w:alias w:val="会计准则和会计制度"/>
        <w:tag w:val="_GBC_a350b889163a4ef3bb500c021e6a6b47"/>
        <w:id w:val="295114695"/>
        <w:placeholder>
          <w:docPart w:val="GBC22222222222222222222222222222"/>
        </w:placeholder>
      </w:sdtPr>
      <w:sdtEndPr>
        <w:rPr>
          <w:rStyle w:val="Style176"/>
        </w:rPr>
      </w:sdtEndPr>
      <w:sdtContent>
        <w:p w:rsidR="00597370" w:rsidRDefault="003C2EEE">
          <w:pPr>
            <w:rPr>
              <w:color w:val="000000" w:themeColor="text1"/>
            </w:rPr>
          </w:pPr>
          <w:r>
            <w:rPr>
              <w:rStyle w:val="Style176"/>
            </w:rPr>
            <w:t>本公司所编制的财务报表符合企业会计准则的要求，真实、完整地反映了公司的财务状况、经营成果、股东权益变动和现金流量等有关信息。</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会计期间</w:t>
      </w:r>
    </w:p>
    <w:sdt>
      <w:sdtPr>
        <w:rPr>
          <w:rFonts w:hint="eastAsia"/>
          <w:color w:val="000000" w:themeColor="text1"/>
        </w:rPr>
        <w:alias w:val="会计年度"/>
        <w:tag w:val="_GBC_fc896fba50b143f8a06984831f5d5600"/>
        <w:id w:val="2041858991"/>
        <w:placeholder>
          <w:docPart w:val="GBC22222222222222222222222222222"/>
        </w:placeholder>
      </w:sdtPr>
      <w:sdtEndPr/>
      <w:sdtContent>
        <w:p w:rsidR="00597370" w:rsidRDefault="003C2EEE">
          <w:pPr>
            <w:rPr>
              <w:color w:val="000000" w:themeColor="text1"/>
            </w:rPr>
          </w:pPr>
          <w:r>
            <w:rPr>
              <w:color w:val="000000" w:themeColor="text1"/>
            </w:rPr>
            <w:t>本公司会计年度自公历1月1日起至12月31日止。</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营业周期</w:t>
      </w:r>
    </w:p>
    <w:sdt>
      <w:sdtPr>
        <w:rPr>
          <w:color w:val="000000" w:themeColor="text1"/>
        </w:rPr>
        <w:alias w:val="是否适用：营业周期[双击切换]"/>
        <w:tag w:val="_GBC_1668f7f497234cf886206b57711c4c87"/>
        <w:id w:val="-68667057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营业周期"/>
        <w:tag w:val="_GBC_e145e43187d9463889884f48e9e0b234"/>
        <w:id w:val="1180394688"/>
        <w:placeholder>
          <w:docPart w:val="GBC22222222222222222222222222222"/>
        </w:placeholder>
      </w:sdtPr>
      <w:sdtEndPr>
        <w:rPr>
          <w:rStyle w:val="Style176"/>
        </w:rPr>
      </w:sdtEndPr>
      <w:sdtContent>
        <w:p w:rsidR="00597370" w:rsidRDefault="003C2EEE">
          <w:pPr>
            <w:rPr>
              <w:color w:val="000000" w:themeColor="text1"/>
            </w:rPr>
          </w:pPr>
          <w:r>
            <w:rPr>
              <w:rStyle w:val="Style176"/>
              <w:rFonts w:hint="eastAsia"/>
            </w:rPr>
            <w:t>营业周期是指企业从购买用于加工的资产起</w:t>
          </w:r>
          <w:proofErr w:type="gramStart"/>
          <w:r>
            <w:rPr>
              <w:rStyle w:val="Style176"/>
              <w:rFonts w:hint="eastAsia"/>
            </w:rPr>
            <w:t>至实现</w:t>
          </w:r>
          <w:proofErr w:type="gramEnd"/>
          <w:r>
            <w:rPr>
              <w:rStyle w:val="Style176"/>
              <w:rFonts w:hint="eastAsia"/>
            </w:rPr>
            <w:t>现金或现金等价物的期间。本公司以</w:t>
          </w:r>
          <w:r>
            <w:rPr>
              <w:rStyle w:val="Style176"/>
            </w:rPr>
            <w:t>12个月作为一个营业周期，并以其作为资产和负债的流动性划分标准。</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记账本位币</w:t>
      </w:r>
    </w:p>
    <w:sdt>
      <w:sdtPr>
        <w:rPr>
          <w:rFonts w:hint="eastAsia"/>
          <w:color w:val="000000" w:themeColor="text1"/>
        </w:rPr>
        <w:alias w:val="记账本位币"/>
        <w:tag w:val="_GBC_3749a2357eba44e8b968cb41cda75ff1"/>
        <w:id w:val="2039621219"/>
        <w:placeholder>
          <w:docPart w:val="GBC22222222222222222222222222222"/>
        </w:placeholder>
      </w:sdtPr>
      <w:sdtEndPr/>
      <w:sdtContent>
        <w:p w:rsidR="00597370" w:rsidRDefault="003C2EEE">
          <w:pPr>
            <w:rPr>
              <w:color w:val="000000" w:themeColor="text1"/>
            </w:rPr>
          </w:pPr>
          <w:r>
            <w:rPr>
              <w:color w:val="000000" w:themeColor="text1"/>
            </w:rPr>
            <w:t>本公司的记账本位币为人民币。</w:t>
          </w:r>
        </w:p>
      </w:sdtContent>
    </w:sdt>
    <w:p w:rsidR="00597370" w:rsidRDefault="003C2EEE">
      <w:pPr>
        <w:pStyle w:val="Style109"/>
        <w:numPr>
          <w:ilvl w:val="0"/>
          <w:numId w:val="39"/>
        </w:numPr>
        <w:rPr>
          <w:rFonts w:ascii="宋体" w:hAnsi="宋体"/>
          <w:color w:val="000000" w:themeColor="text1"/>
        </w:rPr>
      </w:pPr>
      <w:bookmarkStart w:id="123" w:name="_Hlk167809539"/>
      <w:bookmarkStart w:id="124" w:name="_Hlk169007161"/>
      <w:r>
        <w:rPr>
          <w:rFonts w:ascii="宋体" w:hAnsi="宋体"/>
          <w:color w:val="000000" w:themeColor="text1"/>
        </w:rPr>
        <w:t>重要性标准确定方法和选择依据</w:t>
      </w:r>
    </w:p>
    <w:sdt>
      <w:sdtPr>
        <w:rPr>
          <w:color w:val="000000" w:themeColor="text1"/>
        </w:rPr>
        <w:alias w:val="是否适用：重要性标准确定方法和选择依据[双击切换]"/>
        <w:tag w:val="_GBC_1f44a82433fd445aac6090cd207979fd"/>
        <w:id w:val="-36945334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3"/>
        <w:tblW w:w="5000" w:type="pct"/>
        <w:jc w:val="center"/>
        <w:tblLayout w:type="fixed"/>
        <w:tblCellMar>
          <w:left w:w="0" w:type="dxa"/>
          <w:right w:w="28" w:type="dxa"/>
        </w:tblCellMar>
        <w:tblLook w:val="04A0" w:firstRow="1" w:lastRow="0" w:firstColumn="1" w:lastColumn="0" w:noHBand="0" w:noVBand="1"/>
      </w:tblPr>
      <w:tblGrid>
        <w:gridCol w:w="4411"/>
        <w:gridCol w:w="4412"/>
      </w:tblGrid>
      <w:tr w:rsidR="00597370">
        <w:trPr>
          <w:trHeight w:val="397"/>
          <w:jc w:val="center"/>
        </w:trPr>
        <w:sdt>
          <w:sdtPr>
            <w:rPr>
              <w:rFonts w:ascii="Times New Roman" w:hAnsi="Times New Roman" w:hint="eastAsia"/>
              <w:color w:val="000000" w:themeColor="text1"/>
            </w:rPr>
            <w:tag w:val="_PLD_8d2a16b36b194561ae6c2ac9de9d21f1"/>
            <w:id w:val="-350182229"/>
          </w:sdtPr>
          <w:sdtEndPr/>
          <w:sdtContent>
            <w:tc>
              <w:tcPr>
                <w:tcW w:w="4432"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项目</w:t>
                </w:r>
              </w:p>
            </w:tc>
          </w:sdtContent>
        </w:sdt>
        <w:sdt>
          <w:sdtPr>
            <w:rPr>
              <w:rFonts w:ascii="Times New Roman" w:hAnsi="Times New Roman"/>
              <w:color w:val="000000" w:themeColor="text1"/>
            </w:rPr>
            <w:tag w:val="_PLD_eb4e754207e74cc59df0dce32451d27d"/>
            <w:id w:val="-1585758537"/>
          </w:sdtPr>
          <w:sdtEndPr/>
          <w:sdtContent>
            <w:tc>
              <w:tcPr>
                <w:tcW w:w="4434"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重要性标准</w:t>
                </w:r>
              </w:p>
            </w:tc>
          </w:sdtContent>
        </w:sdt>
      </w:tr>
      <w:tr w:rsidR="00597370">
        <w:trPr>
          <w:trHeight w:val="397"/>
          <w:jc w:val="center"/>
        </w:trPr>
        <w:tc>
          <w:tcPr>
            <w:tcW w:w="4432" w:type="dxa"/>
            <w:vAlign w:val="center"/>
          </w:tcPr>
          <w:p w:rsidR="00597370" w:rsidRDefault="003C2EEE">
            <w:pPr>
              <w:pStyle w:val="Style106"/>
              <w:rPr>
                <w:rFonts w:ascii="Times New Roman" w:hAnsi="Times New Roman"/>
              </w:rPr>
            </w:pPr>
            <w:r>
              <w:rPr>
                <w:rFonts w:ascii="Times New Roman" w:hAnsi="Times New Roman" w:hint="eastAsia"/>
              </w:rPr>
              <w:lastRenderedPageBreak/>
              <w:t>重要的单项计提坏账准备的应收款项</w:t>
            </w:r>
          </w:p>
        </w:tc>
        <w:tc>
          <w:tcPr>
            <w:tcW w:w="4434" w:type="dxa"/>
            <w:vAlign w:val="center"/>
          </w:tcPr>
          <w:p w:rsidR="00597370" w:rsidRDefault="003C2EEE">
            <w:pPr>
              <w:pStyle w:val="Style106"/>
              <w:rPr>
                <w:rFonts w:ascii="Times New Roman" w:hAnsi="Times New Roman"/>
              </w:rPr>
            </w:pPr>
            <w:r>
              <w:rPr>
                <w:rFonts w:ascii="Times New Roman" w:hAnsi="Times New Roman" w:hint="eastAsia"/>
              </w:rPr>
              <w:t>单项计提金额占各类应收款项坏账准备总额的</w:t>
            </w:r>
            <w:r>
              <w:rPr>
                <w:rFonts w:ascii="Times New Roman" w:hAnsi="Times New Roman"/>
              </w:rPr>
              <w:t>10%</w:t>
            </w:r>
            <w:r>
              <w:rPr>
                <w:rFonts w:ascii="Times New Roman" w:hAnsi="Times New Roman"/>
              </w:rPr>
              <w:t>以上且金额大于</w:t>
            </w:r>
            <w:r>
              <w:rPr>
                <w:rFonts w:ascii="Times New Roman" w:hAnsi="Times New Roman" w:cs="Calibri"/>
              </w:rPr>
              <w:t>100</w:t>
            </w:r>
            <w:r>
              <w:rPr>
                <w:rFonts w:ascii="Times New Roman" w:hAnsi="Times New Roman"/>
              </w:rPr>
              <w:t>万元</w:t>
            </w:r>
          </w:p>
        </w:tc>
      </w:tr>
      <w:tr w:rsidR="00597370">
        <w:trPr>
          <w:trHeight w:val="397"/>
          <w:jc w:val="center"/>
        </w:trPr>
        <w:tc>
          <w:tcPr>
            <w:tcW w:w="4432" w:type="dxa"/>
            <w:vAlign w:val="center"/>
          </w:tcPr>
          <w:p w:rsidR="00597370" w:rsidRDefault="003C2EEE">
            <w:pPr>
              <w:pStyle w:val="Style106"/>
              <w:rPr>
                <w:rFonts w:ascii="Times New Roman" w:hAnsi="Times New Roman"/>
              </w:rPr>
            </w:pPr>
            <w:r>
              <w:rPr>
                <w:rFonts w:ascii="Times New Roman" w:hAnsi="Times New Roman" w:hint="eastAsia"/>
              </w:rPr>
              <w:t>重要的预付款项</w:t>
            </w:r>
          </w:p>
        </w:tc>
        <w:tc>
          <w:tcPr>
            <w:tcW w:w="4434" w:type="dxa"/>
            <w:vAlign w:val="center"/>
          </w:tcPr>
          <w:p w:rsidR="00597370" w:rsidRDefault="003C2EEE">
            <w:pPr>
              <w:pStyle w:val="Style106"/>
              <w:rPr>
                <w:rFonts w:ascii="Times New Roman" w:hAnsi="Times New Roman"/>
              </w:rPr>
            </w:pPr>
            <w:r>
              <w:rPr>
                <w:rFonts w:ascii="Times New Roman" w:hAnsi="Times New Roman" w:hint="eastAsia"/>
              </w:rPr>
              <w:t>期末余额账龄</w:t>
            </w:r>
            <w:r>
              <w:rPr>
                <w:rFonts w:ascii="Times New Roman" w:hAnsi="Times New Roman"/>
              </w:rPr>
              <w:t>1</w:t>
            </w:r>
            <w:r>
              <w:rPr>
                <w:rFonts w:ascii="Times New Roman" w:hAnsi="Times New Roman"/>
              </w:rPr>
              <w:t>年以上且金额大于</w:t>
            </w:r>
            <w:r>
              <w:rPr>
                <w:rFonts w:ascii="Times New Roman" w:hAnsi="Times New Roman" w:cs="Calibri"/>
              </w:rPr>
              <w:t>500</w:t>
            </w:r>
            <w:r>
              <w:rPr>
                <w:rFonts w:ascii="Times New Roman" w:hAnsi="Times New Roman"/>
              </w:rPr>
              <w:t>万元</w:t>
            </w:r>
          </w:p>
        </w:tc>
      </w:tr>
      <w:tr w:rsidR="00597370">
        <w:trPr>
          <w:trHeight w:val="397"/>
          <w:jc w:val="center"/>
        </w:trPr>
        <w:tc>
          <w:tcPr>
            <w:tcW w:w="4432" w:type="dxa"/>
            <w:vAlign w:val="center"/>
          </w:tcPr>
          <w:p w:rsidR="00597370" w:rsidRDefault="003C2EEE">
            <w:pPr>
              <w:pStyle w:val="Style106"/>
              <w:rPr>
                <w:rFonts w:ascii="Times New Roman" w:hAnsi="Times New Roman"/>
              </w:rPr>
            </w:pPr>
            <w:r>
              <w:rPr>
                <w:rFonts w:ascii="Times New Roman" w:hAnsi="Times New Roman" w:hint="eastAsia"/>
              </w:rPr>
              <w:t>重要的应付款项</w:t>
            </w:r>
          </w:p>
        </w:tc>
        <w:tc>
          <w:tcPr>
            <w:tcW w:w="4434" w:type="dxa"/>
            <w:vAlign w:val="center"/>
          </w:tcPr>
          <w:p w:rsidR="00597370" w:rsidRDefault="003C2EEE">
            <w:pPr>
              <w:pStyle w:val="Style106"/>
              <w:rPr>
                <w:rFonts w:ascii="Times New Roman" w:hAnsi="Times New Roman"/>
              </w:rPr>
            </w:pPr>
            <w:r>
              <w:rPr>
                <w:rFonts w:ascii="Times New Roman" w:hAnsi="Times New Roman" w:hint="eastAsia"/>
              </w:rPr>
              <w:t>期末余额账龄</w:t>
            </w:r>
            <w:r>
              <w:rPr>
                <w:rFonts w:ascii="Times New Roman" w:hAnsi="Times New Roman"/>
              </w:rPr>
              <w:t>1</w:t>
            </w:r>
            <w:r>
              <w:rPr>
                <w:rFonts w:ascii="Times New Roman" w:hAnsi="Times New Roman"/>
              </w:rPr>
              <w:t>年以上且金额大于</w:t>
            </w:r>
            <w:r>
              <w:rPr>
                <w:rFonts w:ascii="Times New Roman" w:hAnsi="Times New Roman" w:cs="Calibri"/>
              </w:rPr>
              <w:t>500</w:t>
            </w:r>
            <w:r>
              <w:rPr>
                <w:rFonts w:ascii="Times New Roman" w:hAnsi="Times New Roman"/>
              </w:rPr>
              <w:t>万元</w:t>
            </w:r>
          </w:p>
        </w:tc>
      </w:tr>
      <w:tr w:rsidR="00597370">
        <w:trPr>
          <w:trHeight w:val="397"/>
          <w:jc w:val="center"/>
        </w:trPr>
        <w:tc>
          <w:tcPr>
            <w:tcW w:w="4432" w:type="dxa"/>
            <w:vAlign w:val="center"/>
          </w:tcPr>
          <w:p w:rsidR="00597370" w:rsidRDefault="003C2EEE">
            <w:pPr>
              <w:pStyle w:val="Style106"/>
              <w:rPr>
                <w:rFonts w:ascii="Times New Roman" w:hAnsi="Times New Roman"/>
              </w:rPr>
            </w:pPr>
            <w:r>
              <w:rPr>
                <w:rFonts w:ascii="Times New Roman" w:hAnsi="Times New Roman" w:hint="eastAsia"/>
              </w:rPr>
              <w:t>重要的在建工程</w:t>
            </w:r>
          </w:p>
        </w:tc>
        <w:tc>
          <w:tcPr>
            <w:tcW w:w="4434" w:type="dxa"/>
            <w:vAlign w:val="center"/>
          </w:tcPr>
          <w:p w:rsidR="00597370" w:rsidRDefault="003C2EEE">
            <w:pPr>
              <w:pStyle w:val="Style106"/>
              <w:rPr>
                <w:rFonts w:ascii="Times New Roman" w:hAnsi="Times New Roman"/>
              </w:rPr>
            </w:pPr>
            <w:proofErr w:type="gramStart"/>
            <w:r>
              <w:rPr>
                <w:rFonts w:ascii="Times New Roman" w:hAnsi="Times New Roman" w:hint="eastAsia"/>
              </w:rPr>
              <w:t>单项目</w:t>
            </w:r>
            <w:proofErr w:type="gramEnd"/>
            <w:r>
              <w:rPr>
                <w:rFonts w:ascii="Times New Roman" w:hAnsi="Times New Roman" w:hint="eastAsia"/>
              </w:rPr>
              <w:t>金额占在建工程</w:t>
            </w:r>
            <w:proofErr w:type="gramStart"/>
            <w:r>
              <w:rPr>
                <w:rFonts w:ascii="Times New Roman" w:hAnsi="Times New Roman" w:hint="eastAsia"/>
              </w:rPr>
              <w:t>期余末额</w:t>
            </w:r>
            <w:proofErr w:type="gramEnd"/>
            <w:r>
              <w:rPr>
                <w:rFonts w:ascii="Times New Roman" w:hAnsi="Times New Roman" w:hint="eastAsia"/>
              </w:rPr>
              <w:t>的</w:t>
            </w:r>
            <w:r>
              <w:rPr>
                <w:rFonts w:ascii="Times New Roman" w:hAnsi="Times New Roman"/>
              </w:rPr>
              <w:t>10%</w:t>
            </w:r>
            <w:r>
              <w:rPr>
                <w:rFonts w:ascii="Times New Roman" w:hAnsi="Times New Roman"/>
              </w:rPr>
              <w:t>以上且金额大于</w:t>
            </w:r>
            <w:r>
              <w:rPr>
                <w:rFonts w:ascii="Times New Roman" w:hAnsi="Times New Roman" w:cs="Calibri"/>
              </w:rPr>
              <w:t>1000</w:t>
            </w:r>
            <w:r>
              <w:rPr>
                <w:rFonts w:ascii="Times New Roman" w:hAnsi="Times New Roman"/>
              </w:rPr>
              <w:t>万元</w:t>
            </w:r>
          </w:p>
        </w:tc>
      </w:tr>
      <w:tr w:rsidR="00597370">
        <w:trPr>
          <w:trHeight w:val="397"/>
          <w:jc w:val="center"/>
        </w:trPr>
        <w:tc>
          <w:tcPr>
            <w:tcW w:w="4432" w:type="dxa"/>
            <w:vAlign w:val="center"/>
          </w:tcPr>
          <w:p w:rsidR="00597370" w:rsidRDefault="003C2EEE">
            <w:pPr>
              <w:pStyle w:val="Style106"/>
              <w:rPr>
                <w:rFonts w:ascii="Times New Roman" w:hAnsi="Times New Roman"/>
              </w:rPr>
            </w:pPr>
            <w:r>
              <w:rPr>
                <w:rFonts w:ascii="Times New Roman" w:hAnsi="Times New Roman" w:hint="eastAsia"/>
              </w:rPr>
              <w:t>重要的投资活动</w:t>
            </w:r>
          </w:p>
        </w:tc>
        <w:tc>
          <w:tcPr>
            <w:tcW w:w="4434" w:type="dxa"/>
            <w:vAlign w:val="center"/>
          </w:tcPr>
          <w:p w:rsidR="00597370" w:rsidRDefault="003C2EEE">
            <w:pPr>
              <w:pStyle w:val="Style106"/>
              <w:rPr>
                <w:rFonts w:ascii="Times New Roman" w:hAnsi="Times New Roman"/>
              </w:rPr>
            </w:pPr>
            <w:r>
              <w:rPr>
                <w:rFonts w:ascii="Times New Roman" w:hAnsi="Times New Roman" w:hint="eastAsia"/>
              </w:rPr>
              <w:t>单项投资活动占资产总额</w:t>
            </w:r>
            <w:r>
              <w:rPr>
                <w:rFonts w:ascii="Times New Roman" w:hAnsi="Times New Roman"/>
              </w:rPr>
              <w:t>10%</w:t>
            </w:r>
            <w:r>
              <w:rPr>
                <w:rFonts w:ascii="Times New Roman" w:hAnsi="Times New Roman"/>
              </w:rPr>
              <w:t>以上且金额大于</w:t>
            </w:r>
            <w:r>
              <w:rPr>
                <w:rFonts w:ascii="Times New Roman" w:hAnsi="Times New Roman" w:cs="Calibri"/>
              </w:rPr>
              <w:t>1000</w:t>
            </w:r>
            <w:r>
              <w:rPr>
                <w:rFonts w:ascii="Times New Roman" w:hAnsi="Times New Roman"/>
              </w:rPr>
              <w:t>万元</w:t>
            </w:r>
          </w:p>
        </w:tc>
      </w:tr>
      <w:tr w:rsidR="00597370">
        <w:trPr>
          <w:trHeight w:val="397"/>
          <w:jc w:val="center"/>
        </w:trPr>
        <w:tc>
          <w:tcPr>
            <w:tcW w:w="4432" w:type="dxa"/>
            <w:vAlign w:val="center"/>
          </w:tcPr>
          <w:p w:rsidR="00597370" w:rsidRDefault="003C2EEE">
            <w:pPr>
              <w:pStyle w:val="Style106"/>
              <w:rPr>
                <w:rFonts w:ascii="Times New Roman" w:hAnsi="Times New Roman"/>
              </w:rPr>
            </w:pPr>
            <w:r>
              <w:rPr>
                <w:rFonts w:ascii="Times New Roman" w:hAnsi="Times New Roman" w:hint="eastAsia"/>
              </w:rPr>
              <w:t>重大诉讼</w:t>
            </w:r>
          </w:p>
        </w:tc>
        <w:tc>
          <w:tcPr>
            <w:tcW w:w="4434" w:type="dxa"/>
            <w:vAlign w:val="center"/>
          </w:tcPr>
          <w:p w:rsidR="00597370" w:rsidRDefault="003C2EEE">
            <w:pPr>
              <w:pStyle w:val="Style106"/>
              <w:rPr>
                <w:rFonts w:ascii="Times New Roman" w:hAnsi="Times New Roman"/>
              </w:rPr>
            </w:pPr>
            <w:r>
              <w:rPr>
                <w:rFonts w:ascii="Times New Roman" w:hAnsi="Times New Roman" w:hint="eastAsia"/>
              </w:rPr>
              <w:t>单个或连续</w:t>
            </w:r>
            <w:r>
              <w:rPr>
                <w:rFonts w:ascii="Times New Roman" w:hAnsi="Times New Roman" w:hint="eastAsia"/>
              </w:rPr>
              <w:t>1</w:t>
            </w:r>
            <w:r>
              <w:rPr>
                <w:rFonts w:ascii="Times New Roman" w:hAnsi="Times New Roman"/>
              </w:rPr>
              <w:t>2</w:t>
            </w:r>
            <w:r>
              <w:rPr>
                <w:rFonts w:ascii="Times New Roman" w:hAnsi="Times New Roman" w:hint="eastAsia"/>
              </w:rPr>
              <w:t>个月内发生的诉讼和仲裁涉案金额超过或累计达到</w:t>
            </w:r>
            <w:r>
              <w:rPr>
                <w:rFonts w:ascii="Times New Roman" w:hAnsi="Times New Roman" w:hint="eastAsia"/>
              </w:rPr>
              <w:t>1</w:t>
            </w:r>
            <w:r>
              <w:rPr>
                <w:rFonts w:ascii="Times New Roman" w:hAnsi="Times New Roman"/>
              </w:rPr>
              <w:t>000</w:t>
            </w:r>
            <w:r>
              <w:rPr>
                <w:rFonts w:ascii="Times New Roman" w:hAnsi="Times New Roman" w:hint="eastAsia"/>
              </w:rPr>
              <w:t>万，并且占公司最近一期经审计净资产绝对值</w:t>
            </w:r>
            <w:r>
              <w:rPr>
                <w:rFonts w:ascii="Times New Roman" w:hAnsi="Times New Roman" w:hint="eastAsia"/>
              </w:rPr>
              <w:t>1</w:t>
            </w:r>
            <w:r>
              <w:rPr>
                <w:rFonts w:ascii="Times New Roman" w:hAnsi="Times New Roman"/>
              </w:rPr>
              <w:t>0%</w:t>
            </w:r>
            <w:r>
              <w:rPr>
                <w:rFonts w:ascii="Times New Roman" w:hAnsi="Times New Roman" w:hint="eastAsia"/>
              </w:rPr>
              <w:t>以上</w:t>
            </w:r>
          </w:p>
        </w:tc>
      </w:tr>
    </w:tbl>
    <w:p w:rsidR="00597370" w:rsidRDefault="00597370">
      <w:pPr>
        <w:rPr>
          <w:color w:val="000000" w:themeColor="text1"/>
        </w:rPr>
      </w:pPr>
    </w:p>
    <w:bookmarkEnd w:id="123"/>
    <w:bookmarkEnd w:id="124"/>
    <w:p w:rsidR="00597370" w:rsidRDefault="003C2EEE">
      <w:pPr>
        <w:pStyle w:val="Style109"/>
        <w:numPr>
          <w:ilvl w:val="0"/>
          <w:numId w:val="39"/>
        </w:numPr>
        <w:rPr>
          <w:rFonts w:ascii="宋体" w:hAnsi="宋体"/>
          <w:color w:val="000000" w:themeColor="text1"/>
        </w:rPr>
      </w:pPr>
      <w:r>
        <w:rPr>
          <w:rFonts w:ascii="宋体" w:hAnsi="宋体"/>
          <w:color w:val="000000" w:themeColor="text1"/>
        </w:rPr>
        <w:t>同</w:t>
      </w:r>
      <w:proofErr w:type="gramStart"/>
      <w:r>
        <w:rPr>
          <w:rFonts w:ascii="宋体" w:hAnsi="宋体"/>
          <w:color w:val="000000" w:themeColor="text1"/>
        </w:rPr>
        <w:t>一控制</w:t>
      </w:r>
      <w:proofErr w:type="gramEnd"/>
      <w:r>
        <w:rPr>
          <w:rFonts w:ascii="宋体" w:hAnsi="宋体"/>
          <w:color w:val="000000" w:themeColor="text1"/>
        </w:rPr>
        <w:t>下和非同</w:t>
      </w:r>
      <w:proofErr w:type="gramStart"/>
      <w:r>
        <w:rPr>
          <w:rFonts w:ascii="宋体" w:hAnsi="宋体"/>
          <w:color w:val="000000" w:themeColor="text1"/>
        </w:rPr>
        <w:t>一控制</w:t>
      </w:r>
      <w:proofErr w:type="gramEnd"/>
      <w:r>
        <w:rPr>
          <w:rFonts w:ascii="宋体" w:hAnsi="宋体"/>
          <w:color w:val="000000" w:themeColor="text1"/>
        </w:rPr>
        <w:t>下企业合并的会计处理方法</w:t>
      </w:r>
    </w:p>
    <w:sdt>
      <w:sdtPr>
        <w:rPr>
          <w:rFonts w:hint="eastAsia"/>
          <w:color w:val="000000" w:themeColor="text1"/>
        </w:rPr>
        <w:alias w:val="是否适用：同一控制下和非同一控制下企业合并的会计处理方法[双击切换]"/>
        <w:tag w:val="_GBC_15953b39483a4ce1a5c96869e4a0ae9c"/>
        <w:id w:val="132077494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同一控制下和非同一控制下企业合并的会计处理方法"/>
        <w:tag w:val="_GBC_ef4b9a8d4ac34f45a0f61a23267bcbb8"/>
        <w:id w:val="1078405998"/>
        <w:placeholder>
          <w:docPart w:val="GBC22222222222222222222222222222"/>
        </w:placeholder>
      </w:sdtPr>
      <w:sdtEndPr/>
      <w:sdtContent>
        <w:p w:rsidR="00597370" w:rsidRDefault="003C2EEE">
          <w:pPr>
            <w:pStyle w:val="Style175"/>
            <w:ind w:firstLineChars="150" w:firstLine="315"/>
          </w:pPr>
          <w:r>
            <w:rPr>
              <w:rFonts w:hint="eastAsia"/>
            </w:rPr>
            <w:t>（</w:t>
          </w:r>
          <w:r>
            <w:t>1）分步实现企业合并过程中的各项交易的条款、条件以及经济影响符合以下一种或多种情况，将多次交易事项作为一揽子交易进行会计处理</w:t>
          </w:r>
        </w:p>
        <w:p w:rsidR="00597370" w:rsidRDefault="003C2EEE">
          <w:pPr>
            <w:pStyle w:val="Style175"/>
            <w:ind w:firstLineChars="195" w:firstLine="409"/>
          </w:pPr>
          <w:r>
            <w:t>1）这些交易是同时或者在考虑了彼此影响的情况下订立的；</w:t>
          </w:r>
        </w:p>
        <w:p w:rsidR="00597370" w:rsidRDefault="003C2EEE">
          <w:pPr>
            <w:pStyle w:val="Style175"/>
            <w:ind w:firstLineChars="195" w:firstLine="409"/>
          </w:pPr>
          <w:r>
            <w:t>2）这些交易整体才能达成一项完整的商业结果；</w:t>
          </w:r>
        </w:p>
        <w:p w:rsidR="00597370" w:rsidRDefault="003C2EEE">
          <w:pPr>
            <w:pStyle w:val="Style175"/>
            <w:ind w:firstLineChars="195" w:firstLine="409"/>
          </w:pPr>
          <w:r>
            <w:t>3）一项交易的发生取决于其他至少一项交易的发生；</w:t>
          </w:r>
        </w:p>
        <w:p w:rsidR="00597370" w:rsidRDefault="003C2EEE">
          <w:pPr>
            <w:pStyle w:val="Style175"/>
            <w:ind w:firstLineChars="195" w:firstLine="409"/>
          </w:pPr>
          <w:r>
            <w:t>4）一项交易单独看是不经济的，但是和其他交易一并考虑时是经济的。</w:t>
          </w:r>
        </w:p>
        <w:p w:rsidR="00597370" w:rsidRDefault="003C2EEE">
          <w:pPr>
            <w:pStyle w:val="Style175"/>
            <w:ind w:firstLineChars="145" w:firstLine="304"/>
          </w:pPr>
          <w:r>
            <w:rPr>
              <w:rFonts w:hint="eastAsia"/>
            </w:rPr>
            <w:t>（</w:t>
          </w:r>
          <w:r>
            <w:t>2）同</w:t>
          </w:r>
          <w:proofErr w:type="gramStart"/>
          <w:r>
            <w:t>一控制</w:t>
          </w:r>
          <w:proofErr w:type="gramEnd"/>
          <w:r>
            <w:t>下的企业合并</w:t>
          </w:r>
        </w:p>
        <w:p w:rsidR="00597370" w:rsidRDefault="003C2EEE">
          <w:pPr>
            <w:pStyle w:val="Style175"/>
            <w:ind w:firstLine="420"/>
          </w:pPr>
          <w:r>
            <w:rPr>
              <w:rFonts w:hint="eastAsia"/>
            </w:rPr>
            <w:t>参与合并的企业在合并前后均受同一方或相同的多方最终控制，且</w:t>
          </w:r>
          <w:proofErr w:type="gramStart"/>
          <w:r>
            <w:rPr>
              <w:rFonts w:hint="eastAsia"/>
            </w:rPr>
            <w:t>该控制</w:t>
          </w:r>
          <w:proofErr w:type="gramEnd"/>
          <w:r>
            <w:rPr>
              <w:rFonts w:hint="eastAsia"/>
            </w:rPr>
            <w:t>并非暂时性的，为同</w:t>
          </w:r>
          <w:proofErr w:type="gramStart"/>
          <w:r>
            <w:rPr>
              <w:rFonts w:hint="eastAsia"/>
            </w:rPr>
            <w:t>一控制</w:t>
          </w:r>
          <w:proofErr w:type="gramEnd"/>
          <w:r>
            <w:rPr>
              <w:rFonts w:hint="eastAsia"/>
            </w:rPr>
            <w:t>下的企业合并。</w:t>
          </w:r>
        </w:p>
        <w:p w:rsidR="00597370" w:rsidRDefault="003C2EEE">
          <w:pPr>
            <w:pStyle w:val="Style175"/>
            <w:ind w:firstLine="420"/>
          </w:pPr>
          <w:r>
            <w:rPr>
              <w:rFonts w:hint="eastAsia"/>
            </w:rPr>
            <w:t>本公司在企业合并中取得的资产和负债，按照</w:t>
          </w:r>
          <w:proofErr w:type="gramStart"/>
          <w:r>
            <w:rPr>
              <w:rFonts w:hint="eastAsia"/>
            </w:rPr>
            <w:t>合并日</w:t>
          </w:r>
          <w:proofErr w:type="gramEnd"/>
          <w:r>
            <w:rPr>
              <w:rFonts w:hint="eastAsia"/>
            </w:rPr>
            <w:t>在被合并方资产、负债（包括最终控制</w:t>
          </w:r>
          <w:proofErr w:type="gramStart"/>
          <w:r>
            <w:rPr>
              <w:rFonts w:hint="eastAsia"/>
            </w:rPr>
            <w:t>方收购</w:t>
          </w:r>
          <w:proofErr w:type="gramEnd"/>
          <w:r>
            <w:rPr>
              <w:rFonts w:hint="eastAsia"/>
            </w:rPr>
            <w:t>被合并方而形成的商誉）在最终控制方合并财务报表中的账面价值计量。在合并中取得的净资产账面价值与支付的合并对价账面价值（或发行股份面值总额）的差额，调整资本公积中的股本溢价，资本公积中的股本溢价不足冲减的，调整留存收益。</w:t>
          </w:r>
        </w:p>
        <w:p w:rsidR="00597370" w:rsidRDefault="003C2EEE">
          <w:pPr>
            <w:pStyle w:val="Style175"/>
            <w:ind w:firstLine="420"/>
          </w:pPr>
          <w:r>
            <w:rPr>
              <w:rFonts w:hint="eastAsia"/>
            </w:rPr>
            <w:t>如果存在或有对价并需要确认预计负债或资产，该预计负债或资产金额与后续或有对价结算金额的差额，调整资本公积（资本溢价或股本溢价），资本公</w:t>
          </w:r>
          <w:proofErr w:type="gramStart"/>
          <w:r>
            <w:rPr>
              <w:rFonts w:hint="eastAsia"/>
            </w:rPr>
            <w:t>积不足</w:t>
          </w:r>
          <w:proofErr w:type="gramEnd"/>
          <w:r>
            <w:rPr>
              <w:rFonts w:hint="eastAsia"/>
            </w:rPr>
            <w:t>的，调整留存收益。</w:t>
          </w:r>
        </w:p>
        <w:p w:rsidR="00597370" w:rsidRDefault="003C2EEE">
          <w:pPr>
            <w:pStyle w:val="Style175"/>
            <w:ind w:firstLine="420"/>
          </w:pPr>
          <w:r>
            <w:rPr>
              <w:rFonts w:hint="eastAsia"/>
            </w:rPr>
            <w:t>对于通过多次交易最终实现企业合并的，属于一揽子交易的，将各项交易作为一项取得控制权的交易进行会计处理；不属于一揽子交易的，在取得控制权日，长期股权投资初始投资成本，与达到合并前的长期股权投资账面价值加上</w:t>
          </w:r>
          <w:proofErr w:type="gramStart"/>
          <w:r>
            <w:rPr>
              <w:rFonts w:hint="eastAsia"/>
            </w:rPr>
            <w:t>合并日</w:t>
          </w:r>
          <w:proofErr w:type="gramEnd"/>
          <w:r>
            <w:rPr>
              <w:rFonts w:hint="eastAsia"/>
            </w:rPr>
            <w:t>进一步取得股份新支付对价的账面价值之和的差额，调整资本公积；资本公</w:t>
          </w:r>
          <w:proofErr w:type="gramStart"/>
          <w:r>
            <w:rPr>
              <w:rFonts w:hint="eastAsia"/>
            </w:rPr>
            <w:t>积不足</w:t>
          </w:r>
          <w:proofErr w:type="gramEnd"/>
          <w:r>
            <w:rPr>
              <w:rFonts w:hint="eastAsia"/>
            </w:rPr>
            <w:t>冲减的，调整留存收益。对于</w:t>
          </w:r>
          <w:proofErr w:type="gramStart"/>
          <w:r>
            <w:rPr>
              <w:rFonts w:hint="eastAsia"/>
            </w:rPr>
            <w:t>合并日</w:t>
          </w:r>
          <w:proofErr w:type="gramEnd"/>
          <w:r>
            <w:rPr>
              <w:rFonts w:hint="eastAsia"/>
            </w:rPr>
            <w:t>之前持有的股权投资，因采用权益法核算或金融工具确认和计量准则核算而确认的其他综合收益，暂不进行会计处理，直至处置该项投资时采用与被投资单位直接处置相关资产或负债相同的基础进行会计处理；因采用权益法核算而确认的被投资单位净资产中除净损益、其他综合收益和利润分配以外的所有者权益其他变动，暂不进行会计处理，直至处置该项投资时转入当期损益。</w:t>
          </w:r>
        </w:p>
        <w:p w:rsidR="00597370" w:rsidRDefault="003C2EEE">
          <w:pPr>
            <w:pStyle w:val="Style175"/>
            <w:ind w:firstLine="420"/>
          </w:pPr>
          <w:r>
            <w:rPr>
              <w:rFonts w:hint="eastAsia"/>
            </w:rPr>
            <w:lastRenderedPageBreak/>
            <w:t>（</w:t>
          </w:r>
          <w:r>
            <w:t>3）非同</w:t>
          </w:r>
          <w:proofErr w:type="gramStart"/>
          <w:r>
            <w:t>一控制</w:t>
          </w:r>
          <w:proofErr w:type="gramEnd"/>
          <w:r>
            <w:t>下的企业合并</w:t>
          </w:r>
        </w:p>
        <w:p w:rsidR="00597370" w:rsidRDefault="003C2EEE">
          <w:pPr>
            <w:pStyle w:val="Style175"/>
            <w:ind w:firstLine="420"/>
          </w:pPr>
          <w:r>
            <w:rPr>
              <w:rFonts w:hint="eastAsia"/>
            </w:rPr>
            <w:t>参与合并的企业在合并前后不受同一方或相同的多方最终控制，为非同</w:t>
          </w:r>
          <w:proofErr w:type="gramStart"/>
          <w:r>
            <w:rPr>
              <w:rFonts w:hint="eastAsia"/>
            </w:rPr>
            <w:t>一控制</w:t>
          </w:r>
          <w:proofErr w:type="gramEnd"/>
          <w:r>
            <w:rPr>
              <w:rFonts w:hint="eastAsia"/>
            </w:rPr>
            <w:t>下的企业合并。</w:t>
          </w:r>
        </w:p>
        <w:p w:rsidR="00597370" w:rsidRDefault="003C2EEE">
          <w:pPr>
            <w:pStyle w:val="Style175"/>
            <w:ind w:firstLine="420"/>
          </w:pPr>
          <w:r>
            <w:rPr>
              <w:rFonts w:hint="eastAsia"/>
            </w:rPr>
            <w:t>本公司在购买日对作为企业合并对价付出的资产、发生或承担的负债按照公允价值计量，公允价值与其账面价值的差额，计入当期损益。</w:t>
          </w:r>
        </w:p>
        <w:p w:rsidR="00597370" w:rsidRDefault="003C2EEE">
          <w:pPr>
            <w:pStyle w:val="Style175"/>
            <w:ind w:firstLine="420"/>
          </w:pPr>
          <w:r>
            <w:rPr>
              <w:rFonts w:hint="eastAsia"/>
            </w:rPr>
            <w:t>本公司对合并成本大于合并中取得的被购买方可辨认净资产公允价值份额的差额，确认为商誉；合并成本小于合并中取得的被购买方可辨认净资产公允价值份额的，首先对取得的被购买</w:t>
          </w:r>
          <w:proofErr w:type="gramStart"/>
          <w:r>
            <w:rPr>
              <w:rFonts w:hint="eastAsia"/>
            </w:rPr>
            <w:t>方各项</w:t>
          </w:r>
          <w:proofErr w:type="gramEnd"/>
          <w:r>
            <w:rPr>
              <w:rFonts w:hint="eastAsia"/>
            </w:rPr>
            <w:t>可辨认资产、负债及或有负债的公允价值以及合并成本的计量进行复核，复核后合并成本仍小于合并中取得的被购买方可辨认净资产公允价值份额的，计入当期损益。</w:t>
          </w:r>
        </w:p>
        <w:p w:rsidR="00597370" w:rsidRDefault="003C2EEE">
          <w:pPr>
            <w:pStyle w:val="Style175"/>
            <w:ind w:firstLine="420"/>
          </w:pPr>
          <w:r>
            <w:rPr>
              <w:rFonts w:hint="eastAsia"/>
            </w:rPr>
            <w:t>通过多次交换交易分步实现的非同</w:t>
          </w:r>
          <w:proofErr w:type="gramStart"/>
          <w:r>
            <w:rPr>
              <w:rFonts w:hint="eastAsia"/>
            </w:rPr>
            <w:t>一控制</w:t>
          </w:r>
          <w:proofErr w:type="gramEnd"/>
          <w:r>
            <w:rPr>
              <w:rFonts w:hint="eastAsia"/>
            </w:rPr>
            <w:t>下企业合并，属于一揽子交易的，将各项交易作为一项取得控制权的交易进行会计处理；不属于一揽子交易的，</w:t>
          </w:r>
          <w:proofErr w:type="gramStart"/>
          <w:r>
            <w:rPr>
              <w:rFonts w:hint="eastAsia"/>
            </w:rPr>
            <w:t>合并日</w:t>
          </w:r>
          <w:proofErr w:type="gramEnd"/>
          <w:r>
            <w:rPr>
              <w:rFonts w:hint="eastAsia"/>
            </w:rPr>
            <w:t>之前持有的股权投资采用权益法核算的，以购买日之前所持被购买方的股权投资的账面价值与购买日新增投资成本之和，作为该项投资的初始投资成本；购买日之前持有的股权投资因采用权益法核算而确认的其他综合收益，在处置该项投资时采用与被投资单位直接处置相关资产或负债相同的基础进行会计处理。</w:t>
          </w:r>
          <w:proofErr w:type="gramStart"/>
          <w:r>
            <w:rPr>
              <w:rFonts w:hint="eastAsia"/>
            </w:rPr>
            <w:t>合并日</w:t>
          </w:r>
          <w:proofErr w:type="gramEnd"/>
          <w:r>
            <w:rPr>
              <w:rFonts w:hint="eastAsia"/>
            </w:rPr>
            <w:t>之前持有的股权投资采用金融工具确认和计量准则核算的，以该股权投资在</w:t>
          </w:r>
          <w:proofErr w:type="gramStart"/>
          <w:r>
            <w:rPr>
              <w:rFonts w:hint="eastAsia"/>
            </w:rPr>
            <w:t>合并日</w:t>
          </w:r>
          <w:proofErr w:type="gramEnd"/>
          <w:r>
            <w:rPr>
              <w:rFonts w:hint="eastAsia"/>
            </w:rPr>
            <w:t>的公允价值加上新增投资成本之和，作为</w:t>
          </w:r>
          <w:proofErr w:type="gramStart"/>
          <w:r>
            <w:rPr>
              <w:rFonts w:hint="eastAsia"/>
            </w:rPr>
            <w:t>合并日</w:t>
          </w:r>
          <w:proofErr w:type="gramEnd"/>
          <w:r>
            <w:rPr>
              <w:rFonts w:hint="eastAsia"/>
            </w:rPr>
            <w:t>的初始投资成本。原持有股权的公允价值与账面价值之间的差额以及原计入其他综合收益的累计公允价值变动应全部转入</w:t>
          </w:r>
          <w:proofErr w:type="gramStart"/>
          <w:r>
            <w:rPr>
              <w:rFonts w:hint="eastAsia"/>
            </w:rPr>
            <w:t>合并日</w:t>
          </w:r>
          <w:proofErr w:type="gramEnd"/>
          <w:r>
            <w:rPr>
              <w:rFonts w:hint="eastAsia"/>
            </w:rPr>
            <w:t>当期的投资收益。</w:t>
          </w:r>
        </w:p>
        <w:p w:rsidR="00597370" w:rsidRDefault="003C2EEE">
          <w:pPr>
            <w:pStyle w:val="Style175"/>
            <w:ind w:firstLine="420"/>
          </w:pPr>
          <w:r>
            <w:rPr>
              <w:rFonts w:hint="eastAsia"/>
            </w:rPr>
            <w:t>（</w:t>
          </w:r>
          <w:r>
            <w:t>4）为合并发生的相关费用</w:t>
          </w:r>
        </w:p>
        <w:p w:rsidR="00597370" w:rsidRDefault="003C2EEE">
          <w:pPr>
            <w:pStyle w:val="Style175"/>
            <w:ind w:firstLine="420"/>
          </w:pPr>
          <w:r>
            <w:rPr>
              <w:rFonts w:hint="eastAsia"/>
            </w:rPr>
            <w:t>为企业合并发生的审计、法律服务、评估咨询等中介费用以及其他直接相关费用，于发生时计入当期损益；为企业合并而发行权益</w:t>
          </w:r>
          <w:proofErr w:type="gramStart"/>
          <w:r>
            <w:rPr>
              <w:rFonts w:hint="eastAsia"/>
            </w:rPr>
            <w:t>性证券</w:t>
          </w:r>
          <w:proofErr w:type="gramEnd"/>
          <w:r>
            <w:rPr>
              <w:rFonts w:hint="eastAsia"/>
            </w:rPr>
            <w:t>的交易费用，可直接归属于权益性交易的从权益中扣减。</w:t>
          </w:r>
        </w:p>
      </w:sdtContent>
    </w:sdt>
    <w:p w:rsidR="00597370" w:rsidRDefault="003C2EEE">
      <w:pPr>
        <w:pStyle w:val="Style109"/>
        <w:numPr>
          <w:ilvl w:val="0"/>
          <w:numId w:val="39"/>
        </w:numPr>
        <w:rPr>
          <w:rFonts w:ascii="宋体" w:hAnsi="宋体"/>
          <w:color w:val="000000" w:themeColor="text1"/>
        </w:rPr>
      </w:pPr>
      <w:bookmarkStart w:id="125" w:name="_Hlk169007307"/>
      <w:r>
        <w:rPr>
          <w:rFonts w:ascii="宋体" w:hAnsi="宋体"/>
          <w:color w:val="000000" w:themeColor="text1"/>
        </w:rPr>
        <w:t>控制的判断标准和合并财务报表的编制方法</w:t>
      </w:r>
    </w:p>
    <w:sdt>
      <w:sdtPr>
        <w:rPr>
          <w:rFonts w:hint="eastAsia"/>
          <w:color w:val="000000" w:themeColor="text1"/>
        </w:rPr>
        <w:alias w:val="是否适用：合并财务报表的编制方法[双击切换]"/>
        <w:tag w:val="_GBC_dad2e053cc8c4461a681b3e4926c48a6"/>
        <w:id w:val="202242398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企业合并及合并财务报表的说明"/>
        <w:tag w:val="_GBC_5201beca0c0944939b4a0d8d100d6fcf"/>
        <w:id w:val="-1389023237"/>
        <w:placeholder>
          <w:docPart w:val="GBC22222222222222222222222222222"/>
        </w:placeholder>
      </w:sdtPr>
      <w:sdtEndPr/>
      <w:sdtContent>
        <w:p w:rsidR="00597370" w:rsidRDefault="003C2EEE">
          <w:pPr>
            <w:pStyle w:val="Style175"/>
            <w:ind w:firstLine="420"/>
          </w:pPr>
          <w:r>
            <w:t>(1)控制的判断标准</w:t>
          </w:r>
        </w:p>
        <w:p w:rsidR="00597370" w:rsidRDefault="003C2EEE">
          <w:pPr>
            <w:pStyle w:val="Style175"/>
            <w:ind w:firstLine="420"/>
          </w:pPr>
          <w:r>
            <w:rPr>
              <w:rFonts w:hint="eastAsia"/>
            </w:rPr>
            <w:t>控制，是指投资方拥有对被投资方的权力</w:t>
          </w:r>
          <w:r>
            <w:t>,通过参与被投资方的相关活动而享有可变回报，并且有能力运用对被投资方的权力影响其回报金额。</w:t>
          </w:r>
        </w:p>
        <w:p w:rsidR="00597370" w:rsidRDefault="003C2EEE">
          <w:pPr>
            <w:pStyle w:val="Style175"/>
            <w:ind w:firstLine="420"/>
          </w:pPr>
          <w:r>
            <w:rPr>
              <w:rFonts w:hint="eastAsia"/>
            </w:rPr>
            <w:t>本公司在综合考虑所有相关事实和情况的基础上对是否控制被投资方进行判断。一旦相关事实和情况的变化导致对控制定义所涉及的相关要素发生变化的，本公司会进行重新评估。相关事实和情况主要包括：</w:t>
          </w:r>
        </w:p>
        <w:p w:rsidR="00597370" w:rsidRDefault="003C2EEE">
          <w:pPr>
            <w:pStyle w:val="Style175"/>
            <w:ind w:firstLine="420"/>
          </w:pPr>
          <w:r>
            <w:t>1）被投资方的设立目的。</w:t>
          </w:r>
        </w:p>
        <w:p w:rsidR="00597370" w:rsidRDefault="003C2EEE">
          <w:pPr>
            <w:pStyle w:val="Style175"/>
            <w:ind w:firstLine="420"/>
          </w:pPr>
          <w:r>
            <w:t>2）被投资方的相关活动以及如何对相关活动</w:t>
          </w:r>
          <w:proofErr w:type="gramStart"/>
          <w:r>
            <w:t>作出</w:t>
          </w:r>
          <w:proofErr w:type="gramEnd"/>
          <w:r>
            <w:t>决策。</w:t>
          </w:r>
        </w:p>
        <w:p w:rsidR="00597370" w:rsidRDefault="003C2EEE">
          <w:pPr>
            <w:pStyle w:val="Style175"/>
            <w:ind w:firstLine="420"/>
          </w:pPr>
          <w:r>
            <w:t>3）投资方享有的权利是否使其目前有能力主导被投资方的相关活动。</w:t>
          </w:r>
        </w:p>
        <w:p w:rsidR="00597370" w:rsidRDefault="003C2EEE">
          <w:pPr>
            <w:pStyle w:val="Style175"/>
            <w:ind w:firstLine="420"/>
          </w:pPr>
          <w:r>
            <w:t>4）投资方是否通过参与被投资方的相关活动而享有可变回报。</w:t>
          </w:r>
        </w:p>
        <w:p w:rsidR="00597370" w:rsidRDefault="003C2EEE">
          <w:pPr>
            <w:pStyle w:val="Style175"/>
            <w:ind w:firstLine="420"/>
          </w:pPr>
          <w:r>
            <w:t>5）投资方是否有能力运用对被投资方的权力影响其回报金额。</w:t>
          </w:r>
        </w:p>
        <w:p w:rsidR="00597370" w:rsidRDefault="003C2EEE">
          <w:pPr>
            <w:pStyle w:val="Style175"/>
            <w:ind w:firstLine="420"/>
          </w:pPr>
          <w:r>
            <w:lastRenderedPageBreak/>
            <w:t>6）投资方与其他方的关系。</w:t>
          </w:r>
        </w:p>
        <w:p w:rsidR="00597370" w:rsidRDefault="003C2EEE">
          <w:pPr>
            <w:pStyle w:val="Style175"/>
            <w:ind w:firstLine="420"/>
          </w:pPr>
          <w:r>
            <w:t>(2)合并范围</w:t>
          </w:r>
        </w:p>
        <w:p w:rsidR="00597370" w:rsidRDefault="003C2EEE">
          <w:pPr>
            <w:pStyle w:val="Style175"/>
            <w:ind w:firstLine="420"/>
          </w:pPr>
          <w:r>
            <w:rPr>
              <w:rFonts w:hint="eastAsia"/>
            </w:rPr>
            <w:t>本公司合并财务报表的合并范围以控制为基础确定，所有子公司（包括本公司所控制的单独主体）均纳入合并财务报表。</w:t>
          </w:r>
        </w:p>
        <w:p w:rsidR="00597370" w:rsidRDefault="003C2EEE">
          <w:pPr>
            <w:pStyle w:val="Style175"/>
            <w:ind w:firstLine="420"/>
          </w:pPr>
          <w:r>
            <w:t>(3)合并程序</w:t>
          </w:r>
        </w:p>
        <w:p w:rsidR="00597370" w:rsidRDefault="003C2EEE">
          <w:pPr>
            <w:pStyle w:val="Style175"/>
            <w:ind w:firstLine="420"/>
          </w:pPr>
          <w:r>
            <w:rPr>
              <w:rFonts w:hint="eastAsia"/>
            </w:rPr>
            <w:t>本公司以自身和各子公司的财务报表为基础，根据其他有关资料，编制合并财务报表。本公司编制合并财务报表，将整个企业集团视为一个会计主体，依据相关企业会计准则的确认、计量和列报要求，按照统一的会计政策，反映本企业集团整体财务状况、经营成果和现金流量。</w:t>
          </w:r>
        </w:p>
        <w:p w:rsidR="00597370" w:rsidRDefault="003C2EEE">
          <w:pPr>
            <w:pStyle w:val="Style175"/>
            <w:ind w:firstLine="420"/>
          </w:pPr>
          <w:r>
            <w:rPr>
              <w:rFonts w:hint="eastAsia"/>
            </w:rPr>
            <w:t>所有纳入合并财务报表合并范围的子公司所采用的会计政策、会计期间与本公司一致，如子公司采用的会计政策、会计期间与本公司不一致的，在编制合并财务报表时，按本公司的会计政策、会计期间进行必要的调整。</w:t>
          </w:r>
        </w:p>
        <w:p w:rsidR="00597370" w:rsidRDefault="003C2EEE">
          <w:pPr>
            <w:pStyle w:val="Style175"/>
            <w:ind w:firstLine="420"/>
          </w:pPr>
          <w:r>
            <w:rPr>
              <w:rFonts w:hint="eastAsia"/>
            </w:rPr>
            <w:t>合并财务报表时</w:t>
          </w:r>
          <w:proofErr w:type="gramStart"/>
          <w:r>
            <w:rPr>
              <w:rFonts w:hint="eastAsia"/>
            </w:rPr>
            <w:t>抵销</w:t>
          </w:r>
          <w:proofErr w:type="gramEnd"/>
          <w:r>
            <w:rPr>
              <w:rFonts w:hint="eastAsia"/>
            </w:rPr>
            <w:t>本公司与各子公司、各子公司相互之间发生的内部交易对合并资产负债表、合并利润表、合并现金流量表、合并股东权益变动表的影响。如果站在企业集团合并财务报表角度与以本公司或子公司为会计主体对同一交易的认定不同时，从企业集团的角度对该交易予以调整。</w:t>
          </w:r>
        </w:p>
        <w:p w:rsidR="00597370" w:rsidRDefault="003C2EEE">
          <w:pPr>
            <w:pStyle w:val="Style175"/>
            <w:ind w:firstLine="420"/>
          </w:pPr>
          <w:r>
            <w:rPr>
              <w:rFonts w:hint="eastAsia"/>
            </w:rPr>
            <w:t>子公司所有者权益、当期净损益和当期综合收益中属于少数股东的份额分别在合并资产负债表中所有者权益项目下、合并利润表中净利润项目下和综合收益总额项目下单独列示。子公司少数股东分担的当期亏损超过了少数股东在该子公司期初所有者权益中所享有份额而形成的余额，</w:t>
          </w:r>
          <w:proofErr w:type="gramStart"/>
          <w:r>
            <w:rPr>
              <w:rFonts w:hint="eastAsia"/>
            </w:rPr>
            <w:t>冲减少</w:t>
          </w:r>
          <w:proofErr w:type="gramEnd"/>
          <w:r>
            <w:rPr>
              <w:rFonts w:hint="eastAsia"/>
            </w:rPr>
            <w:t>数股东权益。</w:t>
          </w:r>
        </w:p>
        <w:p w:rsidR="00597370" w:rsidRDefault="003C2EEE">
          <w:pPr>
            <w:pStyle w:val="Style175"/>
            <w:ind w:firstLine="420"/>
          </w:pPr>
          <w:r>
            <w:rPr>
              <w:rFonts w:hint="eastAsia"/>
            </w:rPr>
            <w:t>对于同</w:t>
          </w:r>
          <w:proofErr w:type="gramStart"/>
          <w:r>
            <w:rPr>
              <w:rFonts w:hint="eastAsia"/>
            </w:rPr>
            <w:t>一控制</w:t>
          </w:r>
          <w:proofErr w:type="gramEnd"/>
          <w:r>
            <w:rPr>
              <w:rFonts w:hint="eastAsia"/>
            </w:rPr>
            <w:t>下企业合并取得的子公司，以其资产、负债（包括最终控制</w:t>
          </w:r>
          <w:proofErr w:type="gramStart"/>
          <w:r>
            <w:rPr>
              <w:rFonts w:hint="eastAsia"/>
            </w:rPr>
            <w:t>方收购</w:t>
          </w:r>
          <w:proofErr w:type="gramEnd"/>
          <w:r>
            <w:rPr>
              <w:rFonts w:hint="eastAsia"/>
            </w:rPr>
            <w:t>该子公司而形成的商誉）在最终控制方财务报表中的账面价值为基础对其财务报表进行调整。</w:t>
          </w:r>
        </w:p>
        <w:p w:rsidR="00597370" w:rsidRDefault="003C2EEE">
          <w:pPr>
            <w:pStyle w:val="Style175"/>
            <w:ind w:firstLine="420"/>
          </w:pPr>
          <w:r>
            <w:rPr>
              <w:rFonts w:hint="eastAsia"/>
            </w:rPr>
            <w:t>对于非同</w:t>
          </w:r>
          <w:proofErr w:type="gramStart"/>
          <w:r>
            <w:rPr>
              <w:rFonts w:hint="eastAsia"/>
            </w:rPr>
            <w:t>一控制</w:t>
          </w:r>
          <w:proofErr w:type="gramEnd"/>
          <w:r>
            <w:rPr>
              <w:rFonts w:hint="eastAsia"/>
            </w:rPr>
            <w:t>下企业合并取得的子公司，以购买日可辨认净资产公允价值为基础对其财务报表进行调整</w:t>
          </w:r>
        </w:p>
        <w:p w:rsidR="00597370" w:rsidRDefault="003C2EEE">
          <w:pPr>
            <w:pStyle w:val="Style175"/>
            <w:ind w:firstLine="420"/>
          </w:pPr>
          <w:r>
            <w:t>1）增加子公司或业务</w:t>
          </w:r>
        </w:p>
        <w:p w:rsidR="00597370" w:rsidRDefault="003C2EEE">
          <w:pPr>
            <w:pStyle w:val="Style175"/>
            <w:ind w:firstLine="420"/>
          </w:pPr>
          <w:r>
            <w:rPr>
              <w:rFonts w:hint="eastAsia"/>
            </w:rPr>
            <w:t>在报告期内，若因同</w:t>
          </w:r>
          <w:proofErr w:type="gramStart"/>
          <w:r>
            <w:rPr>
              <w:rFonts w:hint="eastAsia"/>
            </w:rPr>
            <w:t>一控制</w:t>
          </w:r>
          <w:proofErr w:type="gramEnd"/>
          <w:r>
            <w:rPr>
              <w:rFonts w:hint="eastAsia"/>
            </w:rPr>
            <w:t>下企业合并增加子公司或业务的，则调整合并资产负债表的期初数；将子公司或业务合并当期期初</w:t>
          </w:r>
          <w:proofErr w:type="gramStart"/>
          <w:r>
            <w:rPr>
              <w:rFonts w:hint="eastAsia"/>
            </w:rPr>
            <w:t>至报告</w:t>
          </w:r>
          <w:proofErr w:type="gramEnd"/>
          <w:r>
            <w:rPr>
              <w:rFonts w:hint="eastAsia"/>
            </w:rPr>
            <w:t>期末的收入、费用、利润纳入合并利润表；将子公司或业务合并当期期初</w:t>
          </w:r>
          <w:proofErr w:type="gramStart"/>
          <w:r>
            <w:rPr>
              <w:rFonts w:hint="eastAsia"/>
            </w:rPr>
            <w:t>至报告</w:t>
          </w:r>
          <w:proofErr w:type="gramEnd"/>
          <w:r>
            <w:rPr>
              <w:rFonts w:hint="eastAsia"/>
            </w:rPr>
            <w:t>期末的现金流量纳入合并现金流量表，同时对比较报表的相关项目进行调整，视同合并后的报告主体</w:t>
          </w:r>
          <w:proofErr w:type="gramStart"/>
          <w:r>
            <w:rPr>
              <w:rFonts w:hint="eastAsia"/>
            </w:rPr>
            <w:t>自最终</w:t>
          </w:r>
          <w:proofErr w:type="gramEnd"/>
          <w:r>
            <w:rPr>
              <w:rFonts w:hint="eastAsia"/>
            </w:rPr>
            <w:t>控制方开始控制时点起一直存在。</w:t>
          </w:r>
        </w:p>
        <w:p w:rsidR="00597370" w:rsidRDefault="003C2EEE">
          <w:pPr>
            <w:pStyle w:val="Style175"/>
            <w:ind w:firstLine="420"/>
          </w:pPr>
          <w:r>
            <w:rPr>
              <w:rFonts w:hint="eastAsia"/>
            </w:rPr>
            <w:t>因追加投资等原因能够对同</w:t>
          </w:r>
          <w:proofErr w:type="gramStart"/>
          <w:r>
            <w:rPr>
              <w:rFonts w:hint="eastAsia"/>
            </w:rPr>
            <w:t>一控制</w:t>
          </w:r>
          <w:proofErr w:type="gramEnd"/>
          <w:r>
            <w:rPr>
              <w:rFonts w:hint="eastAsia"/>
            </w:rPr>
            <w:t>下的被投资方实施控制的，视同参与合并的各方在最终控制方开始控制时即以目前的状态存在进行调整。在取得被合并方控制权之前持有的股权投资，在取得原股权之日与合并方和被合并方同处于同</w:t>
          </w:r>
          <w:proofErr w:type="gramStart"/>
          <w:r>
            <w:rPr>
              <w:rFonts w:hint="eastAsia"/>
            </w:rPr>
            <w:t>一控制之日孰晚日</w:t>
          </w:r>
          <w:proofErr w:type="gramEnd"/>
          <w:r>
            <w:rPr>
              <w:rFonts w:hint="eastAsia"/>
            </w:rPr>
            <w:t>起至</w:t>
          </w:r>
          <w:proofErr w:type="gramStart"/>
          <w:r>
            <w:rPr>
              <w:rFonts w:hint="eastAsia"/>
            </w:rPr>
            <w:t>合并日</w:t>
          </w:r>
          <w:proofErr w:type="gramEnd"/>
          <w:r>
            <w:rPr>
              <w:rFonts w:hint="eastAsia"/>
            </w:rPr>
            <w:t>之间已确认有关损益、其他综合收益以及其他净资产变动，分别冲减比较报表期间的期初留存收益或当期损益。</w:t>
          </w:r>
        </w:p>
        <w:p w:rsidR="00597370" w:rsidRDefault="003C2EEE">
          <w:pPr>
            <w:pStyle w:val="Style175"/>
            <w:ind w:firstLine="420"/>
          </w:pPr>
          <w:r>
            <w:rPr>
              <w:rFonts w:hint="eastAsia"/>
            </w:rPr>
            <w:lastRenderedPageBreak/>
            <w:t>在报告期内，若因非同</w:t>
          </w:r>
          <w:proofErr w:type="gramStart"/>
          <w:r>
            <w:rPr>
              <w:rFonts w:hint="eastAsia"/>
            </w:rPr>
            <w:t>一控制</w:t>
          </w:r>
          <w:proofErr w:type="gramEnd"/>
          <w:r>
            <w:rPr>
              <w:rFonts w:hint="eastAsia"/>
            </w:rPr>
            <w:t>下企业合并增加子公司或业务的，则不调整合并资产负债表期初数；将该子公司或业务自购买日至报告期末的收入、费用、利润纳入合并利润表；该子公司或业务自购买日至报告期末的现金流量纳入合并现金流量表。</w:t>
          </w:r>
        </w:p>
        <w:p w:rsidR="00597370" w:rsidRDefault="003C2EEE">
          <w:pPr>
            <w:pStyle w:val="Style175"/>
            <w:ind w:firstLine="420"/>
          </w:pPr>
          <w:r>
            <w:rPr>
              <w:rFonts w:hint="eastAsia"/>
            </w:rPr>
            <w:t>因追加投资等原因能够对非同</w:t>
          </w:r>
          <w:proofErr w:type="gramStart"/>
          <w:r>
            <w:rPr>
              <w:rFonts w:hint="eastAsia"/>
            </w:rPr>
            <w:t>一控制</w:t>
          </w:r>
          <w:proofErr w:type="gramEnd"/>
          <w:r>
            <w:rPr>
              <w:rFonts w:hint="eastAsia"/>
            </w:rPr>
            <w:t>下的被投资方实施控制的，对于购买日之前持有的被购买方的股权，本公司按照该股权在购买日的公允价值进行重新计量，公允价值与其账面价值的差额计入当期投资收益。购买日之前持有的被购买方的股权涉及权益法核算下的其他综合收益以及除净损益、其他综合收益和利润分配之外的其他所有者权益变动的，与其相关的其他综合收益、其他所有者权益变动转为购买日所属当期投资收益，由于被投资方重新计量设定受益计划净负债或净资产变动而产生的其他综合收益除外。</w:t>
          </w:r>
        </w:p>
        <w:p w:rsidR="00597370" w:rsidRDefault="003C2EEE">
          <w:pPr>
            <w:pStyle w:val="Style175"/>
            <w:ind w:firstLine="420"/>
          </w:pPr>
          <w:r>
            <w:t>2）处置子公司或业务</w:t>
          </w:r>
        </w:p>
        <w:p w:rsidR="00597370" w:rsidRDefault="003C2EEE">
          <w:pPr>
            <w:pStyle w:val="Style175"/>
            <w:ind w:firstLine="420"/>
          </w:pPr>
          <w:r>
            <w:rPr>
              <w:rFonts w:hint="eastAsia"/>
            </w:rPr>
            <w:t>①一般处理方法</w:t>
          </w:r>
        </w:p>
        <w:p w:rsidR="00597370" w:rsidRDefault="003C2EEE">
          <w:pPr>
            <w:pStyle w:val="Style175"/>
            <w:ind w:firstLine="420"/>
          </w:pPr>
          <w:r>
            <w:rPr>
              <w:rFonts w:hint="eastAsia"/>
            </w:rPr>
            <w:t>在报告期内，本公司处置子公司或业务，则该子公司或业务期初至</w:t>
          </w:r>
          <w:proofErr w:type="gramStart"/>
          <w:r>
            <w:rPr>
              <w:rFonts w:hint="eastAsia"/>
            </w:rPr>
            <w:t>处置日</w:t>
          </w:r>
          <w:proofErr w:type="gramEnd"/>
          <w:r>
            <w:rPr>
              <w:rFonts w:hint="eastAsia"/>
            </w:rPr>
            <w:t>的收入、费用、利润纳入合并利润表；该子公司或业务期初至</w:t>
          </w:r>
          <w:proofErr w:type="gramStart"/>
          <w:r>
            <w:rPr>
              <w:rFonts w:hint="eastAsia"/>
            </w:rPr>
            <w:t>处置日</w:t>
          </w:r>
          <w:proofErr w:type="gramEnd"/>
          <w:r>
            <w:rPr>
              <w:rFonts w:hint="eastAsia"/>
            </w:rPr>
            <w:t>的现金流量纳入合并现金流量表。</w:t>
          </w:r>
        </w:p>
        <w:p w:rsidR="00597370" w:rsidRDefault="003C2EEE">
          <w:pPr>
            <w:pStyle w:val="Style175"/>
            <w:ind w:firstLine="420"/>
          </w:pPr>
          <w:r>
            <w:rPr>
              <w:rFonts w:hint="eastAsia"/>
            </w:rPr>
            <w:t>因处置部分股权投资或其他原因丧失了对被投资方控制权时，对于处置后的剩余股权投资，本公司按照其在丧失控制权日的公允价值进行重新计量。处置股权取得的对价与剩余股权公允价值之和，减去按原持股比例计算应享有原有子公司自购买日或</w:t>
          </w:r>
          <w:proofErr w:type="gramStart"/>
          <w:r>
            <w:rPr>
              <w:rFonts w:hint="eastAsia"/>
            </w:rPr>
            <w:t>合并日</w:t>
          </w:r>
          <w:proofErr w:type="gramEnd"/>
          <w:r>
            <w:rPr>
              <w:rFonts w:hint="eastAsia"/>
            </w:rPr>
            <w:t>开始持续计算的净资产的份额与商誉之和的差额，计入丧失控制权当期的投资收益。与原有子公司股权投资相关的其他综合收益或除净损益、其他综合收益及利润分配之外的其他所有者权益变动，在丧失控制权时转为当期投资收益，由于被投资方重新计量设定受益计划净负债或净资产变动而产生的其他综合收益除外。</w:t>
          </w:r>
        </w:p>
        <w:p w:rsidR="00597370" w:rsidRDefault="003C2EEE">
          <w:pPr>
            <w:pStyle w:val="Style175"/>
            <w:ind w:firstLine="420"/>
          </w:pPr>
          <w:r>
            <w:rPr>
              <w:rFonts w:hint="eastAsia"/>
            </w:rPr>
            <w:t>②分步处置子公司</w:t>
          </w:r>
        </w:p>
        <w:p w:rsidR="00597370" w:rsidRDefault="003C2EEE">
          <w:pPr>
            <w:pStyle w:val="Style175"/>
            <w:ind w:firstLine="420"/>
          </w:pPr>
          <w:r>
            <w:rPr>
              <w:rFonts w:hint="eastAsia"/>
            </w:rPr>
            <w:t>通过多次交易分步处置对子公司股权投资直至丧失控制权的，处置对子公司股权投资的各项交易的条款、条件以及经济影响符合以下一种或多种情况，通常表明应将多次交易事项作为一揽子交易进行会计处理：</w:t>
          </w:r>
        </w:p>
        <w:p w:rsidR="00597370" w:rsidRDefault="003C2EEE">
          <w:pPr>
            <w:pStyle w:val="Style175"/>
            <w:ind w:firstLine="420"/>
          </w:pPr>
          <w:r>
            <w:t>A.这些交易是同时或者在考虑了彼此影响的情况下订立的；</w:t>
          </w:r>
        </w:p>
        <w:p w:rsidR="00597370" w:rsidRDefault="003C2EEE">
          <w:pPr>
            <w:pStyle w:val="Style175"/>
            <w:ind w:firstLine="420"/>
          </w:pPr>
          <w:r>
            <w:t>B.这些交易整体才能达成一项完整的商业结果；</w:t>
          </w:r>
        </w:p>
        <w:p w:rsidR="00597370" w:rsidRDefault="003C2EEE">
          <w:pPr>
            <w:pStyle w:val="Style175"/>
            <w:ind w:firstLine="420"/>
          </w:pPr>
          <w:r>
            <w:t>C.一项交易的发生取决于其他至少一项交易的发生；</w:t>
          </w:r>
        </w:p>
        <w:p w:rsidR="00597370" w:rsidRDefault="003C2EEE">
          <w:pPr>
            <w:pStyle w:val="Style175"/>
            <w:ind w:firstLine="420"/>
          </w:pPr>
          <w:r>
            <w:t>D.一项交易单独看是不经济的，但是和其他交易一并考虑时是经济的。</w:t>
          </w:r>
        </w:p>
        <w:p w:rsidR="00597370" w:rsidRDefault="003C2EEE">
          <w:pPr>
            <w:pStyle w:val="Style175"/>
            <w:ind w:firstLine="420"/>
          </w:pPr>
          <w:r>
            <w:rPr>
              <w:rFonts w:hint="eastAsia"/>
            </w:rPr>
            <w:t>处置对子公司股权投资直至丧失控制权的各项交易属于一揽子交易的，本公司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597370" w:rsidRDefault="003C2EEE">
          <w:pPr>
            <w:pStyle w:val="Style175"/>
            <w:ind w:firstLine="420"/>
          </w:pPr>
          <w:r>
            <w:rPr>
              <w:rFonts w:hint="eastAsia"/>
            </w:rPr>
            <w:lastRenderedPageBreak/>
            <w:t>处置对子公司股权投资直至丧失控制权的各项交易不属于一揽子交易的，在丧失控制权之前，按不丧失控制权的情况下部分处置对子公司的股权投资的相关政策进行会计处理；在丧失控制权时，按处置子公司一般处理方法进行会计处理。</w:t>
          </w:r>
        </w:p>
        <w:p w:rsidR="00597370" w:rsidRDefault="003C2EEE">
          <w:pPr>
            <w:pStyle w:val="Style175"/>
            <w:ind w:firstLine="420"/>
          </w:pPr>
          <w:r>
            <w:t>3）购买子公司少数股权</w:t>
          </w:r>
        </w:p>
        <w:p w:rsidR="00597370" w:rsidRDefault="003C2EEE">
          <w:pPr>
            <w:pStyle w:val="Style175"/>
            <w:ind w:firstLine="420"/>
          </w:pPr>
          <w:r>
            <w:rPr>
              <w:rFonts w:hint="eastAsia"/>
            </w:rPr>
            <w:t>本公司因购买少数股权新取得的长期股权投资与按照新增持股比例计算应享有子公司自购买日（或合并日）开始持续计算的净资产份额之间的差额，调整合并资产负债表中的资本公积中的股本溢价，资本公积中的股本溢价不足冲减的，调整留存收益。</w:t>
          </w:r>
        </w:p>
        <w:p w:rsidR="00597370" w:rsidRDefault="003C2EEE">
          <w:pPr>
            <w:pStyle w:val="Style175"/>
            <w:ind w:firstLine="420"/>
          </w:pPr>
          <w:r>
            <w:t>4）不丧失控制权的情况下部分处置对子公司的股权投资</w:t>
          </w:r>
        </w:p>
        <w:p w:rsidR="00597370" w:rsidRDefault="003C2EEE">
          <w:pPr>
            <w:pStyle w:val="Style175"/>
            <w:ind w:firstLine="420"/>
          </w:pPr>
          <w:r>
            <w:rPr>
              <w:rFonts w:hint="eastAsia"/>
            </w:rPr>
            <w:t>在不丧失控制权的情况下因部分处置对子公司的长期股权投资而取得的处置价款与处置长期股权投资相对应享有子公司自购买日或</w:t>
          </w:r>
          <w:proofErr w:type="gramStart"/>
          <w:r>
            <w:rPr>
              <w:rFonts w:hint="eastAsia"/>
            </w:rPr>
            <w:t>合并日</w:t>
          </w:r>
          <w:proofErr w:type="gramEnd"/>
          <w:r>
            <w:rPr>
              <w:rFonts w:hint="eastAsia"/>
            </w:rPr>
            <w:t>开始持续计算的净资产份额之间的差额，调整合并资产负债表中的资本公积中的股本溢价，资本公积中的股本溢价不足冲减的，调整留存收益。</w:t>
          </w:r>
        </w:p>
      </w:sdtContent>
    </w:sdt>
    <w:bookmarkEnd w:id="125"/>
    <w:p w:rsidR="00597370" w:rsidRDefault="003C2EEE">
      <w:pPr>
        <w:pStyle w:val="Style109"/>
        <w:numPr>
          <w:ilvl w:val="0"/>
          <w:numId w:val="39"/>
        </w:numPr>
        <w:rPr>
          <w:rFonts w:ascii="宋体" w:hAnsi="宋体"/>
          <w:color w:val="000000" w:themeColor="text1"/>
        </w:rPr>
      </w:pPr>
      <w:r>
        <w:rPr>
          <w:rFonts w:ascii="宋体" w:hAnsi="宋体"/>
          <w:color w:val="000000" w:themeColor="text1"/>
        </w:rPr>
        <w:t>合营安排分类及共同经营会计处理方法</w:t>
      </w:r>
    </w:p>
    <w:sdt>
      <w:sdtPr>
        <w:rPr>
          <w:rFonts w:hint="eastAsia"/>
          <w:color w:val="000000" w:themeColor="text1"/>
        </w:rPr>
        <w:alias w:val="是否适用：合营安排分类及共同经营会计处理方法[双击切换]"/>
        <w:tag w:val="_GBC_f94c8519453541fe9de852d3064d61d5"/>
        <w:id w:val="10732377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合营安排分类及共同经营会计处理方法"/>
        <w:tag w:val="_GBC_cf67ede4230c4056b34792c6a0db55e2"/>
        <w:id w:val="-611281036"/>
        <w:placeholder>
          <w:docPart w:val="GBC22222222222222222222222222222"/>
        </w:placeholder>
      </w:sdtPr>
      <w:sdtEndPr/>
      <w:sdtContent>
        <w:p w:rsidR="00597370" w:rsidRDefault="003C2EEE">
          <w:pPr>
            <w:pStyle w:val="Style175"/>
            <w:ind w:firstLine="420"/>
          </w:pPr>
          <w:r>
            <w:t>(1)合营安排的分类</w:t>
          </w:r>
        </w:p>
        <w:p w:rsidR="00597370" w:rsidRDefault="003C2EEE">
          <w:pPr>
            <w:pStyle w:val="Style175"/>
            <w:ind w:firstLine="420"/>
          </w:pPr>
          <w:r>
            <w:rPr>
              <w:rFonts w:hint="eastAsia"/>
            </w:rPr>
            <w:t>本公司根据合营安排的结构、法律形式以及合营安排中约定的条款、其他相关事实和情况等因素，将合营安排分为共同经营和合营企业。共同经营，是指合营方享有该安排相关资产且承担该安排相关负债的合营安排。合营企业是指合营方仅对该安排的净资产享有权利的合营安排。</w:t>
          </w:r>
        </w:p>
        <w:p w:rsidR="00597370" w:rsidRDefault="003C2EEE">
          <w:pPr>
            <w:pStyle w:val="Style175"/>
            <w:ind w:firstLine="420"/>
          </w:pPr>
          <w:r>
            <w:t>(2)共同经营会计处理方法</w:t>
          </w:r>
        </w:p>
        <w:p w:rsidR="00597370" w:rsidRDefault="003C2EEE">
          <w:pPr>
            <w:pStyle w:val="Style175"/>
            <w:ind w:firstLine="420"/>
          </w:pPr>
          <w:r>
            <w:rPr>
              <w:rFonts w:hint="eastAsia"/>
            </w:rPr>
            <w:t>本公司确认共同经营中利益份额中与本公司相关的下列项目，并按照相关企业会计准则的规定进行会计处理：</w:t>
          </w:r>
        </w:p>
        <w:p w:rsidR="00597370" w:rsidRDefault="003C2EEE">
          <w:pPr>
            <w:pStyle w:val="Style175"/>
            <w:ind w:firstLine="420"/>
          </w:pPr>
          <w:r>
            <w:t>1）确认单独所持有的资产，以及按其份额确认共同持有的资产；</w:t>
          </w:r>
        </w:p>
        <w:p w:rsidR="00597370" w:rsidRDefault="003C2EEE">
          <w:pPr>
            <w:pStyle w:val="Style175"/>
            <w:ind w:firstLine="420"/>
          </w:pPr>
          <w:r>
            <w:t>2）确认单独所承担的负债，以及按其份额确认共同承担的负债；</w:t>
          </w:r>
        </w:p>
        <w:p w:rsidR="00597370" w:rsidRDefault="003C2EEE">
          <w:pPr>
            <w:pStyle w:val="Style175"/>
            <w:ind w:firstLine="420"/>
          </w:pPr>
          <w:r>
            <w:t>3）确认出售其享有的共同经营产出份额所产生的收入；</w:t>
          </w:r>
        </w:p>
        <w:p w:rsidR="00597370" w:rsidRDefault="003C2EEE">
          <w:pPr>
            <w:pStyle w:val="Style175"/>
            <w:ind w:firstLine="420"/>
          </w:pPr>
          <w:r>
            <w:t>4）按其份额确认共同经营因出售产出所产生的收入；</w:t>
          </w:r>
        </w:p>
        <w:p w:rsidR="00597370" w:rsidRDefault="003C2EEE">
          <w:pPr>
            <w:pStyle w:val="Style175"/>
            <w:ind w:firstLine="420"/>
          </w:pPr>
          <w:r>
            <w:t>5）确认单独所发生的费用，以及按其份额确认共同经营发生的费用。</w:t>
          </w:r>
        </w:p>
        <w:p w:rsidR="00597370" w:rsidRDefault="003C2EEE">
          <w:pPr>
            <w:pStyle w:val="Style175"/>
            <w:ind w:firstLine="420"/>
          </w:pPr>
          <w:r>
            <w:rPr>
              <w:rFonts w:hint="eastAsia"/>
            </w:rPr>
            <w:t>本公司向共同经营投出或出售资产等（该资产构成业务的除外），在该资产等由共同经营出售给第三方之前，仅</w:t>
          </w:r>
          <w:proofErr w:type="gramStart"/>
          <w:r>
            <w:rPr>
              <w:rFonts w:hint="eastAsia"/>
            </w:rPr>
            <w:t>确认因</w:t>
          </w:r>
          <w:proofErr w:type="gramEnd"/>
          <w:r>
            <w:rPr>
              <w:rFonts w:hint="eastAsia"/>
            </w:rPr>
            <w:t>该交易产生的损益中归属于共同经营其他参与方的部分。投出或出售的资产发生资产减值损失的，本公司全额确认该损失。</w:t>
          </w:r>
        </w:p>
        <w:p w:rsidR="00597370" w:rsidRDefault="003C2EEE">
          <w:pPr>
            <w:pStyle w:val="Style175"/>
            <w:ind w:firstLine="420"/>
            <w:rPr>
              <w:b/>
              <w:bCs/>
            </w:rPr>
          </w:pPr>
          <w:r>
            <w:rPr>
              <w:rFonts w:hint="eastAsia"/>
            </w:rPr>
            <w:t>本公司</w:t>
          </w:r>
          <w:proofErr w:type="gramStart"/>
          <w:r>
            <w:rPr>
              <w:rFonts w:hint="eastAsia"/>
            </w:rPr>
            <w:t>自共同</w:t>
          </w:r>
          <w:proofErr w:type="gramEnd"/>
          <w:r>
            <w:rPr>
              <w:rFonts w:hint="eastAsia"/>
            </w:rPr>
            <w:t>经营购买资产等（该资产构成业务的除外），在将该资产等出售给第三方之前，仅</w:t>
          </w:r>
          <w:proofErr w:type="gramStart"/>
          <w:r>
            <w:rPr>
              <w:rFonts w:hint="eastAsia"/>
            </w:rPr>
            <w:t>确认因</w:t>
          </w:r>
          <w:proofErr w:type="gramEnd"/>
          <w:r>
            <w:rPr>
              <w:rFonts w:hint="eastAsia"/>
            </w:rPr>
            <w:t>该交易产生的损益中归属于共同经营其他参与方的部分。购入的资产发生资产减值损失的，本公司按承担的份额确认该部分损失。</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r>
        <w:rPr>
          <w:rFonts w:ascii="宋体" w:hAnsi="宋体"/>
          <w:color w:val="000000" w:themeColor="text1"/>
        </w:rPr>
        <w:lastRenderedPageBreak/>
        <w:t>现金及现金等价物的确定标准</w:t>
      </w:r>
    </w:p>
    <w:sdt>
      <w:sdtPr>
        <w:rPr>
          <w:rFonts w:hint="eastAsia"/>
          <w:color w:val="000000" w:themeColor="text1"/>
        </w:rPr>
        <w:alias w:val="现金及现金等价物的确定标准"/>
        <w:tag w:val="_GBC_54f6bc3e44e840bc85cb3872600823b5"/>
        <w:id w:val="-1716038687"/>
        <w:placeholder>
          <w:docPart w:val="GBC22222222222222222222222222222"/>
        </w:placeholder>
      </w:sdtPr>
      <w:sdtEndPr>
        <w:rPr>
          <w:rStyle w:val="Style176"/>
        </w:rPr>
      </w:sdtEndPr>
      <w:sdtContent>
        <w:p w:rsidR="00597370" w:rsidRDefault="003C2EEE">
          <w:pPr>
            <w:rPr>
              <w:color w:val="000000" w:themeColor="text1"/>
            </w:rPr>
          </w:pPr>
          <w:r>
            <w:rPr>
              <w:rStyle w:val="Style176"/>
              <w:rFonts w:hint="eastAsia"/>
            </w:rPr>
            <w:t>在编制现金流量表时，本公司将库存现金以及可以随时用于支付的存款确认为现金，将同时具备期限短（一般从购买日起三个月内到期）、流动性强、易于转换为已知金额的现金、价值变动风险很小四个条件的投资，确定为现金等价物。</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外币业务和外币报表折算</w:t>
      </w:r>
    </w:p>
    <w:sdt>
      <w:sdtPr>
        <w:rPr>
          <w:rFonts w:hint="eastAsia"/>
          <w:color w:val="000000" w:themeColor="text1"/>
        </w:rPr>
        <w:alias w:val="是否适用：外币业务和外币报表折算[双击切换]"/>
        <w:tag w:val="_GBC_cd1fc5c05f5e49ed9ea2fffe41d0d113"/>
        <w:id w:val="10734698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外币业务核算方法"/>
        <w:tag w:val="_GBC_1703fe5fc56b42a8972c0906a4ac6d6b"/>
        <w:id w:val="327402758"/>
        <w:placeholder>
          <w:docPart w:val="GBC22222222222222222222222222222"/>
        </w:placeholder>
      </w:sdtPr>
      <w:sdtEndPr/>
      <w:sdtContent>
        <w:p w:rsidR="00597370" w:rsidRDefault="003C2EEE">
          <w:pPr>
            <w:pStyle w:val="Style175"/>
            <w:ind w:firstLine="420"/>
          </w:pPr>
          <w:r>
            <w:rPr>
              <w:rFonts w:hint="eastAsia"/>
            </w:rPr>
            <w:t>外币业务交易在初始确认时，采用交易发生日的即期汇率作为折算汇率折合成人民币记账。</w:t>
          </w:r>
        </w:p>
        <w:p w:rsidR="00597370" w:rsidRDefault="003C2EEE">
          <w:pPr>
            <w:pStyle w:val="Style175"/>
            <w:ind w:firstLine="420"/>
          </w:pPr>
          <w:r>
            <w:rPr>
              <w:rFonts w:hint="eastAsia"/>
            </w:rPr>
            <w:t>资产负债表日，外币货币性项目按资产负债表日即期汇率折算，由此产生的汇兑差额，除属于与购建符合资本化条件的资产相关的外币专门借款产生的汇兑差额按照借款费用资本化的原则处理外，均计入当期损益。以历史成本计量的外币非货币性项目，仍采用交易发生日的即期汇率折算，不改变其记账本位币金额。</w:t>
          </w:r>
        </w:p>
        <w:p w:rsidR="00597370" w:rsidRDefault="003C2EEE">
          <w:pPr>
            <w:pStyle w:val="Style175"/>
            <w:ind w:firstLine="420"/>
          </w:pPr>
          <w:r>
            <w:rPr>
              <w:rFonts w:hint="eastAsia"/>
            </w:rPr>
            <w:t>以公允价值计量的外币非货币性项目，采用公允价值确定日的即期汇率折算，折算后的记账本位</w:t>
          </w:r>
          <w:proofErr w:type="gramStart"/>
          <w:r>
            <w:rPr>
              <w:rFonts w:hint="eastAsia"/>
            </w:rPr>
            <w:t>币金额</w:t>
          </w:r>
          <w:proofErr w:type="gramEnd"/>
          <w:r>
            <w:rPr>
              <w:rFonts w:hint="eastAsia"/>
            </w:rPr>
            <w:t>与原记账本位</w:t>
          </w:r>
          <w:proofErr w:type="gramStart"/>
          <w:r>
            <w:rPr>
              <w:rFonts w:hint="eastAsia"/>
            </w:rPr>
            <w:t>币金额</w:t>
          </w:r>
          <w:proofErr w:type="gramEnd"/>
          <w:r>
            <w:rPr>
              <w:rFonts w:hint="eastAsia"/>
            </w:rPr>
            <w:t>的差额，作为公允价值变动</w:t>
          </w:r>
          <w:r>
            <w:t>(含汇率变动)处理，计入当期损益或确认为其他综合收益。</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金融工具</w:t>
      </w:r>
    </w:p>
    <w:sdt>
      <w:sdtPr>
        <w:rPr>
          <w:rFonts w:hint="eastAsia"/>
          <w:color w:val="000000" w:themeColor="text1"/>
        </w:rPr>
        <w:alias w:val="是否适用：金融工具_重要会计政策和估计[双击切换]"/>
        <w:tag w:val="_GBC_285bdf73a629411f9c5d05731712b876"/>
        <w:id w:val="-53110296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金融资产和金融负债的核算方法"/>
        <w:tag w:val="_GBC_b358067bbe2a49bf880c383a5db50d8a"/>
        <w:id w:val="-1923399384"/>
        <w:placeholder>
          <w:docPart w:val="GBC22222222222222222222222222222"/>
        </w:placeholder>
      </w:sdtPr>
      <w:sdtEndPr/>
      <w:sdtContent>
        <w:p w:rsidR="00597370" w:rsidRDefault="003C2EEE">
          <w:pPr>
            <w:pStyle w:val="Style175"/>
            <w:ind w:firstLine="420"/>
          </w:pPr>
          <w:r>
            <w:rPr>
              <w:rFonts w:hint="eastAsia"/>
            </w:rPr>
            <w:t>本公司在成为金融工具合同的一方时确认一项金融资产或金融负债。</w:t>
          </w:r>
        </w:p>
        <w:p w:rsidR="00597370" w:rsidRDefault="003C2EEE">
          <w:pPr>
            <w:pStyle w:val="Style175"/>
            <w:ind w:firstLine="420"/>
          </w:pPr>
          <w:r>
            <w:rPr>
              <w:rFonts w:hint="eastAsia"/>
            </w:rPr>
            <w:t>实际利率法是指计算金融资产或金融负债的摊</w:t>
          </w:r>
          <w:proofErr w:type="gramStart"/>
          <w:r>
            <w:rPr>
              <w:rFonts w:hint="eastAsia"/>
            </w:rPr>
            <w:t>余成本</w:t>
          </w:r>
          <w:proofErr w:type="gramEnd"/>
          <w:r>
            <w:rPr>
              <w:rFonts w:hint="eastAsia"/>
            </w:rPr>
            <w:t>以及将利息收入或利息费用分摊计入各会计期间的方法。</w:t>
          </w:r>
        </w:p>
        <w:p w:rsidR="00597370" w:rsidRDefault="003C2EEE">
          <w:pPr>
            <w:pStyle w:val="Style175"/>
            <w:ind w:firstLine="420"/>
          </w:pPr>
          <w:r>
            <w:rPr>
              <w:rFonts w:hint="eastAsia"/>
            </w:rPr>
            <w:t>实际利率，是指将金融资产或金融负债在预计存续期的估计未来现金流量，折现为该金融资产账面余额或该金融负债摊</w:t>
          </w:r>
          <w:proofErr w:type="gramStart"/>
          <w:r>
            <w:rPr>
              <w:rFonts w:hint="eastAsia"/>
            </w:rPr>
            <w:t>余成本</w:t>
          </w:r>
          <w:proofErr w:type="gramEnd"/>
          <w:r>
            <w:rPr>
              <w:rFonts w:hint="eastAsia"/>
            </w:rPr>
            <w:t>所使用的利率。在确定实际利率时，在考虑金融资产或金融负债所有合同条款</w:t>
          </w:r>
          <w:r>
            <w:t>(如提前还款、展期、看涨期权或其他类似期权等)的基础上估计预期现金流量，但不考虑预期信用损失。</w:t>
          </w:r>
        </w:p>
        <w:p w:rsidR="00597370" w:rsidRDefault="003C2EEE">
          <w:pPr>
            <w:pStyle w:val="Style175"/>
            <w:ind w:firstLine="420"/>
          </w:pPr>
          <w:r>
            <w:rPr>
              <w:rFonts w:hint="eastAsia"/>
            </w:rPr>
            <w:t>金融资产或金融负债的摊</w:t>
          </w:r>
          <w:proofErr w:type="gramStart"/>
          <w:r>
            <w:rPr>
              <w:rFonts w:hint="eastAsia"/>
            </w:rPr>
            <w:t>余成本</w:t>
          </w:r>
          <w:proofErr w:type="gramEnd"/>
          <w:r>
            <w:rPr>
              <w:rFonts w:hint="eastAsia"/>
            </w:rPr>
            <w:t>是以该金融资产或金融负债的初始确认金额扣除已偿还的本金，加上或减去采用实际利率法将该初始确认金额与到期</w:t>
          </w:r>
          <w:proofErr w:type="gramStart"/>
          <w:r>
            <w:rPr>
              <w:rFonts w:hint="eastAsia"/>
            </w:rPr>
            <w:t>日金额</w:t>
          </w:r>
          <w:proofErr w:type="gramEnd"/>
          <w:r>
            <w:rPr>
              <w:rFonts w:hint="eastAsia"/>
            </w:rPr>
            <w:t>之间的差额进行摊销形成的累计摊销额，再扣除累计计提的损失准备</w:t>
          </w:r>
          <w:r>
            <w:t>(仅适用于金融资产)。</w:t>
          </w:r>
        </w:p>
        <w:p w:rsidR="00597370" w:rsidRDefault="003C2EEE">
          <w:pPr>
            <w:pStyle w:val="Style175"/>
            <w:ind w:firstLine="420"/>
          </w:pPr>
          <w:r>
            <w:t>(1)金融资产的分类、确认和计量</w:t>
          </w:r>
        </w:p>
        <w:p w:rsidR="00597370" w:rsidRDefault="003C2EEE">
          <w:pPr>
            <w:pStyle w:val="Style175"/>
            <w:ind w:firstLine="420"/>
          </w:pPr>
          <w:r>
            <w:rPr>
              <w:rFonts w:hint="eastAsia"/>
            </w:rPr>
            <w:t>本公司根据所管理金融资产的业务模式和金融资产的合同现金流量特征，将金融资产划分为以下三类：</w:t>
          </w:r>
        </w:p>
        <w:p w:rsidR="00597370" w:rsidRDefault="003C2EEE">
          <w:pPr>
            <w:pStyle w:val="Style175"/>
            <w:ind w:firstLine="420"/>
          </w:pPr>
          <w:r>
            <w:t>1）以摊</w:t>
          </w:r>
          <w:proofErr w:type="gramStart"/>
          <w:r>
            <w:t>余成本</w:t>
          </w:r>
          <w:proofErr w:type="gramEnd"/>
          <w:r>
            <w:t>计量的金融资产。</w:t>
          </w:r>
        </w:p>
        <w:p w:rsidR="00597370" w:rsidRDefault="003C2EEE">
          <w:pPr>
            <w:pStyle w:val="Style175"/>
            <w:ind w:firstLine="420"/>
          </w:pPr>
          <w:r>
            <w:t>2）以公允价值计量且其变动计入其他综合收益的金融资产。</w:t>
          </w:r>
        </w:p>
        <w:p w:rsidR="00597370" w:rsidRDefault="003C2EEE">
          <w:pPr>
            <w:pStyle w:val="Style175"/>
            <w:ind w:firstLine="420"/>
          </w:pPr>
          <w:r>
            <w:t>3）以公允价值计量且其变动计入当期损益的金融资产。</w:t>
          </w:r>
        </w:p>
        <w:p w:rsidR="00597370" w:rsidRDefault="003C2EEE">
          <w:pPr>
            <w:pStyle w:val="Style175"/>
            <w:ind w:firstLine="420"/>
          </w:pPr>
          <w:r>
            <w:rPr>
              <w:rFonts w:hint="eastAsia"/>
            </w:rPr>
            <w:t>金融资产在初始确认时以公允价值计量，但是因销售商品或提供服务等产生的应收账款或应收票据未包含重大融资成分或不考虑不超过一年的融资成分的，按照交易价格进行初始计量。</w:t>
          </w:r>
        </w:p>
        <w:p w:rsidR="00597370" w:rsidRDefault="003C2EEE">
          <w:pPr>
            <w:pStyle w:val="Style175"/>
            <w:ind w:firstLine="420"/>
          </w:pPr>
          <w:r>
            <w:rPr>
              <w:rFonts w:hint="eastAsia"/>
            </w:rPr>
            <w:t>对于以公允价值计量且其变动计入当期损益的金融资产，相关交易费用直接计入当期损益，其他类别的金融资产相关交易费用计入其初始确认金额。</w:t>
          </w:r>
        </w:p>
        <w:p w:rsidR="00597370" w:rsidRDefault="003C2EEE">
          <w:pPr>
            <w:pStyle w:val="Style175"/>
            <w:ind w:firstLine="420"/>
          </w:pPr>
          <w:r>
            <w:rPr>
              <w:rFonts w:hint="eastAsia"/>
            </w:rPr>
            <w:lastRenderedPageBreak/>
            <w:t>金融资产的后续计量取决于其分类，当且仅当本公司改变管理金融资产的业务模式时，才对所有受影响的相关金融资产进行重分类。</w:t>
          </w:r>
        </w:p>
        <w:p w:rsidR="00597370" w:rsidRDefault="003C2EEE">
          <w:pPr>
            <w:pStyle w:val="Style175"/>
            <w:ind w:firstLine="420"/>
          </w:pPr>
          <w:r>
            <w:t>1）分类为以摊</w:t>
          </w:r>
          <w:proofErr w:type="gramStart"/>
          <w:r>
            <w:t>余成本</w:t>
          </w:r>
          <w:proofErr w:type="gramEnd"/>
          <w:r>
            <w:t>计量的金融资产</w:t>
          </w:r>
        </w:p>
        <w:p w:rsidR="00597370" w:rsidRDefault="003C2EEE">
          <w:pPr>
            <w:pStyle w:val="Style175"/>
            <w:ind w:firstLine="420"/>
          </w:pPr>
          <w:r>
            <w:rPr>
              <w:rFonts w:hint="eastAsia"/>
            </w:rPr>
            <w:t>金融资产的合同条款规定在特定日期产生的现金流量仅为对本金和以</w:t>
          </w:r>
          <w:proofErr w:type="gramStart"/>
          <w:r>
            <w:rPr>
              <w:rFonts w:hint="eastAsia"/>
            </w:rPr>
            <w:t>未偿付本</w:t>
          </w:r>
          <w:proofErr w:type="gramEnd"/>
          <w:r>
            <w:rPr>
              <w:rFonts w:hint="eastAsia"/>
            </w:rPr>
            <w:t>金金额为基础的利息的支付，且管理该金融资产的业务模式是以收取合同现金流量为目标，则本公司将该金融资产分类为以摊</w:t>
          </w:r>
          <w:proofErr w:type="gramStart"/>
          <w:r>
            <w:rPr>
              <w:rFonts w:hint="eastAsia"/>
            </w:rPr>
            <w:t>余成本</w:t>
          </w:r>
          <w:proofErr w:type="gramEnd"/>
          <w:r>
            <w:rPr>
              <w:rFonts w:hint="eastAsia"/>
            </w:rPr>
            <w:t>计量的金融资产。本公司分类为以摊</w:t>
          </w:r>
          <w:proofErr w:type="gramStart"/>
          <w:r>
            <w:rPr>
              <w:rFonts w:hint="eastAsia"/>
            </w:rPr>
            <w:t>余成本</w:t>
          </w:r>
          <w:proofErr w:type="gramEnd"/>
          <w:r>
            <w:rPr>
              <w:rFonts w:hint="eastAsia"/>
            </w:rPr>
            <w:t>计量的金融资产包括货币资金、应收款项融资、应收票据、应收账款、其他应收款、债权投资、长期应收款等。</w:t>
          </w:r>
        </w:p>
        <w:p w:rsidR="00597370" w:rsidRDefault="003C2EEE">
          <w:pPr>
            <w:pStyle w:val="Style175"/>
            <w:ind w:firstLine="420"/>
          </w:pPr>
          <w:r>
            <w:rPr>
              <w:rFonts w:hint="eastAsia"/>
            </w:rPr>
            <w:t>本公司对此类金融资产采用实际利率法确认利息收入，</w:t>
          </w:r>
          <w:proofErr w:type="gramStart"/>
          <w:r>
            <w:rPr>
              <w:rFonts w:hint="eastAsia"/>
            </w:rPr>
            <w:t>按摊余成本</w:t>
          </w:r>
          <w:proofErr w:type="gramEnd"/>
          <w:r>
            <w:rPr>
              <w:rFonts w:hint="eastAsia"/>
            </w:rPr>
            <w:t>进行后续计量，其发生减值时或终止确认、修改产生的利得或损失，计入当期损益。除下列情况外，本公司根据金融资产账面余额乘以实际利率计算确定利息收入：</w:t>
          </w:r>
        </w:p>
        <w:p w:rsidR="00597370" w:rsidRDefault="003C2EEE">
          <w:pPr>
            <w:pStyle w:val="Style175"/>
            <w:ind w:firstLine="420"/>
          </w:pPr>
          <w:r>
            <w:rPr>
              <w:rFonts w:hint="eastAsia"/>
            </w:rPr>
            <w:t>①对于</w:t>
          </w:r>
          <w:proofErr w:type="gramStart"/>
          <w:r>
            <w:rPr>
              <w:rFonts w:hint="eastAsia"/>
            </w:rPr>
            <w:t>购入或源生</w:t>
          </w:r>
          <w:proofErr w:type="gramEnd"/>
          <w:r>
            <w:rPr>
              <w:rFonts w:hint="eastAsia"/>
            </w:rPr>
            <w:t>的已发生信用减值的金融资产，本公司自初始确认起，按照该金融资产的摊</w:t>
          </w:r>
          <w:proofErr w:type="gramStart"/>
          <w:r>
            <w:rPr>
              <w:rFonts w:hint="eastAsia"/>
            </w:rPr>
            <w:t>余成本</w:t>
          </w:r>
          <w:proofErr w:type="gramEnd"/>
          <w:r>
            <w:rPr>
              <w:rFonts w:hint="eastAsia"/>
            </w:rPr>
            <w:t>和经信用调整的实际利率计算确定其利息收入。</w:t>
          </w:r>
        </w:p>
        <w:p w:rsidR="00597370" w:rsidRDefault="003C2EEE">
          <w:pPr>
            <w:pStyle w:val="Style175"/>
            <w:ind w:firstLine="420"/>
          </w:pPr>
          <w:r>
            <w:rPr>
              <w:rFonts w:hint="eastAsia"/>
            </w:rPr>
            <w:t>②对于</w:t>
          </w:r>
          <w:proofErr w:type="gramStart"/>
          <w:r>
            <w:rPr>
              <w:rFonts w:hint="eastAsia"/>
            </w:rPr>
            <w:t>购入或源生</w:t>
          </w:r>
          <w:proofErr w:type="gramEnd"/>
          <w:r>
            <w:rPr>
              <w:rFonts w:hint="eastAsia"/>
            </w:rPr>
            <w:t>的未发生信用减值、但在后续期间成为已发生信用减值的金融资产，本公司在后续期间，按照该金融资产的摊</w:t>
          </w:r>
          <w:proofErr w:type="gramStart"/>
          <w:r>
            <w:rPr>
              <w:rFonts w:hint="eastAsia"/>
            </w:rPr>
            <w:t>余成本</w:t>
          </w:r>
          <w:proofErr w:type="gramEnd"/>
          <w:r>
            <w:rPr>
              <w:rFonts w:hint="eastAsia"/>
            </w:rPr>
            <w:t>和实际利率计算确定其利息收入。若该金融工具在后续期间因其信用风险有所改善而不再存在信用减值，</w:t>
          </w:r>
          <w:proofErr w:type="gramStart"/>
          <w:r>
            <w:rPr>
              <w:rFonts w:hint="eastAsia"/>
            </w:rPr>
            <w:t>本公司转按实际</w:t>
          </w:r>
          <w:proofErr w:type="gramEnd"/>
          <w:r>
            <w:rPr>
              <w:rFonts w:hint="eastAsia"/>
            </w:rPr>
            <w:t>利率乘以该金融资产账面余额来计算确定利息收入。</w:t>
          </w:r>
        </w:p>
        <w:p w:rsidR="00597370" w:rsidRDefault="003C2EEE">
          <w:pPr>
            <w:pStyle w:val="Style175"/>
            <w:ind w:firstLine="420"/>
          </w:pPr>
          <w:r>
            <w:t>2）分类为以公允价值计量且其变动计入其他综合收益的金融资产</w:t>
          </w:r>
        </w:p>
        <w:p w:rsidR="00597370" w:rsidRDefault="003C2EEE">
          <w:pPr>
            <w:pStyle w:val="Style175"/>
            <w:ind w:firstLine="420"/>
          </w:pPr>
          <w:r>
            <w:rPr>
              <w:rFonts w:hint="eastAsia"/>
            </w:rPr>
            <w:t>金融资产的合同条款规定在特定日期产生的现金流量仅为对本金和以</w:t>
          </w:r>
          <w:proofErr w:type="gramStart"/>
          <w:r>
            <w:rPr>
              <w:rFonts w:hint="eastAsia"/>
            </w:rPr>
            <w:t>未偿付本</w:t>
          </w:r>
          <w:proofErr w:type="gramEnd"/>
          <w:r>
            <w:rPr>
              <w:rFonts w:hint="eastAsia"/>
            </w:rPr>
            <w:t>金金额为基础的利息的支付，且管理该金融资产的业务模式既以收取合同现金流量为目标又以出售该金融资产为目标，则本公司将该金融资产分类为以公允价值计量且其变动计入其他综合收益的金融资产。</w:t>
          </w:r>
        </w:p>
        <w:p w:rsidR="00597370" w:rsidRDefault="003C2EEE">
          <w:pPr>
            <w:pStyle w:val="Style175"/>
            <w:ind w:firstLine="420"/>
          </w:pPr>
          <w:r>
            <w:rPr>
              <w:rFonts w:hint="eastAsia"/>
            </w:rPr>
            <w:t>本公司对此类金融资产采用实际利率法确认利息收入。除利息收入、减值损失及汇兑差额确认为当期损益外，其余公允价值变动计入其他综合收益。当该金融资产终止确认时，之前计入其他综合收益的累计利得或损失从其他综合收益中转出，计入当期损益。</w:t>
          </w:r>
        </w:p>
        <w:p w:rsidR="00597370" w:rsidRDefault="003C2EEE">
          <w:pPr>
            <w:pStyle w:val="Style175"/>
            <w:ind w:firstLine="420"/>
          </w:pPr>
          <w:r>
            <w:rPr>
              <w:rFonts w:hint="eastAsia"/>
            </w:rPr>
            <w:t>以公允价值计量且变动计入其他综合收益的应收票据及应收账款列报为应收款项融资，其他此类金融资产列报为其他债权投资，其中：自资产负债表日起一年内到期的其他债权投资列报为一年内到期的非流动资产，原到期日在一年以内的其他债权投资列报为其他流动资产。</w:t>
          </w:r>
        </w:p>
        <w:p w:rsidR="00597370" w:rsidRDefault="003C2EEE">
          <w:pPr>
            <w:pStyle w:val="Style175"/>
            <w:ind w:firstLine="420"/>
          </w:pPr>
          <w:r>
            <w:t>3）指定为以公允价值计量且其变动计入其他综合收益的金融资产</w:t>
          </w:r>
        </w:p>
        <w:p w:rsidR="00597370" w:rsidRDefault="003C2EEE">
          <w:pPr>
            <w:pStyle w:val="Style175"/>
            <w:ind w:firstLine="420"/>
          </w:pPr>
          <w:r>
            <w:rPr>
              <w:rFonts w:hint="eastAsia"/>
            </w:rPr>
            <w:t>在初始确认时，本公司可以单项金融资产为基础不可撤销地将</w:t>
          </w:r>
          <w:proofErr w:type="gramStart"/>
          <w:r>
            <w:rPr>
              <w:rFonts w:hint="eastAsia"/>
            </w:rPr>
            <w:t>非交易</w:t>
          </w:r>
          <w:proofErr w:type="gramEnd"/>
          <w:r>
            <w:rPr>
              <w:rFonts w:hint="eastAsia"/>
            </w:rPr>
            <w:t>性权益工具投资指定为以公允价值计量且其变动计入其他综合收益的金融资产。</w:t>
          </w:r>
        </w:p>
        <w:p w:rsidR="00597370" w:rsidRDefault="003C2EEE">
          <w:pPr>
            <w:pStyle w:val="Style175"/>
            <w:ind w:firstLine="420"/>
          </w:pPr>
          <w:r>
            <w:rPr>
              <w:rFonts w:hint="eastAsia"/>
            </w:rPr>
            <w:t>此类金融资产的公允价值变动计入其他综合收益，不需计提减值准备。该金融资产终止确认时，之前计入其他综合收益的累计利得或损失从其他综合收益中转出，计入留存收益。本公司持有该权益工具投资期间，在本公司收取股利的权利已经确立，与股利相关的经济利益很可能流入本公司，且股利的金额能够可靠计量时，确认股利收入并计入当期损益。本公司对此类金融资产在其他权益工具投资项目下列报。</w:t>
          </w:r>
        </w:p>
        <w:p w:rsidR="00597370" w:rsidRDefault="003C2EEE">
          <w:pPr>
            <w:pStyle w:val="Style175"/>
            <w:ind w:firstLine="420"/>
          </w:pPr>
          <w:r>
            <w:rPr>
              <w:rFonts w:hint="eastAsia"/>
            </w:rPr>
            <w:lastRenderedPageBreak/>
            <w:t>权益工具投资满足下列条件之一的，属于以公允价值计量且其变动计入当期损益的金融资产：取得该金融资产的目的主要是为了近期出售；初始确认时属于集中管理的可辨认金融资产工具组合的一部分，且有客观证据表明近期实际存在短期获利模式；属于衍生工具（符合财务担保合同定义的以及被指定为有效套</w:t>
          </w:r>
          <w:proofErr w:type="gramStart"/>
          <w:r>
            <w:rPr>
              <w:rFonts w:hint="eastAsia"/>
            </w:rPr>
            <w:t>期工具</w:t>
          </w:r>
          <w:proofErr w:type="gramEnd"/>
          <w:r>
            <w:rPr>
              <w:rFonts w:hint="eastAsia"/>
            </w:rPr>
            <w:t>的衍生工具除外）。</w:t>
          </w:r>
        </w:p>
        <w:p w:rsidR="00597370" w:rsidRDefault="003C2EEE">
          <w:pPr>
            <w:pStyle w:val="Style175"/>
            <w:ind w:firstLine="420"/>
          </w:pPr>
          <w:r>
            <w:t>4）分类为以公允价值计量且其变动计入当期损益的金融资产</w:t>
          </w:r>
        </w:p>
        <w:p w:rsidR="00597370" w:rsidRDefault="003C2EEE">
          <w:pPr>
            <w:pStyle w:val="Style175"/>
            <w:ind w:firstLine="420"/>
          </w:pPr>
          <w:r>
            <w:rPr>
              <w:rFonts w:hint="eastAsia"/>
            </w:rPr>
            <w:t>不符合分类为以摊</w:t>
          </w:r>
          <w:proofErr w:type="gramStart"/>
          <w:r>
            <w:rPr>
              <w:rFonts w:hint="eastAsia"/>
            </w:rPr>
            <w:t>余成本</w:t>
          </w:r>
          <w:proofErr w:type="gramEnd"/>
          <w:r>
            <w:rPr>
              <w:rFonts w:hint="eastAsia"/>
            </w:rPr>
            <w:t>计量或以公允价值计量且其变动计入其他综合收益的金融资产条件、亦不指定为以公允价值计量且其变动计入其他综合收益的金融资产均分类为以公允价值计量且其变动计入当期损益的金融资产。</w:t>
          </w:r>
        </w:p>
        <w:p w:rsidR="00597370" w:rsidRDefault="003C2EEE">
          <w:pPr>
            <w:pStyle w:val="Style175"/>
            <w:ind w:firstLine="420"/>
          </w:pPr>
          <w:r>
            <w:rPr>
              <w:rFonts w:hint="eastAsia"/>
            </w:rPr>
            <w:t>本公司对此类金融资产采用公允价值进行后续计量，将公允价值变动形成的利得或损失以及与此类金融资产相关的股利和利息收入计入当期损益。</w:t>
          </w:r>
        </w:p>
        <w:p w:rsidR="00597370" w:rsidRDefault="003C2EEE">
          <w:pPr>
            <w:pStyle w:val="Style175"/>
            <w:ind w:firstLine="420"/>
          </w:pPr>
          <w:r>
            <w:rPr>
              <w:rFonts w:hint="eastAsia"/>
            </w:rPr>
            <w:t>本公司对此类金融资产根据其流动性在交易性金融资产、其他非流动金融资产项目列报。</w:t>
          </w:r>
        </w:p>
        <w:p w:rsidR="00597370" w:rsidRDefault="003C2EEE">
          <w:pPr>
            <w:pStyle w:val="Style175"/>
            <w:ind w:firstLine="420"/>
          </w:pPr>
          <w:r>
            <w:t>5）指定为以公允价值计量且其变动计入当期损益的金融资产</w:t>
          </w:r>
        </w:p>
        <w:p w:rsidR="00597370" w:rsidRDefault="003C2EEE">
          <w:pPr>
            <w:pStyle w:val="Style175"/>
            <w:ind w:firstLine="420"/>
          </w:pPr>
          <w:r>
            <w:rPr>
              <w:rFonts w:hint="eastAsia"/>
            </w:rPr>
            <w:t>在初始确认时，本公司为了消除或显著减少会计错配，可以单项金融资产为基础不可撤销地将金融资产指定为以公允价值计量且其变动计入当期损益的金融资产。</w:t>
          </w:r>
        </w:p>
        <w:p w:rsidR="00597370" w:rsidRDefault="003C2EEE">
          <w:pPr>
            <w:pStyle w:val="Style175"/>
            <w:ind w:firstLine="420"/>
          </w:pPr>
          <w:r>
            <w:rPr>
              <w:rFonts w:hint="eastAsia"/>
            </w:rPr>
            <w:t>混合合同包含一项或多项嵌入衍生工具，且其主合同不属于以上金融资产的，本公司可以将其整体指定为以公允价值计量且其变动计入当期损益的金融工具。但下列情况除外：</w:t>
          </w:r>
        </w:p>
        <w:p w:rsidR="00597370" w:rsidRDefault="003C2EEE">
          <w:pPr>
            <w:pStyle w:val="Style175"/>
            <w:ind w:firstLine="420"/>
          </w:pPr>
          <w:r>
            <w:rPr>
              <w:rFonts w:hint="eastAsia"/>
            </w:rPr>
            <w:t>①嵌入衍生工具不会对混合合同的现金流量产生重大改变。</w:t>
          </w:r>
        </w:p>
        <w:p w:rsidR="00597370" w:rsidRDefault="003C2EEE">
          <w:pPr>
            <w:pStyle w:val="Style175"/>
            <w:ind w:firstLine="420"/>
          </w:pPr>
          <w:r>
            <w:rPr>
              <w:rFonts w:hint="eastAsia"/>
            </w:rPr>
            <w:t>②在初次确定类似的混合合同是否需要分拆时，几乎不需分析就能明确其包含的嵌入衍生工具不应分拆。如嵌入贷款的提前还款权，允许持有人以接近摊</w:t>
          </w:r>
          <w:proofErr w:type="gramStart"/>
          <w:r>
            <w:rPr>
              <w:rFonts w:hint="eastAsia"/>
            </w:rPr>
            <w:t>余成本</w:t>
          </w:r>
          <w:proofErr w:type="gramEnd"/>
          <w:r>
            <w:rPr>
              <w:rFonts w:hint="eastAsia"/>
            </w:rPr>
            <w:t>的金额提前偿还贷款，该提前还款权不需要分拆。</w:t>
          </w:r>
        </w:p>
        <w:p w:rsidR="00597370" w:rsidRDefault="003C2EEE">
          <w:pPr>
            <w:pStyle w:val="Style175"/>
            <w:ind w:firstLine="420"/>
          </w:pPr>
          <w:r>
            <w:rPr>
              <w:rFonts w:hint="eastAsia"/>
            </w:rPr>
            <w:t>本公司对此类金融资产采用公允价值进行后续计量，将公允价值变动形成的利得或损失以及与此类金融资产相关的股利和利息收入计入当期损益。</w:t>
          </w:r>
        </w:p>
        <w:p w:rsidR="00597370" w:rsidRDefault="003C2EEE">
          <w:pPr>
            <w:pStyle w:val="Style175"/>
            <w:ind w:firstLine="420"/>
          </w:pPr>
          <w:r>
            <w:rPr>
              <w:rFonts w:hint="eastAsia"/>
            </w:rPr>
            <w:t>本公司对此类金融资产根据其流动性在交易性金融资产、其他非流动金融资产项目列报。</w:t>
          </w:r>
        </w:p>
        <w:p w:rsidR="00597370" w:rsidRDefault="003C2EEE">
          <w:pPr>
            <w:pStyle w:val="Style175"/>
            <w:ind w:firstLine="420"/>
          </w:pPr>
          <w:r>
            <w:t>(2)金融负债的分类、确认和计量</w:t>
          </w:r>
        </w:p>
        <w:p w:rsidR="00597370" w:rsidRDefault="003C2EEE">
          <w:pPr>
            <w:pStyle w:val="Style175"/>
            <w:ind w:firstLine="420"/>
          </w:pPr>
          <w:r>
            <w:rPr>
              <w:rFonts w:hint="eastAsia"/>
            </w:rPr>
            <w:t>本公司根据所发行金融工具的合同条款及其所反映的经济实质而非仅以法律形式，结合金融负债和权益工具的定义，在初始确认时将该金融工具或其组成部分分类为金融负债或权益工具。金融负债在初始确认时分类为：以公允价值计量且其变动计入当期损益的金融负债、其他金融负债、被指定为有效套</w:t>
          </w:r>
          <w:proofErr w:type="gramStart"/>
          <w:r>
            <w:rPr>
              <w:rFonts w:hint="eastAsia"/>
            </w:rPr>
            <w:t>期工具</w:t>
          </w:r>
          <w:proofErr w:type="gramEnd"/>
          <w:r>
            <w:rPr>
              <w:rFonts w:hint="eastAsia"/>
            </w:rPr>
            <w:t>的衍生工具。</w:t>
          </w:r>
        </w:p>
        <w:p w:rsidR="00597370" w:rsidRDefault="003C2EEE">
          <w:pPr>
            <w:pStyle w:val="Style175"/>
            <w:ind w:firstLine="420"/>
          </w:pPr>
          <w:r>
            <w:rPr>
              <w:rFonts w:hint="eastAsia"/>
            </w:rPr>
            <w:t>金融负债在初始确认时以公允价值计量。对于以公允价值计量且其变动计入当期损益的金融负债，相关的交易费用直接计入当期损益；对于其他类别的金融负债，相关交易费用计入初始确认金额。</w:t>
          </w:r>
        </w:p>
        <w:p w:rsidR="00597370" w:rsidRDefault="003C2EEE">
          <w:pPr>
            <w:pStyle w:val="Style175"/>
            <w:ind w:firstLine="420"/>
          </w:pPr>
          <w:r>
            <w:rPr>
              <w:rFonts w:hint="eastAsia"/>
            </w:rPr>
            <w:t>金融负债的后续计量取决于其分类：</w:t>
          </w:r>
        </w:p>
        <w:p w:rsidR="00597370" w:rsidRDefault="003C2EEE">
          <w:pPr>
            <w:pStyle w:val="Style175"/>
            <w:ind w:firstLine="420"/>
          </w:pPr>
          <w:r>
            <w:t>1）以公允价值计量且其变动计入当期损益的金融负债</w:t>
          </w:r>
        </w:p>
        <w:p w:rsidR="00597370" w:rsidRDefault="003C2EEE">
          <w:pPr>
            <w:pStyle w:val="Style175"/>
            <w:ind w:firstLine="420"/>
          </w:pPr>
          <w:r>
            <w:rPr>
              <w:rFonts w:hint="eastAsia"/>
            </w:rPr>
            <w:lastRenderedPageBreak/>
            <w:t>此类金融负债包括交易性金融负债（</w:t>
          </w:r>
          <w:proofErr w:type="gramStart"/>
          <w:r>
            <w:rPr>
              <w:rFonts w:hint="eastAsia"/>
            </w:rPr>
            <w:t>含属于</w:t>
          </w:r>
          <w:proofErr w:type="gramEnd"/>
          <w:r>
            <w:rPr>
              <w:rFonts w:hint="eastAsia"/>
            </w:rPr>
            <w:t>金融负债的衍生工具）和初始确认时指定为以公允价值计量且其变动计入当期损益的金融负债。</w:t>
          </w:r>
        </w:p>
        <w:p w:rsidR="00597370" w:rsidRDefault="003C2EEE">
          <w:pPr>
            <w:pStyle w:val="Style175"/>
            <w:ind w:firstLine="420"/>
          </w:pPr>
          <w:r>
            <w:rPr>
              <w:rFonts w:hint="eastAsia"/>
            </w:rPr>
            <w:t>满足下列条件之一的，属于交易性金融负债：承担相关金融负债的目的主要是为了在近期内出售或回购；属于集中管理的可辨认金融工具组合的一部分，且有客观证据表明企业近期采用短期获利方式模式；属于衍生工具，但是，被指定且为有效套</w:t>
          </w:r>
          <w:proofErr w:type="gramStart"/>
          <w:r>
            <w:rPr>
              <w:rFonts w:hint="eastAsia"/>
            </w:rPr>
            <w:t>期工具</w:t>
          </w:r>
          <w:proofErr w:type="gramEnd"/>
          <w:r>
            <w:rPr>
              <w:rFonts w:hint="eastAsia"/>
            </w:rPr>
            <w:t>的衍生工具、符合财务担保合同的衍生工具除外。交易性金融负债（</w:t>
          </w:r>
          <w:proofErr w:type="gramStart"/>
          <w:r>
            <w:rPr>
              <w:rFonts w:hint="eastAsia"/>
            </w:rPr>
            <w:t>含属于</w:t>
          </w:r>
          <w:proofErr w:type="gramEnd"/>
          <w:r>
            <w:rPr>
              <w:rFonts w:hint="eastAsia"/>
            </w:rPr>
            <w:t>金融负债的衍生工具），按照公允价值进行后续计量，除与套期会计有关外，所有公允价值变动均计入当期损益。</w:t>
          </w:r>
        </w:p>
        <w:p w:rsidR="00597370" w:rsidRDefault="003C2EEE">
          <w:pPr>
            <w:pStyle w:val="Style175"/>
            <w:ind w:firstLine="420"/>
          </w:pPr>
          <w:r>
            <w:rPr>
              <w:rFonts w:hint="eastAsia"/>
            </w:rPr>
            <w:t>在初始确认时，为了提供更相关的会计信息，本公司将满足下列条件之一的金融负债不可撤销地指定为以公允价值计量且其变动计入当期损益的金融负债：</w:t>
          </w:r>
        </w:p>
        <w:p w:rsidR="00597370" w:rsidRDefault="003C2EEE">
          <w:pPr>
            <w:pStyle w:val="Style175"/>
            <w:ind w:firstLine="420"/>
          </w:pPr>
          <w:r>
            <w:rPr>
              <w:rFonts w:hint="eastAsia"/>
            </w:rPr>
            <w:t>①能够消除或显著减少会计错配。</w:t>
          </w:r>
        </w:p>
        <w:p w:rsidR="00597370" w:rsidRDefault="003C2EEE">
          <w:pPr>
            <w:pStyle w:val="Style175"/>
            <w:ind w:firstLine="420"/>
          </w:pPr>
          <w:r>
            <w:rPr>
              <w:rFonts w:hint="eastAsia"/>
            </w:rPr>
            <w:t>②根据正式书面文件载明的企业风险管理或投资策略，以公允价值为基础对金融负债组合或金融资产和金融负债组合进行管理和业绩评价，并在企业内部以此为基础向关键管理人员报告。</w:t>
          </w:r>
        </w:p>
        <w:p w:rsidR="00597370" w:rsidRDefault="003C2EEE">
          <w:pPr>
            <w:pStyle w:val="Style175"/>
            <w:ind w:firstLine="420"/>
          </w:pPr>
          <w:r>
            <w:rPr>
              <w:rFonts w:hint="eastAsia"/>
            </w:rPr>
            <w:t>本公司对此类金融负债采用公允价值进行后续计量，除由本公司自身信用风险变动引起的公允价值变动计入其他综合收益之外，其他公允价值变动计入当期损益。除非由本公司自身信用风险变动引起的公允价值变动计入其他综合收益会造成或扩大损益中的会计错配，本公司将所有公允价值变动（包括自身信用风险变动的影响金额）计入当期损益。</w:t>
          </w:r>
        </w:p>
        <w:p w:rsidR="00597370" w:rsidRDefault="003C2EEE">
          <w:pPr>
            <w:pStyle w:val="Style175"/>
            <w:ind w:firstLine="420"/>
          </w:pPr>
          <w:r>
            <w:t>2）其他金融负债</w:t>
          </w:r>
        </w:p>
        <w:p w:rsidR="00597370" w:rsidRDefault="003C2EEE">
          <w:pPr>
            <w:pStyle w:val="Style175"/>
            <w:ind w:firstLine="420"/>
          </w:pPr>
          <w:r>
            <w:rPr>
              <w:rFonts w:hint="eastAsia"/>
            </w:rPr>
            <w:t>除下列各项外，公司将金融负债分类为以摊</w:t>
          </w:r>
          <w:proofErr w:type="gramStart"/>
          <w:r>
            <w:rPr>
              <w:rFonts w:hint="eastAsia"/>
            </w:rPr>
            <w:t>余成本</w:t>
          </w:r>
          <w:proofErr w:type="gramEnd"/>
          <w:r>
            <w:rPr>
              <w:rFonts w:hint="eastAsia"/>
            </w:rPr>
            <w:t>计量的金融负债，对此类金融负债采用实际利率法，按照摊</w:t>
          </w:r>
          <w:proofErr w:type="gramStart"/>
          <w:r>
            <w:rPr>
              <w:rFonts w:hint="eastAsia"/>
            </w:rPr>
            <w:t>余成本</w:t>
          </w:r>
          <w:proofErr w:type="gramEnd"/>
          <w:r>
            <w:rPr>
              <w:rFonts w:hint="eastAsia"/>
            </w:rPr>
            <w:t>进行后续计量，终止确认或摊销产生的利得或损失计入当期损益：</w:t>
          </w:r>
        </w:p>
        <w:p w:rsidR="00597370" w:rsidRDefault="003C2EEE">
          <w:pPr>
            <w:pStyle w:val="Style175"/>
            <w:ind w:firstLine="420"/>
          </w:pPr>
          <w:r>
            <w:rPr>
              <w:rFonts w:hint="eastAsia"/>
            </w:rPr>
            <w:t>①以公允价值计量且其变动计入当期损益的金融负债。</w:t>
          </w:r>
        </w:p>
        <w:p w:rsidR="00597370" w:rsidRDefault="003C2EEE">
          <w:pPr>
            <w:pStyle w:val="Style175"/>
            <w:ind w:firstLine="420"/>
          </w:pPr>
          <w:r>
            <w:rPr>
              <w:rFonts w:hint="eastAsia"/>
            </w:rPr>
            <w:t>②金融资产转移不符合终止确认条件或继续涉入被转移金融资产所形成的金融负债。</w:t>
          </w:r>
        </w:p>
        <w:p w:rsidR="00597370" w:rsidRDefault="003C2EEE">
          <w:pPr>
            <w:pStyle w:val="Style175"/>
            <w:ind w:firstLine="420"/>
          </w:pPr>
          <w:r>
            <w:rPr>
              <w:rFonts w:hint="eastAsia"/>
            </w:rPr>
            <w:t>③不属于本条前两类情形的财务担保合同，以及不属于本条第</w:t>
          </w:r>
          <w:r>
            <w:t>1）类情形的以低于市场利率贷款的贷款承诺。</w:t>
          </w:r>
        </w:p>
        <w:p w:rsidR="00597370" w:rsidRDefault="003C2EEE">
          <w:pPr>
            <w:pStyle w:val="Style175"/>
            <w:ind w:firstLine="420"/>
          </w:pPr>
          <w:r>
            <w:rPr>
              <w:rFonts w:hint="eastAsia"/>
            </w:rPr>
            <w:t>财务担保合同是指当特定债务人到期不能按照最初或修改后的债务工具条款偿付债务时，要求发行方向蒙受损失的合同持有人赔付特定金额的合同。不属于指定为以公允价值计量且其变动计入当期损益的金融负债的财务担保合同，在初始确认后按照损失准备金额以及初始确认金额扣除担保期内的累计摊销额后的余额孰高进行计量。</w:t>
          </w:r>
        </w:p>
        <w:p w:rsidR="00597370" w:rsidRDefault="003C2EEE">
          <w:pPr>
            <w:pStyle w:val="Style175"/>
            <w:ind w:firstLine="420"/>
          </w:pPr>
          <w:r>
            <w:t>(3)金融资产和金融负债的终止确认</w:t>
          </w:r>
        </w:p>
        <w:p w:rsidR="00597370" w:rsidRDefault="003C2EEE">
          <w:pPr>
            <w:pStyle w:val="Style175"/>
            <w:ind w:firstLine="420"/>
          </w:pPr>
          <w:r>
            <w:t>1）金融资产满足下列条件之一的，终止确认金融资产，即从其账户和资产负债表内予以转销：</w:t>
          </w:r>
        </w:p>
        <w:p w:rsidR="00597370" w:rsidRDefault="003C2EEE">
          <w:pPr>
            <w:pStyle w:val="Style175"/>
            <w:ind w:firstLine="420"/>
          </w:pPr>
          <w:r>
            <w:rPr>
              <w:rFonts w:hint="eastAsia"/>
            </w:rPr>
            <w:t>①收取该金融资产现金流量的合同权利终止。</w:t>
          </w:r>
        </w:p>
        <w:p w:rsidR="00597370" w:rsidRDefault="003C2EEE">
          <w:pPr>
            <w:pStyle w:val="Style175"/>
            <w:ind w:firstLine="420"/>
          </w:pPr>
          <w:r>
            <w:rPr>
              <w:rFonts w:hint="eastAsia"/>
            </w:rPr>
            <w:t>②该金融资产已转移，且</w:t>
          </w:r>
          <w:proofErr w:type="gramStart"/>
          <w:r>
            <w:rPr>
              <w:rFonts w:hint="eastAsia"/>
            </w:rPr>
            <w:t>该转移</w:t>
          </w:r>
          <w:proofErr w:type="gramEnd"/>
          <w:r>
            <w:rPr>
              <w:rFonts w:hint="eastAsia"/>
            </w:rPr>
            <w:t>满足金融资产终止确认的规定。</w:t>
          </w:r>
        </w:p>
        <w:p w:rsidR="00597370" w:rsidRDefault="003C2EEE">
          <w:pPr>
            <w:pStyle w:val="Style175"/>
            <w:ind w:firstLine="420"/>
          </w:pPr>
          <w:r>
            <w:t>2）金融负债终止确认条件</w:t>
          </w:r>
        </w:p>
        <w:p w:rsidR="00597370" w:rsidRDefault="003C2EEE">
          <w:pPr>
            <w:pStyle w:val="Style175"/>
            <w:ind w:firstLine="420"/>
          </w:pPr>
          <w:r>
            <w:rPr>
              <w:rFonts w:hint="eastAsia"/>
            </w:rPr>
            <w:lastRenderedPageBreak/>
            <w:t>金融负债（或其一部分）的现时义务已经解除的，则终止确认该金融负债（或该部分金融负债）。</w:t>
          </w:r>
        </w:p>
        <w:p w:rsidR="00597370" w:rsidRDefault="003C2EEE">
          <w:pPr>
            <w:pStyle w:val="Style175"/>
            <w:ind w:firstLine="420"/>
          </w:pPr>
          <w:r>
            <w:rPr>
              <w:rFonts w:hint="eastAsia"/>
            </w:rPr>
            <w:t>本公司与借出方之间签订协议，以承担新金融负债方式替换原金融负债，且新金融负债与原金融负债的合同条款实质上不同的，或对原金融负债（或其一部分）的合同条款做出实质性修改的，则终止确认原金融负债，同时确认一项新金融负债，账面价值与支付的对价（包括转出的非现金资产或承担的负债）之间的差额，计入当期损益。</w:t>
          </w:r>
        </w:p>
        <w:p w:rsidR="00597370" w:rsidRDefault="003C2EEE">
          <w:pPr>
            <w:pStyle w:val="Style175"/>
            <w:ind w:firstLine="420"/>
          </w:pPr>
          <w:r>
            <w:rPr>
              <w:rFonts w:hint="eastAsia"/>
            </w:rPr>
            <w:t>本公司回购金融负债一部分的，按照继续确认部分和终止确认部分在回购日各自的公允价值占整体公允价值的比例，对该金融负债整体的账面价值进行分配。分配给终止确认部分的账面价值与支付的对价（包括转出的非现金资产或承担的负债）之间的差额，应当计入当期损益。</w:t>
          </w:r>
        </w:p>
        <w:p w:rsidR="00597370" w:rsidRDefault="003C2EEE">
          <w:pPr>
            <w:pStyle w:val="Style175"/>
            <w:ind w:firstLine="420"/>
          </w:pPr>
          <w:r>
            <w:t>(4)金融资产转移的确认依据和计量方法</w:t>
          </w:r>
        </w:p>
        <w:p w:rsidR="00597370" w:rsidRDefault="003C2EEE">
          <w:pPr>
            <w:pStyle w:val="Style175"/>
            <w:ind w:firstLine="420"/>
          </w:pPr>
          <w:r>
            <w:rPr>
              <w:rFonts w:hint="eastAsia"/>
            </w:rPr>
            <w:t>本公司在发生金融资产转移时，评估其保留金融资产所有权上的风险和报酬的程度，并分别下列情形处理：</w:t>
          </w:r>
        </w:p>
        <w:p w:rsidR="00597370" w:rsidRDefault="003C2EEE">
          <w:pPr>
            <w:pStyle w:val="Style175"/>
            <w:ind w:firstLine="420"/>
          </w:pPr>
          <w:r>
            <w:t>1）转移了金融资产所有权上几乎所有风险和报酬的，则终止确认该金融资产，并将转移中产生或保留的权利和义务单独确认为资产或负债。</w:t>
          </w:r>
        </w:p>
        <w:p w:rsidR="00597370" w:rsidRDefault="003C2EEE">
          <w:pPr>
            <w:pStyle w:val="Style175"/>
            <w:ind w:firstLine="420"/>
          </w:pPr>
          <w:r>
            <w:t>2）保留了金融资产所有权上几乎所有风险和报酬的，则继续确认该金融资产。</w:t>
          </w:r>
        </w:p>
        <w:p w:rsidR="00597370" w:rsidRDefault="003C2EEE">
          <w:pPr>
            <w:pStyle w:val="Style175"/>
            <w:ind w:firstLine="420"/>
          </w:pPr>
          <w:r>
            <w:t>3）既没有转移也没有保留金融资产所有权上几乎所有风险和报酬的（即除本条1）、2）之外的其他情形），则根据其是否保留了对金融资产的控制，分别下列情形处理：</w:t>
          </w:r>
        </w:p>
        <w:p w:rsidR="00597370" w:rsidRDefault="003C2EEE">
          <w:pPr>
            <w:pStyle w:val="Style175"/>
            <w:ind w:firstLine="420"/>
          </w:pPr>
          <w:r>
            <w:rPr>
              <w:rFonts w:hint="eastAsia"/>
            </w:rPr>
            <w:t>①未保留对该金融资产控制的，则终止确认该金融资产，并将转移中产生或保留的权利和义务单独确认为资产或负债。</w:t>
          </w:r>
        </w:p>
        <w:p w:rsidR="00597370" w:rsidRDefault="003C2EEE">
          <w:pPr>
            <w:pStyle w:val="Style175"/>
            <w:ind w:firstLine="420"/>
          </w:pPr>
          <w:r>
            <w:rPr>
              <w:rFonts w:hint="eastAsia"/>
            </w:rPr>
            <w:t>②保留了对该金融资产控制的，则按照其继续涉入被转移金融资产的程度继续确认有关金融资产，并相应确认相关负债。继续涉入被转移金融资产的程度，是指本公司承担的被转移金融资产价值变动风险或报酬的程度。</w:t>
          </w:r>
        </w:p>
        <w:p w:rsidR="00597370" w:rsidRDefault="003C2EEE">
          <w:pPr>
            <w:pStyle w:val="Style175"/>
            <w:ind w:firstLine="420"/>
          </w:pPr>
          <w:r>
            <w:rPr>
              <w:rFonts w:hint="eastAsia"/>
            </w:rPr>
            <w:t>在判断金融资产转移是否满足上述金融资产终止确认条件时，采用实质重于形式的原则。公司将金融资产转移区分为金融资产整体转移和部分转移。</w:t>
          </w:r>
        </w:p>
        <w:p w:rsidR="00597370" w:rsidRDefault="003C2EEE">
          <w:pPr>
            <w:pStyle w:val="Style175"/>
            <w:ind w:firstLine="420"/>
          </w:pPr>
          <w:r>
            <w:t>1）金融资产整体转移满足终止确认条件的，将下列两项金额的差额计入当期损益：</w:t>
          </w:r>
        </w:p>
        <w:p w:rsidR="00597370" w:rsidRDefault="003C2EEE">
          <w:pPr>
            <w:pStyle w:val="Style175"/>
            <w:ind w:firstLine="420"/>
          </w:pPr>
          <w:r>
            <w:rPr>
              <w:rFonts w:hint="eastAsia"/>
            </w:rPr>
            <w:t>①被转移金融资产在终止确认日的账面价值。</w:t>
          </w:r>
        </w:p>
        <w:p w:rsidR="00597370" w:rsidRDefault="003C2EEE">
          <w:pPr>
            <w:pStyle w:val="Style175"/>
            <w:ind w:firstLine="420"/>
          </w:pPr>
          <w:r>
            <w:rPr>
              <w:rFonts w:hint="eastAsia"/>
            </w:rPr>
            <w:t>②因转移金融资产而收到的对价，与</w:t>
          </w:r>
          <w:proofErr w:type="gramStart"/>
          <w:r>
            <w:rPr>
              <w:rFonts w:hint="eastAsia"/>
            </w:rPr>
            <w:t>原直接</w:t>
          </w:r>
          <w:proofErr w:type="gramEnd"/>
          <w:r>
            <w:rPr>
              <w:rFonts w:hint="eastAsia"/>
            </w:rPr>
            <w:t>计入其他综合收益的公允价值变动累计额中对应终止确认部分的金额（涉及转移的金融资产为以公允价值计量且其变动计入其他综合收益的金融资产）之</w:t>
          </w:r>
          <w:proofErr w:type="gramStart"/>
          <w:r>
            <w:rPr>
              <w:rFonts w:hint="eastAsia"/>
            </w:rPr>
            <w:t>和</w:t>
          </w:r>
          <w:proofErr w:type="gramEnd"/>
          <w:r>
            <w:rPr>
              <w:rFonts w:hint="eastAsia"/>
            </w:rPr>
            <w:t>。</w:t>
          </w:r>
        </w:p>
        <w:p w:rsidR="00597370" w:rsidRDefault="003C2EEE">
          <w:pPr>
            <w:pStyle w:val="Style175"/>
            <w:ind w:firstLine="420"/>
          </w:pPr>
          <w:r>
            <w:t>2）金融资产部分转移且该被转移部分整体满足终止确认条件的，将转移前金融资产整体的账面价值，在终止确认部分和继续确认部分（在此种情形下，所保留的服务资产应当视同继续确认金融资产的一部分）之间，按照</w:t>
          </w:r>
          <w:proofErr w:type="gramStart"/>
          <w:r>
            <w:t>转移日</w:t>
          </w:r>
          <w:proofErr w:type="gramEnd"/>
          <w:r>
            <w:t>各自的相对公允价值进行分摊，并将下列两项金额的差额计入当期损益：</w:t>
          </w:r>
        </w:p>
        <w:p w:rsidR="00597370" w:rsidRDefault="003C2EEE">
          <w:pPr>
            <w:pStyle w:val="Style175"/>
            <w:ind w:firstLine="420"/>
          </w:pPr>
          <w:r>
            <w:rPr>
              <w:rFonts w:hint="eastAsia"/>
            </w:rPr>
            <w:t>①终止确认部分在终止确认日的账面价值。</w:t>
          </w:r>
        </w:p>
        <w:p w:rsidR="00597370" w:rsidRDefault="003C2EEE">
          <w:pPr>
            <w:pStyle w:val="Style175"/>
            <w:ind w:firstLine="420"/>
          </w:pPr>
          <w:r>
            <w:rPr>
              <w:rFonts w:hint="eastAsia"/>
            </w:rPr>
            <w:lastRenderedPageBreak/>
            <w:t>②终止确认部分收到的对价，与原计入其他综合收益的公允价值变动累计额中对应终止确认部分的金额（涉及转移的金融资产为以公允价值计量且其变动计入其他综合收益的金融资产）之</w:t>
          </w:r>
          <w:proofErr w:type="gramStart"/>
          <w:r>
            <w:rPr>
              <w:rFonts w:hint="eastAsia"/>
            </w:rPr>
            <w:t>和</w:t>
          </w:r>
          <w:proofErr w:type="gramEnd"/>
          <w:r>
            <w:rPr>
              <w:rFonts w:hint="eastAsia"/>
            </w:rPr>
            <w:t>。</w:t>
          </w:r>
        </w:p>
        <w:p w:rsidR="00597370" w:rsidRDefault="003C2EEE">
          <w:pPr>
            <w:pStyle w:val="Style175"/>
            <w:ind w:firstLine="420"/>
          </w:pPr>
          <w:r>
            <w:rPr>
              <w:rFonts w:hint="eastAsia"/>
            </w:rPr>
            <w:t>金融资产转移不满足终止确认条件的，继续确认该金融资产，所收到的对价确认为一项金融负债。</w:t>
          </w:r>
        </w:p>
        <w:p w:rsidR="00597370" w:rsidRDefault="003C2EEE">
          <w:pPr>
            <w:pStyle w:val="Style175"/>
            <w:ind w:firstLine="420"/>
          </w:pPr>
          <w:r>
            <w:t>(5)金融资产和金融负债公允价值的确定方法</w:t>
          </w:r>
        </w:p>
        <w:p w:rsidR="00597370" w:rsidRDefault="003C2EEE">
          <w:pPr>
            <w:pStyle w:val="Style175"/>
            <w:ind w:firstLine="420"/>
          </w:pPr>
          <w:r>
            <w:rPr>
              <w:rFonts w:hint="eastAsia"/>
            </w:rPr>
            <w:t>存在活跃市场的金融资产或金融负债，以活跃市场的报价确定其公允价值，除非该项金融资产存在针对资产本身的限售期。对于针对资产本身的限售的金融资产，按照活跃市场的报价扣除市场参与者因承担指定期间内无法在公开市场上出售该金融资产的风险而要求获得的补偿金额后确定。活跃市场的报价包括易于且可定期从交易所、交易商、经纪人、行业集团、定价机构或监管机构等获得相关资产或负债的报价，且能代表在公平交易基础上实际并经常发生的市场交易。</w:t>
          </w:r>
        </w:p>
        <w:p w:rsidR="00597370" w:rsidRDefault="003C2EEE">
          <w:pPr>
            <w:pStyle w:val="Style175"/>
            <w:ind w:firstLine="420"/>
          </w:pPr>
          <w:r>
            <w:rPr>
              <w:rFonts w:hint="eastAsia"/>
            </w:rPr>
            <w:t>初始取得或衍生的金融资产或承担的金融负债，以市场交易价格作为确定其公允价值的基础。</w:t>
          </w:r>
        </w:p>
        <w:p w:rsidR="00597370" w:rsidRDefault="003C2EEE">
          <w:pPr>
            <w:pStyle w:val="Style175"/>
            <w:ind w:firstLine="420"/>
          </w:pPr>
          <w:r>
            <w:rPr>
              <w:rFonts w:hint="eastAsia"/>
            </w:rPr>
            <w:t>不存在活跃市场的金融资产或金融负债，采用估值技术确定其公允价值。在估值时，本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p w:rsidR="00597370" w:rsidRDefault="003C2EEE">
          <w:pPr>
            <w:pStyle w:val="Style175"/>
            <w:ind w:firstLine="420"/>
          </w:pPr>
          <w:r>
            <w:t>(6)金融工具减值</w:t>
          </w:r>
        </w:p>
        <w:p w:rsidR="00597370" w:rsidRDefault="003C2EEE">
          <w:pPr>
            <w:pStyle w:val="Style175"/>
            <w:ind w:firstLine="420"/>
          </w:pPr>
          <w:r>
            <w:rPr>
              <w:rFonts w:hint="eastAsia"/>
            </w:rPr>
            <w:t>本公司对以摊</w:t>
          </w:r>
          <w:proofErr w:type="gramStart"/>
          <w:r>
            <w:rPr>
              <w:rFonts w:hint="eastAsia"/>
            </w:rPr>
            <w:t>余成本</w:t>
          </w:r>
          <w:proofErr w:type="gramEnd"/>
          <w:r>
            <w:rPr>
              <w:rFonts w:hint="eastAsia"/>
            </w:rPr>
            <w:t>计量的金融资产以预期信用损失为基础进行减值会计处理并确认损失准备。</w:t>
          </w:r>
        </w:p>
        <w:p w:rsidR="00597370" w:rsidRDefault="003C2EEE">
          <w:pPr>
            <w:pStyle w:val="Style175"/>
            <w:ind w:firstLine="420"/>
          </w:pPr>
          <w:r>
            <w:rPr>
              <w:rFonts w:hint="eastAsia"/>
            </w:rPr>
            <w:t>预期信用损失，是指以发生违约的风险为权重的金融工具信用损失的加权平均值。信用损失，是指本公司按照</w:t>
          </w:r>
          <w:proofErr w:type="gramStart"/>
          <w:r>
            <w:rPr>
              <w:rFonts w:hint="eastAsia"/>
            </w:rPr>
            <w:t>原实际</w:t>
          </w:r>
          <w:proofErr w:type="gramEnd"/>
          <w:r>
            <w:rPr>
              <w:rFonts w:hint="eastAsia"/>
            </w:rPr>
            <w:t>利率折现的、根据合同应收的所有合同现金流量与预期收取的所有现金流量之间的差额，即全部现金短缺的现值。其中，对于本公司</w:t>
          </w:r>
          <w:proofErr w:type="gramStart"/>
          <w:r>
            <w:rPr>
              <w:rFonts w:hint="eastAsia"/>
            </w:rPr>
            <w:t>购买或源生</w:t>
          </w:r>
          <w:proofErr w:type="gramEnd"/>
          <w:r>
            <w:rPr>
              <w:rFonts w:hint="eastAsia"/>
            </w:rPr>
            <w:t>的已发生信用减值的金融资产，应按照该金融资产经信用调整的实际利率折现。</w:t>
          </w:r>
        </w:p>
        <w:p w:rsidR="00597370" w:rsidRDefault="003C2EEE">
          <w:pPr>
            <w:pStyle w:val="Style175"/>
            <w:ind w:firstLine="420"/>
          </w:pPr>
          <w:r>
            <w:rPr>
              <w:rFonts w:hint="eastAsia"/>
            </w:rPr>
            <w:t>对由收入准则规范的交易形成的应收票据、应收款项以及租赁应收款，本公司运用简化计量方法，按照相当于整个存续期内预期信用损失的金额计量损失准备。</w:t>
          </w:r>
        </w:p>
        <w:p w:rsidR="00597370" w:rsidRDefault="003C2EEE">
          <w:pPr>
            <w:pStyle w:val="Style175"/>
            <w:ind w:firstLine="420"/>
          </w:pPr>
          <w:r>
            <w:rPr>
              <w:rFonts w:hint="eastAsia"/>
            </w:rPr>
            <w:t>对于</w:t>
          </w:r>
          <w:proofErr w:type="gramStart"/>
          <w:r>
            <w:rPr>
              <w:rFonts w:hint="eastAsia"/>
            </w:rPr>
            <w:t>购买或源生</w:t>
          </w:r>
          <w:proofErr w:type="gramEnd"/>
          <w:r>
            <w:rPr>
              <w:rFonts w:hint="eastAsia"/>
            </w:rPr>
            <w:t>的已发生信用减值的金融资产，在资产负债表日仅将自初始确认后整个存续期内预期信用损失的累计变动确认为损失准备。在每个资产负债表日，将整个存续期内预期信用损失的变动金额作为减值损失或利得计入当期损益。即使该资产负债表日确定的整个存续期内预期信用损失小于初始确认时估计现金流量所反映的预期信用损失的金额，也将预期信用损失的有利变动确认为减值利得。</w:t>
          </w:r>
        </w:p>
        <w:p w:rsidR="00597370" w:rsidRDefault="003C2EEE">
          <w:pPr>
            <w:pStyle w:val="Style175"/>
            <w:ind w:firstLine="420"/>
          </w:pPr>
          <w:r>
            <w:rPr>
              <w:rFonts w:hint="eastAsia"/>
            </w:rPr>
            <w:t>除上述采用简化计量方法和</w:t>
          </w:r>
          <w:proofErr w:type="gramStart"/>
          <w:r>
            <w:rPr>
              <w:rFonts w:hint="eastAsia"/>
            </w:rPr>
            <w:t>购买或源生</w:t>
          </w:r>
          <w:proofErr w:type="gramEnd"/>
          <w:r>
            <w:rPr>
              <w:rFonts w:hint="eastAsia"/>
            </w:rPr>
            <w:t>的已发生信用减值以外的其他金融资产，本公司在每个资产负债表日评估相关金融工具的信用风险自初始确认后是否已显著增加，并按照下列情形分别计量其损失准备、确认预期信用损失及其变动：</w:t>
          </w:r>
        </w:p>
        <w:p w:rsidR="00597370" w:rsidRDefault="003C2EEE">
          <w:pPr>
            <w:pStyle w:val="Style175"/>
            <w:ind w:firstLine="420"/>
          </w:pPr>
          <w:r>
            <w:lastRenderedPageBreak/>
            <w:t>1）如果该金融工具的信用风险自初始确认后并未显著增加，处于第一阶段，则按照相当于该金融工具未来12个月内预期信用损失的金额计量其损失准备，并按照账面余额和实际利率计算利息收入。</w:t>
          </w:r>
        </w:p>
        <w:p w:rsidR="00597370" w:rsidRDefault="003C2EEE">
          <w:pPr>
            <w:pStyle w:val="Style175"/>
            <w:ind w:firstLine="420"/>
          </w:pPr>
          <w:r>
            <w:t>2）如果该金融工具的信用风险自初始确认后已显著增加但尚未发生信用减值的，处于第二阶段，则按照相当于该金融工具整个存续期内预期信用损失的金额计量其损失准备，并按照账面余额和实际利率计算利息收入。</w:t>
          </w:r>
        </w:p>
        <w:p w:rsidR="00597370" w:rsidRDefault="003C2EEE">
          <w:pPr>
            <w:pStyle w:val="Style175"/>
            <w:ind w:firstLine="420"/>
          </w:pPr>
          <w:r>
            <w:t>3）如果该金融工具自初始确认后已经发生信用减值的，处于第三阶段，本公司按照相当于该金融工具整个存续期内预期信用损失的金额计量其损失准备，并按照摊</w:t>
          </w:r>
          <w:proofErr w:type="gramStart"/>
          <w:r>
            <w:t>余成本</w:t>
          </w:r>
          <w:proofErr w:type="gramEnd"/>
          <w:r>
            <w:t>和实际利率计算利息收入。</w:t>
          </w:r>
        </w:p>
        <w:p w:rsidR="00597370" w:rsidRDefault="003C2EEE">
          <w:pPr>
            <w:pStyle w:val="Style175"/>
            <w:ind w:firstLine="420"/>
          </w:pPr>
          <w:r>
            <w:rPr>
              <w:rFonts w:hint="eastAsia"/>
            </w:rPr>
            <w:t>金融工具信用损失准备的增加或转回金额，作为减值损失或利得计入当期损益。除分类为以公允价值计量且其变动计入其他综合收益的金融资产外，信用损失准备抵减金融资产的账面余额。对于分类为以公允价值计量且其变动计入其他综合收益的金融资产，本公司在其他综合收益中确认其信用损失准备，不减少该金融资产在资产负债表中列示的账面价值。</w:t>
          </w:r>
        </w:p>
        <w:p w:rsidR="00597370" w:rsidRDefault="003C2EEE">
          <w:pPr>
            <w:pStyle w:val="Style175"/>
            <w:ind w:firstLine="420"/>
          </w:pPr>
          <w:r>
            <w:rPr>
              <w:rFonts w:hint="eastAsia"/>
            </w:rPr>
            <w:t>本公司在前一会计期间已经按照相当于金融工具整个存续期内预期信用损失的金额计量了损失准备，但在当期资产负债表日，该金融工具已不再属于自初始确认后信用风险显著增加的情形的，本公司在当期资产负债表</w:t>
          </w:r>
          <w:proofErr w:type="gramStart"/>
          <w:r>
            <w:rPr>
              <w:rFonts w:hint="eastAsia"/>
            </w:rPr>
            <w:t>日按照</w:t>
          </w:r>
          <w:proofErr w:type="gramEnd"/>
          <w:r>
            <w:rPr>
              <w:rFonts w:hint="eastAsia"/>
            </w:rPr>
            <w:t>相当于未来</w:t>
          </w:r>
          <w:r>
            <w:t>12个月内预期信用损失的金额计量该金融工具的损失准备，由此形成的损失准备的转回金额作为减值利得计入当期损益。</w:t>
          </w:r>
        </w:p>
        <w:p w:rsidR="00597370" w:rsidRDefault="003C2EEE">
          <w:pPr>
            <w:pStyle w:val="Style175"/>
            <w:ind w:firstLine="420"/>
          </w:pPr>
          <w:r>
            <w:t>1）信用风险显著增加</w:t>
          </w:r>
        </w:p>
        <w:p w:rsidR="00597370" w:rsidRDefault="003C2EEE">
          <w:pPr>
            <w:pStyle w:val="Style175"/>
            <w:ind w:firstLine="420"/>
          </w:pPr>
          <w:r>
            <w:rPr>
              <w:rFonts w:hint="eastAsia"/>
            </w:rPr>
            <w:t>本公司利用可获得的合理且有依据的前瞻性信息，通过比较金融工具在资产负债表日发生违约的风险与在初始确认日发生违约的风险，以确定金融工具的信用风险自初始确认后是否已显著增加。对于财务担保合同，本公司在应用金融工具减值规定时，将本公司成为做出不可撤销承诺的一方之日作为初始确认日。</w:t>
          </w:r>
        </w:p>
        <w:p w:rsidR="00597370" w:rsidRDefault="003C2EEE">
          <w:pPr>
            <w:pStyle w:val="Style175"/>
            <w:ind w:firstLine="420"/>
          </w:pPr>
          <w:r>
            <w:rPr>
              <w:rFonts w:hint="eastAsia"/>
            </w:rPr>
            <w:t>本公司在评估信用风险是否显著增加时会考虑如下因素：</w:t>
          </w:r>
        </w:p>
        <w:p w:rsidR="00597370" w:rsidRDefault="003C2EEE">
          <w:pPr>
            <w:pStyle w:val="Style175"/>
            <w:ind w:firstLine="420"/>
          </w:pPr>
          <w:r>
            <w:rPr>
              <w:rFonts w:hint="eastAsia"/>
            </w:rPr>
            <w:t>①债务人经营成果实际或预期是否发生显著变化；</w:t>
          </w:r>
        </w:p>
        <w:p w:rsidR="00597370" w:rsidRDefault="003C2EEE">
          <w:pPr>
            <w:pStyle w:val="Style175"/>
            <w:ind w:firstLine="420"/>
          </w:pPr>
          <w:r>
            <w:rPr>
              <w:rFonts w:hint="eastAsia"/>
            </w:rPr>
            <w:t>②债务人所处的监管、经济或技术环境是否发生显著不利变化；</w:t>
          </w:r>
        </w:p>
        <w:p w:rsidR="00597370" w:rsidRDefault="003C2EEE">
          <w:pPr>
            <w:pStyle w:val="Style175"/>
            <w:ind w:firstLine="420"/>
          </w:pPr>
          <w:r>
            <w:rPr>
              <w:rFonts w:hint="eastAsia"/>
            </w:rPr>
            <w:t>③作为债务抵押的担保物价值或第三方提供的担保或信用增级质量是否发生显著变化，这些变化预期将降低债务人按合同规定期限还款的经济动机或者影响违约概率；</w:t>
          </w:r>
        </w:p>
        <w:p w:rsidR="00597370" w:rsidRDefault="003C2EEE">
          <w:pPr>
            <w:pStyle w:val="Style175"/>
            <w:ind w:firstLine="420"/>
          </w:pPr>
          <w:r>
            <w:rPr>
              <w:rFonts w:hint="eastAsia"/>
            </w:rPr>
            <w:t>④债务人预期表现和还款行为是否发生显著变化；</w:t>
          </w:r>
        </w:p>
        <w:p w:rsidR="00597370" w:rsidRDefault="003C2EEE">
          <w:pPr>
            <w:pStyle w:val="Style175"/>
            <w:ind w:firstLine="420"/>
          </w:pPr>
          <w:r>
            <w:rPr>
              <w:rFonts w:hint="eastAsia"/>
            </w:rPr>
            <w:t>⑤本公司对金融工具信用管理方法是否发生变化等。</w:t>
          </w:r>
        </w:p>
        <w:p w:rsidR="00597370" w:rsidRDefault="003C2EEE">
          <w:pPr>
            <w:pStyle w:val="Style175"/>
            <w:ind w:firstLine="420"/>
          </w:pPr>
          <w:r>
            <w:rPr>
              <w:rFonts w:hint="eastAsia"/>
            </w:rPr>
            <w:t>于资产负债表日，若本公司判断金融工具只具有较低的信用风险，则本公司假定该金融工具的信用风险自初始确认后并未显著增加。如果金融工具的违约风险较低，借款人在短期内履行其合同现金流量义务的能力很强，并且即使较长时期内经济形势和经营环境存在不利变化，但未必一定降低借款人履行其合同现金流量义务的能力，则该金融工具被视为具有较低的信用风险。</w:t>
          </w:r>
        </w:p>
        <w:p w:rsidR="00597370" w:rsidRDefault="003C2EEE">
          <w:pPr>
            <w:pStyle w:val="Style175"/>
            <w:ind w:firstLine="420"/>
          </w:pPr>
          <w:r>
            <w:t>2）已发生信用减值的金融资产</w:t>
          </w:r>
        </w:p>
        <w:p w:rsidR="00597370" w:rsidRDefault="003C2EEE">
          <w:pPr>
            <w:pStyle w:val="Style175"/>
            <w:ind w:firstLine="420"/>
          </w:pPr>
          <w:r>
            <w:rPr>
              <w:rFonts w:hint="eastAsia"/>
            </w:rPr>
            <w:lastRenderedPageBreak/>
            <w:t>当对金融资产预期未来现金流量具有不利影响的一项或多项事件发生时，该金融资产成为已发生信用减值的金融资产。金融资产已发生信用减值的证据包括下列可观察信息：</w:t>
          </w:r>
        </w:p>
        <w:p w:rsidR="00597370" w:rsidRDefault="003C2EEE">
          <w:pPr>
            <w:pStyle w:val="Style175"/>
            <w:ind w:firstLine="420"/>
          </w:pPr>
          <w:r>
            <w:rPr>
              <w:rFonts w:hint="eastAsia"/>
            </w:rPr>
            <w:t>①发行方或债务人发生重大财务困难；</w:t>
          </w:r>
        </w:p>
        <w:p w:rsidR="00597370" w:rsidRDefault="003C2EEE">
          <w:pPr>
            <w:pStyle w:val="Style175"/>
            <w:ind w:firstLine="420"/>
          </w:pPr>
          <w:r>
            <w:rPr>
              <w:rFonts w:hint="eastAsia"/>
            </w:rPr>
            <w:t>②债务人违反合同，如偿付利息或本金违约或逾期等；</w:t>
          </w:r>
        </w:p>
        <w:p w:rsidR="00597370" w:rsidRDefault="003C2EEE">
          <w:pPr>
            <w:pStyle w:val="Style175"/>
            <w:ind w:firstLine="420"/>
          </w:pPr>
          <w:r>
            <w:rPr>
              <w:rFonts w:hint="eastAsia"/>
            </w:rPr>
            <w:t>③债权人出于与债务人财务困难有关的经济或合同考虑，给予债务人在任何其他情况下都不会做出的让步；</w:t>
          </w:r>
        </w:p>
        <w:p w:rsidR="00597370" w:rsidRDefault="003C2EEE">
          <w:pPr>
            <w:pStyle w:val="Style175"/>
            <w:ind w:firstLine="420"/>
          </w:pPr>
          <w:r>
            <w:rPr>
              <w:rFonts w:hint="eastAsia"/>
            </w:rPr>
            <w:t>④债务人很可能破产或进行其他财务重组；</w:t>
          </w:r>
        </w:p>
        <w:p w:rsidR="00597370" w:rsidRDefault="003C2EEE">
          <w:pPr>
            <w:pStyle w:val="Style175"/>
            <w:ind w:firstLine="420"/>
          </w:pPr>
          <w:r>
            <w:rPr>
              <w:rFonts w:hint="eastAsia"/>
            </w:rPr>
            <w:t>⑤发行方或债务人财务困难导致该金融资产的活跃市场消失；</w:t>
          </w:r>
        </w:p>
        <w:p w:rsidR="00597370" w:rsidRDefault="003C2EEE">
          <w:pPr>
            <w:pStyle w:val="Style175"/>
            <w:ind w:firstLine="420"/>
          </w:pPr>
          <w:r>
            <w:rPr>
              <w:rFonts w:hint="eastAsia"/>
            </w:rPr>
            <w:t>⑥以大幅折扣</w:t>
          </w:r>
          <w:proofErr w:type="gramStart"/>
          <w:r>
            <w:rPr>
              <w:rFonts w:hint="eastAsia"/>
            </w:rPr>
            <w:t>购买或源生</w:t>
          </w:r>
          <w:proofErr w:type="gramEnd"/>
          <w:r>
            <w:rPr>
              <w:rFonts w:hint="eastAsia"/>
            </w:rPr>
            <w:t>一项金融资产，该折扣反映了发生信用损失的事实。</w:t>
          </w:r>
        </w:p>
        <w:p w:rsidR="00597370" w:rsidRDefault="003C2EEE">
          <w:pPr>
            <w:pStyle w:val="Style175"/>
            <w:ind w:firstLine="420"/>
          </w:pPr>
          <w:r>
            <w:rPr>
              <w:rFonts w:hint="eastAsia"/>
            </w:rPr>
            <w:t>金融资产发生信用减值，有可能是多个事件的共同作用所致，未必是可单独识别的事件所致。</w:t>
          </w:r>
        </w:p>
        <w:p w:rsidR="00597370" w:rsidRDefault="003C2EEE">
          <w:pPr>
            <w:pStyle w:val="Style175"/>
            <w:ind w:firstLine="420"/>
          </w:pPr>
          <w:r>
            <w:t>3）预期信用损失的确定</w:t>
          </w:r>
        </w:p>
        <w:p w:rsidR="00597370" w:rsidRDefault="003C2EEE">
          <w:pPr>
            <w:pStyle w:val="Style175"/>
            <w:ind w:firstLine="420"/>
          </w:pPr>
          <w:r>
            <w:rPr>
              <w:rFonts w:hint="eastAsia"/>
            </w:rPr>
            <w:t>本公司基于单项和组合评估金融工具的预期信用损失，在评估预期信用损失时，考虑有关过去事项、当前状况以及未来经济状况预测的合理且有依据的信息。</w:t>
          </w:r>
        </w:p>
        <w:p w:rsidR="00597370" w:rsidRDefault="003C2EEE">
          <w:pPr>
            <w:pStyle w:val="Style175"/>
            <w:ind w:firstLine="420"/>
          </w:pPr>
          <w:r>
            <w:rPr>
              <w:rFonts w:hint="eastAsia"/>
            </w:rPr>
            <w:t>本公司以共同信用风险特征为依据，将金融工具分为不同组合。本公司采用的共同信用风险特征包括：金融工具类型、信用风险评级、账龄组合、逾期</w:t>
          </w:r>
          <w:proofErr w:type="gramStart"/>
          <w:r>
            <w:rPr>
              <w:rFonts w:hint="eastAsia"/>
            </w:rPr>
            <w:t>账</w:t>
          </w:r>
          <w:proofErr w:type="gramEnd"/>
          <w:r>
            <w:rPr>
              <w:rFonts w:hint="eastAsia"/>
            </w:rPr>
            <w:t>龄组合、合同结算周期、债务人所处行业等。相关金融工具的单项评估标准和组合信用风险特征详见相关金融工具的会计政策。</w:t>
          </w:r>
        </w:p>
        <w:p w:rsidR="00597370" w:rsidRDefault="003C2EEE">
          <w:pPr>
            <w:pStyle w:val="Style175"/>
            <w:ind w:firstLine="420"/>
          </w:pPr>
          <w:r>
            <w:rPr>
              <w:rFonts w:hint="eastAsia"/>
            </w:rPr>
            <w:t>本公司按照下列方法确定相关金融工具的预期信用损失：</w:t>
          </w:r>
        </w:p>
        <w:p w:rsidR="00597370" w:rsidRDefault="003C2EEE">
          <w:pPr>
            <w:pStyle w:val="Style175"/>
            <w:ind w:firstLine="420"/>
          </w:pPr>
          <w:r>
            <w:rPr>
              <w:rFonts w:hint="eastAsia"/>
            </w:rPr>
            <w:t>①对于金融资产，信用损失为本公司应收取的合同现金流量与预期收取的现金流量之间差额的现值。</w:t>
          </w:r>
        </w:p>
        <w:p w:rsidR="00597370" w:rsidRDefault="003C2EEE">
          <w:pPr>
            <w:pStyle w:val="Style175"/>
            <w:ind w:firstLine="420"/>
          </w:pPr>
          <w:r>
            <w:rPr>
              <w:rFonts w:hint="eastAsia"/>
            </w:rPr>
            <w:t>②对于租赁应收款项，信用损失为本公司应收取的合同现金流量与预期收取的现金流量之间差额的现值。</w:t>
          </w:r>
        </w:p>
        <w:p w:rsidR="00597370" w:rsidRDefault="003C2EEE">
          <w:pPr>
            <w:pStyle w:val="Style175"/>
            <w:ind w:firstLine="420"/>
          </w:pPr>
          <w:r>
            <w:rPr>
              <w:rFonts w:hint="eastAsia"/>
            </w:rPr>
            <w:t>③对于财务担保合同，信用损失为本公司就该合同持有人发生的信用损失向其做出赔付的预计付款额，减去本公司预期向该合同持有人、债务人或任何其他方收取的金额之间差额的现值。</w:t>
          </w:r>
        </w:p>
        <w:p w:rsidR="00597370" w:rsidRDefault="003C2EEE">
          <w:pPr>
            <w:pStyle w:val="Style175"/>
            <w:ind w:firstLine="420"/>
          </w:pPr>
          <w:r>
            <w:rPr>
              <w:rFonts w:hint="eastAsia"/>
            </w:rPr>
            <w:t>④对于资产负债表日已发生信用减值但并非</w:t>
          </w:r>
          <w:proofErr w:type="gramStart"/>
          <w:r>
            <w:rPr>
              <w:rFonts w:hint="eastAsia"/>
            </w:rPr>
            <w:t>购买或源生</w:t>
          </w:r>
          <w:proofErr w:type="gramEnd"/>
          <w:r>
            <w:rPr>
              <w:rFonts w:hint="eastAsia"/>
            </w:rPr>
            <w:t>已发生信用减值的金融资产，信用损失为该金融资产账面余额与按</w:t>
          </w:r>
          <w:proofErr w:type="gramStart"/>
          <w:r>
            <w:rPr>
              <w:rFonts w:hint="eastAsia"/>
            </w:rPr>
            <w:t>原实际</w:t>
          </w:r>
          <w:proofErr w:type="gramEnd"/>
          <w:r>
            <w:rPr>
              <w:rFonts w:hint="eastAsia"/>
            </w:rPr>
            <w:t>利率折现的估计未来现金流量的现值之间的差额。</w:t>
          </w:r>
        </w:p>
        <w:p w:rsidR="00597370" w:rsidRDefault="003C2EEE">
          <w:pPr>
            <w:pStyle w:val="Style175"/>
            <w:ind w:firstLine="420"/>
          </w:pPr>
          <w:r>
            <w:rPr>
              <w:rFonts w:hint="eastAsia"/>
            </w:rPr>
            <w:t>本公司计量金融工具预期信用损失的方法反映的因素包括：通过评价一系列可能的结果而确定的无偏概率加权平均金额；货币时间价值；在资产负债表日无须付出不必要的额外成本或努力即可获得的有关过去事项、当前状况以及未来经济状况预测的合理且有依据的信息。</w:t>
          </w:r>
        </w:p>
        <w:p w:rsidR="00597370" w:rsidRDefault="003C2EEE">
          <w:pPr>
            <w:pStyle w:val="Style175"/>
            <w:ind w:firstLine="420"/>
          </w:pPr>
          <w:r>
            <w:t>4）</w:t>
          </w:r>
          <w:proofErr w:type="gramStart"/>
          <w:r>
            <w:t>减记金融资产</w:t>
          </w:r>
          <w:proofErr w:type="gramEnd"/>
        </w:p>
        <w:p w:rsidR="00597370" w:rsidRDefault="003C2EEE">
          <w:pPr>
            <w:pStyle w:val="Style175"/>
            <w:ind w:firstLine="420"/>
          </w:pPr>
          <w:r>
            <w:rPr>
              <w:rFonts w:hint="eastAsia"/>
            </w:rPr>
            <w:t>当本公司不再合理预期金融资产合同现金流量能够全部或部分收回的，直接</w:t>
          </w:r>
          <w:proofErr w:type="gramStart"/>
          <w:r>
            <w:rPr>
              <w:rFonts w:hint="eastAsia"/>
            </w:rPr>
            <w:t>减记该</w:t>
          </w:r>
          <w:proofErr w:type="gramEnd"/>
          <w:r>
            <w:rPr>
              <w:rFonts w:hint="eastAsia"/>
            </w:rPr>
            <w:t>金融资产的账面余额。这种</w:t>
          </w:r>
          <w:proofErr w:type="gramStart"/>
          <w:r>
            <w:rPr>
              <w:rFonts w:hint="eastAsia"/>
            </w:rPr>
            <w:t>减记构成</w:t>
          </w:r>
          <w:proofErr w:type="gramEnd"/>
          <w:r>
            <w:rPr>
              <w:rFonts w:hint="eastAsia"/>
            </w:rPr>
            <w:t>相关金融资产的终止确认。</w:t>
          </w:r>
        </w:p>
        <w:p w:rsidR="00597370" w:rsidRDefault="003C2EEE">
          <w:pPr>
            <w:pStyle w:val="Style175"/>
            <w:ind w:firstLine="420"/>
          </w:pPr>
          <w:r>
            <w:t>(7)金融资产及金融负债的</w:t>
          </w:r>
          <w:proofErr w:type="gramStart"/>
          <w:r>
            <w:t>抵销</w:t>
          </w:r>
          <w:proofErr w:type="gramEnd"/>
        </w:p>
        <w:p w:rsidR="00597370" w:rsidRDefault="003C2EEE">
          <w:pPr>
            <w:pStyle w:val="Style175"/>
            <w:ind w:firstLine="420"/>
          </w:pPr>
          <w:r>
            <w:rPr>
              <w:rFonts w:hint="eastAsia"/>
            </w:rPr>
            <w:lastRenderedPageBreak/>
            <w:t>金融资产和金融负债在资产负债表内分别列示，没有相互</w:t>
          </w:r>
          <w:proofErr w:type="gramStart"/>
          <w:r>
            <w:rPr>
              <w:rFonts w:hint="eastAsia"/>
            </w:rPr>
            <w:t>抵销</w:t>
          </w:r>
          <w:proofErr w:type="gramEnd"/>
          <w:r>
            <w:rPr>
              <w:rFonts w:hint="eastAsia"/>
            </w:rPr>
            <w:t>。但是，同时满足下列条件的，以相互</w:t>
          </w:r>
          <w:proofErr w:type="gramStart"/>
          <w:r>
            <w:rPr>
              <w:rFonts w:hint="eastAsia"/>
            </w:rPr>
            <w:t>抵销</w:t>
          </w:r>
          <w:proofErr w:type="gramEnd"/>
          <w:r>
            <w:rPr>
              <w:rFonts w:hint="eastAsia"/>
            </w:rPr>
            <w:t>后的净额在资产负债表内列示：</w:t>
          </w:r>
        </w:p>
        <w:p w:rsidR="00597370" w:rsidRDefault="003C2EEE">
          <w:pPr>
            <w:pStyle w:val="Style175"/>
            <w:ind w:firstLine="420"/>
          </w:pPr>
          <w:r>
            <w:t>1）本公司具有</w:t>
          </w:r>
          <w:proofErr w:type="gramStart"/>
          <w:r>
            <w:t>抵销</w:t>
          </w:r>
          <w:proofErr w:type="gramEnd"/>
          <w:r>
            <w:t>已确认金额的法定权利，且该种法定权利是当前可执行的；</w:t>
          </w:r>
        </w:p>
        <w:p w:rsidR="00597370" w:rsidRDefault="003C2EEE">
          <w:pPr>
            <w:pStyle w:val="Style175"/>
            <w:ind w:firstLine="420"/>
          </w:pPr>
          <w:r>
            <w:t>2）本公司计划以净额结算，或同时变现该金融资产和清偿该金融负债。</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bookmarkStart w:id="126" w:name="_Hlk533667757"/>
      <w:bookmarkStart w:id="127" w:name="_Hlk167809825"/>
      <w:r>
        <w:rPr>
          <w:rFonts w:ascii="宋体" w:hAnsi="宋体"/>
          <w:color w:val="000000" w:themeColor="text1"/>
        </w:rPr>
        <w:t>应收票据</w:t>
      </w:r>
    </w:p>
    <w:sdt>
      <w:sdtPr>
        <w:rPr>
          <w:color w:val="000000" w:themeColor="text1"/>
        </w:rPr>
        <w:alias w:val="是否适用：应收票据_重要会计政策和估计[双击切换]"/>
        <w:tag w:val="_GBC_aefda35d1a7148f0844e33d721703cda"/>
        <w:id w:val="-41994789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26"/>
    <w:p w:rsidR="00597370" w:rsidRDefault="003C2EEE">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应收票据按照信用风险特征组合计提坏账准备的组合类别及确定依据[双击切换]"/>
        <w:tag w:val="_GBC_6949617b516947f48c32672b1d486a5b"/>
        <w:id w:val="-42311525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bCs w:val="0"/>
          <w:color w:val="000000" w:themeColor="text1"/>
        </w:rPr>
        <w:alias w:val="应收票据按照信用风险特征组合计提坏账准备的组合类别及确定依据"/>
        <w:tag w:val="_GBC_1062e1c58d3c4ef4bca492c1e513cad2"/>
        <w:id w:val="-1929878554"/>
        <w:placeholder>
          <w:docPart w:val="GBC22222222222222222222222222222"/>
        </w:placeholder>
      </w:sdtPr>
      <w:sdtEndPr/>
      <w:sdtContent>
        <w:p w:rsidR="00597370" w:rsidRDefault="003C2EEE">
          <w:pPr>
            <w:ind w:firstLineChars="200" w:firstLine="420"/>
            <w:rPr>
              <w:rStyle w:val="Style176"/>
            </w:rPr>
          </w:pPr>
          <w:r>
            <w:rPr>
              <w:rStyle w:val="Style176"/>
              <w:rFonts w:hint="eastAsia"/>
            </w:rPr>
            <w:t>当在单项工具层面无法以合理成本评估预期信用损失的充分证据时，本公司参考历史信用损失经验，结合当前状况以及对未来经济状况的判断，依据信用风险特征将</w:t>
          </w:r>
          <w:r>
            <w:rPr>
              <w:rStyle w:val="Style176"/>
            </w:rPr>
            <w:tab/>
            <w:t>应收票据划分为若干组合，在组合基础上计算预期信用损失。确定组合的依据如下：</w:t>
          </w:r>
        </w:p>
        <w:tbl>
          <w:tblPr>
            <w:tblStyle w:val="g3"/>
            <w:tblW w:w="5000" w:type="pct"/>
            <w:jc w:val="center"/>
            <w:tblLayout w:type="fixed"/>
            <w:tblCellMar>
              <w:left w:w="0" w:type="dxa"/>
              <w:right w:w="28" w:type="dxa"/>
            </w:tblCellMar>
            <w:tblLook w:val="04A0" w:firstRow="1" w:lastRow="0" w:firstColumn="1" w:lastColumn="0" w:noHBand="0" w:noVBand="1"/>
          </w:tblPr>
          <w:tblGrid>
            <w:gridCol w:w="2940"/>
            <w:gridCol w:w="2941"/>
            <w:gridCol w:w="2942"/>
          </w:tblGrid>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组合名称</w:t>
                </w:r>
              </w:p>
            </w:tc>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确定组合的依据</w:t>
                </w:r>
              </w:p>
            </w:tc>
            <w:tc>
              <w:tcPr>
                <w:tcW w:w="2956" w:type="dxa"/>
                <w:vAlign w:val="center"/>
              </w:tcPr>
              <w:p w:rsidR="00597370" w:rsidRDefault="003C2EEE">
                <w:pPr>
                  <w:jc w:val="center"/>
                  <w:rPr>
                    <w:rFonts w:ascii="Times New Roman" w:hAnsi="Times New Roman"/>
                    <w:color w:val="000000" w:themeColor="text1"/>
                  </w:rPr>
                </w:pPr>
                <w:r>
                  <w:rPr>
                    <w:rFonts w:ascii="Times New Roman" w:hAnsi="Times New Roman" w:hint="eastAsia"/>
                  </w:rPr>
                  <w:t>计提方法</w:t>
                </w:r>
              </w:p>
            </w:tc>
          </w:tr>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proofErr w:type="gramStart"/>
                <w:r>
                  <w:rPr>
                    <w:rFonts w:ascii="Times New Roman" w:hAnsi="Times New Roman" w:hint="eastAsia"/>
                  </w:rPr>
                  <w:t>账</w:t>
                </w:r>
                <w:proofErr w:type="gramEnd"/>
                <w:r>
                  <w:rPr>
                    <w:rFonts w:ascii="Times New Roman" w:hAnsi="Times New Roman" w:hint="eastAsia"/>
                  </w:rPr>
                  <w:t>龄组合</w:t>
                </w:r>
              </w:p>
            </w:tc>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账龄分析法</w:t>
                </w:r>
              </w:p>
            </w:tc>
            <w:tc>
              <w:tcPr>
                <w:tcW w:w="2956" w:type="dxa"/>
                <w:vAlign w:val="center"/>
              </w:tcPr>
              <w:p w:rsidR="00597370" w:rsidRDefault="003C2EEE">
                <w:pPr>
                  <w:jc w:val="center"/>
                  <w:rPr>
                    <w:rFonts w:ascii="Times New Roman" w:hAnsi="Times New Roman"/>
                    <w:color w:val="000000" w:themeColor="text1"/>
                  </w:rPr>
                </w:pPr>
                <w:r>
                  <w:rPr>
                    <w:rFonts w:ascii="Times New Roman" w:hAnsi="Times New Roman" w:hint="eastAsia"/>
                  </w:rPr>
                  <w:t>参考历史信用损失经验，结合当前状况以及对未来经济状况的预期计量坏账准备</w:t>
                </w:r>
              </w:p>
            </w:tc>
          </w:tr>
        </w:tbl>
        <w:p w:rsidR="00597370" w:rsidRDefault="003C2EEE">
          <w:pPr>
            <w:pStyle w:val="Style175"/>
            <w:ind w:firstLine="420"/>
          </w:pPr>
          <w:r>
            <w:rPr>
              <w:rFonts w:hint="eastAsia"/>
            </w:rPr>
            <w:t>计提方法：参考历史信用损失经验，结合当前状况以及对未来经济状况的预测，通过违约风险敞口和整个存续期预期信用损失率，计算预期信用损失。</w:t>
          </w:r>
        </w:p>
      </w:sdtContent>
    </w:sdt>
    <w:p w:rsidR="00597370" w:rsidRDefault="00597370">
      <w:pPr>
        <w:rPr>
          <w:rFonts w:cs="Times New Roman"/>
          <w:b/>
          <w:color w:val="000000" w:themeColor="text1"/>
          <w:kern w:val="2"/>
          <w:szCs w:val="28"/>
        </w:rPr>
      </w:pPr>
    </w:p>
    <w:p w:rsidR="00597370" w:rsidRDefault="003C2EEE">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应收票据基于账龄确认信用风险特征组合的账龄计算方法[双击切换]"/>
        <w:tag w:val="_GBC_65e77abc757c44a39f32a7fae1f5da22"/>
        <w:id w:val="-118489851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应收票据基于账龄确认信用风险特征组合的账龄计算方法"/>
        <w:tag w:val="_GBC_394187d2c39247acae82ce34a8553271"/>
        <w:id w:val="-102807930"/>
        <w:placeholder>
          <w:docPart w:val="GBC22222222222222222222222222222"/>
        </w:placeholder>
      </w:sdtPr>
      <w:sdtEndPr>
        <w:rPr>
          <w:rStyle w:val="Style176"/>
        </w:rPr>
      </w:sdtEndPr>
      <w:sdtContent>
        <w:p w:rsidR="00597370" w:rsidRDefault="003C2EEE">
          <w:pPr>
            <w:rPr>
              <w:rStyle w:val="Style176"/>
            </w:rPr>
          </w:pPr>
          <w:proofErr w:type="gramStart"/>
          <w:r>
            <w:rPr>
              <w:rStyle w:val="Style176"/>
              <w:rFonts w:hint="eastAsia"/>
            </w:rPr>
            <w:t>账</w:t>
          </w:r>
          <w:proofErr w:type="gramEnd"/>
          <w:r>
            <w:rPr>
              <w:rStyle w:val="Style176"/>
              <w:rFonts w:hint="eastAsia"/>
            </w:rPr>
            <w:t>龄组合的账龄与预期信用损失率对照表详见本报告第十节</w:t>
          </w:r>
          <w:r>
            <w:rPr>
              <w:rStyle w:val="Style176"/>
            </w:rPr>
            <w:t>.五.11.(6)金融工具减值。</w:t>
          </w:r>
        </w:p>
      </w:sdtContent>
    </w:sdt>
    <w:p w:rsidR="00597370" w:rsidRDefault="00597370">
      <w:pPr>
        <w:rPr>
          <w:rFonts w:cs="Times New Roman"/>
          <w:b/>
          <w:color w:val="000000" w:themeColor="text1"/>
          <w:kern w:val="2"/>
          <w:szCs w:val="28"/>
        </w:rPr>
      </w:pPr>
    </w:p>
    <w:p w:rsidR="00597370" w:rsidRDefault="003C2EEE">
      <w:pPr>
        <w:rPr>
          <w:rFonts w:cs="Times New Roman"/>
          <w:b/>
          <w:color w:val="000000" w:themeColor="text1"/>
          <w:kern w:val="2"/>
          <w:szCs w:val="28"/>
        </w:rPr>
      </w:pPr>
      <w:r>
        <w:rPr>
          <w:rFonts w:cs="Times New Roman"/>
          <w:b/>
          <w:color w:val="000000" w:themeColor="text1"/>
          <w:kern w:val="2"/>
          <w:szCs w:val="28"/>
        </w:rPr>
        <w:t>按照单项计提坏账准备的单项计提判断标准</w:t>
      </w:r>
    </w:p>
    <w:sdt>
      <w:sdtPr>
        <w:rPr>
          <w:color w:val="000000" w:themeColor="text1"/>
        </w:rPr>
        <w:alias w:val="是否适用：应收票据按照单项计提坏账准备的单项计提判断标准[双击切换]"/>
        <w:tag w:val="_GBC_1bf4baad09e74a3fb93e3d4c5a63530e"/>
        <w:id w:val="-70416794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应收票据按照单项计提坏账准备的单项计提判断标准"/>
        <w:tag w:val="_GBC_bda178db73f64a379756cf6dbe566e83"/>
        <w:id w:val="-899832143"/>
        <w:placeholder>
          <w:docPart w:val="GBC22222222222222222222222222222"/>
        </w:placeholder>
      </w:sdtPr>
      <w:sdtEndPr>
        <w:rPr>
          <w:rStyle w:val="Style176"/>
        </w:rPr>
      </w:sdtEndPr>
      <w:sdtContent>
        <w:p w:rsidR="00597370" w:rsidRDefault="003C2EEE">
          <w:pPr>
            <w:rPr>
              <w:rStyle w:val="Style176"/>
            </w:rPr>
          </w:pPr>
          <w:r>
            <w:rPr>
              <w:rStyle w:val="Style176"/>
              <w:rFonts w:hint="eastAsia"/>
            </w:rPr>
            <w:t>对信用风险与组合信用风险显著不同的应收票据，本公司按单项计提预期信用损失。本公司对单项金额重大且在初始确认后已经发生信用减值的应收票据单独确定其信用损失。</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bookmarkStart w:id="128" w:name="_Hlk533667783"/>
      <w:bookmarkStart w:id="129" w:name="_Hlk152690378"/>
      <w:r>
        <w:rPr>
          <w:rFonts w:ascii="宋体" w:hAnsi="宋体"/>
          <w:color w:val="000000" w:themeColor="text1"/>
        </w:rPr>
        <w:t>应收账款</w:t>
      </w:r>
    </w:p>
    <w:sdt>
      <w:sdtPr>
        <w:rPr>
          <w:rFonts w:hint="eastAsia"/>
          <w:color w:val="000000" w:themeColor="text1"/>
        </w:rPr>
        <w:alias w:val="是否适用：应收账款_重要会计政策和估计[双击切换]"/>
        <w:tag w:val="_GBC_9bb0ad4fd90e4860a048c5c1b42cdc17"/>
        <w:id w:val="85214594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28"/>
    <w:bookmarkEnd w:id="129"/>
    <w:p w:rsidR="00597370" w:rsidRDefault="003C2EEE">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应收账款按照信用风险特征组合计提坏账准备的组合类别及确定依据[双击切换]"/>
        <w:tag w:val="_GBC_e449a3926afc4ff1a9407716d384d444"/>
        <w:id w:val="71963742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bCs w:val="0"/>
          <w:color w:val="000000" w:themeColor="text1"/>
        </w:rPr>
        <w:alias w:val="应收账款按照信用风险特征组合计提坏账准备的组合类别及确定依据"/>
        <w:tag w:val="_GBC_16b22a4b7b8c483dac42f07fc6ac4bc2"/>
        <w:id w:val="-1585143449"/>
        <w:placeholder>
          <w:docPart w:val="GBC22222222222222222222222222222"/>
        </w:placeholder>
      </w:sdtPr>
      <w:sdtEndPr/>
      <w:sdtContent>
        <w:p w:rsidR="00597370" w:rsidRDefault="003C2EEE">
          <w:pPr>
            <w:rPr>
              <w:color w:val="000000" w:themeColor="text1"/>
            </w:rPr>
          </w:pPr>
          <w:r>
            <w:rPr>
              <w:rFonts w:hint="eastAsia"/>
              <w:color w:val="000000" w:themeColor="text1"/>
            </w:rPr>
            <w:t>当在单项工具层面无法以合理成本评估预期信用损失的充分证据时，本公司参考历史信用损失经验，结合当前状况以及对未来经济状况的判断，依据信用风险特征将应收账款划分为若干组合，在组合基础上计算预期信用损失。确定组合的依据如下：</w:t>
          </w:r>
        </w:p>
        <w:tbl>
          <w:tblPr>
            <w:tblStyle w:val="g3"/>
            <w:tblW w:w="5000" w:type="pct"/>
            <w:jc w:val="center"/>
            <w:tblLayout w:type="fixed"/>
            <w:tblCellMar>
              <w:left w:w="0" w:type="dxa"/>
              <w:right w:w="28" w:type="dxa"/>
            </w:tblCellMar>
            <w:tblLook w:val="04A0" w:firstRow="1" w:lastRow="0" w:firstColumn="1" w:lastColumn="0" w:noHBand="0" w:noVBand="1"/>
          </w:tblPr>
          <w:tblGrid>
            <w:gridCol w:w="2940"/>
            <w:gridCol w:w="2941"/>
            <w:gridCol w:w="2942"/>
          </w:tblGrid>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组合名称</w:t>
                </w:r>
              </w:p>
            </w:tc>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确定组合的依据</w:t>
                </w:r>
              </w:p>
            </w:tc>
            <w:tc>
              <w:tcPr>
                <w:tcW w:w="2956" w:type="dxa"/>
                <w:vAlign w:val="center"/>
              </w:tcPr>
              <w:p w:rsidR="00597370" w:rsidRDefault="003C2EEE">
                <w:pPr>
                  <w:jc w:val="center"/>
                  <w:rPr>
                    <w:rFonts w:ascii="Times New Roman" w:hAnsi="Times New Roman"/>
                    <w:color w:val="000000" w:themeColor="text1"/>
                  </w:rPr>
                </w:pPr>
                <w:r>
                  <w:rPr>
                    <w:rFonts w:ascii="Times New Roman" w:hAnsi="Times New Roman" w:hint="eastAsia"/>
                  </w:rPr>
                  <w:t>计提方法</w:t>
                </w:r>
              </w:p>
            </w:tc>
          </w:tr>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组合</w:t>
                </w:r>
                <w:proofErr w:type="gramStart"/>
                <w:r>
                  <w:rPr>
                    <w:rFonts w:ascii="Times New Roman" w:hAnsi="Times New Roman" w:hint="eastAsia"/>
                  </w:rPr>
                  <w:t>一</w:t>
                </w:r>
                <w:proofErr w:type="gramEnd"/>
                <w:r>
                  <w:rPr>
                    <w:rFonts w:ascii="Times New Roman" w:hAnsi="Times New Roman" w:hint="eastAsia"/>
                  </w:rPr>
                  <w:t>：</w:t>
                </w:r>
                <w:proofErr w:type="gramStart"/>
                <w:r>
                  <w:rPr>
                    <w:rFonts w:ascii="Times New Roman" w:hAnsi="Times New Roman" w:hint="eastAsia"/>
                  </w:rPr>
                  <w:t>账</w:t>
                </w:r>
                <w:proofErr w:type="gramEnd"/>
                <w:r>
                  <w:rPr>
                    <w:rFonts w:ascii="Times New Roman" w:hAnsi="Times New Roman" w:hint="eastAsia"/>
                  </w:rPr>
                  <w:t>龄组合</w:t>
                </w:r>
              </w:p>
            </w:tc>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账</w:t>
                </w:r>
                <w:proofErr w:type="gramStart"/>
                <w:r>
                  <w:rPr>
                    <w:rFonts w:ascii="Times New Roman" w:hAnsi="Times New Roman" w:hint="eastAsia"/>
                  </w:rPr>
                  <w:t>龄状态</w:t>
                </w:r>
                <w:proofErr w:type="gramEnd"/>
              </w:p>
            </w:tc>
            <w:tc>
              <w:tcPr>
                <w:tcW w:w="2956" w:type="dxa"/>
                <w:vAlign w:val="center"/>
              </w:tcPr>
              <w:p w:rsidR="00597370" w:rsidRDefault="003C2EEE">
                <w:pPr>
                  <w:jc w:val="center"/>
                  <w:rPr>
                    <w:rFonts w:ascii="Times New Roman" w:hAnsi="Times New Roman"/>
                    <w:color w:val="000000" w:themeColor="text1"/>
                  </w:rPr>
                </w:pPr>
                <w:proofErr w:type="gramStart"/>
                <w:r>
                  <w:rPr>
                    <w:rFonts w:ascii="Times New Roman" w:hAnsi="Times New Roman" w:hint="eastAsia"/>
                  </w:rPr>
                  <w:t>按账龄</w:t>
                </w:r>
                <w:proofErr w:type="gramEnd"/>
                <w:r>
                  <w:rPr>
                    <w:rFonts w:ascii="Times New Roman" w:hAnsi="Times New Roman" w:hint="eastAsia"/>
                  </w:rPr>
                  <w:t>与整个存续期预期信用损失率对照表计提</w:t>
                </w:r>
              </w:p>
            </w:tc>
          </w:tr>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组合二：同一母公司并表范围内的关联方组合</w:t>
                </w:r>
              </w:p>
            </w:tc>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合并范围内单位之间的应收款项</w:t>
                </w:r>
              </w:p>
            </w:tc>
            <w:tc>
              <w:tcPr>
                <w:tcW w:w="2956" w:type="dxa"/>
                <w:vAlign w:val="center"/>
              </w:tcPr>
              <w:p w:rsidR="00597370" w:rsidRDefault="003C2EEE">
                <w:pPr>
                  <w:jc w:val="center"/>
                  <w:rPr>
                    <w:rFonts w:ascii="Times New Roman" w:hAnsi="Times New Roman"/>
                    <w:color w:val="000000" w:themeColor="text1"/>
                  </w:rPr>
                </w:pPr>
                <w:r>
                  <w:rPr>
                    <w:rFonts w:ascii="Times New Roman" w:hAnsi="Times New Roman" w:hint="eastAsia"/>
                  </w:rPr>
                  <w:t>除明显证据表明存在坏账风险，并对其单项测试计提减值损失外，本公司参考历史信用损失经验，结合当前状况以及对未来经济状况的预期，对该组合计量坏账准备</w:t>
                </w:r>
              </w:p>
            </w:tc>
          </w:tr>
        </w:tbl>
        <w:p w:rsidR="00597370" w:rsidRDefault="003C2EEE">
          <w:pPr>
            <w:pStyle w:val="Style175"/>
            <w:ind w:firstLine="420"/>
          </w:pPr>
          <w:r>
            <w:rPr>
              <w:rFonts w:hint="eastAsia"/>
            </w:rPr>
            <w:lastRenderedPageBreak/>
            <w:t>计提方法：参考历史信用损失经验，结合当前状况以及对未来经济状况的预测，通过违约风险敞口和整个存续期预期信用损失率，计算预期信用损失。</w:t>
          </w:r>
        </w:p>
      </w:sdtContent>
    </w:sdt>
    <w:p w:rsidR="00597370" w:rsidRDefault="00597370">
      <w:pPr>
        <w:rPr>
          <w:rFonts w:cs="Times New Roman"/>
          <w:b/>
          <w:color w:val="000000" w:themeColor="text1"/>
          <w:kern w:val="2"/>
          <w:szCs w:val="28"/>
        </w:rPr>
      </w:pPr>
    </w:p>
    <w:p w:rsidR="00597370" w:rsidRDefault="003C2EEE">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应收账款基于账龄确认信用风险特征组合的账龄计算方法[双击切换]"/>
        <w:tag w:val="_GBC_a30f82acbfab40128924b158366b4a73"/>
        <w:id w:val="152128943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bCs w:val="0"/>
          <w:color w:val="000000" w:themeColor="text1"/>
        </w:rPr>
        <w:alias w:val="应收账款基于账龄确认信用风险特征组合的账龄计算方法"/>
        <w:tag w:val="_GBC_b5bf8a2c04eb4b5b905005b0fbc7b697"/>
        <w:id w:val="-285893649"/>
        <w:placeholder>
          <w:docPart w:val="GBC22222222222222222222222222222"/>
        </w:placeholder>
      </w:sdtPr>
      <w:sdtEndPr/>
      <w:sdtContent>
        <w:p w:rsidR="00597370" w:rsidRDefault="003C2EEE">
          <w:pPr>
            <w:rPr>
              <w:color w:val="000000" w:themeColor="text1"/>
            </w:rPr>
          </w:pPr>
          <w:proofErr w:type="gramStart"/>
          <w:r>
            <w:rPr>
              <w:rFonts w:hint="eastAsia"/>
              <w:color w:val="000000" w:themeColor="text1"/>
            </w:rPr>
            <w:t>账</w:t>
          </w:r>
          <w:proofErr w:type="gramEnd"/>
          <w:r>
            <w:rPr>
              <w:rFonts w:hint="eastAsia"/>
              <w:color w:val="000000" w:themeColor="text1"/>
            </w:rPr>
            <w:t>龄组合的账龄与预期信用损失率对照表如下：</w:t>
          </w:r>
        </w:p>
        <w:tbl>
          <w:tblPr>
            <w:tblStyle w:val="g3"/>
            <w:tblW w:w="5000" w:type="pct"/>
            <w:jc w:val="center"/>
            <w:tblLayout w:type="fixed"/>
            <w:tblCellMar>
              <w:left w:w="0" w:type="dxa"/>
              <w:right w:w="28" w:type="dxa"/>
            </w:tblCellMar>
            <w:tblLook w:val="04A0" w:firstRow="1" w:lastRow="0" w:firstColumn="1" w:lastColumn="0" w:noHBand="0" w:noVBand="1"/>
          </w:tblPr>
          <w:tblGrid>
            <w:gridCol w:w="4412"/>
            <w:gridCol w:w="4411"/>
          </w:tblGrid>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账龄</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应收账款预期信用损失率（</w:t>
                </w:r>
                <w:r>
                  <w:rPr>
                    <w:rFonts w:ascii="Times New Roman" w:hAnsi="Times New Roman" w:hint="eastAsia"/>
                  </w:rPr>
                  <w:t>%</w:t>
                </w:r>
                <w:r>
                  <w:rPr>
                    <w:rFonts w:ascii="Times New Roman" w:hAnsi="Times New Roman" w:hint="eastAsia"/>
                  </w:rPr>
                  <w:t>）</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1</w:t>
                </w:r>
                <w:r>
                  <w:rPr>
                    <w:rFonts w:ascii="Times New Roman" w:hAnsi="Times New Roman" w:hint="eastAsia"/>
                  </w:rPr>
                  <w:t>年以内</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5.00</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1</w:t>
                </w:r>
                <w:r>
                  <w:rPr>
                    <w:rFonts w:ascii="Times New Roman" w:hAnsi="Times New Roman" w:hint="eastAsia"/>
                  </w:rPr>
                  <w:t>－</w:t>
                </w:r>
                <w:r>
                  <w:rPr>
                    <w:rFonts w:ascii="Times New Roman" w:hAnsi="Times New Roman" w:hint="eastAsia"/>
                  </w:rPr>
                  <w:t>2</w:t>
                </w:r>
                <w:r>
                  <w:rPr>
                    <w:rFonts w:ascii="Times New Roman" w:hAnsi="Times New Roman" w:hint="eastAsia"/>
                  </w:rPr>
                  <w:t>年</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10.00</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2</w:t>
                </w:r>
                <w:r>
                  <w:rPr>
                    <w:rFonts w:ascii="Times New Roman" w:hAnsi="Times New Roman" w:hint="eastAsia"/>
                  </w:rPr>
                  <w:t>－</w:t>
                </w:r>
                <w:r>
                  <w:rPr>
                    <w:rFonts w:ascii="Times New Roman" w:hAnsi="Times New Roman" w:hint="eastAsia"/>
                  </w:rPr>
                  <w:t>3</w:t>
                </w:r>
                <w:r>
                  <w:rPr>
                    <w:rFonts w:ascii="Times New Roman" w:hAnsi="Times New Roman" w:hint="eastAsia"/>
                  </w:rPr>
                  <w:t>年</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20.00</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3</w:t>
                </w:r>
                <w:r>
                  <w:rPr>
                    <w:rFonts w:ascii="Times New Roman" w:hAnsi="Times New Roman" w:hint="eastAsia"/>
                  </w:rPr>
                  <w:t>－</w:t>
                </w:r>
                <w:r>
                  <w:rPr>
                    <w:rFonts w:ascii="Times New Roman" w:hAnsi="Times New Roman" w:hint="eastAsia"/>
                  </w:rPr>
                  <w:t>4</w:t>
                </w:r>
                <w:r>
                  <w:rPr>
                    <w:rFonts w:ascii="Times New Roman" w:hAnsi="Times New Roman" w:hint="eastAsia"/>
                  </w:rPr>
                  <w:t>年</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30.00</w:t>
                </w:r>
              </w:p>
            </w:tc>
          </w:tr>
          <w:tr w:rsidR="00597370">
            <w:trPr>
              <w:trHeight w:val="397"/>
              <w:jc w:val="center"/>
            </w:trPr>
            <w:tc>
              <w:tcPr>
                <w:tcW w:w="4433" w:type="dxa"/>
                <w:vAlign w:val="center"/>
              </w:tcPr>
              <w:p w:rsidR="00597370" w:rsidRDefault="003C2EEE">
                <w:pPr>
                  <w:jc w:val="center"/>
                  <w:rPr>
                    <w:rFonts w:ascii="Times New Roman" w:hAnsi="Times New Roman"/>
                  </w:rPr>
                </w:pPr>
                <w:r>
                  <w:rPr>
                    <w:rFonts w:ascii="Times New Roman" w:hAnsi="Times New Roman" w:hint="eastAsia"/>
                  </w:rPr>
                  <w:t>4</w:t>
                </w:r>
                <w:r>
                  <w:rPr>
                    <w:rFonts w:ascii="Times New Roman" w:hAnsi="Times New Roman" w:hint="eastAsia"/>
                  </w:rPr>
                  <w:t>－</w:t>
                </w:r>
                <w:r>
                  <w:rPr>
                    <w:rFonts w:ascii="Times New Roman" w:hAnsi="Times New Roman" w:hint="eastAsia"/>
                  </w:rPr>
                  <w:t>5</w:t>
                </w:r>
                <w:r>
                  <w:rPr>
                    <w:rFonts w:ascii="Times New Roman" w:hAnsi="Times New Roman" w:hint="eastAsia"/>
                  </w:rPr>
                  <w:t>年</w:t>
                </w:r>
              </w:p>
            </w:tc>
            <w:tc>
              <w:tcPr>
                <w:tcW w:w="4433" w:type="dxa"/>
                <w:vAlign w:val="center"/>
              </w:tcPr>
              <w:p w:rsidR="00597370" w:rsidRDefault="003C2EEE">
                <w:pPr>
                  <w:jc w:val="center"/>
                  <w:rPr>
                    <w:rFonts w:ascii="Times New Roman" w:hAnsi="Times New Roman"/>
                  </w:rPr>
                </w:pPr>
                <w:r>
                  <w:rPr>
                    <w:rFonts w:ascii="Times New Roman" w:hAnsi="Times New Roman" w:hint="eastAsia"/>
                  </w:rPr>
                  <w:t>50.00</w:t>
                </w:r>
              </w:p>
            </w:tc>
          </w:tr>
          <w:tr w:rsidR="00597370">
            <w:trPr>
              <w:trHeight w:val="397"/>
              <w:jc w:val="center"/>
            </w:trPr>
            <w:tc>
              <w:tcPr>
                <w:tcW w:w="4433" w:type="dxa"/>
                <w:vAlign w:val="center"/>
              </w:tcPr>
              <w:p w:rsidR="00597370" w:rsidRDefault="003C2EEE">
                <w:pPr>
                  <w:jc w:val="center"/>
                  <w:rPr>
                    <w:rFonts w:ascii="Times New Roman" w:hAnsi="Times New Roman"/>
                  </w:rPr>
                </w:pPr>
                <w:r>
                  <w:rPr>
                    <w:rFonts w:ascii="Times New Roman" w:hAnsi="Times New Roman" w:hint="eastAsia"/>
                  </w:rPr>
                  <w:t>5</w:t>
                </w:r>
                <w:r>
                  <w:rPr>
                    <w:rFonts w:ascii="Times New Roman" w:hAnsi="Times New Roman" w:hint="eastAsia"/>
                  </w:rPr>
                  <w:t>年以上</w:t>
                </w:r>
              </w:p>
            </w:tc>
            <w:tc>
              <w:tcPr>
                <w:tcW w:w="4433" w:type="dxa"/>
                <w:vAlign w:val="center"/>
              </w:tcPr>
              <w:p w:rsidR="00597370" w:rsidRDefault="003C2EEE">
                <w:pPr>
                  <w:jc w:val="center"/>
                  <w:rPr>
                    <w:rFonts w:ascii="Times New Roman" w:hAnsi="Times New Roman"/>
                  </w:rPr>
                </w:pPr>
                <w:r>
                  <w:rPr>
                    <w:rFonts w:ascii="Times New Roman" w:hAnsi="Times New Roman" w:hint="eastAsia"/>
                  </w:rPr>
                  <w:t>100.00</w:t>
                </w:r>
              </w:p>
            </w:tc>
          </w:tr>
        </w:tbl>
        <w:p w:rsidR="00597370" w:rsidRDefault="003C2EEE">
          <w:pPr>
            <w:pStyle w:val="Style175"/>
            <w:ind w:firstLine="420"/>
          </w:pPr>
          <w:r>
            <w:rPr>
              <w:rFonts w:hint="eastAsia"/>
            </w:rPr>
            <w:t>应收账款</w:t>
          </w:r>
          <w:proofErr w:type="gramStart"/>
          <w:r>
            <w:rPr>
              <w:rFonts w:hint="eastAsia"/>
            </w:rPr>
            <w:t>账龄按先进先出</w:t>
          </w:r>
          <w:proofErr w:type="gramEnd"/>
          <w:r>
            <w:rPr>
              <w:rFonts w:hint="eastAsia"/>
            </w:rPr>
            <w:t>法进行计算。</w:t>
          </w:r>
        </w:p>
      </w:sdtContent>
    </w:sdt>
    <w:p w:rsidR="00597370" w:rsidRDefault="003C2EEE">
      <w:pPr>
        <w:rPr>
          <w:rFonts w:cs="Times New Roman"/>
          <w:b/>
          <w:color w:val="000000" w:themeColor="text1"/>
          <w:kern w:val="2"/>
          <w:szCs w:val="28"/>
        </w:rPr>
      </w:pPr>
      <w:r>
        <w:rPr>
          <w:rFonts w:cs="Times New Roman"/>
          <w:b/>
          <w:color w:val="000000" w:themeColor="text1"/>
          <w:kern w:val="2"/>
          <w:szCs w:val="28"/>
        </w:rPr>
        <w:t>按照单项计提坏账准备的认定单项计提判断标准</w:t>
      </w:r>
    </w:p>
    <w:sdt>
      <w:sdtPr>
        <w:rPr>
          <w:color w:val="000000" w:themeColor="text1"/>
        </w:rPr>
        <w:alias w:val="是否适用：应收账款按照单项计提坏账准备的单项计提判断标准[双击切换]"/>
        <w:tag w:val="_GBC_ee9e87b79c8a492885f71b93a5fcd48d"/>
        <w:id w:val="19874264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应收账款按照单项计提坏账准备的单项计提判断标准"/>
        <w:tag w:val="_GBC_b895356990fa48cc8b1ad33cc5cda698"/>
        <w:id w:val="-1243329871"/>
        <w:placeholder>
          <w:docPart w:val="GBC22222222222222222222222222222"/>
        </w:placeholder>
      </w:sdtPr>
      <w:sdtEndPr>
        <w:rPr>
          <w:rStyle w:val="Style176"/>
        </w:rPr>
      </w:sdtEndPr>
      <w:sdtContent>
        <w:p w:rsidR="00597370" w:rsidRDefault="003C2EEE">
          <w:pPr>
            <w:rPr>
              <w:color w:val="000000" w:themeColor="text1"/>
            </w:rPr>
          </w:pPr>
          <w:r>
            <w:rPr>
              <w:rStyle w:val="Style176"/>
              <w:rFonts w:hint="eastAsia"/>
            </w:rPr>
            <w:t>对信用风险与组合信用风险显著不同的应收账款，本公司按单项计提预期信用损失。本公司对单项金额重大且在初始确认后已经发生信用减值的应收账款单独确定其信用损失。</w:t>
          </w:r>
        </w:p>
      </w:sdtContent>
    </w:sdt>
    <w:p w:rsidR="00597370" w:rsidRDefault="003C2EEE">
      <w:pPr>
        <w:pStyle w:val="Style109"/>
        <w:numPr>
          <w:ilvl w:val="0"/>
          <w:numId w:val="39"/>
        </w:numPr>
        <w:rPr>
          <w:rFonts w:ascii="宋体" w:hAnsi="宋体"/>
          <w:color w:val="000000" w:themeColor="text1"/>
        </w:rPr>
      </w:pPr>
      <w:bookmarkStart w:id="130" w:name="_Hlk24102310"/>
      <w:bookmarkStart w:id="131" w:name="_Hlk152690443"/>
      <w:r>
        <w:rPr>
          <w:rFonts w:ascii="宋体" w:hAnsi="宋体"/>
          <w:color w:val="000000" w:themeColor="text1"/>
        </w:rPr>
        <w:t>应收款项融资</w:t>
      </w:r>
    </w:p>
    <w:sdt>
      <w:sdtPr>
        <w:rPr>
          <w:color w:val="000000" w:themeColor="text1"/>
        </w:rPr>
        <w:alias w:val="是否适用：应收款项融资_重要会计政策和估计[双击切换]"/>
        <w:tag w:val="_GBC_47906a8d31c54a72891112f417e1058d"/>
        <w:id w:val="-103642104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30"/>
    <w:bookmarkEnd w:id="131"/>
    <w:p w:rsidR="00597370" w:rsidRDefault="003C2EEE">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应收款项融资按照信用风险特征组合计提坏账准备的组合类别及确定依据[双击切换]"/>
        <w:tag w:val="_GBC_991c72bbcc9e4545985776851a67e9f5"/>
        <w:id w:val="88699281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bCs w:val="0"/>
          <w:color w:val="000000" w:themeColor="text1"/>
        </w:rPr>
        <w:alias w:val="应收款项融资按照信用风险特征组合计提坏账准备的组合类别及确定依据"/>
        <w:tag w:val="_GBC_e001404223de4b32980aa3a5b54f2b74"/>
        <w:id w:val="-797381019"/>
        <w:placeholder>
          <w:docPart w:val="GBC22222222222222222222222222222"/>
        </w:placeholder>
      </w:sdtPr>
      <w:sdtEndPr/>
      <w:sdtContent>
        <w:p w:rsidR="00597370" w:rsidRDefault="003C2EEE">
          <w:pPr>
            <w:rPr>
              <w:color w:val="000000" w:themeColor="text1"/>
            </w:rPr>
          </w:pPr>
          <w:r>
            <w:rPr>
              <w:rFonts w:hint="eastAsia"/>
              <w:color w:val="000000" w:themeColor="text1"/>
            </w:rPr>
            <w:t>当在单项工具层面无法以合理成本评估预期信用损失的充分证据时，本公司参考历史信用损失经验，结合当前状况以及对未来经济状况的判断，依据信用风险特征将应收账款划分为若干组合，在组合基础上计算预期信用损失。确定组合的依据如下：</w:t>
          </w:r>
        </w:p>
        <w:tbl>
          <w:tblPr>
            <w:tblStyle w:val="g3"/>
            <w:tblW w:w="5000" w:type="pct"/>
            <w:jc w:val="center"/>
            <w:tblCellMar>
              <w:left w:w="0" w:type="dxa"/>
              <w:right w:w="28" w:type="dxa"/>
            </w:tblCellMar>
            <w:tblLook w:val="04A0" w:firstRow="1" w:lastRow="0" w:firstColumn="1" w:lastColumn="0" w:noHBand="0" w:noVBand="1"/>
          </w:tblPr>
          <w:tblGrid>
            <w:gridCol w:w="2940"/>
            <w:gridCol w:w="2938"/>
            <w:gridCol w:w="2945"/>
          </w:tblGrid>
          <w:tr w:rsidR="00597370">
            <w:trPr>
              <w:trHeight w:val="397"/>
              <w:jc w:val="center"/>
            </w:trPr>
            <w:tc>
              <w:tcPr>
                <w:tcW w:w="2954" w:type="dxa"/>
                <w:vAlign w:val="center"/>
              </w:tcPr>
              <w:p w:rsidR="00597370" w:rsidRDefault="003C2EEE">
                <w:pPr>
                  <w:jc w:val="center"/>
                  <w:rPr>
                    <w:rFonts w:ascii="Times New Roman" w:hAnsi="Times New Roman"/>
                    <w:color w:val="000000" w:themeColor="text1"/>
                  </w:rPr>
                </w:pPr>
                <w:r>
                  <w:rPr>
                    <w:rFonts w:ascii="Times New Roman" w:hAnsi="Times New Roman" w:hint="eastAsia"/>
                  </w:rPr>
                  <w:t>组合名称</w:t>
                </w:r>
              </w:p>
            </w:tc>
            <w:tc>
              <w:tcPr>
                <w:tcW w:w="2953" w:type="dxa"/>
                <w:vAlign w:val="center"/>
              </w:tcPr>
              <w:p w:rsidR="00597370" w:rsidRDefault="003C2EEE">
                <w:pPr>
                  <w:jc w:val="center"/>
                  <w:rPr>
                    <w:rFonts w:ascii="Times New Roman" w:hAnsi="Times New Roman"/>
                    <w:color w:val="000000" w:themeColor="text1"/>
                  </w:rPr>
                </w:pPr>
                <w:r>
                  <w:rPr>
                    <w:rFonts w:ascii="Times New Roman" w:hAnsi="Times New Roman" w:hint="eastAsia"/>
                  </w:rPr>
                  <w:t>确定组合的依据</w:t>
                </w:r>
              </w:p>
            </w:tc>
            <w:tc>
              <w:tcPr>
                <w:tcW w:w="2959" w:type="dxa"/>
                <w:vAlign w:val="center"/>
              </w:tcPr>
              <w:p w:rsidR="00597370" w:rsidRDefault="003C2EEE">
                <w:pPr>
                  <w:jc w:val="center"/>
                  <w:rPr>
                    <w:rFonts w:ascii="Times New Roman" w:hAnsi="Times New Roman"/>
                    <w:color w:val="000000" w:themeColor="text1"/>
                  </w:rPr>
                </w:pPr>
                <w:r>
                  <w:rPr>
                    <w:rFonts w:ascii="Times New Roman" w:hAnsi="Times New Roman" w:hint="eastAsia"/>
                  </w:rPr>
                  <w:t>计提方法</w:t>
                </w:r>
              </w:p>
            </w:tc>
          </w:tr>
          <w:tr w:rsidR="00597370">
            <w:trPr>
              <w:trHeight w:val="397"/>
              <w:jc w:val="center"/>
            </w:trPr>
            <w:tc>
              <w:tcPr>
                <w:tcW w:w="2954" w:type="dxa"/>
                <w:vAlign w:val="center"/>
              </w:tcPr>
              <w:p w:rsidR="00597370" w:rsidRDefault="003C2EEE">
                <w:pPr>
                  <w:jc w:val="center"/>
                  <w:rPr>
                    <w:rFonts w:ascii="Times New Roman" w:hAnsi="Times New Roman"/>
                    <w:color w:val="000000" w:themeColor="text1"/>
                  </w:rPr>
                </w:pPr>
                <w:proofErr w:type="gramStart"/>
                <w:r>
                  <w:rPr>
                    <w:rFonts w:ascii="Times New Roman" w:hAnsi="Times New Roman" w:hint="eastAsia"/>
                  </w:rPr>
                  <w:t>账</w:t>
                </w:r>
                <w:proofErr w:type="gramEnd"/>
                <w:r>
                  <w:rPr>
                    <w:rFonts w:ascii="Times New Roman" w:hAnsi="Times New Roman" w:hint="eastAsia"/>
                  </w:rPr>
                  <w:t>龄组合</w:t>
                </w:r>
              </w:p>
            </w:tc>
            <w:tc>
              <w:tcPr>
                <w:tcW w:w="2953" w:type="dxa"/>
                <w:vAlign w:val="center"/>
              </w:tcPr>
              <w:p w:rsidR="00597370" w:rsidRDefault="003C2EEE">
                <w:pPr>
                  <w:jc w:val="center"/>
                  <w:rPr>
                    <w:rFonts w:ascii="Times New Roman" w:hAnsi="Times New Roman"/>
                    <w:color w:val="000000" w:themeColor="text1"/>
                  </w:rPr>
                </w:pPr>
                <w:r>
                  <w:rPr>
                    <w:rFonts w:ascii="Times New Roman" w:hAnsi="Times New Roman" w:hint="eastAsia"/>
                  </w:rPr>
                  <w:t>账龄分析法</w:t>
                </w:r>
              </w:p>
            </w:tc>
            <w:tc>
              <w:tcPr>
                <w:tcW w:w="2959" w:type="dxa"/>
                <w:vAlign w:val="center"/>
              </w:tcPr>
              <w:p w:rsidR="00597370" w:rsidRDefault="003C2EEE">
                <w:pPr>
                  <w:jc w:val="center"/>
                  <w:rPr>
                    <w:rFonts w:ascii="Times New Roman" w:hAnsi="Times New Roman"/>
                    <w:color w:val="000000" w:themeColor="text1"/>
                  </w:rPr>
                </w:pPr>
                <w:r>
                  <w:rPr>
                    <w:rFonts w:ascii="Times New Roman" w:hAnsi="Times New Roman" w:hint="eastAsia"/>
                  </w:rPr>
                  <w:t>参考历史信用损失经验，结合当前状况以及对未来经济状况的预期计量坏账准备</w:t>
                </w:r>
              </w:p>
            </w:tc>
          </w:tr>
        </w:tbl>
        <w:p w:rsidR="00597370" w:rsidRDefault="003C2EEE">
          <w:pPr>
            <w:pStyle w:val="Style175"/>
            <w:ind w:firstLine="420"/>
          </w:pPr>
          <w:r>
            <w:rPr>
              <w:rFonts w:hint="eastAsia"/>
            </w:rPr>
            <w:t>计提方法：参考历史信用损失经验，结合当前状况以及对未来经济状况的预测，通过违约风险敞口和整个存续期预期信用损失率，计算预期信用损失。</w:t>
          </w:r>
        </w:p>
      </w:sdtContent>
    </w:sdt>
    <w:p w:rsidR="00597370" w:rsidRDefault="003C2EEE">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应收款项融资基于账龄确认信用风险特征组合的账龄计算方法[双击切换]"/>
        <w:tag w:val="_GBC_ed4ac302bc6f4dee85e2b543d38e4b3e"/>
        <w:id w:val="28463453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应收款项融资基于账龄确认信用风险特征组合的账龄计算方法"/>
        <w:tag w:val="_GBC_dd9635a615ab425aaaec1feb5c3c6f6b"/>
        <w:id w:val="633536851"/>
        <w:placeholder>
          <w:docPart w:val="GBC22222222222222222222222222222"/>
        </w:placeholder>
      </w:sdtPr>
      <w:sdtEndPr>
        <w:rPr>
          <w:rStyle w:val="Style176"/>
        </w:rPr>
      </w:sdtEndPr>
      <w:sdtContent>
        <w:p w:rsidR="00597370" w:rsidRDefault="003C2EEE">
          <w:pPr>
            <w:rPr>
              <w:color w:val="000000" w:themeColor="text1"/>
            </w:rPr>
          </w:pPr>
          <w:proofErr w:type="gramStart"/>
          <w:r>
            <w:rPr>
              <w:rStyle w:val="Style176"/>
              <w:rFonts w:hint="eastAsia"/>
            </w:rPr>
            <w:t>账</w:t>
          </w:r>
          <w:proofErr w:type="gramEnd"/>
          <w:r>
            <w:rPr>
              <w:rStyle w:val="Style176"/>
              <w:rFonts w:hint="eastAsia"/>
            </w:rPr>
            <w:t>龄组合的账龄与预期信用损失率对照表详见本报告第十节</w:t>
          </w:r>
          <w:r>
            <w:rPr>
              <w:rStyle w:val="Style176"/>
            </w:rPr>
            <w:t>.五.11.(6)金融工具减值</w:t>
          </w:r>
        </w:p>
      </w:sdtContent>
    </w:sdt>
    <w:p w:rsidR="00597370" w:rsidRDefault="003C2EEE">
      <w:pPr>
        <w:rPr>
          <w:rFonts w:cs="Times New Roman"/>
          <w:b/>
          <w:color w:val="000000" w:themeColor="text1"/>
          <w:kern w:val="2"/>
          <w:szCs w:val="28"/>
        </w:rPr>
      </w:pPr>
      <w:r>
        <w:rPr>
          <w:rFonts w:cs="Times New Roman"/>
          <w:b/>
          <w:color w:val="000000" w:themeColor="text1"/>
          <w:kern w:val="2"/>
          <w:szCs w:val="28"/>
        </w:rPr>
        <w:t>按照单项计提坏账准备的单项计提判断标准</w:t>
      </w:r>
    </w:p>
    <w:sdt>
      <w:sdtPr>
        <w:rPr>
          <w:color w:val="000000" w:themeColor="text1"/>
        </w:rPr>
        <w:alias w:val="是否适用：应收款项融资按照单项计提坏账准备的单项计提判断标准[双击切换]"/>
        <w:tag w:val="_GBC_da1ff8ccd2084f059e028af496d67278"/>
        <w:id w:val="5915955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应收款项融资按照单项计提坏账准备的单项计提判断标准"/>
        <w:tag w:val="_GBC_6b04e4650f0645ff867d0c4ec58b44d2"/>
        <w:id w:val="1114948035"/>
        <w:placeholder>
          <w:docPart w:val="GBC22222222222222222222222222222"/>
        </w:placeholder>
      </w:sdtPr>
      <w:sdtEndPr>
        <w:rPr>
          <w:rStyle w:val="Style176"/>
        </w:rPr>
      </w:sdtEndPr>
      <w:sdtContent>
        <w:p w:rsidR="00597370" w:rsidRDefault="003C2EEE">
          <w:pPr>
            <w:rPr>
              <w:color w:val="000000" w:themeColor="text1"/>
            </w:rPr>
          </w:pPr>
          <w:r>
            <w:rPr>
              <w:rStyle w:val="Style176"/>
              <w:rFonts w:hint="eastAsia"/>
            </w:rPr>
            <w:t>对信用风险与组合信用风险显著不同的应收款项融资，本公司按单项计提预期信用损失。本公司对单项金额重大且在初始确认后已经发生信用减值的应收款项融资单独确定其信用损失。</w:t>
          </w:r>
        </w:p>
      </w:sdtContent>
    </w:sdt>
    <w:p w:rsidR="00597370" w:rsidRDefault="003C2EEE">
      <w:pPr>
        <w:pStyle w:val="Style109"/>
        <w:numPr>
          <w:ilvl w:val="0"/>
          <w:numId w:val="39"/>
        </w:numPr>
        <w:rPr>
          <w:rFonts w:ascii="宋体" w:hAnsi="宋体"/>
          <w:color w:val="000000" w:themeColor="text1"/>
        </w:rPr>
      </w:pPr>
      <w:bookmarkStart w:id="132" w:name="_Hlk533667836"/>
      <w:r>
        <w:rPr>
          <w:rFonts w:ascii="宋体" w:hAnsi="宋体"/>
          <w:color w:val="000000" w:themeColor="text1"/>
        </w:rPr>
        <w:t>其他应收款</w:t>
      </w:r>
    </w:p>
    <w:sdt>
      <w:sdtPr>
        <w:rPr>
          <w:rFonts w:hint="eastAsia"/>
          <w:color w:val="000000" w:themeColor="text1"/>
        </w:rPr>
        <w:alias w:val="是否适用：其他应收款_重要会计政策和估计[双击切换]"/>
        <w:tag w:val="_GBC_dfe58b09048a4951b32b48ce6a3930aa"/>
        <w:id w:val="-140821993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32"/>
    <w:p w:rsidR="00597370" w:rsidRDefault="003C2EEE">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其他应收款按照信用风险特征组合计提坏账准备的组合类别及确定依据[双击切换]"/>
        <w:tag w:val="_GBC_9e16f620387d402e9e85b4fe910b3b32"/>
        <w:id w:val="49107173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bCs w:val="0"/>
          <w:color w:val="000000" w:themeColor="text1"/>
        </w:rPr>
        <w:alias w:val="其他应收款按照信用风险特征组合计提坏账准备的组合类别及确定依据"/>
        <w:tag w:val="_GBC_09d041e587b1414ca6dcd8a2b8f31b9f"/>
        <w:id w:val="1775664447"/>
        <w:placeholder>
          <w:docPart w:val="GBC22222222222222222222222222222"/>
        </w:placeholder>
      </w:sdtPr>
      <w:sdtEndPr/>
      <w:sdtContent>
        <w:p w:rsidR="00597370" w:rsidRDefault="003C2EEE">
          <w:pPr>
            <w:rPr>
              <w:color w:val="000000" w:themeColor="text1"/>
            </w:rPr>
          </w:pPr>
          <w:r>
            <w:rPr>
              <w:rFonts w:hint="eastAsia"/>
              <w:color w:val="000000" w:themeColor="text1"/>
            </w:rPr>
            <w:t>当在单项工具层面无法以合理成本评估预期信用损失的充分证据时，本公司参考历史信用损失经验，结合当前状况以及对未来经济状况的判断，依据信用风险特征将其他应收款划分为若干组合，在组合基础上计算预期信用损失。确定组合的依据如下：</w:t>
          </w:r>
        </w:p>
        <w:tbl>
          <w:tblPr>
            <w:tblStyle w:val="g3"/>
            <w:tblW w:w="5000" w:type="pct"/>
            <w:jc w:val="center"/>
            <w:tblLayout w:type="fixed"/>
            <w:tblCellMar>
              <w:left w:w="0" w:type="dxa"/>
              <w:right w:w="28" w:type="dxa"/>
            </w:tblCellMar>
            <w:tblLook w:val="04A0" w:firstRow="1" w:lastRow="0" w:firstColumn="1" w:lastColumn="0" w:noHBand="0" w:noVBand="1"/>
          </w:tblPr>
          <w:tblGrid>
            <w:gridCol w:w="2940"/>
            <w:gridCol w:w="2941"/>
            <w:gridCol w:w="2942"/>
          </w:tblGrid>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组合名称</w:t>
                </w:r>
              </w:p>
            </w:tc>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确定组合的依据</w:t>
                </w:r>
              </w:p>
            </w:tc>
            <w:tc>
              <w:tcPr>
                <w:tcW w:w="2956" w:type="dxa"/>
                <w:vAlign w:val="center"/>
              </w:tcPr>
              <w:p w:rsidR="00597370" w:rsidRDefault="003C2EEE">
                <w:pPr>
                  <w:jc w:val="center"/>
                  <w:rPr>
                    <w:rFonts w:ascii="Times New Roman" w:hAnsi="Times New Roman"/>
                    <w:color w:val="000000" w:themeColor="text1"/>
                  </w:rPr>
                </w:pPr>
                <w:r>
                  <w:rPr>
                    <w:rFonts w:ascii="Times New Roman" w:hAnsi="Times New Roman" w:hint="eastAsia"/>
                  </w:rPr>
                  <w:t>计提方法</w:t>
                </w:r>
              </w:p>
            </w:tc>
          </w:tr>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组合</w:t>
                </w:r>
                <w:proofErr w:type="gramStart"/>
                <w:r>
                  <w:rPr>
                    <w:rFonts w:ascii="Times New Roman" w:hAnsi="Times New Roman" w:hint="eastAsia"/>
                  </w:rPr>
                  <w:t>一</w:t>
                </w:r>
                <w:proofErr w:type="gramEnd"/>
                <w:r>
                  <w:rPr>
                    <w:rFonts w:ascii="Times New Roman" w:hAnsi="Times New Roman" w:hint="eastAsia"/>
                  </w:rPr>
                  <w:t>：</w:t>
                </w:r>
                <w:proofErr w:type="gramStart"/>
                <w:r>
                  <w:rPr>
                    <w:rFonts w:ascii="Times New Roman" w:hAnsi="Times New Roman" w:hint="eastAsia"/>
                  </w:rPr>
                  <w:t>账</w:t>
                </w:r>
                <w:proofErr w:type="gramEnd"/>
                <w:r>
                  <w:rPr>
                    <w:rFonts w:ascii="Times New Roman" w:hAnsi="Times New Roman" w:hint="eastAsia"/>
                  </w:rPr>
                  <w:t>龄组合</w:t>
                </w:r>
              </w:p>
            </w:tc>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账</w:t>
                </w:r>
                <w:proofErr w:type="gramStart"/>
                <w:r>
                  <w:rPr>
                    <w:rFonts w:ascii="Times New Roman" w:hAnsi="Times New Roman" w:hint="eastAsia"/>
                  </w:rPr>
                  <w:t>龄状态</w:t>
                </w:r>
                <w:proofErr w:type="gramEnd"/>
              </w:p>
            </w:tc>
            <w:tc>
              <w:tcPr>
                <w:tcW w:w="2956" w:type="dxa"/>
                <w:vAlign w:val="center"/>
              </w:tcPr>
              <w:p w:rsidR="00597370" w:rsidRDefault="003C2EEE">
                <w:pPr>
                  <w:jc w:val="center"/>
                  <w:rPr>
                    <w:rFonts w:ascii="Times New Roman" w:hAnsi="Times New Roman"/>
                    <w:color w:val="000000" w:themeColor="text1"/>
                  </w:rPr>
                </w:pPr>
                <w:proofErr w:type="gramStart"/>
                <w:r>
                  <w:rPr>
                    <w:rFonts w:ascii="Times New Roman" w:hAnsi="Times New Roman" w:hint="eastAsia"/>
                  </w:rPr>
                  <w:t>按账龄</w:t>
                </w:r>
                <w:proofErr w:type="gramEnd"/>
                <w:r>
                  <w:rPr>
                    <w:rFonts w:ascii="Times New Roman" w:hAnsi="Times New Roman" w:hint="eastAsia"/>
                  </w:rPr>
                  <w:t>与整个存续期预期信用损失率对照表计提</w:t>
                </w:r>
              </w:p>
            </w:tc>
          </w:tr>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组合二：同一母公司并表范围内的关联方组合</w:t>
                </w:r>
              </w:p>
            </w:tc>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hint="eastAsia"/>
                  </w:rPr>
                  <w:t>合并范围内单位之间的应收款项</w:t>
                </w:r>
              </w:p>
            </w:tc>
            <w:tc>
              <w:tcPr>
                <w:tcW w:w="2956" w:type="dxa"/>
                <w:vAlign w:val="center"/>
              </w:tcPr>
              <w:p w:rsidR="00597370" w:rsidRDefault="003C2EEE">
                <w:pPr>
                  <w:jc w:val="center"/>
                  <w:rPr>
                    <w:rFonts w:ascii="Times New Roman" w:hAnsi="Times New Roman"/>
                    <w:color w:val="000000" w:themeColor="text1"/>
                  </w:rPr>
                </w:pPr>
                <w:r>
                  <w:rPr>
                    <w:rFonts w:ascii="Times New Roman" w:hAnsi="Times New Roman" w:hint="eastAsia"/>
                  </w:rPr>
                  <w:t>除明显证据表明存在坏账风险，并对其单项测试计提减值损失外，本公司参考历史信用损失经验，结合当前状况以及对未来经济状况的预期，对该组合计量坏账准备</w:t>
                </w:r>
              </w:p>
            </w:tc>
          </w:tr>
        </w:tbl>
        <w:p w:rsidR="00597370" w:rsidRDefault="003C2EEE">
          <w:pPr>
            <w:pStyle w:val="Style175"/>
            <w:ind w:firstLine="420"/>
          </w:pPr>
          <w:r>
            <w:rPr>
              <w:rFonts w:hint="eastAsia"/>
            </w:rPr>
            <w:t>计提方法：参考历史信用损失经验，结合当前状况以及对未来经济状况的预测，通过违约风险敞口和整个存续期预期信用损失率，计算预期信用损失。</w:t>
          </w:r>
        </w:p>
      </w:sdtContent>
    </w:sdt>
    <w:p w:rsidR="00597370" w:rsidRDefault="003C2EEE">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其他应收款基于账龄确认信用风险特征组合的账龄计算方法[双击切换]"/>
        <w:tag w:val="_GBC_9dc6468b16fc492b8e1d15acd1f8b57f"/>
        <w:id w:val="68995055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bCs w:val="0"/>
          <w:color w:val="000000" w:themeColor="text1"/>
        </w:rPr>
        <w:alias w:val="其他应收款基于账龄确认信用风险特征组合的账龄计算方法"/>
        <w:tag w:val="_GBC_46c06c8585504e508591bc85e38076b2"/>
        <w:id w:val="-762990699"/>
        <w:placeholder>
          <w:docPart w:val="GBC22222222222222222222222222222"/>
        </w:placeholder>
      </w:sdtPr>
      <w:sdtEndPr/>
      <w:sdtContent>
        <w:p w:rsidR="00597370" w:rsidRDefault="003C2EEE">
          <w:pPr>
            <w:rPr>
              <w:color w:val="000000" w:themeColor="text1"/>
            </w:rPr>
          </w:pPr>
          <w:proofErr w:type="gramStart"/>
          <w:r>
            <w:rPr>
              <w:rFonts w:hint="eastAsia"/>
              <w:color w:val="000000" w:themeColor="text1"/>
            </w:rPr>
            <w:t>账</w:t>
          </w:r>
          <w:proofErr w:type="gramEnd"/>
          <w:r>
            <w:rPr>
              <w:rFonts w:hint="eastAsia"/>
              <w:color w:val="000000" w:themeColor="text1"/>
            </w:rPr>
            <w:t>龄组合的账龄与预期信用损失率对照表如下：</w:t>
          </w:r>
        </w:p>
        <w:tbl>
          <w:tblPr>
            <w:tblStyle w:val="g3"/>
            <w:tblW w:w="5000" w:type="pct"/>
            <w:jc w:val="center"/>
            <w:tblLayout w:type="fixed"/>
            <w:tblCellMar>
              <w:left w:w="0" w:type="dxa"/>
              <w:right w:w="28" w:type="dxa"/>
            </w:tblCellMar>
            <w:tblLook w:val="04A0" w:firstRow="1" w:lastRow="0" w:firstColumn="1" w:lastColumn="0" w:noHBand="0" w:noVBand="1"/>
          </w:tblPr>
          <w:tblGrid>
            <w:gridCol w:w="4412"/>
            <w:gridCol w:w="4411"/>
          </w:tblGrid>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账龄</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其他应收款预期信用损失率（</w:t>
                </w:r>
                <w:r>
                  <w:rPr>
                    <w:rFonts w:ascii="Times New Roman" w:hAnsi="Times New Roman" w:hint="eastAsia"/>
                  </w:rPr>
                  <w:t>%</w:t>
                </w:r>
                <w:r>
                  <w:rPr>
                    <w:rFonts w:ascii="Times New Roman" w:hAnsi="Times New Roman" w:hint="eastAsia"/>
                  </w:rPr>
                  <w:t>）</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1</w:t>
                </w:r>
                <w:r>
                  <w:rPr>
                    <w:rFonts w:ascii="Times New Roman" w:hAnsi="Times New Roman" w:hint="eastAsia"/>
                  </w:rPr>
                  <w:t>年以内</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5.00</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1</w:t>
                </w:r>
                <w:r>
                  <w:rPr>
                    <w:rFonts w:ascii="Times New Roman" w:hAnsi="Times New Roman" w:hint="eastAsia"/>
                  </w:rPr>
                  <w:t>－</w:t>
                </w:r>
                <w:r>
                  <w:rPr>
                    <w:rFonts w:ascii="Times New Roman" w:hAnsi="Times New Roman" w:hint="eastAsia"/>
                  </w:rPr>
                  <w:t>2</w:t>
                </w:r>
                <w:r>
                  <w:rPr>
                    <w:rFonts w:ascii="Times New Roman" w:hAnsi="Times New Roman" w:hint="eastAsia"/>
                  </w:rPr>
                  <w:t>年</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10.00</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2</w:t>
                </w:r>
                <w:r>
                  <w:rPr>
                    <w:rFonts w:ascii="Times New Roman" w:hAnsi="Times New Roman" w:hint="eastAsia"/>
                  </w:rPr>
                  <w:t>－</w:t>
                </w:r>
                <w:r>
                  <w:rPr>
                    <w:rFonts w:ascii="Times New Roman" w:hAnsi="Times New Roman" w:hint="eastAsia"/>
                  </w:rPr>
                  <w:t>3</w:t>
                </w:r>
                <w:r>
                  <w:rPr>
                    <w:rFonts w:ascii="Times New Roman" w:hAnsi="Times New Roman" w:hint="eastAsia"/>
                  </w:rPr>
                  <w:t>年</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20.00</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3</w:t>
                </w:r>
                <w:r>
                  <w:rPr>
                    <w:rFonts w:ascii="Times New Roman" w:hAnsi="Times New Roman" w:hint="eastAsia"/>
                  </w:rPr>
                  <w:t>－</w:t>
                </w:r>
                <w:r>
                  <w:rPr>
                    <w:rFonts w:ascii="Times New Roman" w:hAnsi="Times New Roman" w:hint="eastAsia"/>
                  </w:rPr>
                  <w:t>4</w:t>
                </w:r>
                <w:r>
                  <w:rPr>
                    <w:rFonts w:ascii="Times New Roman" w:hAnsi="Times New Roman" w:hint="eastAsia"/>
                  </w:rPr>
                  <w:t>年</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30.00</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4</w:t>
                </w:r>
                <w:r>
                  <w:rPr>
                    <w:rFonts w:ascii="Times New Roman" w:hAnsi="Times New Roman" w:hint="eastAsia"/>
                  </w:rPr>
                  <w:t>－</w:t>
                </w:r>
                <w:r>
                  <w:rPr>
                    <w:rFonts w:ascii="Times New Roman" w:hAnsi="Times New Roman" w:hint="eastAsia"/>
                  </w:rPr>
                  <w:t>5</w:t>
                </w:r>
                <w:r>
                  <w:rPr>
                    <w:rFonts w:ascii="Times New Roman" w:hAnsi="Times New Roman" w:hint="eastAsia"/>
                  </w:rPr>
                  <w:t>年</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50.00</w:t>
                </w:r>
              </w:p>
            </w:tc>
          </w:tr>
          <w:tr w:rsidR="00597370">
            <w:trPr>
              <w:trHeight w:val="397"/>
              <w:jc w:val="center"/>
            </w:trPr>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5</w:t>
                </w:r>
                <w:r>
                  <w:rPr>
                    <w:rFonts w:ascii="Times New Roman" w:hAnsi="Times New Roman" w:hint="eastAsia"/>
                  </w:rPr>
                  <w:t>年以上</w:t>
                </w:r>
              </w:p>
            </w:tc>
            <w:tc>
              <w:tcPr>
                <w:tcW w:w="4433" w:type="dxa"/>
                <w:vAlign w:val="center"/>
              </w:tcPr>
              <w:p w:rsidR="00597370" w:rsidRDefault="003C2EEE">
                <w:pPr>
                  <w:jc w:val="center"/>
                  <w:rPr>
                    <w:rFonts w:ascii="Times New Roman" w:hAnsi="Times New Roman"/>
                    <w:color w:val="000000" w:themeColor="text1"/>
                  </w:rPr>
                </w:pPr>
                <w:r>
                  <w:rPr>
                    <w:rFonts w:ascii="Times New Roman" w:hAnsi="Times New Roman" w:hint="eastAsia"/>
                  </w:rPr>
                  <w:t>100.00</w:t>
                </w:r>
              </w:p>
            </w:tc>
          </w:tr>
        </w:tbl>
        <w:p w:rsidR="00597370" w:rsidRDefault="003C2EEE">
          <w:pPr>
            <w:pStyle w:val="Style175"/>
            <w:ind w:firstLine="420"/>
          </w:pPr>
          <w:r>
            <w:rPr>
              <w:rFonts w:hint="eastAsia"/>
            </w:rPr>
            <w:t>其他应收</w:t>
          </w:r>
          <w:proofErr w:type="gramStart"/>
          <w:r>
            <w:rPr>
              <w:rFonts w:hint="eastAsia"/>
            </w:rPr>
            <w:t>款账龄按</w:t>
          </w:r>
          <w:proofErr w:type="gramEnd"/>
          <w:r>
            <w:rPr>
              <w:rFonts w:hint="eastAsia"/>
            </w:rPr>
            <w:t>先进先出法进行计算。</w:t>
          </w:r>
        </w:p>
      </w:sdtContent>
    </w:sdt>
    <w:p w:rsidR="00597370" w:rsidRDefault="003C2EEE">
      <w:pPr>
        <w:rPr>
          <w:rFonts w:cs="Times New Roman"/>
          <w:b/>
          <w:color w:val="000000" w:themeColor="text1"/>
          <w:kern w:val="2"/>
          <w:szCs w:val="28"/>
        </w:rPr>
      </w:pPr>
      <w:r>
        <w:rPr>
          <w:rFonts w:cs="Times New Roman"/>
          <w:b/>
          <w:color w:val="000000" w:themeColor="text1"/>
          <w:kern w:val="2"/>
          <w:szCs w:val="28"/>
        </w:rPr>
        <w:t>按照单项计提坏账准备的单项计提判断标准</w:t>
      </w:r>
    </w:p>
    <w:sdt>
      <w:sdtPr>
        <w:rPr>
          <w:color w:val="000000" w:themeColor="text1"/>
        </w:rPr>
        <w:alias w:val="是否适用：其他应收款按照单项计提坏账准备的单项计提判断标准[双击切换]"/>
        <w:tag w:val="_GBC_43f3d12bb3b0461b9d295770acd831d1"/>
        <w:id w:val="150771076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其他应收款按照单项计提坏账准备的单项计提判断标准"/>
        <w:tag w:val="_GBC_68249e7c8a0845c297b91eadc4fe5514"/>
        <w:id w:val="1717689985"/>
        <w:placeholder>
          <w:docPart w:val="GBC22222222222222222222222222222"/>
        </w:placeholder>
      </w:sdtPr>
      <w:sdtEndPr>
        <w:rPr>
          <w:rStyle w:val="Style176"/>
        </w:rPr>
      </w:sdtEndPr>
      <w:sdtContent>
        <w:p w:rsidR="00597370" w:rsidRDefault="003C2EEE">
          <w:pPr>
            <w:rPr>
              <w:color w:val="000000" w:themeColor="text1"/>
            </w:rPr>
          </w:pPr>
          <w:r>
            <w:rPr>
              <w:rStyle w:val="Style176"/>
              <w:rFonts w:hint="eastAsia"/>
            </w:rPr>
            <w:t>对信用风险与组合信用风险显著不同的其他应收款，本公司按单项计提预期信用损失。本公司对单项金额重大且在初始确认后已经发生信用减值的其他应收款单独确定其信用损失。</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存货</w:t>
      </w:r>
    </w:p>
    <w:sdt>
      <w:sdtPr>
        <w:rPr>
          <w:rFonts w:hint="eastAsia"/>
          <w:color w:val="000000" w:themeColor="text1"/>
        </w:rPr>
        <w:alias w:val="是否适用：存货_重要会计政策和估计[双击切换]"/>
        <w:tag w:val="_GBC_517cddca0e1f4d4bb5ef2c4a3d049269"/>
        <w:id w:val="188606450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√适用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cs="Times New Roman"/>
          <w:b/>
          <w:color w:val="000000" w:themeColor="text1"/>
          <w:kern w:val="2"/>
          <w:szCs w:val="28"/>
        </w:rPr>
      </w:pPr>
      <w:bookmarkStart w:id="133" w:name="_Hlk152678121"/>
      <w:r>
        <w:rPr>
          <w:rFonts w:cs="Times New Roman"/>
          <w:b/>
          <w:color w:val="000000" w:themeColor="text1"/>
          <w:kern w:val="2"/>
          <w:szCs w:val="28"/>
        </w:rPr>
        <w:t>存货</w:t>
      </w:r>
      <w:r>
        <w:rPr>
          <w:rFonts w:cs="Times New Roman" w:hint="eastAsia"/>
          <w:b/>
          <w:color w:val="000000" w:themeColor="text1"/>
          <w:kern w:val="2"/>
          <w:szCs w:val="28"/>
        </w:rPr>
        <w:t>类别、发出计价方法、盘存制度、低值易耗品和包装物的摊销方法</w:t>
      </w:r>
    </w:p>
    <w:bookmarkEnd w:id="133" w:displacedByCustomXml="next"/>
    <w:sdt>
      <w:sdtPr>
        <w:rPr>
          <w:color w:val="000000" w:themeColor="text1"/>
        </w:rPr>
        <w:alias w:val="是否适用：存货类别、发出计价方法、盘存制度、低值易耗品和包装物的摊销方法[双击切换]"/>
        <w:tag w:val="_GBC_a0dd59db9daa43019390412c5246a774"/>
        <w:id w:val="68563562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存货类别、发出计价方法、盘存制度、低值易耗品和包装物的摊销方法"/>
        <w:tag w:val="_GBC_4c0ac6dfbfb04e56bc0dd3a35b636c52"/>
        <w:id w:val="-322739857"/>
        <w:placeholder>
          <w:docPart w:val="GBC22222222222222222222222222222"/>
        </w:placeholder>
      </w:sdtPr>
      <w:sdtEndPr/>
      <w:sdtContent>
        <w:p w:rsidR="00597370" w:rsidRDefault="003C2EEE">
          <w:pPr>
            <w:pStyle w:val="Style175"/>
            <w:ind w:firstLine="420"/>
          </w:pPr>
          <w:r>
            <w:rPr>
              <w:rFonts w:hint="eastAsia"/>
            </w:rPr>
            <w:t>（</w:t>
          </w:r>
          <w:r>
            <w:t>1）存货类别</w:t>
          </w:r>
        </w:p>
        <w:p w:rsidR="00597370" w:rsidRDefault="003C2EEE">
          <w:pPr>
            <w:pStyle w:val="Style175"/>
            <w:ind w:firstLine="420"/>
          </w:pPr>
          <w:r>
            <w:rPr>
              <w:rFonts w:hint="eastAsia"/>
            </w:rPr>
            <w:t>存货是指本公司在日常活动中持有以备出售的产成品或商品、处在生产过程中的在产品、在生产过程或提供劳务过程中耗用的材料和物料等。主要包括原材料、周转材料、委托加工材料、在产品、自制半成品、产成品（库存商品）、发出商品等。</w:t>
          </w:r>
        </w:p>
        <w:p w:rsidR="00597370" w:rsidRDefault="003C2EEE">
          <w:pPr>
            <w:pStyle w:val="Style175"/>
            <w:ind w:firstLine="420"/>
          </w:pPr>
          <w:r>
            <w:rPr>
              <w:rFonts w:hint="eastAsia"/>
            </w:rPr>
            <w:t>（</w:t>
          </w:r>
          <w:r>
            <w:t>2）存货发出计价方法</w:t>
          </w:r>
        </w:p>
        <w:p w:rsidR="00597370" w:rsidRDefault="003C2EEE">
          <w:pPr>
            <w:pStyle w:val="Style175"/>
            <w:ind w:firstLine="420"/>
          </w:pPr>
          <w:r>
            <w:rPr>
              <w:rFonts w:hint="eastAsia"/>
            </w:rPr>
            <w:t>存货在取得时，按成本进行初始计量，包括采购成本、加工成本和其他成本。存货发出时按月末一次加权平均法计价。</w:t>
          </w:r>
        </w:p>
        <w:p w:rsidR="00597370" w:rsidRDefault="003C2EEE">
          <w:pPr>
            <w:pStyle w:val="Style175"/>
            <w:ind w:firstLine="420"/>
          </w:pPr>
          <w:r>
            <w:rPr>
              <w:rFonts w:hint="eastAsia"/>
            </w:rPr>
            <w:t>（</w:t>
          </w:r>
          <w:r>
            <w:t>3）存货的盘存制度</w:t>
          </w:r>
        </w:p>
        <w:p w:rsidR="00597370" w:rsidRDefault="003C2EEE">
          <w:pPr>
            <w:pStyle w:val="Style175"/>
            <w:ind w:firstLine="420"/>
          </w:pPr>
          <w:r>
            <w:rPr>
              <w:rFonts w:hint="eastAsia"/>
            </w:rPr>
            <w:lastRenderedPageBreak/>
            <w:t>存货盘存制度为永续盘存制。</w:t>
          </w:r>
        </w:p>
        <w:p w:rsidR="00597370" w:rsidRDefault="003C2EEE">
          <w:pPr>
            <w:pStyle w:val="Style175"/>
            <w:ind w:firstLine="420"/>
          </w:pPr>
          <w:r>
            <w:rPr>
              <w:rFonts w:hint="eastAsia"/>
            </w:rPr>
            <w:t>（</w:t>
          </w:r>
          <w:r>
            <w:t>4）低值易耗品和包装物的摊销方法</w:t>
          </w:r>
        </w:p>
        <w:p w:rsidR="00597370" w:rsidRDefault="003C2EEE">
          <w:pPr>
            <w:pStyle w:val="Style175"/>
            <w:ind w:firstLine="420"/>
          </w:pPr>
          <w:r>
            <w:rPr>
              <w:rFonts w:hint="eastAsia"/>
            </w:rPr>
            <w:t>采用一次转销法进行摊销；</w:t>
          </w:r>
        </w:p>
      </w:sdtContent>
    </w:sdt>
    <w:p w:rsidR="00597370" w:rsidRDefault="003C2EEE">
      <w:pPr>
        <w:rPr>
          <w:rFonts w:cs="Times New Roman"/>
          <w:b/>
          <w:color w:val="000000" w:themeColor="text1"/>
          <w:kern w:val="2"/>
          <w:szCs w:val="28"/>
        </w:rPr>
      </w:pPr>
      <w:r>
        <w:rPr>
          <w:rFonts w:cs="Times New Roman"/>
          <w:b/>
          <w:color w:val="000000" w:themeColor="text1"/>
          <w:kern w:val="2"/>
          <w:szCs w:val="28"/>
        </w:rPr>
        <w:t>存货跌价准备的确认标准和计提方法</w:t>
      </w:r>
    </w:p>
    <w:sdt>
      <w:sdtPr>
        <w:rPr>
          <w:color w:val="000000" w:themeColor="text1"/>
        </w:rPr>
        <w:alias w:val="是否适用：存货跌价准备的确认标准和计提方法[双击切换]"/>
        <w:tag w:val="_GBC_193ccfcb63424273902a6a08c94807b7"/>
        <w:id w:val="87311205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存货跌价准备的确认标准和计提方法"/>
        <w:tag w:val="_GBC_d61a6b98d0f44b4a8162d7dd318ee8d8"/>
        <w:id w:val="1928463596"/>
        <w:placeholder>
          <w:docPart w:val="GBC22222222222222222222222222222"/>
        </w:placeholder>
      </w:sdtPr>
      <w:sdtEndPr/>
      <w:sdtContent>
        <w:p w:rsidR="00597370" w:rsidRDefault="003C2EEE">
          <w:pPr>
            <w:pStyle w:val="Style175"/>
            <w:ind w:firstLine="420"/>
          </w:pPr>
          <w:proofErr w:type="gramStart"/>
          <w:r>
            <w:rPr>
              <w:rFonts w:hint="eastAsia"/>
            </w:rPr>
            <w:t>期末对</w:t>
          </w:r>
          <w:proofErr w:type="gramEnd"/>
          <w:r>
            <w:rPr>
              <w:rFonts w:hint="eastAsia"/>
            </w:rPr>
            <w:t>存货进行全面清查后，按存货的成本与可变现净值孰低提取或调整存货跌价准备。产成品、库存商品和用于出售的材料等直接用于出售的商品存货，在正常生产经营过程中，以该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值以合同价格为基础计算，若持有存货的数量多于销售合同订购数量的，超出部分的存货的可变现净值以一般销售价格为基础计算。</w:t>
          </w:r>
        </w:p>
        <w:p w:rsidR="00597370" w:rsidRDefault="003C2EEE">
          <w:pPr>
            <w:pStyle w:val="Style175"/>
            <w:ind w:firstLine="420"/>
          </w:pPr>
          <w:r>
            <w:rPr>
              <w:rFonts w:hint="eastAsia"/>
            </w:rPr>
            <w:t>期末按照单个存货项目计提存货跌价准备；但对于数量繁多、单价较低的存货，按照存货类别计提存货跌价准备；与在同一地区生产和销售的产品系列相关、具有相同或类似最终用途或目的，且难以与其他项目分开计量的存货，则合并计提存货跌价准备。</w:t>
          </w:r>
        </w:p>
        <w:p w:rsidR="00597370" w:rsidRDefault="003C2EEE">
          <w:pPr>
            <w:pStyle w:val="Style175"/>
            <w:ind w:firstLine="420"/>
          </w:pPr>
          <w:proofErr w:type="gramStart"/>
          <w:r>
            <w:rPr>
              <w:rFonts w:hint="eastAsia"/>
            </w:rPr>
            <w:t>以前减记</w:t>
          </w:r>
          <w:proofErr w:type="gramEnd"/>
          <w:r>
            <w:rPr>
              <w:rFonts w:hint="eastAsia"/>
            </w:rPr>
            <w:t>存货价值的影响因素已经消失的，</w:t>
          </w:r>
          <w:proofErr w:type="gramStart"/>
          <w:r>
            <w:rPr>
              <w:rFonts w:hint="eastAsia"/>
            </w:rPr>
            <w:t>减记的</w:t>
          </w:r>
          <w:proofErr w:type="gramEnd"/>
          <w:r>
            <w:rPr>
              <w:rFonts w:hint="eastAsia"/>
            </w:rPr>
            <w:t>金额予以恢复，并在原已计提的存货跌价准备金额内转回，转回的金额计入当期损益。</w:t>
          </w:r>
        </w:p>
      </w:sdtContent>
    </w:sdt>
    <w:p w:rsidR="00597370" w:rsidRDefault="003C2EEE">
      <w:pPr>
        <w:rPr>
          <w:rFonts w:cs="Times New Roman"/>
          <w:b/>
          <w:color w:val="000000" w:themeColor="text1"/>
          <w:kern w:val="2"/>
          <w:szCs w:val="28"/>
        </w:rPr>
      </w:pPr>
      <w:proofErr w:type="gramStart"/>
      <w:r>
        <w:rPr>
          <w:rFonts w:cs="Times New Roman"/>
          <w:b/>
          <w:color w:val="000000" w:themeColor="text1"/>
          <w:kern w:val="2"/>
          <w:szCs w:val="28"/>
        </w:rPr>
        <w:t>按照组</w:t>
      </w:r>
      <w:proofErr w:type="gramEnd"/>
      <w:r>
        <w:rPr>
          <w:rFonts w:cs="Times New Roman"/>
          <w:b/>
          <w:color w:val="000000" w:themeColor="text1"/>
          <w:kern w:val="2"/>
          <w:szCs w:val="28"/>
        </w:rPr>
        <w:t>合计提存货跌价准备的组合类别及确定依据</w:t>
      </w:r>
      <w:r>
        <w:rPr>
          <w:rFonts w:cs="Times New Roman" w:hint="eastAsia"/>
          <w:b/>
          <w:color w:val="000000" w:themeColor="text1"/>
          <w:kern w:val="2"/>
          <w:szCs w:val="28"/>
        </w:rPr>
        <w:t>、</w:t>
      </w:r>
      <w:r>
        <w:rPr>
          <w:rFonts w:hint="eastAsia"/>
          <w:b/>
          <w:color w:val="000000" w:themeColor="text1"/>
        </w:rPr>
        <w:t>不同类别存货可变现净值的确定依据</w:t>
      </w:r>
    </w:p>
    <w:sdt>
      <w:sdtPr>
        <w:rPr>
          <w:rFonts w:ascii="Calibri" w:hAnsi="Calibri" w:cs="Times New Roman"/>
          <w:b/>
          <w:color w:val="000000" w:themeColor="text1"/>
          <w:kern w:val="2"/>
          <w:szCs w:val="32"/>
        </w:rPr>
        <w:alias w:val="模块:基于库龄确认存货可变现净值的各库龄组合可变现净值的计算方法和..."/>
        <w:tag w:val="_SEC_e792e598ea494b138dbd9229e5d967bc"/>
        <w:id w:val="-281499633"/>
        <w:lock w:val="sdtLocked"/>
      </w:sdtPr>
      <w:sdtEndPr>
        <w:rPr>
          <w:rFonts w:hint="eastAsia"/>
        </w:rPr>
      </w:sdtEndPr>
      <w:sdtContent>
        <w:p w:rsidR="00597370" w:rsidRDefault="006840ED">
          <w:pPr>
            <w:rPr>
              <w:color w:val="000000" w:themeColor="text1"/>
            </w:rPr>
          </w:pPr>
          <w:sdt>
            <w:sdtPr>
              <w:rPr>
                <w:color w:val="000000" w:themeColor="text1"/>
              </w:rPr>
              <w:alias w:val="是否适用：按照组合计提存货跌价准备的组合类别及确定依据、不同类别存货可变现净值的确定依据[双击切换]"/>
              <w:tag w:val="_GBC_6fb7683a95e64eb590d6d510a9774226"/>
              <w:id w:val="336043851"/>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sdt>
            <w:sdtPr>
              <w:rPr>
                <w:color w:val="000000" w:themeColor="text1"/>
              </w:rPr>
              <w:alias w:val="是否适用：基于库龄确认存货可变现净值的各库龄组合可变现净值的计算方法和确定依据[双击切换]"/>
              <w:tag w:val="_GBC_16ecfef990ce404c873906cd3cd4dea4"/>
              <w:id w:val="1739044702"/>
              <w:placeholder>
                <w:docPart w:val="GBC22222222222222222222222222222"/>
              </w:placeholder>
            </w:sdtPr>
            <w:sdtEndPr/>
            <w:sdtContent>
              <w:r w:rsidR="003C2EEE">
                <w:rPr>
                  <w:rStyle w:val="affa"/>
                  <w:rFonts w:hint="eastAsia"/>
                  <w:color w:val="333399"/>
                  <w:u w:val="single"/>
                </w:rPr>
                <w:t xml:space="preserve">　　　</w:t>
              </w:r>
            </w:sdtContent>
          </w:sdt>
          <w:bookmarkStart w:id="134" w:name="_Hlk533667851"/>
        </w:p>
        <w:p w:rsidR="00597370" w:rsidRDefault="003C2EEE">
          <w:pPr>
            <w:pStyle w:val="Style109"/>
            <w:numPr>
              <w:ilvl w:val="0"/>
              <w:numId w:val="39"/>
            </w:numPr>
            <w:rPr>
              <w:rFonts w:ascii="宋体" w:hAnsi="宋体"/>
              <w:color w:val="000000" w:themeColor="text1"/>
            </w:rPr>
          </w:pPr>
          <w:r>
            <w:rPr>
              <w:rFonts w:ascii="宋体" w:hAnsi="宋体"/>
              <w:color w:val="000000" w:themeColor="text1"/>
            </w:rPr>
            <w:t>合同资产</w:t>
          </w:r>
        </w:p>
      </w:sdtContent>
    </w:sdt>
    <w:sdt>
      <w:sdtPr>
        <w:rPr>
          <w:rFonts w:hint="eastAsia"/>
          <w:color w:val="000000" w:themeColor="text1"/>
        </w:rPr>
        <w:alias w:val="是否适用：合同资产_重要会计政策和估计[双击切换]"/>
        <w:tag w:val="_GBC_2975adaf2d6646238ccae8f732c465f0"/>
        <w:id w:val="-12525731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34"/>
    <w:p w:rsidR="00597370" w:rsidRDefault="003C2EEE">
      <w:pPr>
        <w:pStyle w:val="Style109"/>
        <w:numPr>
          <w:ilvl w:val="0"/>
          <w:numId w:val="39"/>
        </w:numPr>
        <w:rPr>
          <w:rFonts w:ascii="宋体" w:hAnsi="宋体"/>
          <w:color w:val="000000" w:themeColor="text1"/>
        </w:rPr>
      </w:pPr>
      <w:r>
        <w:rPr>
          <w:rFonts w:ascii="宋体" w:hAnsi="宋体"/>
          <w:color w:val="000000" w:themeColor="text1"/>
        </w:rPr>
        <w:t>持有待售的非流动资产或处置组</w:t>
      </w:r>
    </w:p>
    <w:bookmarkStart w:id="135" w:name="_Hlk533151067" w:displacedByCustomXml="next"/>
    <w:sdt>
      <w:sdtPr>
        <w:rPr>
          <w:color w:val="000000" w:themeColor="text1"/>
        </w:rPr>
        <w:alias w:val="是否适用：持有待售的非流动资产或处置组[双击切换]"/>
        <w:tag w:val="_GBC_f1f73a9983444ce2a24c3a748aa6178f"/>
        <w:id w:val="3538561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35"/>
    <w:p w:rsidR="00597370" w:rsidRDefault="003C2EEE">
      <w:pPr>
        <w:rPr>
          <w:rFonts w:cs="Times New Roman"/>
          <w:b/>
          <w:color w:val="000000" w:themeColor="text1"/>
          <w:kern w:val="2"/>
        </w:rPr>
      </w:pPr>
      <w:r>
        <w:rPr>
          <w:rFonts w:cs="Times New Roman" w:hint="eastAsia"/>
          <w:b/>
          <w:color w:val="000000" w:themeColor="text1"/>
          <w:kern w:val="2"/>
        </w:rPr>
        <w:t>划分为持有待售的非流动资产或</w:t>
      </w:r>
      <w:proofErr w:type="gramStart"/>
      <w:r>
        <w:rPr>
          <w:rFonts w:cs="Times New Roman" w:hint="eastAsia"/>
          <w:b/>
          <w:color w:val="000000" w:themeColor="text1"/>
          <w:kern w:val="2"/>
        </w:rPr>
        <w:t>处置组</w:t>
      </w:r>
      <w:proofErr w:type="gramEnd"/>
      <w:r>
        <w:rPr>
          <w:rFonts w:cs="Times New Roman" w:hint="eastAsia"/>
          <w:b/>
          <w:color w:val="000000" w:themeColor="text1"/>
          <w:kern w:val="2"/>
        </w:rPr>
        <w:t>的确认标准和会计处理方法</w:t>
      </w:r>
    </w:p>
    <w:sdt>
      <w:sdtPr>
        <w:rPr>
          <w:color w:val="000000" w:themeColor="text1"/>
        </w:rPr>
        <w:alias w:val="是否适用：划分为持有待售的非流动资产或处置组的确认标准和会计处理方法[双击切换]"/>
        <w:tag w:val="_GBC_6c531b0531914ce08b0f9e9ff03b4e9c"/>
        <w:id w:val="185345507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cs="Times New Roman"/>
          <w:b/>
          <w:color w:val="000000" w:themeColor="text1"/>
          <w:kern w:val="2"/>
        </w:rPr>
      </w:pPr>
      <w:r>
        <w:rPr>
          <w:rFonts w:cs="Times New Roman"/>
          <w:b/>
          <w:color w:val="000000" w:themeColor="text1"/>
          <w:kern w:val="2"/>
        </w:rPr>
        <w:t>终止经营的认定标准和列报方法</w:t>
      </w:r>
    </w:p>
    <w:sdt>
      <w:sdtPr>
        <w:rPr>
          <w:color w:val="000000" w:themeColor="text1"/>
        </w:rPr>
        <w:alias w:val="是否适用：终止经营的认定标准和列报方法[双击切换]"/>
        <w:tag w:val="_GBC_4c502276dc0f4c08a09a2a83a4203533"/>
        <w:id w:val="69404784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27"/>
    <w:p w:rsidR="00597370" w:rsidRDefault="003C2EEE">
      <w:pPr>
        <w:pStyle w:val="Style109"/>
        <w:numPr>
          <w:ilvl w:val="0"/>
          <w:numId w:val="39"/>
        </w:numPr>
        <w:rPr>
          <w:rFonts w:ascii="宋体" w:hAnsi="宋体"/>
          <w:color w:val="000000" w:themeColor="text1"/>
        </w:rPr>
      </w:pPr>
      <w:r>
        <w:rPr>
          <w:rFonts w:ascii="宋体" w:hAnsi="宋体"/>
          <w:color w:val="000000" w:themeColor="text1"/>
        </w:rPr>
        <w:t>长期股权投资</w:t>
      </w:r>
    </w:p>
    <w:sdt>
      <w:sdtPr>
        <w:rPr>
          <w:color w:val="000000" w:themeColor="text1"/>
        </w:rPr>
        <w:alias w:val="是否适用：长期股权投资_重要会计政策和估计[双击切换]"/>
        <w:tag w:val="_GBC_a2b657853ac547afaaad118dec96d0e1"/>
        <w:id w:val="15300731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长期股权投资的核算方法"/>
        <w:tag w:val="_GBC_3e77074cd50946b1bccdff9bc1c9556f"/>
        <w:id w:val="1840108789"/>
        <w:placeholder>
          <w:docPart w:val="GBC22222222222222222222222222222"/>
        </w:placeholder>
      </w:sdtPr>
      <w:sdtEndPr/>
      <w:sdtContent>
        <w:p w:rsidR="00597370" w:rsidRDefault="003C2EEE">
          <w:pPr>
            <w:pStyle w:val="Style175"/>
            <w:ind w:firstLine="420"/>
          </w:pPr>
          <w:r>
            <w:rPr>
              <w:rFonts w:hint="eastAsia"/>
            </w:rPr>
            <w:t>（</w:t>
          </w:r>
          <w:r>
            <w:t>1）初始投资成本的确定</w:t>
          </w:r>
        </w:p>
        <w:p w:rsidR="00597370" w:rsidRDefault="003C2EEE">
          <w:pPr>
            <w:pStyle w:val="Style175"/>
            <w:ind w:firstLine="420"/>
          </w:pPr>
          <w:r>
            <w:t>1）企业合并形成的长期股权投资，具体会计政策详见本报告第十节.五.6.同</w:t>
          </w:r>
          <w:proofErr w:type="gramStart"/>
          <w:r>
            <w:t>一控制</w:t>
          </w:r>
          <w:proofErr w:type="gramEnd"/>
          <w:r>
            <w:t>下和非同</w:t>
          </w:r>
          <w:proofErr w:type="gramStart"/>
          <w:r>
            <w:t>一控制</w:t>
          </w:r>
          <w:proofErr w:type="gramEnd"/>
          <w:r>
            <w:t>下企业合并的会计处理方法。</w:t>
          </w:r>
        </w:p>
        <w:p w:rsidR="00597370" w:rsidRDefault="003C2EEE">
          <w:pPr>
            <w:pStyle w:val="Style175"/>
            <w:ind w:firstLine="420"/>
          </w:pPr>
          <w:r>
            <w:t>2）其他方式取得的长期股权投资</w:t>
          </w:r>
        </w:p>
        <w:p w:rsidR="00597370" w:rsidRDefault="003C2EEE">
          <w:pPr>
            <w:pStyle w:val="Style175"/>
            <w:ind w:firstLine="420"/>
          </w:pPr>
          <w:r>
            <w:rPr>
              <w:rFonts w:hint="eastAsia"/>
            </w:rPr>
            <w:t>以支付现金方式取得的长期股权投资，按照实际支付的购买价款作为初始投资成本。初始投资成本包括与取得长期股权投资直接相关的费用、税金及其他必要支出。</w:t>
          </w:r>
        </w:p>
        <w:p w:rsidR="00597370" w:rsidRDefault="003C2EEE">
          <w:pPr>
            <w:pStyle w:val="Style175"/>
            <w:ind w:firstLine="420"/>
          </w:pPr>
          <w:r>
            <w:rPr>
              <w:rFonts w:hint="eastAsia"/>
            </w:rPr>
            <w:t>以发行权益</w:t>
          </w:r>
          <w:proofErr w:type="gramStart"/>
          <w:r>
            <w:rPr>
              <w:rFonts w:hint="eastAsia"/>
            </w:rPr>
            <w:t>性证券</w:t>
          </w:r>
          <w:proofErr w:type="gramEnd"/>
          <w:r>
            <w:rPr>
              <w:rFonts w:hint="eastAsia"/>
            </w:rPr>
            <w:t>取得的长期股权投资，按照发行权益</w:t>
          </w:r>
          <w:proofErr w:type="gramStart"/>
          <w:r>
            <w:rPr>
              <w:rFonts w:hint="eastAsia"/>
            </w:rPr>
            <w:t>性证券</w:t>
          </w:r>
          <w:proofErr w:type="gramEnd"/>
          <w:r>
            <w:rPr>
              <w:rFonts w:hint="eastAsia"/>
            </w:rPr>
            <w:t>的公允价值作为初始投资成本；发行或取得自身权益工具时发生的交易费用，可直接归属于权益性交易的从权益中扣减。</w:t>
          </w:r>
        </w:p>
        <w:p w:rsidR="00597370" w:rsidRDefault="003C2EEE">
          <w:pPr>
            <w:pStyle w:val="Style175"/>
            <w:ind w:firstLine="420"/>
          </w:pPr>
          <w:r>
            <w:rPr>
              <w:rFonts w:hint="eastAsia"/>
            </w:rPr>
            <w:lastRenderedPageBreak/>
            <w:t>在非货币性资产交换具备商业实质和换入资产或换出资产的公允价值能够可靠计量的前提下，非货币性资产交换换入的长期股权投资以换出资产的公允价值为基础确定其初始投资成本，除非有确凿证据表明换入资产的公允价值更加可靠；不满足上述前提的非货币性资产交换，以换出资产的账面价值和应支付的相关税费作为换入长期股权投资的初始投资成本。</w:t>
          </w:r>
        </w:p>
        <w:p w:rsidR="00597370" w:rsidRDefault="003C2EEE">
          <w:pPr>
            <w:pStyle w:val="Style175"/>
            <w:ind w:firstLine="420"/>
          </w:pPr>
          <w:r>
            <w:rPr>
              <w:rFonts w:hint="eastAsia"/>
            </w:rPr>
            <w:t>通过债务重组取得的长期股权投资，其初始投资成本按照公允价值为基础确定。</w:t>
          </w:r>
        </w:p>
        <w:p w:rsidR="00597370" w:rsidRDefault="003C2EEE">
          <w:pPr>
            <w:pStyle w:val="Style175"/>
            <w:ind w:firstLine="420"/>
          </w:pPr>
          <w:r>
            <w:rPr>
              <w:rFonts w:hint="eastAsia"/>
            </w:rPr>
            <w:t>（</w:t>
          </w:r>
          <w:r>
            <w:t>2）后续计量及损益确认</w:t>
          </w:r>
        </w:p>
        <w:p w:rsidR="00597370" w:rsidRDefault="003C2EEE">
          <w:pPr>
            <w:pStyle w:val="Style175"/>
            <w:ind w:firstLine="420"/>
          </w:pPr>
          <w:r>
            <w:t>1）成本法</w:t>
          </w:r>
        </w:p>
        <w:p w:rsidR="00597370" w:rsidRDefault="003C2EEE">
          <w:pPr>
            <w:pStyle w:val="Style175"/>
            <w:ind w:firstLine="420"/>
          </w:pPr>
          <w:r>
            <w:rPr>
              <w:rFonts w:hint="eastAsia"/>
            </w:rPr>
            <w:t>本公司能够对被投资单位实施控制的长期股权投资采用成本法核算，并按照初始投资成本计价，追加或收回投资调整长期股权投资的成本。</w:t>
          </w:r>
        </w:p>
        <w:p w:rsidR="00597370" w:rsidRDefault="003C2EEE">
          <w:pPr>
            <w:pStyle w:val="Style175"/>
            <w:ind w:firstLine="420"/>
          </w:pPr>
          <w:r>
            <w:rPr>
              <w:rFonts w:hint="eastAsia"/>
            </w:rPr>
            <w:t>除取得投资时实际支付的价款或对价中包含的已宣告但尚未发放的现金股利或利润外，本公司按照享有被投资单位宣告分派的现金股利或利润确认为当期投资收益。</w:t>
          </w:r>
        </w:p>
        <w:p w:rsidR="00597370" w:rsidRDefault="003C2EEE">
          <w:pPr>
            <w:pStyle w:val="Style175"/>
            <w:ind w:firstLine="420"/>
          </w:pPr>
          <w:r>
            <w:t>2）权益法</w:t>
          </w:r>
        </w:p>
        <w:p w:rsidR="00597370" w:rsidRDefault="003C2EEE">
          <w:pPr>
            <w:pStyle w:val="Style175"/>
            <w:ind w:firstLine="420"/>
          </w:pPr>
          <w:r>
            <w:rPr>
              <w:rFonts w:hint="eastAsia"/>
            </w:rPr>
            <w:t>本公司对联营企业和合营企业的长期股权投资采用权益法核算；对于其中一部分通过风险投资机构、共同基金、信托公司或包括投</w:t>
          </w:r>
          <w:proofErr w:type="gramStart"/>
          <w:r>
            <w:rPr>
              <w:rFonts w:hint="eastAsia"/>
            </w:rPr>
            <w:t>连险基金</w:t>
          </w:r>
          <w:proofErr w:type="gramEnd"/>
          <w:r>
            <w:rPr>
              <w:rFonts w:hint="eastAsia"/>
            </w:rPr>
            <w:t>在内的类似主体间接持有的联营企业的权益性投资，采用公允价值计量且其变动计入损益。</w:t>
          </w:r>
        </w:p>
        <w:p w:rsidR="00597370" w:rsidRDefault="003C2EEE">
          <w:pPr>
            <w:pStyle w:val="Style175"/>
            <w:ind w:firstLine="420"/>
          </w:pPr>
          <w:r>
            <w:rPr>
              <w:rFonts w:hint="eastAsia"/>
            </w:rPr>
            <w:t>长期股权投资的初始投资成本大于投资时应享有被投资单位可辨认净资产公允价值份额的差额，不调整长期股权投资的初始投资成本；初始投资成本小于投资时应享有被投资单位可辨认净资产公允价值份额的差额，计入当期损益。</w:t>
          </w:r>
        </w:p>
        <w:p w:rsidR="00597370" w:rsidRDefault="003C2EEE">
          <w:pPr>
            <w:pStyle w:val="Style175"/>
            <w:ind w:firstLine="420"/>
          </w:pPr>
          <w:r>
            <w:rPr>
              <w:rFonts w:hint="eastAsia"/>
            </w:rPr>
            <w:t>本公司取得长期股权投资后，按照应享有或应分担的被投资单位实现的净损益和其他综合收益的份额，分别确认投资收益和其他综合收益，同时调整长期股权投资的账面价值；并按照被投资单位宣告分派的利润或现金股利计算应享有的部分，相应减少长期股权投资的账面价值；对于被投资单位除净损益、其他综合收益和利润分配以外所有者权益的其他变动，调整长期股权投资的账面价值并计入所有者权益。</w:t>
          </w:r>
        </w:p>
        <w:p w:rsidR="00597370" w:rsidRDefault="003C2EEE">
          <w:pPr>
            <w:pStyle w:val="Style175"/>
            <w:ind w:firstLine="420"/>
          </w:pPr>
          <w:r>
            <w:rPr>
              <w:rFonts w:hint="eastAsia"/>
            </w:rPr>
            <w:t>本公司在确认应享有被投资单位净损益的份额时，以取得投资时被投资单位各项可辨认资产等的公允价值为基础，对被投资单位的净利润进行调整后确认。本公司与联营企业、合营企业之间发生的未实现内部交易损益按照应享有的比例计算归属于本公司的部分予以</w:t>
          </w:r>
          <w:proofErr w:type="gramStart"/>
          <w:r>
            <w:rPr>
              <w:rFonts w:hint="eastAsia"/>
            </w:rPr>
            <w:t>抵销</w:t>
          </w:r>
          <w:proofErr w:type="gramEnd"/>
          <w:r>
            <w:rPr>
              <w:rFonts w:hint="eastAsia"/>
            </w:rPr>
            <w:t>，在此基础上确认投资损益。</w:t>
          </w:r>
        </w:p>
        <w:p w:rsidR="00597370" w:rsidRDefault="003C2EEE">
          <w:pPr>
            <w:pStyle w:val="Style175"/>
            <w:ind w:firstLine="420"/>
          </w:pPr>
          <w:r>
            <w:rPr>
              <w:rFonts w:hint="eastAsia"/>
            </w:rPr>
            <w:t>本公司确认应分担被投资单位发生的亏损时，按照以下顺序进行处理：首先，冲减长期股权投资的账面价值。其次，长期股权投资的账面价值不足以冲减的，以其他实质上构成对被投资单位净投资的长期权益账面价值为限继续确认投资损失，冲减长期应收项目等的账面价值。最后，经过上述处理，按照投资合同或协议约定企业仍承担额外义务的，按预计承担的义务确认预计负债，计入当期投资损失。</w:t>
          </w:r>
        </w:p>
        <w:p w:rsidR="00597370" w:rsidRDefault="003C2EEE">
          <w:pPr>
            <w:pStyle w:val="Style175"/>
            <w:ind w:firstLine="420"/>
          </w:pPr>
          <w:r>
            <w:rPr>
              <w:rFonts w:hint="eastAsia"/>
            </w:rPr>
            <w:lastRenderedPageBreak/>
            <w:t>被投资单位以后期间实现盈利的，公司在扣除未确认的亏损分担额后，按与上述相反的顺序处理，</w:t>
          </w:r>
          <w:proofErr w:type="gramStart"/>
          <w:r>
            <w:rPr>
              <w:rFonts w:hint="eastAsia"/>
            </w:rPr>
            <w:t>减记已</w:t>
          </w:r>
          <w:proofErr w:type="gramEnd"/>
          <w:r>
            <w:rPr>
              <w:rFonts w:hint="eastAsia"/>
            </w:rPr>
            <w:t>确认预计负债的账面余额、恢复其他实质上构成对被投资单位净投资的长期权益及长期股权投资的账面价值后，恢复确认投资收益。</w:t>
          </w:r>
        </w:p>
        <w:p w:rsidR="00597370" w:rsidRDefault="003C2EEE">
          <w:pPr>
            <w:pStyle w:val="Style175"/>
            <w:ind w:firstLine="420"/>
          </w:pPr>
          <w:r>
            <w:rPr>
              <w:rFonts w:hint="eastAsia"/>
            </w:rPr>
            <w:t>（</w:t>
          </w:r>
          <w:r>
            <w:t>3）长期股权投资核算方法的转换</w:t>
          </w:r>
        </w:p>
        <w:p w:rsidR="00597370" w:rsidRDefault="003C2EEE">
          <w:pPr>
            <w:pStyle w:val="Style175"/>
            <w:ind w:firstLine="420"/>
          </w:pPr>
          <w:r>
            <w:t>1）公允价值计量转权益法核算</w:t>
          </w:r>
        </w:p>
        <w:p w:rsidR="00597370" w:rsidRDefault="003C2EEE">
          <w:pPr>
            <w:pStyle w:val="Style175"/>
            <w:ind w:firstLine="420"/>
          </w:pPr>
          <w:r>
            <w:rPr>
              <w:rFonts w:hint="eastAsia"/>
            </w:rPr>
            <w:t>本公司原持有的对被投资单位不具有控制、共同控制或重大影响的按金融工具确认和计量准则进行会计处理的权益性投资，因追加投资等原因能够对被投资单位施加重大影响或实施共同控制但不构成控制的，按照《企业会计准则第</w:t>
          </w:r>
          <w:r>
            <w:t>22号——金融工具确认和计量》确定的原持有的股权投资的公允价值加上新增投资成本之和，作为改按权益法核算的初始投资成本。</w:t>
          </w:r>
        </w:p>
        <w:p w:rsidR="00597370" w:rsidRDefault="003C2EEE">
          <w:pPr>
            <w:pStyle w:val="Style175"/>
            <w:ind w:firstLine="420"/>
          </w:pPr>
          <w:r>
            <w:rPr>
              <w:rFonts w:hint="eastAsia"/>
            </w:rPr>
            <w:t>按权益法核算的初始投资成本小于按照追加投资后全新的持股比例计算确定的应享有被投资单位在追加</w:t>
          </w:r>
          <w:proofErr w:type="gramStart"/>
          <w:r>
            <w:rPr>
              <w:rFonts w:hint="eastAsia"/>
            </w:rPr>
            <w:t>投资日</w:t>
          </w:r>
          <w:proofErr w:type="gramEnd"/>
          <w:r>
            <w:rPr>
              <w:rFonts w:hint="eastAsia"/>
            </w:rPr>
            <w:t>可辨认净资产公允价值份额之间的差额，调整长期股权投资的账面价值，并计入当期营业外收入。</w:t>
          </w:r>
        </w:p>
        <w:p w:rsidR="00597370" w:rsidRDefault="003C2EEE">
          <w:pPr>
            <w:pStyle w:val="Style175"/>
            <w:ind w:firstLine="420"/>
          </w:pPr>
          <w:r>
            <w:t>2）公允价值计量或权益法核算</w:t>
          </w:r>
          <w:proofErr w:type="gramStart"/>
          <w:r>
            <w:t>转成本</w:t>
          </w:r>
          <w:proofErr w:type="gramEnd"/>
          <w:r>
            <w:t>法核算</w:t>
          </w:r>
        </w:p>
        <w:p w:rsidR="00597370" w:rsidRDefault="003C2EEE">
          <w:pPr>
            <w:pStyle w:val="Style175"/>
            <w:ind w:firstLine="420"/>
          </w:pPr>
          <w:r>
            <w:rPr>
              <w:rFonts w:hint="eastAsia"/>
            </w:rPr>
            <w:t>本公司原持有的对被投资单位不具有控制、共同控制或重大影响的按金融工具确认和计量准则进行会计处理的权益性投资，或原持有对联营企业、合营企业的长期股权投资，因追加投资等原因能够对非同</w:t>
          </w:r>
          <w:proofErr w:type="gramStart"/>
          <w:r>
            <w:rPr>
              <w:rFonts w:hint="eastAsia"/>
            </w:rPr>
            <w:t>一控制</w:t>
          </w:r>
          <w:proofErr w:type="gramEnd"/>
          <w:r>
            <w:rPr>
              <w:rFonts w:hint="eastAsia"/>
            </w:rPr>
            <w:t>下的被投资单位实施控制的，在编制个别财务报表时，按照原持有的股权投资账面价值加上新增投资成本之和，作为改按成本法核算的初始投资成本。</w:t>
          </w:r>
        </w:p>
        <w:p w:rsidR="00597370" w:rsidRDefault="003C2EEE">
          <w:pPr>
            <w:pStyle w:val="Style175"/>
            <w:ind w:firstLine="420"/>
          </w:pPr>
          <w:r>
            <w:rPr>
              <w:rFonts w:hint="eastAsia"/>
            </w:rPr>
            <w:t>购买日之前持有的股权投资因采用权益法核算而确认的其他综合收益，在处置该项投资时采用与被投资单位直接处置相关资产或负债相同的基础进行会计处理。</w:t>
          </w:r>
        </w:p>
        <w:p w:rsidR="00597370" w:rsidRDefault="003C2EEE">
          <w:pPr>
            <w:pStyle w:val="Style175"/>
            <w:ind w:firstLine="420"/>
          </w:pPr>
          <w:r>
            <w:rPr>
              <w:rFonts w:hint="eastAsia"/>
            </w:rPr>
            <w:t>购买日之前持有的股权投资按照《企业会计准则第</w:t>
          </w:r>
          <w:r>
            <w:t>22号——金融工具确认和计量》的有关规定进行会计处理的，原计入其他综合收益的累计公允价值变动在改按成本法核算时转入当期损益。</w:t>
          </w:r>
        </w:p>
        <w:p w:rsidR="00597370" w:rsidRDefault="003C2EEE">
          <w:pPr>
            <w:pStyle w:val="Style175"/>
            <w:ind w:firstLine="420"/>
          </w:pPr>
          <w:r>
            <w:t>3）权益法核算转公允价值计量</w:t>
          </w:r>
        </w:p>
        <w:p w:rsidR="00597370" w:rsidRDefault="003C2EEE">
          <w:pPr>
            <w:pStyle w:val="Style175"/>
            <w:ind w:firstLine="420"/>
          </w:pPr>
          <w:r>
            <w:rPr>
              <w:rFonts w:hint="eastAsia"/>
            </w:rPr>
            <w:t>本公司因处置部分股权投资等原因丧失了对被投资单位的共同控制或重大影响的，处置后的剩余股权改按《企业会计准则第</w:t>
          </w:r>
          <w:r>
            <w:t>22号——金融工具确认和计量》核算，其在丧失共同控制或重大影响之日的公允价值与账面价值之间的差额计入当期损益。</w:t>
          </w:r>
        </w:p>
        <w:p w:rsidR="00597370" w:rsidRDefault="003C2EEE">
          <w:pPr>
            <w:pStyle w:val="Style175"/>
            <w:ind w:firstLine="420"/>
          </w:pPr>
          <w:r>
            <w:rPr>
              <w:rFonts w:hint="eastAsia"/>
            </w:rPr>
            <w:t>原股权投资因采用权益法核算而确认的其他综合收益，在终止采用权益法核算时采用与被投资单位直接处置相关资产或负债相同的基础进行会计处理。</w:t>
          </w:r>
        </w:p>
        <w:p w:rsidR="00597370" w:rsidRDefault="003C2EEE">
          <w:pPr>
            <w:pStyle w:val="Style175"/>
            <w:ind w:firstLine="420"/>
          </w:pPr>
          <w:r>
            <w:t>4）成本</w:t>
          </w:r>
          <w:proofErr w:type="gramStart"/>
          <w:r>
            <w:t>法转权益</w:t>
          </w:r>
          <w:proofErr w:type="gramEnd"/>
          <w:r>
            <w:t>法</w:t>
          </w:r>
        </w:p>
        <w:p w:rsidR="00597370" w:rsidRDefault="003C2EEE">
          <w:pPr>
            <w:pStyle w:val="Style175"/>
            <w:ind w:firstLine="420"/>
          </w:pPr>
          <w:r>
            <w:rPr>
              <w:rFonts w:hint="eastAsia"/>
            </w:rPr>
            <w:t>本公司因处置部分权益性投资等原因丧失了对被投资单位的控制的，在编制个别财务报表时，处置后的剩余股权能够对被投资单位实施共同控制或施加重大影响的，改按权益法核算，并对该剩余股权视同自取得时即采用权益法核算进行调整。</w:t>
          </w:r>
        </w:p>
        <w:p w:rsidR="00597370" w:rsidRDefault="003C2EEE">
          <w:pPr>
            <w:pStyle w:val="Style175"/>
            <w:ind w:firstLine="420"/>
          </w:pPr>
          <w:r>
            <w:t>5）</w:t>
          </w:r>
          <w:proofErr w:type="gramStart"/>
          <w:r>
            <w:t>成本法转公允</w:t>
          </w:r>
          <w:proofErr w:type="gramEnd"/>
          <w:r>
            <w:t>价值计量</w:t>
          </w:r>
        </w:p>
        <w:p w:rsidR="00597370" w:rsidRDefault="003C2EEE">
          <w:pPr>
            <w:pStyle w:val="Style175"/>
            <w:ind w:firstLine="420"/>
          </w:pPr>
          <w:r>
            <w:rPr>
              <w:rFonts w:hint="eastAsia"/>
            </w:rPr>
            <w:lastRenderedPageBreak/>
            <w:t>本公司因处置部分权益性投资等原因丧失了对被投资单位的控制的，在编制个别财务报表时，处置后的剩余股权不能对被投资单位实施共同控制或施加重大影响的，改按《企业会计准则第</w:t>
          </w:r>
          <w:r>
            <w:t>22号——金融工具确认和计量》的有关规定进行会计处理，其在丧失控制之日的公允价值与账面价值间的差额计入当期损益。</w:t>
          </w:r>
        </w:p>
        <w:p w:rsidR="00597370" w:rsidRDefault="003C2EEE">
          <w:pPr>
            <w:pStyle w:val="Style175"/>
            <w:ind w:firstLine="420"/>
          </w:pPr>
          <w:r>
            <w:rPr>
              <w:rFonts w:hint="eastAsia"/>
            </w:rPr>
            <w:t>（</w:t>
          </w:r>
          <w:r>
            <w:t>4）长期股权投资的处置</w:t>
          </w:r>
        </w:p>
        <w:p w:rsidR="00597370" w:rsidRDefault="003C2EEE">
          <w:pPr>
            <w:pStyle w:val="Style175"/>
            <w:ind w:firstLine="420"/>
          </w:pPr>
          <w:r>
            <w:rPr>
              <w:rFonts w:hint="eastAsia"/>
            </w:rPr>
            <w:t>处置长期股权投资，其账面价值与实际取得价款之间的差额，应当计入当期损益。采用权益法核算的长期股权投资，在处置该项投资时，采用与被投资单位直接处置相关资产或负债相同的基础，按相应比例对原计入其他综合收益的部分进行会计处理。</w:t>
          </w:r>
        </w:p>
        <w:p w:rsidR="00597370" w:rsidRDefault="003C2EEE">
          <w:pPr>
            <w:pStyle w:val="Style175"/>
            <w:ind w:firstLine="420"/>
          </w:pPr>
          <w:r>
            <w:rPr>
              <w:rFonts w:hint="eastAsia"/>
            </w:rPr>
            <w:t>处置对子公司股权投资的各项交易的条款、条件以及经济影响符合以下一种或多种情况，将多次交易事项作为一揽子交易进行会计处理：</w:t>
          </w:r>
        </w:p>
        <w:p w:rsidR="00597370" w:rsidRDefault="003C2EEE">
          <w:pPr>
            <w:pStyle w:val="Style175"/>
            <w:ind w:firstLine="420"/>
          </w:pPr>
          <w:r>
            <w:t>1）这些交易是同时或者在考虑了彼此影响的情况下订立的；</w:t>
          </w:r>
        </w:p>
        <w:p w:rsidR="00597370" w:rsidRDefault="003C2EEE">
          <w:pPr>
            <w:pStyle w:val="Style175"/>
            <w:ind w:firstLine="420"/>
          </w:pPr>
          <w:r>
            <w:t>2）这些交易整体才能达成一项完整的商业结果；</w:t>
          </w:r>
        </w:p>
        <w:p w:rsidR="00597370" w:rsidRDefault="003C2EEE">
          <w:pPr>
            <w:pStyle w:val="Style175"/>
            <w:ind w:firstLine="420"/>
          </w:pPr>
          <w:r>
            <w:t>3）一项交易的发生取决于其他至少一项交易的发生；</w:t>
          </w:r>
        </w:p>
        <w:p w:rsidR="00597370" w:rsidRDefault="003C2EEE">
          <w:pPr>
            <w:pStyle w:val="Style175"/>
            <w:ind w:firstLine="420"/>
          </w:pPr>
          <w:r>
            <w:t>4）一项交易单独看是不经济的，但是和其他交易一并考虑时是经济的。</w:t>
          </w:r>
        </w:p>
        <w:p w:rsidR="00597370" w:rsidRDefault="003C2EEE">
          <w:pPr>
            <w:pStyle w:val="Style175"/>
            <w:ind w:firstLine="420"/>
          </w:pPr>
          <w:r>
            <w:rPr>
              <w:rFonts w:hint="eastAsia"/>
            </w:rPr>
            <w:t>因处置部分股权投资或其他原因丧失了对原有子公司控制权的，不属于一揽子交易的，区分个别财务报表和合并财务报表进行相关会计处理：</w:t>
          </w:r>
        </w:p>
        <w:p w:rsidR="00597370" w:rsidRDefault="003C2EEE">
          <w:pPr>
            <w:pStyle w:val="Style175"/>
            <w:ind w:firstLine="420"/>
          </w:pPr>
          <w:r>
            <w:t>1）在个别财务报表中，对于处置的股权，其账面价值与实际取得价款之间的差额计入当期损益。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企业会计准则第22号——金融工具确认和计量》的有关规定进行会计处理，其在丧失控制之日的公允价值与账面价值间的差额计入当期损益。</w:t>
          </w:r>
        </w:p>
        <w:p w:rsidR="00597370" w:rsidRDefault="003C2EEE">
          <w:pPr>
            <w:pStyle w:val="Style175"/>
            <w:ind w:firstLine="420"/>
          </w:pPr>
          <w:r>
            <w:t>2）在合并财务报表中，对于在丧失对子公司控制权以前的各项交易，处置价款与处置长期股权投资相应对享有子公司自购买日或</w:t>
          </w:r>
          <w:proofErr w:type="gramStart"/>
          <w:r>
            <w:t>合并日</w:t>
          </w:r>
          <w:proofErr w:type="gramEnd"/>
          <w:r>
            <w:t>开始持续计算的净资产份额之间的差额，调整资本公积（股本溢价），资本公</w:t>
          </w:r>
          <w:proofErr w:type="gramStart"/>
          <w:r>
            <w:t>积不足</w:t>
          </w:r>
          <w:proofErr w:type="gramEnd"/>
          <w:r>
            <w:t>冲减的，调整留存收益；在丧失对子公司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同时冲减商誉。与原有子公司股权投资相关的其他综合收益等，在丧</w:t>
          </w:r>
          <w:r>
            <w:rPr>
              <w:rFonts w:hint="eastAsia"/>
            </w:rPr>
            <w:t>失控制权时转为当期投资收益。</w:t>
          </w:r>
        </w:p>
        <w:p w:rsidR="00597370" w:rsidRDefault="003C2EEE">
          <w:pPr>
            <w:pStyle w:val="Style175"/>
            <w:ind w:firstLine="420"/>
          </w:pPr>
          <w:r>
            <w:rPr>
              <w:rFonts w:hint="eastAsia"/>
            </w:rPr>
            <w:t>处置对子公司股权投资直至丧失控制权的各项交易属于一揽子交易的，将各项交易作为一项处置子公司股权投资并丧失控制权的交易进行会计处理，区分个别财务报表和合并财务报表进行相关会计处理：</w:t>
          </w:r>
        </w:p>
        <w:p w:rsidR="00597370" w:rsidRDefault="003C2EEE">
          <w:pPr>
            <w:pStyle w:val="Style175"/>
            <w:ind w:firstLine="420"/>
          </w:pPr>
          <w:r>
            <w:t>1）在个别财务报表中，在丧失控制权之前每一次处置价款与处置的股权对应的长期股权投资账面价值之间的差额，确认为其他综合收益，在丧失控制权时一并转入丧失控制权当期的损益。</w:t>
          </w:r>
        </w:p>
        <w:p w:rsidR="00597370" w:rsidRDefault="003C2EEE">
          <w:pPr>
            <w:pStyle w:val="Style175"/>
            <w:ind w:firstLine="420"/>
          </w:pPr>
          <w:r>
            <w:lastRenderedPageBreak/>
            <w:t>2）在合并财务报表中，在丧失控制权之前每一次处置价款与处置投资对应的享有该子公司净资产份额的差额，确认为其他综合收益，在丧失控制权时一并转入丧失控制权当期的损益。</w:t>
          </w:r>
        </w:p>
        <w:p w:rsidR="00597370" w:rsidRDefault="003C2EEE">
          <w:pPr>
            <w:pStyle w:val="Style175"/>
            <w:ind w:firstLine="420"/>
          </w:pPr>
          <w:r>
            <w:rPr>
              <w:rFonts w:hint="eastAsia"/>
            </w:rPr>
            <w:t>（</w:t>
          </w:r>
          <w:r>
            <w:t>5）共同控制、重大影响的判断标准</w:t>
          </w:r>
        </w:p>
        <w:p w:rsidR="00597370" w:rsidRDefault="003C2EEE">
          <w:pPr>
            <w:pStyle w:val="Style175"/>
            <w:ind w:firstLine="420"/>
          </w:pPr>
          <w:r>
            <w:rPr>
              <w:rFonts w:hint="eastAsia"/>
            </w:rPr>
            <w:t>如果本公司按照相关约定与其他参与</w:t>
          </w:r>
          <w:proofErr w:type="gramStart"/>
          <w:r>
            <w:rPr>
              <w:rFonts w:hint="eastAsia"/>
            </w:rPr>
            <w:t>方集体</w:t>
          </w:r>
          <w:proofErr w:type="gramEnd"/>
          <w:r>
            <w:rPr>
              <w:rFonts w:hint="eastAsia"/>
            </w:rPr>
            <w:t>控制某项安排，并且对该安排回报具有重大影响的活动决策，需要经过分享控制权的参与方一致同意时才存在，则视为本公司与其他参与方共同控制某项安排，该安排即属于合营安排。</w:t>
          </w:r>
        </w:p>
        <w:p w:rsidR="00597370" w:rsidRDefault="003C2EEE">
          <w:pPr>
            <w:pStyle w:val="Style175"/>
            <w:ind w:firstLine="420"/>
          </w:pPr>
          <w:r>
            <w:rPr>
              <w:rFonts w:hint="eastAsia"/>
            </w:rPr>
            <w:t>合营安排通过单独主体达成的，根据相关约定判断本公司对该单独主体的净资产享有权利时，将该单独主体作为合营企业，采用权益法核算。若根据相关约定判断本公司并非对该单独主体的净资产享有权利时，该单独主体作为共同经营，本公司确认与共同经营利益份额相关的项目，并按照相关企业会计准则的规定进行会计处理。</w:t>
          </w:r>
        </w:p>
        <w:p w:rsidR="00597370" w:rsidRDefault="003C2EEE">
          <w:pPr>
            <w:pStyle w:val="Style175"/>
            <w:ind w:firstLine="420"/>
          </w:pPr>
          <w:r>
            <w:rPr>
              <w:rFonts w:hint="eastAsia"/>
            </w:rPr>
            <w:t>重大影响，是指投资方对被投资单位的财务和经营政策有参与决策的权力，但并不能够控制或者与其他方一起共同控制这些政策的制定。本公司通过以下一种或多种情形，并综合考虑所有事实和情况后，判断对被投资单位具有重大影响：</w:t>
          </w:r>
        </w:p>
        <w:p w:rsidR="00597370" w:rsidRDefault="003C2EEE">
          <w:pPr>
            <w:pStyle w:val="Style175"/>
            <w:ind w:firstLine="420"/>
          </w:pPr>
          <w:r>
            <w:t>1）在被投资单位的董事会或类似权力机构中派有代表；</w:t>
          </w:r>
        </w:p>
        <w:p w:rsidR="00597370" w:rsidRDefault="003C2EEE">
          <w:pPr>
            <w:pStyle w:val="Style175"/>
            <w:ind w:firstLine="420"/>
          </w:pPr>
          <w:r>
            <w:t>2）参与被投资单位财务和经营政策制定过程；</w:t>
          </w:r>
        </w:p>
        <w:p w:rsidR="00597370" w:rsidRDefault="003C2EEE">
          <w:pPr>
            <w:pStyle w:val="Style175"/>
            <w:ind w:firstLine="420"/>
          </w:pPr>
          <w:r>
            <w:t>3）与被投资单位之间发生重要交易；</w:t>
          </w:r>
        </w:p>
        <w:p w:rsidR="00597370" w:rsidRDefault="003C2EEE">
          <w:pPr>
            <w:pStyle w:val="Style175"/>
            <w:ind w:firstLine="420"/>
          </w:pPr>
          <w:r>
            <w:t>4）向被投资单位派出管理人员；</w:t>
          </w:r>
        </w:p>
        <w:p w:rsidR="00597370" w:rsidRDefault="003C2EEE">
          <w:pPr>
            <w:pStyle w:val="Style175"/>
            <w:ind w:firstLine="420"/>
          </w:pPr>
          <w:r>
            <w:t>5）向被投资单位提供关键技术资料。</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投资性房地产</w:t>
      </w:r>
    </w:p>
    <w:p w:rsidR="00597370" w:rsidRDefault="003C2EEE">
      <w:pPr>
        <w:rPr>
          <w:color w:val="000000" w:themeColor="text1"/>
        </w:rPr>
      </w:pPr>
      <w:r>
        <w:rPr>
          <w:rFonts w:hint="eastAsia"/>
          <w:color w:val="000000" w:themeColor="text1"/>
        </w:rPr>
        <w:t>不</w:t>
      </w:r>
      <w:sdt>
        <w:sdtPr>
          <w:rPr>
            <w:rFonts w:hint="eastAsia"/>
            <w:color w:val="000000" w:themeColor="text1"/>
          </w:rPr>
          <w:tag w:val="_PLD_2184b7576e914eab9a60f92a290f95d2"/>
          <w:id w:val="-709409820"/>
          <w:placeholder>
            <w:docPart w:val="GBC22222222222222222222222222222"/>
          </w:placeholder>
        </w:sdtPr>
        <w:sdtEndPr/>
        <w:sdtContent>
          <w:r>
            <w:rPr>
              <w:rFonts w:hint="eastAsia"/>
              <w:color w:val="000000" w:themeColor="text1"/>
            </w:rPr>
            <w:t>适</w:t>
          </w:r>
        </w:sdtContent>
      </w:sdt>
      <w:r>
        <w:rPr>
          <w:rFonts w:hint="eastAsia"/>
          <w:color w:val="000000" w:themeColor="text1"/>
        </w:rPr>
        <w:t>用</w:t>
      </w:r>
    </w:p>
    <w:p w:rsidR="00597370" w:rsidRDefault="003C2EEE">
      <w:pPr>
        <w:pStyle w:val="Style109"/>
        <w:numPr>
          <w:ilvl w:val="0"/>
          <w:numId w:val="39"/>
        </w:numPr>
        <w:rPr>
          <w:rFonts w:ascii="宋体" w:hAnsi="宋体"/>
          <w:color w:val="000000" w:themeColor="text1"/>
        </w:rPr>
      </w:pPr>
      <w:r>
        <w:rPr>
          <w:rFonts w:ascii="宋体" w:hAnsi="宋体"/>
          <w:color w:val="000000" w:themeColor="text1"/>
        </w:rPr>
        <w:t>固定资产</w:t>
      </w:r>
    </w:p>
    <w:p w:rsidR="00597370" w:rsidRDefault="003C2EEE">
      <w:pPr>
        <w:pStyle w:val="Style110"/>
        <w:numPr>
          <w:ilvl w:val="0"/>
          <w:numId w:val="40"/>
        </w:numPr>
        <w:rPr>
          <w:rFonts w:ascii="宋体" w:hAnsi="宋体"/>
          <w:color w:val="000000" w:themeColor="text1"/>
        </w:rPr>
      </w:pPr>
      <w:r>
        <w:rPr>
          <w:rFonts w:ascii="宋体" w:hAnsi="宋体" w:hint="eastAsia"/>
          <w:color w:val="000000" w:themeColor="text1"/>
        </w:rPr>
        <w:t>确认条件</w:t>
      </w:r>
    </w:p>
    <w:sdt>
      <w:sdtPr>
        <w:rPr>
          <w:color w:val="000000" w:themeColor="text1"/>
        </w:rPr>
        <w:alias w:val="是否适用：固定资产确认条件[双击切换]"/>
        <w:tag w:val="_GBC_45cce032cd1f43bfad18a80dd94e9cc4"/>
        <w:id w:val="-89843123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固定资产确认条件"/>
        <w:tag w:val="_GBC_3044d53470b143fa9477fa34b85d4ec5"/>
        <w:id w:val="10573802"/>
        <w:placeholder>
          <w:docPart w:val="GBC22222222222222222222222222222"/>
        </w:placeholder>
      </w:sdtPr>
      <w:sdtEndPr>
        <w:rPr>
          <w:b/>
        </w:rPr>
      </w:sdtEndPr>
      <w:sdtContent>
        <w:p w:rsidR="00597370" w:rsidRDefault="003C2EEE">
          <w:pPr>
            <w:pStyle w:val="Style175"/>
            <w:ind w:firstLine="420"/>
          </w:pPr>
          <w:r>
            <w:rPr>
              <w:rFonts w:hint="eastAsia"/>
            </w:rPr>
            <w:t>固定资产指为生产商品、提供劳务、出租或经营管理而持有，并且使用寿命超过一个会计年度的有形资产。固定资产在同时满足下列条件时予以确认：</w:t>
          </w:r>
        </w:p>
        <w:p w:rsidR="00597370" w:rsidRDefault="003C2EEE">
          <w:pPr>
            <w:pStyle w:val="Style175"/>
            <w:ind w:firstLine="420"/>
          </w:pPr>
          <w:r>
            <w:rPr>
              <w:rFonts w:hint="eastAsia"/>
            </w:rPr>
            <w:t>（</w:t>
          </w:r>
          <w:r>
            <w:t>1）与该固定资产有关的经济利益很可能流入企业；</w:t>
          </w:r>
        </w:p>
        <w:p w:rsidR="00597370" w:rsidRDefault="003C2EEE">
          <w:pPr>
            <w:pStyle w:val="Style175"/>
            <w:ind w:firstLine="420"/>
            <w:rPr>
              <w:b/>
            </w:rPr>
          </w:pPr>
          <w:r>
            <w:rPr>
              <w:rFonts w:hint="eastAsia"/>
            </w:rPr>
            <w:t>（</w:t>
          </w:r>
          <w:r>
            <w:t>2）该固定资产的成本能够可靠地计量。</w:t>
          </w:r>
        </w:p>
      </w:sdtContent>
    </w:sdt>
    <w:p w:rsidR="00597370" w:rsidRDefault="00597370">
      <w:pPr>
        <w:rPr>
          <w:color w:val="000000" w:themeColor="text1"/>
        </w:rPr>
      </w:pPr>
    </w:p>
    <w:p w:rsidR="00597370" w:rsidRDefault="003C2EEE">
      <w:pPr>
        <w:pStyle w:val="Style110"/>
        <w:numPr>
          <w:ilvl w:val="0"/>
          <w:numId w:val="40"/>
        </w:numPr>
        <w:rPr>
          <w:rFonts w:ascii="宋体" w:hAnsi="宋体"/>
          <w:color w:val="000000" w:themeColor="text1"/>
        </w:rPr>
      </w:pPr>
      <w:r>
        <w:rPr>
          <w:rFonts w:ascii="宋体" w:hAnsi="宋体" w:hint="eastAsia"/>
          <w:color w:val="000000" w:themeColor="text1"/>
        </w:rPr>
        <w:t>折旧方法</w:t>
      </w:r>
    </w:p>
    <w:sdt>
      <w:sdtPr>
        <w:rPr>
          <w:color w:val="000000" w:themeColor="text1"/>
        </w:rPr>
        <w:alias w:val="是否适用：固定资产折旧方法[双击切换]"/>
        <w:tag w:val="_GBC_c221ef38ff6a4242aab725946697311c"/>
        <w:id w:val="-9394046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785"/>
        <w:gridCol w:w="1788"/>
        <w:gridCol w:w="1788"/>
        <w:gridCol w:w="1788"/>
      </w:tblGrid>
      <w:tr w:rsidR="00597370">
        <w:sdt>
          <w:sdtPr>
            <w:rPr>
              <w:color w:val="000000" w:themeColor="text1"/>
            </w:rPr>
            <w:tag w:val="_PLD_d39db65ac15c4d7583d7fe75cb893517"/>
            <w:id w:val="189958235"/>
          </w:sdtPr>
          <w:sdtEndPr/>
          <w:sdtContent>
            <w:tc>
              <w:tcPr>
                <w:tcW w:w="949" w:type="pct"/>
                <w:vAlign w:val="center"/>
              </w:tcPr>
              <w:p w:rsidR="00597370" w:rsidRDefault="003C2EEE">
                <w:pPr>
                  <w:jc w:val="center"/>
                  <w:rPr>
                    <w:color w:val="000000" w:themeColor="text1"/>
                  </w:rPr>
                </w:pPr>
                <w:r>
                  <w:rPr>
                    <w:color w:val="000000" w:themeColor="text1"/>
                  </w:rPr>
                  <w:t>类别</w:t>
                </w:r>
              </w:p>
            </w:tc>
          </w:sdtContent>
        </w:sdt>
        <w:sdt>
          <w:sdtPr>
            <w:rPr>
              <w:color w:val="000000" w:themeColor="text1"/>
            </w:rPr>
            <w:tag w:val="_PLD_1b5147121b9948e5a115c7a4d6c95995"/>
            <w:id w:val="1493381291"/>
          </w:sdtPr>
          <w:sdtEndPr/>
          <w:sdtContent>
            <w:tc>
              <w:tcPr>
                <w:tcW w:w="1012" w:type="pct"/>
                <w:vAlign w:val="center"/>
              </w:tcPr>
              <w:p w:rsidR="00597370" w:rsidRDefault="003C2EEE">
                <w:pPr>
                  <w:jc w:val="center"/>
                  <w:rPr>
                    <w:color w:val="000000" w:themeColor="text1"/>
                  </w:rPr>
                </w:pPr>
                <w:r>
                  <w:rPr>
                    <w:rFonts w:hint="eastAsia"/>
                    <w:color w:val="000000" w:themeColor="text1"/>
                  </w:rPr>
                  <w:t>折旧方法</w:t>
                </w:r>
              </w:p>
            </w:tc>
          </w:sdtContent>
        </w:sdt>
        <w:sdt>
          <w:sdtPr>
            <w:rPr>
              <w:color w:val="000000" w:themeColor="text1"/>
            </w:rPr>
            <w:tag w:val="_PLD_65441224aa3f4fd3be4ca0650b16b1aa"/>
            <w:id w:val="1517502671"/>
          </w:sdtPr>
          <w:sdtEndPr/>
          <w:sdtContent>
            <w:tc>
              <w:tcPr>
                <w:tcW w:w="1013" w:type="pct"/>
                <w:vAlign w:val="center"/>
              </w:tcPr>
              <w:p w:rsidR="00597370" w:rsidRDefault="003C2EEE">
                <w:pPr>
                  <w:jc w:val="center"/>
                  <w:rPr>
                    <w:color w:val="000000" w:themeColor="text1"/>
                  </w:rPr>
                </w:pPr>
                <w:r>
                  <w:rPr>
                    <w:color w:val="000000" w:themeColor="text1"/>
                  </w:rPr>
                  <w:t>折旧年限（年）</w:t>
                </w:r>
              </w:p>
            </w:tc>
          </w:sdtContent>
        </w:sdt>
        <w:sdt>
          <w:sdtPr>
            <w:rPr>
              <w:color w:val="000000" w:themeColor="text1"/>
            </w:rPr>
            <w:tag w:val="_PLD_1c82a37539a842289bf80f2937f33bee"/>
            <w:id w:val="-1762748280"/>
          </w:sdtPr>
          <w:sdtEndPr/>
          <w:sdtContent>
            <w:tc>
              <w:tcPr>
                <w:tcW w:w="1013" w:type="pct"/>
                <w:vAlign w:val="center"/>
              </w:tcPr>
              <w:p w:rsidR="00597370" w:rsidRDefault="003C2EEE">
                <w:pPr>
                  <w:jc w:val="center"/>
                  <w:rPr>
                    <w:color w:val="000000" w:themeColor="text1"/>
                  </w:rPr>
                </w:pPr>
                <w:r>
                  <w:rPr>
                    <w:color w:val="000000" w:themeColor="text1"/>
                  </w:rPr>
                  <w:t>残值率</w:t>
                </w:r>
              </w:p>
            </w:tc>
          </w:sdtContent>
        </w:sdt>
        <w:sdt>
          <w:sdtPr>
            <w:rPr>
              <w:color w:val="000000" w:themeColor="text1"/>
            </w:rPr>
            <w:tag w:val="_PLD_a67e8338c181496fa22b9944b63ec82c"/>
            <w:id w:val="-71742221"/>
          </w:sdtPr>
          <w:sdtEndPr/>
          <w:sdtContent>
            <w:tc>
              <w:tcPr>
                <w:tcW w:w="1013" w:type="pct"/>
                <w:vAlign w:val="center"/>
              </w:tcPr>
              <w:p w:rsidR="00597370" w:rsidRDefault="003C2EEE">
                <w:pPr>
                  <w:jc w:val="center"/>
                  <w:rPr>
                    <w:color w:val="000000" w:themeColor="text1"/>
                  </w:rPr>
                </w:pPr>
                <w:r>
                  <w:rPr>
                    <w:color w:val="000000" w:themeColor="text1"/>
                  </w:rPr>
                  <w:t>年折旧率</w:t>
                </w:r>
              </w:p>
            </w:tc>
          </w:sdtContent>
        </w:sdt>
      </w:tr>
      <w:tr w:rsidR="00597370">
        <w:tc>
          <w:tcPr>
            <w:tcW w:w="949" w:type="pct"/>
            <w:vAlign w:val="center"/>
          </w:tcPr>
          <w:p w:rsidR="00597370" w:rsidRDefault="003C2EEE">
            <w:pPr>
              <w:jc w:val="center"/>
            </w:pPr>
            <w:r>
              <w:t>房屋及建筑物</w:t>
            </w:r>
          </w:p>
        </w:tc>
        <w:tc>
          <w:tcPr>
            <w:tcW w:w="1012" w:type="pct"/>
            <w:vAlign w:val="center"/>
          </w:tcPr>
          <w:p w:rsidR="00597370" w:rsidRDefault="003C2EEE">
            <w:pPr>
              <w:jc w:val="center"/>
            </w:pPr>
            <w:r>
              <w:t>年限平均法</w:t>
            </w:r>
          </w:p>
        </w:tc>
        <w:tc>
          <w:tcPr>
            <w:tcW w:w="1013" w:type="pct"/>
            <w:vAlign w:val="center"/>
          </w:tcPr>
          <w:p w:rsidR="00597370" w:rsidRDefault="003C2EEE">
            <w:pPr>
              <w:jc w:val="center"/>
            </w:pPr>
            <w:r>
              <w:t>10-20</w:t>
            </w:r>
          </w:p>
        </w:tc>
        <w:tc>
          <w:tcPr>
            <w:tcW w:w="1013" w:type="pct"/>
            <w:vAlign w:val="center"/>
          </w:tcPr>
          <w:p w:rsidR="00597370" w:rsidRDefault="003C2EEE">
            <w:pPr>
              <w:jc w:val="center"/>
            </w:pPr>
            <w:r>
              <w:t>5.00</w:t>
            </w:r>
          </w:p>
        </w:tc>
        <w:tc>
          <w:tcPr>
            <w:tcW w:w="1013" w:type="pct"/>
            <w:vAlign w:val="center"/>
          </w:tcPr>
          <w:p w:rsidR="00597370" w:rsidRDefault="003C2EEE">
            <w:pPr>
              <w:jc w:val="center"/>
            </w:pPr>
            <w:r>
              <w:t>4.95-9.50</w:t>
            </w:r>
          </w:p>
        </w:tc>
      </w:tr>
      <w:tr w:rsidR="00597370">
        <w:tc>
          <w:tcPr>
            <w:tcW w:w="949" w:type="pct"/>
            <w:vAlign w:val="center"/>
          </w:tcPr>
          <w:p w:rsidR="00597370" w:rsidRDefault="003C2EEE">
            <w:pPr>
              <w:jc w:val="center"/>
            </w:pPr>
            <w:r>
              <w:t>机器设备</w:t>
            </w:r>
          </w:p>
        </w:tc>
        <w:tc>
          <w:tcPr>
            <w:tcW w:w="1012" w:type="pct"/>
            <w:vAlign w:val="center"/>
          </w:tcPr>
          <w:p w:rsidR="00597370" w:rsidRDefault="003C2EEE">
            <w:pPr>
              <w:jc w:val="center"/>
            </w:pPr>
            <w:r>
              <w:t>年限平均法</w:t>
            </w:r>
          </w:p>
        </w:tc>
        <w:tc>
          <w:tcPr>
            <w:tcW w:w="1013" w:type="pct"/>
            <w:vAlign w:val="center"/>
          </w:tcPr>
          <w:p w:rsidR="00597370" w:rsidRDefault="003C2EEE">
            <w:pPr>
              <w:jc w:val="center"/>
            </w:pPr>
            <w:r>
              <w:t>5-10</w:t>
            </w:r>
          </w:p>
        </w:tc>
        <w:tc>
          <w:tcPr>
            <w:tcW w:w="1013" w:type="pct"/>
            <w:vAlign w:val="center"/>
          </w:tcPr>
          <w:p w:rsidR="00597370" w:rsidRDefault="003C2EEE">
            <w:pPr>
              <w:jc w:val="center"/>
            </w:pPr>
            <w:r>
              <w:t>5.00</w:t>
            </w:r>
          </w:p>
        </w:tc>
        <w:tc>
          <w:tcPr>
            <w:tcW w:w="1013" w:type="pct"/>
            <w:vAlign w:val="center"/>
          </w:tcPr>
          <w:p w:rsidR="00597370" w:rsidRDefault="003C2EEE">
            <w:pPr>
              <w:jc w:val="center"/>
            </w:pPr>
            <w:r>
              <w:t>9.50-19.00</w:t>
            </w:r>
          </w:p>
        </w:tc>
      </w:tr>
      <w:tr w:rsidR="00597370">
        <w:tc>
          <w:tcPr>
            <w:tcW w:w="949" w:type="pct"/>
            <w:vAlign w:val="center"/>
          </w:tcPr>
          <w:p w:rsidR="00597370" w:rsidRDefault="003C2EEE">
            <w:pPr>
              <w:jc w:val="center"/>
            </w:pPr>
            <w:r>
              <w:t>电子设备及办公设备</w:t>
            </w:r>
          </w:p>
        </w:tc>
        <w:tc>
          <w:tcPr>
            <w:tcW w:w="1012" w:type="pct"/>
            <w:vAlign w:val="center"/>
          </w:tcPr>
          <w:p w:rsidR="00597370" w:rsidRDefault="003C2EEE">
            <w:pPr>
              <w:jc w:val="center"/>
            </w:pPr>
            <w:r>
              <w:t>年限平均法</w:t>
            </w:r>
          </w:p>
        </w:tc>
        <w:tc>
          <w:tcPr>
            <w:tcW w:w="1013" w:type="pct"/>
            <w:vAlign w:val="center"/>
          </w:tcPr>
          <w:p w:rsidR="00597370" w:rsidRDefault="003C2EEE">
            <w:pPr>
              <w:jc w:val="center"/>
            </w:pPr>
            <w:r>
              <w:t>3-10</w:t>
            </w:r>
          </w:p>
        </w:tc>
        <w:tc>
          <w:tcPr>
            <w:tcW w:w="1013" w:type="pct"/>
            <w:vAlign w:val="center"/>
          </w:tcPr>
          <w:p w:rsidR="00597370" w:rsidRDefault="003C2EEE">
            <w:pPr>
              <w:jc w:val="center"/>
            </w:pPr>
            <w:r>
              <w:t>5.00</w:t>
            </w:r>
          </w:p>
        </w:tc>
        <w:tc>
          <w:tcPr>
            <w:tcW w:w="1013" w:type="pct"/>
            <w:vAlign w:val="center"/>
          </w:tcPr>
          <w:p w:rsidR="00597370" w:rsidRDefault="003C2EEE">
            <w:pPr>
              <w:jc w:val="center"/>
            </w:pPr>
            <w:r>
              <w:t>9.50-31.67</w:t>
            </w:r>
          </w:p>
        </w:tc>
      </w:tr>
      <w:tr w:rsidR="00597370">
        <w:tc>
          <w:tcPr>
            <w:tcW w:w="949" w:type="pct"/>
            <w:vAlign w:val="center"/>
          </w:tcPr>
          <w:p w:rsidR="00597370" w:rsidRDefault="003C2EEE">
            <w:pPr>
              <w:jc w:val="center"/>
            </w:pPr>
            <w:r>
              <w:t>运输工具</w:t>
            </w:r>
          </w:p>
        </w:tc>
        <w:tc>
          <w:tcPr>
            <w:tcW w:w="1012" w:type="pct"/>
            <w:vAlign w:val="center"/>
          </w:tcPr>
          <w:p w:rsidR="00597370" w:rsidRDefault="003C2EEE">
            <w:pPr>
              <w:jc w:val="center"/>
            </w:pPr>
            <w:r>
              <w:t>年限平均法</w:t>
            </w:r>
          </w:p>
        </w:tc>
        <w:tc>
          <w:tcPr>
            <w:tcW w:w="1013" w:type="pct"/>
            <w:vAlign w:val="center"/>
          </w:tcPr>
          <w:p w:rsidR="00597370" w:rsidRDefault="003C2EEE">
            <w:pPr>
              <w:jc w:val="center"/>
            </w:pPr>
            <w:r>
              <w:t>4-10</w:t>
            </w:r>
          </w:p>
        </w:tc>
        <w:tc>
          <w:tcPr>
            <w:tcW w:w="1013" w:type="pct"/>
            <w:vAlign w:val="center"/>
          </w:tcPr>
          <w:p w:rsidR="00597370" w:rsidRDefault="003C2EEE">
            <w:pPr>
              <w:jc w:val="center"/>
            </w:pPr>
            <w:r>
              <w:t>5.00</w:t>
            </w:r>
          </w:p>
        </w:tc>
        <w:tc>
          <w:tcPr>
            <w:tcW w:w="1013" w:type="pct"/>
            <w:vAlign w:val="center"/>
          </w:tcPr>
          <w:p w:rsidR="00597370" w:rsidRDefault="003C2EEE">
            <w:pPr>
              <w:jc w:val="center"/>
            </w:pPr>
            <w:r>
              <w:t>9.50-23.75</w:t>
            </w:r>
          </w:p>
        </w:tc>
      </w:tr>
    </w:tbl>
    <w:p w:rsidR="00597370" w:rsidRDefault="003C2EEE">
      <w:pPr>
        <w:pStyle w:val="Style175"/>
        <w:ind w:firstLine="420"/>
      </w:pPr>
      <w:r>
        <w:rPr>
          <w:rFonts w:hint="eastAsia"/>
        </w:rPr>
        <w:lastRenderedPageBreak/>
        <w:t>固定资产折旧按其入账价值减去预计净残值后在预计使用寿命内计提。对计提了减值准备的固定资产，则在未来期间按扣除减值准备后的账面价值及依据尚可使用年限确定折旧额；已提足</w:t>
      </w:r>
      <w:proofErr w:type="gramStart"/>
      <w:r>
        <w:rPr>
          <w:rFonts w:hint="eastAsia"/>
        </w:rPr>
        <w:t>折旧仍</w:t>
      </w:r>
      <w:proofErr w:type="gramEnd"/>
      <w:r>
        <w:rPr>
          <w:rFonts w:hint="eastAsia"/>
        </w:rPr>
        <w:t>继续使用的固定资产不计提折旧。</w:t>
      </w:r>
    </w:p>
    <w:p w:rsidR="00597370" w:rsidRDefault="003C2EEE">
      <w:pPr>
        <w:pStyle w:val="Style175"/>
        <w:ind w:firstLine="420"/>
      </w:pPr>
      <w:r>
        <w:rPr>
          <w:rFonts w:hint="eastAsia"/>
        </w:rPr>
        <w:t>利用专项储备支出形成的固定资产，按照形成固定资产的成本冲减专项储备，并确认相同金额的累计折旧，该固定资产在以后期间不再计提折旧。</w:t>
      </w:r>
    </w:p>
    <w:p w:rsidR="00597370" w:rsidRDefault="003C2EEE">
      <w:pPr>
        <w:pStyle w:val="Style175"/>
        <w:ind w:firstLine="420"/>
      </w:pPr>
      <w:r>
        <w:rPr>
          <w:rFonts w:hint="eastAsia"/>
        </w:rPr>
        <w:t>本公司根据固定资产的性质和使用情况，确定固定资产的使用寿命和预计净残值。并在年度终了，对固定资产的使用寿命、预计净残值和折旧方法进行复核，如与原先估计数存在差异的，进行相应的调整。</w:t>
      </w:r>
    </w:p>
    <w:p w:rsidR="00597370" w:rsidRDefault="003C2EEE">
      <w:pPr>
        <w:pStyle w:val="Style109"/>
        <w:numPr>
          <w:ilvl w:val="0"/>
          <w:numId w:val="39"/>
        </w:numPr>
        <w:rPr>
          <w:rFonts w:ascii="宋体" w:hAnsi="宋体"/>
          <w:color w:val="000000" w:themeColor="text1"/>
        </w:rPr>
      </w:pPr>
      <w:r>
        <w:rPr>
          <w:rFonts w:ascii="宋体" w:hAnsi="宋体"/>
          <w:color w:val="000000" w:themeColor="text1"/>
        </w:rPr>
        <w:t>在建工程</w:t>
      </w:r>
    </w:p>
    <w:p w:rsidR="00597370" w:rsidRDefault="006840ED">
      <w:pPr>
        <w:rPr>
          <w:color w:val="000000" w:themeColor="text1"/>
        </w:rPr>
      </w:pPr>
      <w:sdt>
        <w:sdtPr>
          <w:rPr>
            <w:rFonts w:hint="eastAsia"/>
            <w:color w:val="000000" w:themeColor="text1"/>
          </w:rPr>
          <w:alias w:val="是否适用：在建工程_重要会计政策和估计[双击切换]"/>
          <w:tag w:val="_GBC_d9803b41f65e4a7fbebb412a259d9bf9"/>
          <w:id w:val="1390308919"/>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w:instrText>
          </w:r>
          <w:r w:rsidR="003C2EEE">
            <w:rPr>
              <w:rFonts w:hint="eastAsia"/>
              <w:color w:val="000000" w:themeColor="text1"/>
            </w:rPr>
            <w:instrText>MACROBUTTON  SnrToggleCheckbox √适用</w:instrText>
          </w:r>
          <w:r w:rsidR="003C2EEE">
            <w:rPr>
              <w:color w:val="000000" w:themeColor="text1"/>
            </w:rPr>
            <w:instrText xml:space="preserve">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sdt>
      <w:sdtPr>
        <w:rPr>
          <w:rFonts w:hint="eastAsia"/>
        </w:rPr>
        <w:alias w:val="在建工程核算方法"/>
        <w:tag w:val="_GBC_ed79f983df814c58add61776fe84c76e"/>
        <w:id w:val="-1997030756"/>
        <w:placeholder>
          <w:docPart w:val="GBC22222222222222222222222222222"/>
        </w:placeholder>
      </w:sdtPr>
      <w:sdtEndPr/>
      <w:sdtContent>
        <w:p w:rsidR="00597370" w:rsidRDefault="003C2EEE">
          <w:pPr>
            <w:pStyle w:val="Style175"/>
            <w:ind w:firstLine="420"/>
          </w:pPr>
          <w:r>
            <w:rPr>
              <w:rFonts w:hint="eastAsia"/>
            </w:rPr>
            <w:t>本公司自行建造的在建工程按实际成本计价，实际成本由建造该项资产达到预定可使用状态前所发生的必要支出构成，包括工程用物资成本、人工成本、交纳的相关税费、应予资本化的借款费用以及应分摊的间接费用等。</w:t>
          </w:r>
        </w:p>
        <w:p w:rsidR="00597370" w:rsidRDefault="003C2EEE">
          <w:pPr>
            <w:pStyle w:val="Style175"/>
            <w:ind w:firstLine="420"/>
          </w:pPr>
          <w:r>
            <w:rPr>
              <w:rFonts w:hint="eastAsia"/>
            </w:rPr>
            <w:t>在建工程项目按建造该项资产达到预定可使用状态前所发生的全部支出，作为固定资产的入账价值。所建造的在建工程已达到预定可使用状态，但尚未办理竣工决算的，</w:t>
          </w:r>
          <w:proofErr w:type="gramStart"/>
          <w:r>
            <w:rPr>
              <w:rFonts w:hint="eastAsia"/>
            </w:rPr>
            <w:t>自达到</w:t>
          </w:r>
          <w:proofErr w:type="gramEnd"/>
          <w:r>
            <w:rPr>
              <w:rFonts w:hint="eastAsia"/>
            </w:rPr>
            <w:t>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p>
        <w:p w:rsidR="00597370" w:rsidRDefault="003C2EEE">
          <w:pPr>
            <w:pStyle w:val="Style175"/>
            <w:ind w:firstLine="420"/>
          </w:pPr>
          <w:r>
            <w:rPr>
              <w:rFonts w:hint="eastAsia"/>
            </w:rPr>
            <w:t>在建工程的减值测试方法和减值准备计提方法详见本报告第十节</w:t>
          </w:r>
          <w:r>
            <w:t>.(五).27长期资产减值。</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借款费用</w:t>
      </w:r>
    </w:p>
    <w:sdt>
      <w:sdtPr>
        <w:rPr>
          <w:rFonts w:hint="eastAsia"/>
          <w:color w:val="000000" w:themeColor="text1"/>
        </w:rPr>
        <w:alias w:val="是否适用：借款费用_重要会计政策和估计[双击切换]"/>
        <w:tag w:val="_GBC_3f3db73e5cb247009b3840143b5e6627"/>
        <w:id w:val="125809950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借款费用的会计处理方法"/>
        <w:tag w:val="_GBC_2101c32d32c64f39a8b8fcd2b72dbb0a"/>
        <w:id w:val="-750737831"/>
        <w:placeholder>
          <w:docPart w:val="GBC22222222222222222222222222222"/>
        </w:placeholder>
      </w:sdtPr>
      <w:sdtEndPr/>
      <w:sdtContent>
        <w:p w:rsidR="00597370" w:rsidRDefault="003C2EEE">
          <w:pPr>
            <w:pStyle w:val="Style175"/>
            <w:ind w:firstLine="420"/>
          </w:pPr>
          <w:r>
            <w:t>(1)借款费用资本化的确认原则</w:t>
          </w:r>
        </w:p>
        <w:p w:rsidR="00597370" w:rsidRDefault="003C2EEE">
          <w:pPr>
            <w:pStyle w:val="Style175"/>
            <w:ind w:firstLine="420"/>
          </w:pPr>
          <w:r>
            <w:rPr>
              <w:rFonts w:hint="eastAsia"/>
            </w:rPr>
            <w:t>本公司发生的借款费用，可直接归属于符合资本化条件的资产的购建或者生产的，予以资本化，计入相关资产成本；其他借款费用，在发生时根据其发生额确认为费用，计入当期损益。</w:t>
          </w:r>
        </w:p>
        <w:p w:rsidR="00597370" w:rsidRDefault="003C2EEE">
          <w:pPr>
            <w:pStyle w:val="Style175"/>
            <w:ind w:firstLine="420"/>
          </w:pPr>
          <w:r>
            <w:rPr>
              <w:rFonts w:hint="eastAsia"/>
            </w:rPr>
            <w:t>符合资本化条件的资产，是指需要经过相当长时间的购建或者生产活动才能达到预定可使用或者可销售状态的固定资产、投资性房地产和存货等资产。</w:t>
          </w:r>
        </w:p>
        <w:p w:rsidR="00597370" w:rsidRDefault="003C2EEE">
          <w:pPr>
            <w:pStyle w:val="Style175"/>
            <w:ind w:firstLine="420"/>
          </w:pPr>
          <w:r>
            <w:rPr>
              <w:rFonts w:hint="eastAsia"/>
            </w:rPr>
            <w:t>借款费用同时满足下列条件时开始资本化：</w:t>
          </w:r>
        </w:p>
        <w:p w:rsidR="00597370" w:rsidRDefault="003C2EEE">
          <w:pPr>
            <w:pStyle w:val="Style175"/>
            <w:ind w:firstLine="420"/>
          </w:pPr>
          <w:r>
            <w:t>1）资产支出已经发生，资产支出包括为购建或者生产符合资本化条件的资产而以支付现金、</w:t>
          </w:r>
          <w:proofErr w:type="gramStart"/>
          <w:r>
            <w:t>转移非</w:t>
          </w:r>
          <w:proofErr w:type="gramEnd"/>
          <w:r>
            <w:t>现金资产或者承担带息债务形式发生的支出；</w:t>
          </w:r>
        </w:p>
        <w:p w:rsidR="00597370" w:rsidRDefault="003C2EEE">
          <w:pPr>
            <w:pStyle w:val="Style175"/>
            <w:ind w:firstLine="420"/>
          </w:pPr>
          <w:r>
            <w:t>2）借款费用已经发生；</w:t>
          </w:r>
        </w:p>
        <w:p w:rsidR="00597370" w:rsidRDefault="003C2EEE">
          <w:pPr>
            <w:pStyle w:val="Style175"/>
            <w:ind w:firstLine="420"/>
          </w:pPr>
          <w:r>
            <w:t>3）为使资产达到预定可使用或者可销售状态所必要的购建或者生产活动已经开始。</w:t>
          </w:r>
        </w:p>
        <w:p w:rsidR="00597370" w:rsidRDefault="003C2EEE">
          <w:pPr>
            <w:pStyle w:val="Style175"/>
            <w:ind w:firstLine="420"/>
          </w:pPr>
          <w:r>
            <w:t>(2)借款费用资本化期间</w:t>
          </w:r>
        </w:p>
        <w:p w:rsidR="00597370" w:rsidRDefault="003C2EEE">
          <w:pPr>
            <w:pStyle w:val="Style175"/>
            <w:ind w:firstLine="420"/>
          </w:pPr>
          <w:r>
            <w:rPr>
              <w:rFonts w:hint="eastAsia"/>
            </w:rPr>
            <w:t>资本化期间，指从借款费用开始资本化时点到停止资本化时点的期间，借款费用暂停资本化的期间不包括在内。</w:t>
          </w:r>
        </w:p>
        <w:p w:rsidR="00597370" w:rsidRDefault="003C2EEE">
          <w:pPr>
            <w:pStyle w:val="Style175"/>
            <w:ind w:firstLine="420"/>
          </w:pPr>
          <w:proofErr w:type="gramStart"/>
          <w:r>
            <w:rPr>
              <w:rFonts w:hint="eastAsia"/>
            </w:rPr>
            <w:lastRenderedPageBreak/>
            <w:t>当购建</w:t>
          </w:r>
          <w:proofErr w:type="gramEnd"/>
          <w:r>
            <w:rPr>
              <w:rFonts w:hint="eastAsia"/>
            </w:rPr>
            <w:t>或者生产符合资本化条件的资产达到预定可使用或者可销售状态时，借款费用停止资本化。</w:t>
          </w:r>
        </w:p>
        <w:p w:rsidR="00597370" w:rsidRDefault="003C2EEE">
          <w:pPr>
            <w:pStyle w:val="Style175"/>
            <w:ind w:firstLine="420"/>
          </w:pPr>
          <w:proofErr w:type="gramStart"/>
          <w:r>
            <w:rPr>
              <w:rFonts w:hint="eastAsia"/>
            </w:rPr>
            <w:t>当购建</w:t>
          </w:r>
          <w:proofErr w:type="gramEnd"/>
          <w:r>
            <w:rPr>
              <w:rFonts w:hint="eastAsia"/>
            </w:rPr>
            <w:t>或者生产符合资本化条件的资产中部分项目分别完工且可单独使用时，该部分资产借款费用停止资本化。</w:t>
          </w:r>
        </w:p>
        <w:p w:rsidR="00597370" w:rsidRDefault="003C2EEE">
          <w:pPr>
            <w:pStyle w:val="Style175"/>
            <w:ind w:firstLine="420"/>
          </w:pPr>
          <w:r>
            <w:rPr>
              <w:rFonts w:hint="eastAsia"/>
            </w:rPr>
            <w:t>购建或者生产的资产的各部分分别完工，但必须等到整体完工后才可使用或可对外销售的，在该资产整体完工时停止借款费用资本化。</w:t>
          </w:r>
        </w:p>
        <w:p w:rsidR="00597370" w:rsidRDefault="003C2EEE">
          <w:pPr>
            <w:pStyle w:val="Style175"/>
            <w:ind w:firstLine="420"/>
          </w:pPr>
          <w:r>
            <w:t>(3)暂停资本化期间</w:t>
          </w:r>
        </w:p>
        <w:p w:rsidR="00597370" w:rsidRDefault="003C2EEE">
          <w:pPr>
            <w:pStyle w:val="Style175"/>
            <w:ind w:firstLine="420"/>
          </w:pPr>
          <w:r>
            <w:rPr>
              <w:rFonts w:hint="eastAsia"/>
            </w:rPr>
            <w:t>符合资本化条件的资产在购建或生产过程中发生的非正常中断、且中断时间连续超过</w:t>
          </w:r>
          <w:r>
            <w:t>3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rsidR="00597370" w:rsidRDefault="003C2EEE">
          <w:pPr>
            <w:pStyle w:val="Style175"/>
            <w:ind w:firstLine="420"/>
          </w:pPr>
          <w:r>
            <w:t>(4)借款费用资本</w:t>
          </w:r>
          <w:proofErr w:type="gramStart"/>
          <w:r>
            <w:t>化金额</w:t>
          </w:r>
          <w:proofErr w:type="gramEnd"/>
          <w:r>
            <w:t>的计算方法</w:t>
          </w:r>
        </w:p>
        <w:p w:rsidR="00597370" w:rsidRDefault="003C2EEE">
          <w:pPr>
            <w:pStyle w:val="Style175"/>
            <w:ind w:firstLine="420"/>
          </w:pPr>
          <w:r>
            <w:rPr>
              <w:rFonts w:hint="eastAsia"/>
            </w:rPr>
            <w:t>专门借款的利息费用（扣除尚未动用的借款资金存入银行取得的利息收入或者进行暂时性投资取得的投资收益）及其辅助费用在所购建或者生产的符合资本化条件的资产达到预定可使用或者可销售状态前，予以资本化。</w:t>
          </w:r>
        </w:p>
        <w:p w:rsidR="00597370" w:rsidRDefault="003C2EEE">
          <w:pPr>
            <w:pStyle w:val="Style175"/>
            <w:ind w:firstLine="420"/>
          </w:pPr>
          <w:r>
            <w:rPr>
              <w:rFonts w:hint="eastAsia"/>
            </w:rPr>
            <w:t>根据累计资产支出超过专门借款部分的资产支出加权平均数乘以所占用一般借款的资本化率，计算确定一般借款应予资本化的利息金额。资本化率根据一般借款加权平均利率计算确定。</w:t>
          </w:r>
        </w:p>
        <w:p w:rsidR="00597370" w:rsidRDefault="003C2EEE">
          <w:pPr>
            <w:pStyle w:val="Style175"/>
            <w:ind w:firstLine="420"/>
          </w:pPr>
          <w:r>
            <w:rPr>
              <w:rFonts w:hint="eastAsia"/>
            </w:rPr>
            <w:t>借款存在折价或者溢价的，按照实际利率法确定每一会计期间应摊销的折价或者溢价金额，调整每期利息金额。</w:t>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生物资产</w:t>
      </w:r>
    </w:p>
    <w:sdt>
      <w:sdtPr>
        <w:rPr>
          <w:rFonts w:hint="eastAsia"/>
          <w:color w:val="000000" w:themeColor="text1"/>
        </w:rPr>
        <w:alias w:val="是否适用：生物资产_重要会计政策和估计[双击切换]"/>
        <w:tag w:val="_GBC_3c525bb9dd0340978b83e74317a40315"/>
        <w:id w:val="34244295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油气资产</w:t>
      </w:r>
    </w:p>
    <w:sdt>
      <w:sdtPr>
        <w:rPr>
          <w:rFonts w:hint="eastAsia"/>
          <w:color w:val="000000" w:themeColor="text1"/>
        </w:rPr>
        <w:alias w:val="是否适用：油气资产_重要会计政策和估计[双击切换]"/>
        <w:tag w:val="_GBC_60d99a70431c4b868b6e953077cbfe88"/>
        <w:id w:val="77698227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39"/>
        </w:numPr>
        <w:rPr>
          <w:rFonts w:ascii="宋体" w:hAnsi="宋体"/>
          <w:color w:val="000000" w:themeColor="text1"/>
        </w:rPr>
      </w:pPr>
      <w:bookmarkStart w:id="136" w:name="_Hlk169007443"/>
      <w:r>
        <w:rPr>
          <w:rFonts w:ascii="宋体" w:hAnsi="宋体"/>
          <w:color w:val="000000" w:themeColor="text1"/>
        </w:rPr>
        <w:t>无形资产</w:t>
      </w:r>
    </w:p>
    <w:p w:rsidR="00597370" w:rsidRDefault="003C2EEE">
      <w:pPr>
        <w:pStyle w:val="Style110"/>
        <w:numPr>
          <w:ilvl w:val="3"/>
          <w:numId w:val="41"/>
        </w:numPr>
        <w:tabs>
          <w:tab w:val="left" w:pos="448"/>
        </w:tabs>
        <w:rPr>
          <w:rFonts w:ascii="宋体" w:hAnsi="宋体"/>
          <w:color w:val="000000" w:themeColor="text1"/>
        </w:rPr>
      </w:pPr>
      <w:r>
        <w:rPr>
          <w:rFonts w:ascii="宋体" w:hAnsi="宋体" w:hint="eastAsia"/>
          <w:color w:val="000000" w:themeColor="text1"/>
        </w:rPr>
        <w:t>使用寿命</w:t>
      </w:r>
      <w:r>
        <w:rPr>
          <w:rFonts w:hint="eastAsia"/>
          <w:color w:val="000000" w:themeColor="text1"/>
        </w:rPr>
        <w:t>及其确定依据、估计情况、摊销方法</w:t>
      </w:r>
      <w:r>
        <w:rPr>
          <w:rStyle w:val="aff6"/>
          <w:rFonts w:hint="eastAsia"/>
          <w:color w:val="000000" w:themeColor="text1"/>
        </w:rPr>
        <w:t>或复核程序</w:t>
      </w:r>
    </w:p>
    <w:sdt>
      <w:sdtPr>
        <w:rPr>
          <w:rFonts w:hint="eastAsia"/>
          <w:color w:val="000000" w:themeColor="text1"/>
        </w:rPr>
        <w:alias w:val="是否适用：无形资产计价方法、使用寿命、减值测试[双击切换]"/>
        <w:tag w:val="_GBC_a82698fb1ffd4e75b46a9c35938b4cf4"/>
        <w:id w:val="210484221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无形资产计价方法、使用寿命、减值测试"/>
        <w:tag w:val="_GBC_a9e64b18f452482eb6674ec605618dcc"/>
        <w:id w:val="615639024"/>
        <w:placeholder>
          <w:docPart w:val="GBC22222222222222222222222222222"/>
        </w:placeholder>
      </w:sdtPr>
      <w:sdtEndPr/>
      <w:sdtContent>
        <w:p w:rsidR="00597370" w:rsidRDefault="003C2EEE">
          <w:pPr>
            <w:pStyle w:val="Style175"/>
            <w:ind w:firstLine="420"/>
          </w:pPr>
          <w:r>
            <w:rPr>
              <w:rFonts w:hint="eastAsia"/>
            </w:rPr>
            <w:t>无形资产是指本公司拥有或者控制的没有实物形态的可</w:t>
          </w:r>
          <w:proofErr w:type="gramStart"/>
          <w:r>
            <w:rPr>
              <w:rFonts w:hint="eastAsia"/>
            </w:rPr>
            <w:t>辨认非</w:t>
          </w:r>
          <w:proofErr w:type="gramEnd"/>
          <w:r>
            <w:rPr>
              <w:rFonts w:hint="eastAsia"/>
            </w:rPr>
            <w:t>货币性资产，包括土地使用权、专利权及非专利技术等。</w:t>
          </w:r>
        </w:p>
        <w:p w:rsidR="00597370" w:rsidRDefault="003C2EEE">
          <w:pPr>
            <w:pStyle w:val="Style175"/>
            <w:ind w:firstLine="420"/>
          </w:pPr>
          <w:r>
            <w:t>1）无形资产的初始计量</w:t>
          </w:r>
        </w:p>
        <w:p w:rsidR="00597370" w:rsidRDefault="003C2EEE">
          <w:pPr>
            <w:pStyle w:val="Style175"/>
            <w:ind w:firstLine="420"/>
          </w:pPr>
          <w:r>
            <w:rPr>
              <w:rFonts w:hint="eastAsia"/>
            </w:rPr>
            <w:t>外购无形资产的成本，包括购买价款、相关税费以及直接归属于使该项资产达到预定用途所发生的其他支出。购买无形资产的价款超过正常信用条件延期支付，实质上具有融资性质的，无形资产的成本以购买价款的现值为基础确定。</w:t>
          </w:r>
        </w:p>
        <w:p w:rsidR="00597370" w:rsidRDefault="003C2EEE">
          <w:pPr>
            <w:pStyle w:val="Style175"/>
            <w:ind w:firstLine="420"/>
          </w:pPr>
          <w:r>
            <w:rPr>
              <w:rFonts w:hint="eastAsia"/>
            </w:rPr>
            <w:t>债务重组取得债务人用以抵债的无形资产，以该无形资产的公允价值为基础确定其入账价值，并将重组债务的账面价值与该用以抵债的无形资产公允价值之间的差额，计入当期损益。</w:t>
          </w:r>
        </w:p>
        <w:p w:rsidR="00597370" w:rsidRDefault="003C2EEE">
          <w:pPr>
            <w:pStyle w:val="Style175"/>
            <w:ind w:firstLine="420"/>
          </w:pPr>
          <w:r>
            <w:rPr>
              <w:rFonts w:hint="eastAsia"/>
            </w:rPr>
            <w:lastRenderedPageBreak/>
            <w:t>在非货币性资产交换具备商业实质且换入资产或换出资产的公允价值能够可靠计量的前提下，非货币性资产交换换入的无形资产以换出资产的公允价值为基础确定其入账价值，除非有确凿证据表明换入资产的公允价值更加可靠；不满足上述前提的非货币性资产交换，以换出资产的账面价值和应支付的相关税费作为换入无形资产的成本，不确认损益。</w:t>
          </w:r>
        </w:p>
        <w:p w:rsidR="00597370" w:rsidRDefault="003C2EEE">
          <w:pPr>
            <w:pStyle w:val="Style175"/>
            <w:ind w:firstLine="420"/>
          </w:pPr>
          <w:r>
            <w:rPr>
              <w:rFonts w:hint="eastAsia"/>
            </w:rPr>
            <w:t>以同</w:t>
          </w:r>
          <w:proofErr w:type="gramStart"/>
          <w:r>
            <w:rPr>
              <w:rFonts w:hint="eastAsia"/>
            </w:rPr>
            <w:t>一控制</w:t>
          </w:r>
          <w:proofErr w:type="gramEnd"/>
          <w:r>
            <w:rPr>
              <w:rFonts w:hint="eastAsia"/>
            </w:rPr>
            <w:t>下的企业吸收合并方式取得的无形资产按被合并方的账面价值确定其入账价值；以非同</w:t>
          </w:r>
          <w:proofErr w:type="gramStart"/>
          <w:r>
            <w:rPr>
              <w:rFonts w:hint="eastAsia"/>
            </w:rPr>
            <w:t>一控制</w:t>
          </w:r>
          <w:proofErr w:type="gramEnd"/>
          <w:r>
            <w:rPr>
              <w:rFonts w:hint="eastAsia"/>
            </w:rPr>
            <w:t>下的企业吸收合并方式取得的无形资产按公允价值确定其入账价值。</w:t>
          </w:r>
        </w:p>
        <w:p w:rsidR="00597370" w:rsidRDefault="003C2EEE">
          <w:pPr>
            <w:pStyle w:val="Style175"/>
            <w:ind w:firstLine="420"/>
          </w:pPr>
          <w:r>
            <w:rPr>
              <w:rFonts w:hint="eastAsia"/>
            </w:rPr>
            <w:t>内部自行开发的无形资产，其成本包括：开发该无形资产时耗用的材料、劳务成本、注册费、在开发过程中使用的其他专利权和特许权的摊销以及满足资本化条件的利息费用，以及为使该无形资产达到预定用途前所发生的其他直接费用。</w:t>
          </w:r>
        </w:p>
        <w:p w:rsidR="00597370" w:rsidRDefault="003C2EEE">
          <w:pPr>
            <w:pStyle w:val="Style175"/>
            <w:ind w:firstLine="420"/>
          </w:pPr>
          <w:r>
            <w:t>2）无形资产的后续计量</w:t>
          </w:r>
        </w:p>
        <w:p w:rsidR="00597370" w:rsidRDefault="003C2EEE">
          <w:pPr>
            <w:pStyle w:val="Style175"/>
            <w:ind w:firstLine="420"/>
          </w:pPr>
          <w:r>
            <w:rPr>
              <w:rFonts w:hint="eastAsia"/>
            </w:rPr>
            <w:t>本公司在取得无形资产时分析判断其使用寿命，划分为使用寿命有限和使用寿命不确定的无形资产。</w:t>
          </w:r>
        </w:p>
        <w:p w:rsidR="00597370" w:rsidRDefault="003C2EEE">
          <w:pPr>
            <w:pStyle w:val="Style175"/>
            <w:ind w:firstLine="420"/>
          </w:pPr>
          <w:r>
            <w:rPr>
              <w:rFonts w:hint="eastAsia"/>
            </w:rPr>
            <w:t>使用寿命有限的无形资产</w:t>
          </w:r>
        </w:p>
        <w:p w:rsidR="00597370" w:rsidRDefault="003C2EEE">
          <w:pPr>
            <w:pStyle w:val="Style175"/>
            <w:ind w:firstLine="420"/>
          </w:pPr>
          <w:r>
            <w:rPr>
              <w:rFonts w:hint="eastAsia"/>
            </w:rPr>
            <w:t>对于使用寿命有限的无形资产，在为企业带来经济利益的期限内按直线法摊销。使用寿命有限的无形资产预计寿命及依据如下：</w:t>
          </w:r>
        </w:p>
        <w:tbl>
          <w:tblPr>
            <w:tblStyle w:val="g3"/>
            <w:tblW w:w="5024" w:type="pct"/>
            <w:jc w:val="center"/>
            <w:tblLayout w:type="fixed"/>
            <w:tblCellMar>
              <w:left w:w="0" w:type="dxa"/>
              <w:right w:w="28" w:type="dxa"/>
            </w:tblCellMar>
            <w:tblLook w:val="04A0" w:firstRow="1" w:lastRow="0" w:firstColumn="1" w:lastColumn="0" w:noHBand="0" w:noVBand="1"/>
          </w:tblPr>
          <w:tblGrid>
            <w:gridCol w:w="2954"/>
            <w:gridCol w:w="1728"/>
            <w:gridCol w:w="4183"/>
          </w:tblGrid>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rPr>
                  <w:t>项目</w:t>
                </w:r>
              </w:p>
            </w:tc>
            <w:tc>
              <w:tcPr>
                <w:tcW w:w="1728" w:type="dxa"/>
                <w:vAlign w:val="center"/>
              </w:tcPr>
              <w:p w:rsidR="00597370" w:rsidRDefault="003C2EEE">
                <w:pPr>
                  <w:jc w:val="center"/>
                  <w:rPr>
                    <w:rFonts w:ascii="Times New Roman" w:hAnsi="Times New Roman"/>
                    <w:color w:val="000000" w:themeColor="text1"/>
                  </w:rPr>
                </w:pPr>
                <w:r>
                  <w:rPr>
                    <w:rFonts w:ascii="Times New Roman" w:hAnsi="Times New Roman"/>
                  </w:rPr>
                  <w:t>预计使用寿命</w:t>
                </w:r>
              </w:p>
            </w:tc>
            <w:tc>
              <w:tcPr>
                <w:tcW w:w="4183" w:type="dxa"/>
                <w:vAlign w:val="center"/>
              </w:tcPr>
              <w:p w:rsidR="00597370" w:rsidRDefault="003C2EEE">
                <w:pPr>
                  <w:jc w:val="center"/>
                  <w:rPr>
                    <w:rFonts w:ascii="Times New Roman" w:hAnsi="Times New Roman"/>
                    <w:color w:val="000000" w:themeColor="text1"/>
                  </w:rPr>
                </w:pPr>
                <w:r>
                  <w:rPr>
                    <w:rFonts w:ascii="Times New Roman" w:hAnsi="Times New Roman"/>
                  </w:rPr>
                  <w:t>依据</w:t>
                </w:r>
              </w:p>
            </w:tc>
          </w:tr>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rPr>
                  <w:t>软件</w:t>
                </w:r>
              </w:p>
            </w:tc>
            <w:tc>
              <w:tcPr>
                <w:tcW w:w="1728" w:type="dxa"/>
                <w:vAlign w:val="center"/>
              </w:tcPr>
              <w:p w:rsidR="00597370" w:rsidRDefault="003C2EEE">
                <w:pPr>
                  <w:jc w:val="center"/>
                  <w:rPr>
                    <w:rFonts w:ascii="Times New Roman" w:hAnsi="Times New Roman"/>
                    <w:color w:val="000000" w:themeColor="text1"/>
                  </w:rPr>
                </w:pPr>
                <w:r>
                  <w:rPr>
                    <w:rFonts w:ascii="Times New Roman" w:hAnsi="Times New Roman"/>
                  </w:rPr>
                  <w:t>3-10</w:t>
                </w:r>
              </w:p>
            </w:tc>
            <w:tc>
              <w:tcPr>
                <w:tcW w:w="4183" w:type="dxa"/>
                <w:vAlign w:val="center"/>
              </w:tcPr>
              <w:p w:rsidR="00597370" w:rsidRDefault="003C2EEE">
                <w:pPr>
                  <w:jc w:val="center"/>
                  <w:rPr>
                    <w:rFonts w:ascii="Times New Roman" w:hAnsi="Times New Roman"/>
                    <w:color w:val="000000" w:themeColor="text1"/>
                  </w:rPr>
                </w:pPr>
                <w:r>
                  <w:rPr>
                    <w:rFonts w:ascii="Times New Roman" w:hAnsi="Times New Roman"/>
                  </w:rPr>
                  <w:t>预计为企业带来经济利益的期限</w:t>
                </w:r>
              </w:p>
            </w:tc>
          </w:tr>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rPr>
                  <w:t>土地使用权</w:t>
                </w:r>
              </w:p>
            </w:tc>
            <w:tc>
              <w:tcPr>
                <w:tcW w:w="1728" w:type="dxa"/>
                <w:vAlign w:val="center"/>
              </w:tcPr>
              <w:p w:rsidR="00597370" w:rsidRDefault="003C2EEE">
                <w:pPr>
                  <w:jc w:val="center"/>
                  <w:rPr>
                    <w:rFonts w:ascii="Times New Roman" w:hAnsi="Times New Roman"/>
                    <w:color w:val="000000" w:themeColor="text1"/>
                  </w:rPr>
                </w:pPr>
                <w:r>
                  <w:rPr>
                    <w:rFonts w:ascii="Times New Roman" w:hAnsi="Times New Roman"/>
                  </w:rPr>
                  <w:t>50</w:t>
                </w:r>
              </w:p>
            </w:tc>
            <w:tc>
              <w:tcPr>
                <w:tcW w:w="4183" w:type="dxa"/>
                <w:vAlign w:val="center"/>
              </w:tcPr>
              <w:p w:rsidR="00597370" w:rsidRDefault="003C2EEE">
                <w:pPr>
                  <w:jc w:val="center"/>
                  <w:rPr>
                    <w:rFonts w:ascii="Times New Roman" w:hAnsi="Times New Roman"/>
                    <w:color w:val="000000" w:themeColor="text1"/>
                  </w:rPr>
                </w:pPr>
                <w:r>
                  <w:rPr>
                    <w:rFonts w:ascii="Times New Roman" w:hAnsi="Times New Roman"/>
                  </w:rPr>
                  <w:t>按照合同规定的使用年限</w:t>
                </w:r>
              </w:p>
            </w:tc>
          </w:tr>
          <w:tr w:rsidR="00597370">
            <w:trPr>
              <w:trHeight w:val="397"/>
              <w:jc w:val="center"/>
            </w:trPr>
            <w:tc>
              <w:tcPr>
                <w:tcW w:w="2955" w:type="dxa"/>
                <w:vAlign w:val="center"/>
              </w:tcPr>
              <w:p w:rsidR="00597370" w:rsidRDefault="003C2EEE">
                <w:pPr>
                  <w:jc w:val="center"/>
                  <w:rPr>
                    <w:rFonts w:ascii="Times New Roman" w:hAnsi="Times New Roman"/>
                    <w:color w:val="000000" w:themeColor="text1"/>
                  </w:rPr>
                </w:pPr>
                <w:r>
                  <w:rPr>
                    <w:rFonts w:ascii="Times New Roman" w:hAnsi="Times New Roman"/>
                  </w:rPr>
                  <w:t>其他</w:t>
                </w:r>
              </w:p>
            </w:tc>
            <w:tc>
              <w:tcPr>
                <w:tcW w:w="1728" w:type="dxa"/>
                <w:vAlign w:val="center"/>
              </w:tcPr>
              <w:p w:rsidR="00597370" w:rsidRDefault="003C2EEE">
                <w:pPr>
                  <w:jc w:val="center"/>
                  <w:rPr>
                    <w:rFonts w:ascii="Times New Roman" w:hAnsi="Times New Roman"/>
                    <w:color w:val="000000" w:themeColor="text1"/>
                  </w:rPr>
                </w:pPr>
                <w:r>
                  <w:rPr>
                    <w:rFonts w:ascii="Times New Roman" w:hAnsi="Times New Roman"/>
                  </w:rPr>
                  <w:t>3-10</w:t>
                </w:r>
              </w:p>
            </w:tc>
            <w:tc>
              <w:tcPr>
                <w:tcW w:w="4183" w:type="dxa"/>
                <w:vAlign w:val="center"/>
              </w:tcPr>
              <w:p w:rsidR="00597370" w:rsidRDefault="003C2EEE">
                <w:pPr>
                  <w:jc w:val="center"/>
                  <w:rPr>
                    <w:rFonts w:ascii="Times New Roman" w:hAnsi="Times New Roman"/>
                    <w:color w:val="000000" w:themeColor="text1"/>
                  </w:rPr>
                </w:pPr>
                <w:r>
                  <w:rPr>
                    <w:rFonts w:ascii="Times New Roman" w:hAnsi="Times New Roman"/>
                  </w:rPr>
                  <w:t>预计为企业带来经济利益的期限</w:t>
                </w:r>
              </w:p>
            </w:tc>
          </w:tr>
        </w:tbl>
        <w:p w:rsidR="00597370" w:rsidRDefault="003C2EEE">
          <w:pPr>
            <w:pStyle w:val="Style175"/>
            <w:ind w:firstLine="420"/>
          </w:pPr>
          <w:r>
            <w:rPr>
              <w:rFonts w:hint="eastAsia"/>
            </w:rPr>
            <w:t>期末，对使用寿命有限的无形资产的使用寿命和摊销方法进行复核，必要时进行调整。</w:t>
          </w:r>
        </w:p>
        <w:p w:rsidR="00597370" w:rsidRDefault="003C2EEE">
          <w:pPr>
            <w:pStyle w:val="Style175"/>
            <w:ind w:firstLine="420"/>
          </w:pPr>
          <w:r>
            <w:rPr>
              <w:rFonts w:hint="eastAsia"/>
            </w:rPr>
            <w:t>②使用寿命不确定的无形资产</w:t>
          </w:r>
        </w:p>
        <w:p w:rsidR="00597370" w:rsidRDefault="003C2EEE">
          <w:pPr>
            <w:pStyle w:val="Style175"/>
            <w:ind w:firstLine="420"/>
          </w:pPr>
          <w:r>
            <w:rPr>
              <w:rFonts w:hint="eastAsia"/>
            </w:rPr>
            <w:t>无法预见无形资产为企业带来经济利益期限的，视为使用寿命不确定的无形资产。</w:t>
          </w:r>
        </w:p>
        <w:p w:rsidR="00597370" w:rsidRDefault="003C2EEE">
          <w:pPr>
            <w:pStyle w:val="Style175"/>
            <w:ind w:firstLine="420"/>
          </w:pPr>
          <w:r>
            <w:rPr>
              <w:rFonts w:hint="eastAsia"/>
            </w:rPr>
            <w:t>期末，对使用寿命不确定的无形资产的使用寿命进行复核，如果有证据表明该无形资产为企业带来经济利益的期限是可预见的，则估计其使用寿命并按照使用寿命有限的无形资产的摊销政策进行摊销。</w:t>
          </w:r>
        </w:p>
        <w:p w:rsidR="00597370" w:rsidRDefault="003C2EEE">
          <w:pPr>
            <w:pStyle w:val="Style175"/>
            <w:ind w:firstLine="420"/>
          </w:pPr>
          <w:r>
            <w:rPr>
              <w:rFonts w:hint="eastAsia"/>
            </w:rPr>
            <w:t>无形资产的减值测试方法和减值准备计提方法详见本报告第十节</w:t>
          </w:r>
          <w:r>
            <w:t>.(五).27长期资产减值。</w:t>
          </w:r>
        </w:p>
      </w:sdtContent>
    </w:sdt>
    <w:p w:rsidR="00597370" w:rsidRDefault="003C2EEE">
      <w:pPr>
        <w:pStyle w:val="Style110"/>
        <w:numPr>
          <w:ilvl w:val="3"/>
          <w:numId w:val="41"/>
        </w:numPr>
        <w:tabs>
          <w:tab w:val="left" w:pos="448"/>
        </w:tabs>
        <w:rPr>
          <w:rFonts w:ascii="宋体" w:hAnsi="宋体"/>
          <w:color w:val="000000" w:themeColor="text1"/>
        </w:rPr>
      </w:pPr>
      <w:r>
        <w:rPr>
          <w:rFonts w:ascii="宋体" w:hAnsi="宋体" w:hint="eastAsia"/>
          <w:color w:val="000000" w:themeColor="text1"/>
        </w:rPr>
        <w:t>研发支出的归集范围及相关会计处理方法</w:t>
      </w:r>
    </w:p>
    <w:sdt>
      <w:sdtPr>
        <w:rPr>
          <w:rFonts w:hint="eastAsia"/>
          <w:color w:val="000000" w:themeColor="text1"/>
        </w:rPr>
        <w:alias w:val="是否适用：无形资产内部研究开发支出会计政策[双击切换]"/>
        <w:tag w:val="_GBC_c3cef4c9f19749b8a53b7f49d3b7bac3"/>
        <w:id w:val="163390227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36" w:displacedByCustomXml="next"/>
    <w:sdt>
      <w:sdtPr>
        <w:alias w:val="无形资产内部研究、开发支出会计政策"/>
        <w:tag w:val="_GBC_af7b1338d88344dfb8cd34ed66bfe672"/>
        <w:id w:val="375134723"/>
      </w:sdtPr>
      <w:sdtEndPr/>
      <w:sdtContent>
        <w:p w:rsidR="00597370" w:rsidRDefault="003C2EEE">
          <w:pPr>
            <w:pStyle w:val="Style175"/>
            <w:ind w:firstLine="420"/>
          </w:pPr>
          <w:r>
            <w:t>1）划分公司内部研究开发项目的研究阶段和开发阶段具体标准</w:t>
          </w:r>
        </w:p>
        <w:p w:rsidR="00597370" w:rsidRDefault="003C2EEE">
          <w:pPr>
            <w:pStyle w:val="Style175"/>
            <w:ind w:firstLine="420"/>
          </w:pPr>
          <w:r>
            <w:rPr>
              <w:rFonts w:hint="eastAsia"/>
            </w:rPr>
            <w:t>研究阶段：为获取并理解新的科学或技术知识等而进行的独创性的有计划调查、研究活动的阶段。</w:t>
          </w:r>
        </w:p>
        <w:p w:rsidR="00597370" w:rsidRDefault="003C2EEE">
          <w:pPr>
            <w:pStyle w:val="Style175"/>
            <w:ind w:firstLine="420"/>
          </w:pPr>
          <w:r>
            <w:rPr>
              <w:rFonts w:hint="eastAsia"/>
            </w:rPr>
            <w:t>开发阶段：在进行商业性生产或使用前，将研究成果或其他知识应用于某项计划或设计，以生产出新的或具有实质性改进的材料、装置、产品等活动的阶段。</w:t>
          </w:r>
        </w:p>
        <w:p w:rsidR="00597370" w:rsidRDefault="003C2EEE">
          <w:pPr>
            <w:pStyle w:val="Style175"/>
            <w:ind w:firstLine="420"/>
          </w:pPr>
          <w:r>
            <w:rPr>
              <w:rFonts w:hint="eastAsia"/>
            </w:rPr>
            <w:t>内部研究开发项目研究阶段的支出，在发生时计入当期损益。</w:t>
          </w:r>
        </w:p>
        <w:p w:rsidR="00597370" w:rsidRDefault="003C2EEE">
          <w:pPr>
            <w:pStyle w:val="Style175"/>
            <w:ind w:firstLine="420"/>
          </w:pPr>
          <w:r>
            <w:lastRenderedPageBreak/>
            <w:t>2）开发阶段支出符合资本化的具体标准</w:t>
          </w:r>
        </w:p>
        <w:p w:rsidR="00597370" w:rsidRDefault="003C2EEE">
          <w:pPr>
            <w:pStyle w:val="Style175"/>
            <w:ind w:firstLine="420"/>
          </w:pPr>
          <w:r>
            <w:rPr>
              <w:rFonts w:hint="eastAsia"/>
            </w:rPr>
            <w:t>内部研究开发项目开发阶段的支出，同时满足下列条件时确认为无形资产：</w:t>
          </w:r>
        </w:p>
        <w:p w:rsidR="00597370" w:rsidRDefault="003C2EEE">
          <w:pPr>
            <w:pStyle w:val="Style175"/>
            <w:ind w:firstLine="420"/>
          </w:pPr>
          <w:r>
            <w:rPr>
              <w:rFonts w:hint="eastAsia"/>
            </w:rPr>
            <w:t>①完成该无形资产以使其能够使用或出售在技术上具有可行性；</w:t>
          </w:r>
        </w:p>
        <w:p w:rsidR="00597370" w:rsidRDefault="003C2EEE">
          <w:pPr>
            <w:pStyle w:val="Style175"/>
            <w:ind w:firstLine="420"/>
          </w:pPr>
          <w:r>
            <w:rPr>
              <w:rFonts w:hint="eastAsia"/>
            </w:rPr>
            <w:t>②具有完成该无形资产并使用或出售的意图；</w:t>
          </w:r>
        </w:p>
        <w:p w:rsidR="00597370" w:rsidRDefault="003C2EEE">
          <w:pPr>
            <w:pStyle w:val="Style175"/>
            <w:ind w:firstLine="420"/>
          </w:pPr>
          <w:r>
            <w:rPr>
              <w:rFonts w:hint="eastAsia"/>
            </w:rPr>
            <w:t>③无形资产产生经济利益的方式，包括能够证明运用该无形资产生产的产品存在市场或无形资产自身存在市场，无形资产将在内部使用的，能够证明其有用性；</w:t>
          </w:r>
        </w:p>
        <w:p w:rsidR="00597370" w:rsidRDefault="003C2EEE">
          <w:pPr>
            <w:pStyle w:val="Style175"/>
            <w:ind w:firstLine="420"/>
          </w:pPr>
          <w:r>
            <w:rPr>
              <w:rFonts w:hint="eastAsia"/>
            </w:rPr>
            <w:t>④有足够的技术、财务资源和其他资源支持，以完成该无形资产的开发，并有能力使用或出售该无形资产；</w:t>
          </w:r>
        </w:p>
        <w:p w:rsidR="00597370" w:rsidRDefault="003C2EEE">
          <w:pPr>
            <w:pStyle w:val="Style175"/>
            <w:ind w:firstLine="420"/>
          </w:pPr>
          <w:r>
            <w:rPr>
              <w:rFonts w:hint="eastAsia"/>
            </w:rPr>
            <w:t>⑤归属于该无形资产开发阶段的支出能够可靠地计量。</w:t>
          </w:r>
        </w:p>
        <w:p w:rsidR="00597370" w:rsidRDefault="003C2EEE">
          <w:pPr>
            <w:pStyle w:val="Style175"/>
            <w:ind w:firstLine="420"/>
          </w:pPr>
          <w:r>
            <w:rPr>
              <w:rFonts w:hint="eastAsia"/>
            </w:rPr>
            <w:t>不满足上述条件的开发阶段的支出，于发生时计入当期损益。无法区分研究阶段支出和开发阶段支出的，将发生的研发支出全部计入当期损益。内部开发活动形成的无形资产的成本仅包括满足资本化条件的时点至无形资产达到预定用途前发生的支出总额，对于同一项无形资产在开发过程中达到资本化条件之前已经费用化计入损益的支出不再进行调整。</w:t>
          </w:r>
        </w:p>
      </w:sdtContent>
    </w:sdt>
    <w:p w:rsidR="00597370" w:rsidRDefault="003C2EEE">
      <w:pPr>
        <w:pStyle w:val="Style109"/>
        <w:numPr>
          <w:ilvl w:val="0"/>
          <w:numId w:val="39"/>
        </w:numPr>
        <w:rPr>
          <w:rFonts w:ascii="宋体" w:hAnsi="宋体"/>
          <w:color w:val="000000" w:themeColor="text1"/>
        </w:rPr>
      </w:pPr>
      <w:bookmarkStart w:id="137" w:name="_Hlk44405424"/>
      <w:r>
        <w:rPr>
          <w:rFonts w:ascii="宋体" w:hAnsi="宋体"/>
          <w:color w:val="000000" w:themeColor="text1"/>
        </w:rPr>
        <w:t>长期资产减值</w:t>
      </w:r>
    </w:p>
    <w:sdt>
      <w:sdtPr>
        <w:rPr>
          <w:rFonts w:hint="eastAsia"/>
          <w:color w:val="000000" w:themeColor="text1"/>
        </w:rPr>
        <w:alias w:val="是否适用：长期资产减值_重要会计政策和估计[双击切换]"/>
        <w:tag w:val="_GBC_d0feb744f96144ffa5335cd194c6cdf9"/>
        <w:id w:val="11461742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非金融长期资产减值测试方法及会计处理方法"/>
        <w:tag w:val="_GBC_e8cb396d7101453b9e9cd1bc11b8633e"/>
        <w:id w:val="-1149742949"/>
        <w:placeholder>
          <w:docPart w:val="GBC22222222222222222222222222222"/>
        </w:placeholder>
      </w:sdtPr>
      <w:sdtEndPr/>
      <w:sdtContent>
        <w:p w:rsidR="00597370" w:rsidRDefault="003C2EEE">
          <w:pPr>
            <w:pStyle w:val="Style175"/>
            <w:ind w:firstLine="420"/>
          </w:pPr>
          <w:r>
            <w:rPr>
              <w:rFonts w:hint="eastAsia"/>
            </w:rPr>
            <w:t>本公司在每一个资产负债表日</w:t>
          </w:r>
          <w:proofErr w:type="gramStart"/>
          <w:r>
            <w:rPr>
              <w:rFonts w:hint="eastAsia"/>
            </w:rPr>
            <w:t>检查长</w:t>
          </w:r>
          <w:proofErr w:type="gramEnd"/>
          <w:r>
            <w:rPr>
              <w:rFonts w:hint="eastAsia"/>
            </w:rPr>
            <w:t>期股权投资、固定资产、在建工程、使用寿命确定的无形资产、是否存在可能发生减值的迹象。如果长期资产存在减值迹象，则以单项资产为基础估计其可收回金额；难以对单项资产的可收回金额进行估计的，以该资产所属的资产组为基础确定资产组的可收回金额。</w:t>
          </w:r>
        </w:p>
        <w:p w:rsidR="00597370" w:rsidRDefault="003C2EEE">
          <w:pPr>
            <w:pStyle w:val="Style175"/>
            <w:ind w:firstLine="420"/>
          </w:pPr>
          <w:r>
            <w:rPr>
              <w:rFonts w:hint="eastAsia"/>
            </w:rPr>
            <w:t>资产可收回金额的估计，根据其公允价值减去处置费用后的净额与资产预计未来现金流量的现值两者之间较高者确定。</w:t>
          </w:r>
        </w:p>
        <w:p w:rsidR="00597370" w:rsidRDefault="003C2EEE">
          <w:pPr>
            <w:pStyle w:val="Style175"/>
            <w:ind w:firstLine="420"/>
          </w:pPr>
          <w:r>
            <w:rPr>
              <w:rFonts w:hint="eastAsia"/>
            </w:rPr>
            <w:t>可收回金额的计量结果表明，长期资产的可收回金额低于其账面价值的，将长期资产的账面价值</w:t>
          </w:r>
          <w:proofErr w:type="gramStart"/>
          <w:r>
            <w:rPr>
              <w:rFonts w:hint="eastAsia"/>
            </w:rPr>
            <w:t>减记至</w:t>
          </w:r>
          <w:proofErr w:type="gramEnd"/>
          <w:r>
            <w:rPr>
              <w:rFonts w:hint="eastAsia"/>
            </w:rPr>
            <w:t>可收回金额，</w:t>
          </w:r>
          <w:proofErr w:type="gramStart"/>
          <w:r>
            <w:rPr>
              <w:rFonts w:hint="eastAsia"/>
            </w:rPr>
            <w:t>减记的</w:t>
          </w:r>
          <w:proofErr w:type="gramEnd"/>
          <w:r>
            <w:rPr>
              <w:rFonts w:hint="eastAsia"/>
            </w:rPr>
            <w:t>金额确认为资产减值损失，计入当期损益，同时计提相应的资产减值准备。资产减值损失一经确认，在以后会计期间不得转回。</w:t>
          </w:r>
        </w:p>
        <w:p w:rsidR="00597370" w:rsidRDefault="003C2EEE">
          <w:pPr>
            <w:pStyle w:val="Style175"/>
            <w:ind w:firstLine="420"/>
          </w:pPr>
          <w:r>
            <w:rPr>
              <w:rFonts w:hint="eastAsia"/>
            </w:rPr>
            <w:t>资产减值损失确认后，减值资产的折旧或者摊销费用在未来期间作相应调整，以使该资产在剩余使用寿命内，系统地分摊调整后的资产账面价值（扣除预计净残值）。</w:t>
          </w:r>
        </w:p>
        <w:p w:rsidR="00597370" w:rsidRDefault="003C2EEE">
          <w:pPr>
            <w:pStyle w:val="Style175"/>
            <w:ind w:firstLine="420"/>
          </w:pPr>
          <w:r>
            <w:rPr>
              <w:rFonts w:hint="eastAsia"/>
            </w:rPr>
            <w:t>因企业合并所形成的商誉和使用寿命不确定的无形资产，无论是否存在减值迹象，每年都进行减值测试。</w:t>
          </w:r>
        </w:p>
        <w:p w:rsidR="00597370" w:rsidRDefault="003C2EEE">
          <w:pPr>
            <w:pStyle w:val="Style175"/>
            <w:ind w:firstLine="420"/>
          </w:pPr>
          <w:r>
            <w:rPr>
              <w:rFonts w:hint="eastAsia"/>
            </w:rPr>
            <w:t>在对商誉进行减值测试时，将商誉的账面价值分摊至预期从企业合并的协同效应中受益的资产组或资产组组合。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这些相关资产组或者资产组组合的账面价值（包括所分摊的</w:t>
          </w:r>
          <w:r>
            <w:rPr>
              <w:rFonts w:hint="eastAsia"/>
            </w:rPr>
            <w:lastRenderedPageBreak/>
            <w:t>商誉的账面价值部分）</w:t>
          </w:r>
          <w:proofErr w:type="gramStart"/>
          <w:r>
            <w:rPr>
              <w:rFonts w:hint="eastAsia"/>
            </w:rPr>
            <w:t>与其可</w:t>
          </w:r>
          <w:proofErr w:type="gramEnd"/>
          <w:r>
            <w:rPr>
              <w:rFonts w:hint="eastAsia"/>
            </w:rPr>
            <w:t>收回金额，如相关资产组或者资产组组合的可收回金额低于其账面价值的，确认商誉的减值损失。</w:t>
          </w:r>
        </w:p>
      </w:sdtContent>
    </w:sdt>
    <w:p w:rsidR="00597370" w:rsidRDefault="003C2EEE">
      <w:pPr>
        <w:pStyle w:val="Style109"/>
        <w:numPr>
          <w:ilvl w:val="0"/>
          <w:numId w:val="39"/>
        </w:numPr>
        <w:rPr>
          <w:rFonts w:ascii="宋体" w:hAnsi="宋体"/>
          <w:color w:val="000000" w:themeColor="text1"/>
        </w:rPr>
      </w:pPr>
      <w:bookmarkStart w:id="138" w:name="_Hlk44405475"/>
      <w:bookmarkEnd w:id="137"/>
      <w:r>
        <w:rPr>
          <w:rFonts w:ascii="宋体" w:hAnsi="宋体"/>
          <w:color w:val="000000" w:themeColor="text1"/>
        </w:rPr>
        <w:t>长期待摊费用</w:t>
      </w:r>
    </w:p>
    <w:sdt>
      <w:sdtPr>
        <w:rPr>
          <w:rFonts w:hint="eastAsia"/>
          <w:color w:val="000000" w:themeColor="text1"/>
        </w:rPr>
        <w:alias w:val="是否适用：长期待摊费用_重要会计政策和估计[双击切换]"/>
        <w:tag w:val="_GBC_75739ccc62204f0490525060b33e330f"/>
        <w:id w:val="-16195285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ascii="Calibri" w:hAnsi="Calibri" w:cs="Times New Roman" w:hint="eastAsia"/>
          <w:color w:val="000000" w:themeColor="text1"/>
          <w:kern w:val="2"/>
          <w:szCs w:val="22"/>
        </w:rPr>
        <w:alias w:val="开办费、长期待摊费用摊销方法"/>
        <w:tag w:val="_GBC_e4e695ce4aea4c878acb6f8ad7190139"/>
        <w:id w:val="2024359567"/>
        <w:placeholder>
          <w:docPart w:val="GBC22222222222222222222222222222"/>
        </w:placeholder>
      </w:sdtPr>
      <w:sdtEndPr>
        <w:rPr>
          <w:rFonts w:ascii="宋体" w:hAnsi="宋体" w:cs="宋体"/>
          <w:color w:val="auto"/>
          <w:kern w:val="0"/>
          <w:szCs w:val="21"/>
        </w:rPr>
      </w:sdtEndPr>
      <w:sdtContent>
        <w:p w:rsidR="00597370" w:rsidRDefault="003C2EEE">
          <w:pPr>
            <w:rPr>
              <w:color w:val="000000" w:themeColor="text1"/>
            </w:rPr>
          </w:pPr>
          <w:r>
            <w:rPr>
              <w:color w:val="000000" w:themeColor="text1"/>
            </w:rPr>
            <w:t>(1)摊销方法</w:t>
          </w:r>
        </w:p>
        <w:p w:rsidR="00597370" w:rsidRDefault="003C2EEE">
          <w:pPr>
            <w:rPr>
              <w:color w:val="000000" w:themeColor="text1"/>
            </w:rPr>
          </w:pPr>
          <w:r>
            <w:rPr>
              <w:rFonts w:hint="eastAsia"/>
              <w:color w:val="000000" w:themeColor="text1"/>
            </w:rPr>
            <w:t>长期待摊费用，是指本公司已经发生但应由本期和以后各期负担的分摊期限在</w:t>
          </w:r>
          <w:r>
            <w:rPr>
              <w:color w:val="000000" w:themeColor="text1"/>
            </w:rPr>
            <w:t>1年以上的各项费用。长期待摊费用在受益期内按直线法分期摊销。</w:t>
          </w:r>
        </w:p>
        <w:p w:rsidR="00597370" w:rsidRDefault="003C2EEE">
          <w:pPr>
            <w:rPr>
              <w:color w:val="000000" w:themeColor="text1"/>
            </w:rPr>
          </w:pPr>
          <w:r>
            <w:rPr>
              <w:rFonts w:hint="eastAsia"/>
              <w:color w:val="000000" w:themeColor="text1"/>
            </w:rPr>
            <w:t>(</w:t>
          </w:r>
          <w:r>
            <w:rPr>
              <w:color w:val="000000" w:themeColor="text1"/>
            </w:rPr>
            <w:t>2)摊销年限</w:t>
          </w:r>
        </w:p>
        <w:tbl>
          <w:tblPr>
            <w:tblStyle w:val="g3"/>
            <w:tblW w:w="4726" w:type="pct"/>
            <w:jc w:val="center"/>
            <w:tblLayout w:type="fixed"/>
            <w:tblCellMar>
              <w:left w:w="0" w:type="dxa"/>
              <w:right w:w="28" w:type="dxa"/>
            </w:tblCellMar>
            <w:tblLook w:val="04A0" w:firstRow="1" w:lastRow="0" w:firstColumn="1" w:lastColumn="0" w:noHBand="0" w:noVBand="1"/>
          </w:tblPr>
          <w:tblGrid>
            <w:gridCol w:w="3939"/>
            <w:gridCol w:w="2675"/>
            <w:gridCol w:w="1725"/>
          </w:tblGrid>
          <w:tr w:rsidR="00597370">
            <w:trPr>
              <w:trHeight w:val="397"/>
              <w:jc w:val="center"/>
            </w:trPr>
            <w:tc>
              <w:tcPr>
                <w:tcW w:w="3957" w:type="dxa"/>
                <w:vAlign w:val="center"/>
              </w:tcPr>
              <w:p w:rsidR="00597370" w:rsidRDefault="003C2EEE">
                <w:pPr>
                  <w:pStyle w:val="Style147"/>
                  <w:ind w:firstLineChars="0" w:firstLine="0"/>
                  <w:jc w:val="center"/>
                  <w:rPr>
                    <w:color w:val="000000" w:themeColor="text1"/>
                  </w:rPr>
                </w:pPr>
                <w:r>
                  <w:t>类别</w:t>
                </w:r>
              </w:p>
            </w:tc>
            <w:tc>
              <w:tcPr>
                <w:tcW w:w="2687" w:type="dxa"/>
                <w:vAlign w:val="center"/>
              </w:tcPr>
              <w:p w:rsidR="00597370" w:rsidRDefault="003C2EEE">
                <w:pPr>
                  <w:pStyle w:val="Style147"/>
                  <w:ind w:firstLineChars="0" w:firstLine="0"/>
                  <w:jc w:val="center"/>
                  <w:rPr>
                    <w:color w:val="000000" w:themeColor="text1"/>
                  </w:rPr>
                </w:pPr>
                <w:r>
                  <w:t>摊销年限</w:t>
                </w:r>
              </w:p>
            </w:tc>
            <w:tc>
              <w:tcPr>
                <w:tcW w:w="1733" w:type="dxa"/>
                <w:vAlign w:val="center"/>
              </w:tcPr>
              <w:p w:rsidR="00597370" w:rsidRDefault="003C2EEE">
                <w:pPr>
                  <w:pStyle w:val="Style147"/>
                  <w:ind w:firstLineChars="0" w:firstLine="0"/>
                  <w:jc w:val="center"/>
                  <w:rPr>
                    <w:color w:val="000000" w:themeColor="text1"/>
                  </w:rPr>
                </w:pPr>
                <w:r>
                  <w:t>备注</w:t>
                </w:r>
              </w:p>
            </w:tc>
          </w:tr>
          <w:tr w:rsidR="00597370">
            <w:trPr>
              <w:trHeight w:val="397"/>
              <w:jc w:val="center"/>
            </w:trPr>
            <w:tc>
              <w:tcPr>
                <w:tcW w:w="3957" w:type="dxa"/>
                <w:vAlign w:val="center"/>
              </w:tcPr>
              <w:p w:rsidR="00597370" w:rsidRDefault="003C2EEE">
                <w:pPr>
                  <w:pStyle w:val="Style147"/>
                  <w:ind w:firstLineChars="0" w:firstLine="0"/>
                  <w:jc w:val="center"/>
                  <w:rPr>
                    <w:color w:val="000000" w:themeColor="text1"/>
                  </w:rPr>
                </w:pPr>
                <w:r>
                  <w:t>厂房及办公室装修费</w:t>
                </w:r>
                <w:r>
                  <w:rPr>
                    <w:rFonts w:hint="eastAsia"/>
                  </w:rPr>
                  <w:t>、办公软件等</w:t>
                </w:r>
              </w:p>
            </w:tc>
            <w:tc>
              <w:tcPr>
                <w:tcW w:w="2687" w:type="dxa"/>
                <w:vAlign w:val="center"/>
              </w:tcPr>
              <w:p w:rsidR="00597370" w:rsidRDefault="003C2EEE">
                <w:pPr>
                  <w:pStyle w:val="Style147"/>
                  <w:ind w:firstLineChars="0" w:firstLine="0"/>
                  <w:jc w:val="center"/>
                  <w:rPr>
                    <w:color w:val="000000" w:themeColor="text1"/>
                  </w:rPr>
                </w:pPr>
                <w:r>
                  <w:t>预计可使用年限</w:t>
                </w:r>
              </w:p>
            </w:tc>
            <w:tc>
              <w:tcPr>
                <w:tcW w:w="1733" w:type="dxa"/>
                <w:vAlign w:val="center"/>
              </w:tcPr>
              <w:p w:rsidR="00597370" w:rsidRDefault="00597370">
                <w:pPr>
                  <w:pStyle w:val="Style147"/>
                  <w:ind w:firstLineChars="0" w:firstLine="0"/>
                  <w:jc w:val="center"/>
                  <w:rPr>
                    <w:color w:val="000000" w:themeColor="text1"/>
                  </w:rPr>
                </w:pPr>
              </w:p>
            </w:tc>
          </w:tr>
        </w:tbl>
        <w:p w:rsidR="00597370" w:rsidRDefault="006840ED">
          <w:pPr>
            <w:rPr>
              <w:color w:val="000000" w:themeColor="text1"/>
            </w:rPr>
          </w:pPr>
        </w:p>
      </w:sdtContent>
    </w:sdt>
    <w:p w:rsidR="00597370" w:rsidRDefault="003C2EEE">
      <w:pPr>
        <w:pStyle w:val="Style109"/>
        <w:numPr>
          <w:ilvl w:val="0"/>
          <w:numId w:val="39"/>
        </w:numPr>
        <w:rPr>
          <w:rFonts w:ascii="宋体" w:hAnsi="宋体"/>
          <w:color w:val="000000" w:themeColor="text1"/>
        </w:rPr>
      </w:pPr>
      <w:bookmarkStart w:id="139" w:name="_Hlk10465482"/>
      <w:bookmarkEnd w:id="138"/>
      <w:r>
        <w:rPr>
          <w:rFonts w:ascii="宋体" w:hAnsi="宋体"/>
          <w:color w:val="000000" w:themeColor="text1"/>
        </w:rPr>
        <w:t>合同负债</w:t>
      </w:r>
    </w:p>
    <w:sdt>
      <w:sdtPr>
        <w:rPr>
          <w:color w:val="000000" w:themeColor="text1"/>
        </w:rPr>
        <w:alias w:val="是否适用：合同负债的确定方法、摊销方法和减值测试方法[双击切换]"/>
        <w:tag w:val="_GBC_f210968f2ea04a338a3253827b172c25"/>
        <w:id w:val="52991476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6840ED">
      <w:pPr>
        <w:ind w:firstLineChars="200" w:firstLine="420"/>
        <w:rPr>
          <w:color w:val="000000" w:themeColor="text1"/>
        </w:rPr>
      </w:pPr>
      <w:sdt>
        <w:sdtPr>
          <w:rPr>
            <w:color w:val="000000" w:themeColor="text1"/>
          </w:rPr>
          <w:alias w:val="合同负债的确定方法、摊销方法和减值测试方法"/>
          <w:tag w:val="_GBC_adbfb902bae348178906cb42c1932267"/>
          <w:id w:val="202293117"/>
          <w:placeholder>
            <w:docPart w:val="GBC22222222222222222222222222222"/>
          </w:placeholder>
        </w:sdtPr>
        <w:sdtEndPr/>
        <w:sdtContent>
          <w:r w:rsidR="003C2EEE">
            <w:rPr>
              <w:rStyle w:val="Style176"/>
              <w:rFonts w:hint="eastAsia"/>
            </w:rPr>
            <w:t>本公司将已收或应收客户对价而应向客户转让商品的义务部分确认为合同负债。</w:t>
          </w:r>
        </w:sdtContent>
      </w:sdt>
    </w:p>
    <w:bookmarkEnd w:id="139"/>
    <w:p w:rsidR="00597370" w:rsidRDefault="003C2EEE">
      <w:pPr>
        <w:pStyle w:val="Style109"/>
        <w:numPr>
          <w:ilvl w:val="0"/>
          <w:numId w:val="39"/>
        </w:numPr>
        <w:rPr>
          <w:rFonts w:ascii="宋体" w:hAnsi="宋体"/>
          <w:color w:val="000000" w:themeColor="text1"/>
        </w:rPr>
      </w:pPr>
      <w:r>
        <w:rPr>
          <w:rFonts w:ascii="宋体" w:hAnsi="宋体"/>
          <w:color w:val="000000" w:themeColor="text1"/>
        </w:rPr>
        <w:t>职工薪</w:t>
      </w:r>
      <w:proofErr w:type="gramStart"/>
      <w:r>
        <w:rPr>
          <w:rFonts w:ascii="宋体" w:hAnsi="宋体"/>
          <w:color w:val="000000" w:themeColor="text1"/>
        </w:rPr>
        <w:t>酬</w:t>
      </w:r>
      <w:proofErr w:type="gramEnd"/>
    </w:p>
    <w:p w:rsidR="00597370" w:rsidRDefault="003C2EEE">
      <w:pPr>
        <w:pStyle w:val="Style110"/>
        <w:numPr>
          <w:ilvl w:val="0"/>
          <w:numId w:val="42"/>
        </w:numPr>
        <w:rPr>
          <w:rFonts w:ascii="宋体" w:hAnsi="宋体"/>
          <w:color w:val="000000" w:themeColor="text1"/>
        </w:rPr>
      </w:pPr>
      <w:r>
        <w:rPr>
          <w:rFonts w:ascii="宋体" w:hAnsi="宋体" w:hint="eastAsia"/>
          <w:color w:val="000000" w:themeColor="text1"/>
        </w:rPr>
        <w:t>短期薪酬的会计处理方法</w:t>
      </w:r>
    </w:p>
    <w:sdt>
      <w:sdtPr>
        <w:rPr>
          <w:color w:val="000000" w:themeColor="text1"/>
        </w:rPr>
        <w:alias w:val="是否适用：短期薪酬的会计处理方法[双击切换]"/>
        <w:tag w:val="_GBC_eefed2a465e349b6a35598930bd9541d"/>
        <w:id w:val="-180013289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短期薪酬的会计处理方法"/>
        <w:tag w:val="_GBC_8fdf44b194ac45fb945d36b9896df796"/>
        <w:id w:val="1355145478"/>
        <w:placeholder>
          <w:docPart w:val="GBC22222222222222222222222222222"/>
        </w:placeholder>
      </w:sdtPr>
      <w:sdtEndPr>
        <w:rPr>
          <w:rStyle w:val="Style176"/>
        </w:rPr>
      </w:sdtEndPr>
      <w:sdtContent>
        <w:p w:rsidR="00597370" w:rsidRDefault="003C2EEE">
          <w:pPr>
            <w:ind w:firstLineChars="200" w:firstLine="420"/>
            <w:rPr>
              <w:color w:val="000000" w:themeColor="text1"/>
            </w:rPr>
          </w:pPr>
          <w:r>
            <w:rPr>
              <w:rStyle w:val="Style176"/>
              <w:rFonts w:hint="eastAsia"/>
            </w:rPr>
            <w:t>短期薪酬是指本公司在职工提供相关服务的年度报告期间结束后十二个月内需要全部予以支付的职工薪酬，离职后福利和辞退福利除外。本公司在职工提供服务的会计期间，将应付的短期薪酬确认为负债，并根据职工提供服务的受益对象计入相关资产成本和费用。</w:t>
          </w:r>
        </w:p>
      </w:sdtContent>
    </w:sdt>
    <w:p w:rsidR="00597370" w:rsidRDefault="003C2EEE">
      <w:pPr>
        <w:pStyle w:val="Style110"/>
        <w:numPr>
          <w:ilvl w:val="0"/>
          <w:numId w:val="42"/>
        </w:numPr>
        <w:rPr>
          <w:rFonts w:ascii="宋体" w:hAnsi="宋体"/>
          <w:color w:val="000000" w:themeColor="text1"/>
        </w:rPr>
      </w:pPr>
      <w:r>
        <w:rPr>
          <w:rFonts w:ascii="宋体" w:hAnsi="宋体" w:hint="eastAsia"/>
          <w:color w:val="000000" w:themeColor="text1"/>
        </w:rPr>
        <w:t>离职后福利的会计处理方法</w:t>
      </w:r>
    </w:p>
    <w:sdt>
      <w:sdtPr>
        <w:rPr>
          <w:rFonts w:hint="eastAsia"/>
          <w:color w:val="000000" w:themeColor="text1"/>
        </w:rPr>
        <w:alias w:val="是否适用：离职后福利的会计处理方法[双击切换]"/>
        <w:tag w:val="_GBC_35bbae299fda438d9e595058bbecbcdc"/>
        <w:id w:val="4556849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离职后福利的会计处理方法"/>
        <w:tag w:val="_GBC_3b0bafa6ef784ba99c829e2f60cf828e"/>
        <w:id w:val="2125736080"/>
        <w:placeholder>
          <w:docPart w:val="GBC22222222222222222222222222222"/>
        </w:placeholder>
      </w:sdtPr>
      <w:sdtEndPr/>
      <w:sdtContent>
        <w:p w:rsidR="00597370" w:rsidRDefault="003C2EEE">
          <w:pPr>
            <w:pStyle w:val="Style175"/>
            <w:ind w:firstLine="420"/>
          </w:pPr>
          <w:r>
            <w:rPr>
              <w:rFonts w:hint="eastAsia"/>
            </w:rPr>
            <w:t>离职后福利是指本公司为获得职工提供的服务而在职工退休或与企业解除劳动关系后，提供的各种形式的报酬和福利，短期</w:t>
          </w:r>
          <w:proofErr w:type="gramStart"/>
          <w:r>
            <w:rPr>
              <w:rFonts w:hint="eastAsia"/>
            </w:rPr>
            <w:t>薪</w:t>
          </w:r>
          <w:proofErr w:type="gramEnd"/>
          <w:r>
            <w:rPr>
              <w:rFonts w:hint="eastAsia"/>
            </w:rPr>
            <w:t>酬和辞退福利除外。</w:t>
          </w:r>
        </w:p>
        <w:p w:rsidR="00597370" w:rsidRDefault="003C2EEE">
          <w:pPr>
            <w:pStyle w:val="Style175"/>
            <w:ind w:firstLine="420"/>
          </w:pPr>
          <w:r>
            <w:rPr>
              <w:rFonts w:hint="eastAsia"/>
            </w:rPr>
            <w:t>本公司的离职后福利计划分类为设定提存计划和设定受益计划。</w:t>
          </w:r>
        </w:p>
        <w:p w:rsidR="00597370" w:rsidRDefault="003C2EEE">
          <w:pPr>
            <w:pStyle w:val="Style175"/>
            <w:ind w:firstLine="420"/>
          </w:pPr>
          <w:r>
            <w:rPr>
              <w:rFonts w:hint="eastAsia"/>
            </w:rPr>
            <w:t>离职后福利设定提存计划主要为参加由各地劳动及社会保障机构组织实施的社会基本养老保险、失业保险等；在职工为本公司提供服务的会计期间，将根据设定提存计划计算的应缴存金额确认为负债，并计入当期损益或相关资产成本。</w:t>
          </w:r>
        </w:p>
        <w:p w:rsidR="00597370" w:rsidRDefault="003C2EEE">
          <w:pPr>
            <w:pStyle w:val="Style175"/>
            <w:ind w:firstLine="420"/>
          </w:pPr>
          <w:r>
            <w:rPr>
              <w:rFonts w:hint="eastAsia"/>
            </w:rPr>
            <w:t>本公司按照国家规定的标准定期缴付上述款项后，不再有其他的支付义务。</w:t>
          </w:r>
        </w:p>
      </w:sdtContent>
    </w:sdt>
    <w:p w:rsidR="00597370" w:rsidRDefault="003C2EEE">
      <w:pPr>
        <w:pStyle w:val="Style110"/>
        <w:numPr>
          <w:ilvl w:val="0"/>
          <w:numId w:val="42"/>
        </w:numPr>
        <w:rPr>
          <w:rFonts w:ascii="宋体" w:hAnsi="宋体"/>
          <w:color w:val="000000" w:themeColor="text1"/>
        </w:rPr>
      </w:pPr>
      <w:r>
        <w:rPr>
          <w:rFonts w:ascii="宋体" w:hAnsi="宋体" w:hint="eastAsia"/>
          <w:color w:val="000000" w:themeColor="text1"/>
        </w:rPr>
        <w:t>辞退福利的会计处理方法</w:t>
      </w:r>
    </w:p>
    <w:sdt>
      <w:sdtPr>
        <w:rPr>
          <w:rFonts w:hint="eastAsia"/>
          <w:color w:val="000000" w:themeColor="text1"/>
        </w:rPr>
        <w:alias w:val="是否适用：辞退福利的会计处理方法[双击切换]"/>
        <w:tag w:val="_GBC_b6be1c30b6144d54b0e20b3cb9d3a691"/>
        <w:id w:val="200208480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辞退福利的会计处理方法"/>
        <w:tag w:val="_GBC_a93705fb60b24bceb25c88a68ed87432"/>
        <w:id w:val="1178937131"/>
        <w:placeholder>
          <w:docPart w:val="GBC22222222222222222222222222222"/>
        </w:placeholder>
      </w:sdtPr>
      <w:sdtEndPr/>
      <w:sdtContent>
        <w:p w:rsidR="00597370" w:rsidRDefault="003C2EEE">
          <w:pPr>
            <w:pStyle w:val="Style175"/>
            <w:ind w:firstLine="420"/>
          </w:pPr>
          <w:r>
            <w:rPr>
              <w:rFonts w:hint="eastAsia"/>
            </w:rPr>
            <w:t>辞退福利是指本公司在职工劳动合同到期之前解除与职工的劳动关系，或者为鼓励职工自愿接受裁减而给予职工的补偿，在本公司不能单方面撤回解除劳动关系计划或裁减建议时和确认与涉及支付辞退福利的重组相关的成本费用时两者</w:t>
          </w:r>
          <w:proofErr w:type="gramStart"/>
          <w:r>
            <w:rPr>
              <w:rFonts w:hint="eastAsia"/>
            </w:rPr>
            <w:t>孰</w:t>
          </w:r>
          <w:proofErr w:type="gramEnd"/>
          <w:r>
            <w:rPr>
              <w:rFonts w:hint="eastAsia"/>
            </w:rPr>
            <w:t>早日，</w:t>
          </w:r>
          <w:proofErr w:type="gramStart"/>
          <w:r>
            <w:rPr>
              <w:rFonts w:hint="eastAsia"/>
            </w:rPr>
            <w:t>确认因</w:t>
          </w:r>
          <w:proofErr w:type="gramEnd"/>
          <w:r>
            <w:rPr>
              <w:rFonts w:hint="eastAsia"/>
            </w:rPr>
            <w:t>解除与职工的劳动关系给予补偿而产生的负债，同时计入当期损益。</w:t>
          </w:r>
        </w:p>
        <w:p w:rsidR="00597370" w:rsidRDefault="003C2EEE">
          <w:pPr>
            <w:pStyle w:val="Style175"/>
            <w:ind w:firstLine="420"/>
          </w:pPr>
          <w:r>
            <w:rPr>
              <w:rFonts w:hint="eastAsia"/>
            </w:rPr>
            <w:t>本公司向接受内部退休安排的职工提供内退福利。内退福利是指，向未达到国家规定的退休年龄、经本公司管理层批准自愿退出工作岗位的职工支付的工资及为其缴纳的社会保险费等。本公司</w:t>
          </w:r>
          <w:proofErr w:type="gramStart"/>
          <w:r>
            <w:rPr>
              <w:rFonts w:hint="eastAsia"/>
            </w:rPr>
            <w:t>自内部</w:t>
          </w:r>
          <w:proofErr w:type="gramEnd"/>
          <w:r>
            <w:rPr>
              <w:rFonts w:hint="eastAsia"/>
            </w:rPr>
            <w:t>退休安排开始之日起</w:t>
          </w:r>
          <w:proofErr w:type="gramStart"/>
          <w:r>
            <w:rPr>
              <w:rFonts w:hint="eastAsia"/>
            </w:rPr>
            <w:t>至职工</w:t>
          </w:r>
          <w:proofErr w:type="gramEnd"/>
          <w:r>
            <w:rPr>
              <w:rFonts w:hint="eastAsia"/>
            </w:rPr>
            <w:t>达到正常退休年龄止，向内退职</w:t>
          </w:r>
          <w:proofErr w:type="gramStart"/>
          <w:r>
            <w:rPr>
              <w:rFonts w:hint="eastAsia"/>
            </w:rPr>
            <w:t>工支付</w:t>
          </w:r>
          <w:proofErr w:type="gramEnd"/>
          <w:r>
            <w:rPr>
              <w:rFonts w:hint="eastAsia"/>
            </w:rPr>
            <w:t>内部退养福利。对于内退福利，本公司比照辞退福利进行会计处理，在符合辞退福利相关确认条件时，将</w:t>
          </w:r>
          <w:proofErr w:type="gramStart"/>
          <w:r>
            <w:rPr>
              <w:rFonts w:hint="eastAsia"/>
            </w:rPr>
            <w:t>自职工</w:t>
          </w:r>
          <w:proofErr w:type="gramEnd"/>
          <w:r>
            <w:rPr>
              <w:rFonts w:hint="eastAsia"/>
            </w:rPr>
            <w:t>停</w:t>
          </w:r>
          <w:r>
            <w:rPr>
              <w:rFonts w:hint="eastAsia"/>
            </w:rPr>
            <w:lastRenderedPageBreak/>
            <w:t>止提供服务日至正常退休日期间</w:t>
          </w:r>
          <w:proofErr w:type="gramStart"/>
          <w:r>
            <w:rPr>
              <w:rFonts w:hint="eastAsia"/>
            </w:rPr>
            <w:t>拟支付</w:t>
          </w:r>
          <w:proofErr w:type="gramEnd"/>
          <w:r>
            <w:rPr>
              <w:rFonts w:hint="eastAsia"/>
            </w:rPr>
            <w:t>的内退职工工资和缴纳的社会保险费等，确认为负债，一次性计入当期损益。内退福利的精算假设变化及福利标准调整引起的差异于发生时计入当期损益。</w:t>
          </w:r>
        </w:p>
      </w:sdtContent>
    </w:sdt>
    <w:p w:rsidR="00597370" w:rsidRDefault="00597370">
      <w:pPr>
        <w:rPr>
          <w:color w:val="000000" w:themeColor="text1"/>
        </w:rPr>
      </w:pPr>
    </w:p>
    <w:p w:rsidR="00597370" w:rsidRDefault="003C2EEE">
      <w:pPr>
        <w:pStyle w:val="Style110"/>
        <w:numPr>
          <w:ilvl w:val="0"/>
          <w:numId w:val="42"/>
        </w:numPr>
        <w:rPr>
          <w:rFonts w:ascii="宋体" w:hAnsi="宋体"/>
          <w:color w:val="000000" w:themeColor="text1"/>
        </w:rPr>
      </w:pPr>
      <w:r>
        <w:rPr>
          <w:rFonts w:ascii="宋体" w:hAnsi="宋体" w:hint="eastAsia"/>
          <w:color w:val="000000" w:themeColor="text1"/>
        </w:rPr>
        <w:t>其他长期职工福利的会计处理方法</w:t>
      </w:r>
    </w:p>
    <w:sdt>
      <w:sdtPr>
        <w:rPr>
          <w:rFonts w:hint="eastAsia"/>
          <w:color w:val="000000" w:themeColor="text1"/>
        </w:rPr>
        <w:alias w:val="是否适用：其他长期职工福利的会计处理方法[双击切换]"/>
        <w:tag w:val="_GBC_6650f3bc6a474b318e05b9d60314cb7f"/>
        <w:id w:val="-20225413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其他长期职工福利的会计处理方法"/>
        <w:tag w:val="_GBC_0e549e9400284de7b64ddf6ecc255dea"/>
        <w:id w:val="-6677018"/>
        <w:placeholder>
          <w:docPart w:val="GBC22222222222222222222222222222"/>
        </w:placeholder>
      </w:sdtPr>
      <w:sdtEndPr/>
      <w:sdtContent>
        <w:p w:rsidR="00597370" w:rsidRDefault="003C2EEE">
          <w:pPr>
            <w:pStyle w:val="Style175"/>
            <w:ind w:firstLine="420"/>
          </w:pPr>
          <w:r>
            <w:rPr>
              <w:rFonts w:hint="eastAsia"/>
            </w:rPr>
            <w:t>其他长期职工福利是指除短期薪酬、离职后福利、辞退福利之外的其他所有职工福利。</w:t>
          </w:r>
        </w:p>
        <w:p w:rsidR="00597370" w:rsidRDefault="003C2EEE">
          <w:pPr>
            <w:pStyle w:val="Style175"/>
            <w:ind w:firstLine="420"/>
            <w:rPr>
              <w:rFonts w:cs="Times New Roman"/>
            </w:rPr>
          </w:pPr>
          <w:r>
            <w:rPr>
              <w:rFonts w:hint="eastAsia"/>
            </w:rPr>
            <w:t>对符合设定提存计划条件的其他长期职工福利，在职工为本公司提供服务的会计期间，将应缴存金额确认为负债，并计入当期损益或相关资产成本；除上述情形外的其他长期职工福利，在资产负债表日将设定受益计划产生的福利义务归属于职工提供服务的期间，并计入当期损益或相关资产成本。</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r>
        <w:rPr>
          <w:rFonts w:ascii="宋体" w:hAnsi="宋体"/>
          <w:color w:val="000000" w:themeColor="text1"/>
        </w:rPr>
        <w:t>预计负债</w:t>
      </w:r>
    </w:p>
    <w:sdt>
      <w:sdtPr>
        <w:rPr>
          <w:rFonts w:hint="eastAsia"/>
          <w:color w:val="000000" w:themeColor="text1"/>
        </w:rPr>
        <w:alias w:val="是否适用：预计负债_重要会计政策和估计[双击切换]"/>
        <w:tag w:val="_GBC_60f7f598e5d5458986c0f06775dc38fd"/>
        <w:id w:val="155466409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预计负债的核算方法"/>
        <w:tag w:val="_GBC_d6934772e41e485d9e00e349486f9d7e"/>
        <w:id w:val="-1504204523"/>
        <w:placeholder>
          <w:docPart w:val="GBC22222222222222222222222222222"/>
        </w:placeholder>
      </w:sdtPr>
      <w:sdtEndPr/>
      <w:sdtContent>
        <w:p w:rsidR="00597370" w:rsidRDefault="003C2EEE">
          <w:pPr>
            <w:pStyle w:val="Style175"/>
            <w:ind w:firstLine="420"/>
          </w:pPr>
          <w:r>
            <w:rPr>
              <w:rFonts w:hint="eastAsia"/>
            </w:rPr>
            <w:t>（</w:t>
          </w:r>
          <w:r>
            <w:t>1）预计负债的确认标准</w:t>
          </w:r>
        </w:p>
        <w:p w:rsidR="00597370" w:rsidRDefault="003C2EEE">
          <w:pPr>
            <w:pStyle w:val="Style175"/>
            <w:ind w:firstLine="420"/>
          </w:pPr>
          <w:r>
            <w:rPr>
              <w:rFonts w:hint="eastAsia"/>
            </w:rPr>
            <w:t>当与产品质量保证、亏损合同或有事项相关的义务是本公司承担的现时义务，且履行该义务很可能导致经济利益流出，以及该义务的金额能够可靠地计量，则确认为预计负债。</w:t>
          </w:r>
        </w:p>
        <w:p w:rsidR="00597370" w:rsidRDefault="003C2EEE">
          <w:pPr>
            <w:pStyle w:val="Style175"/>
            <w:ind w:firstLine="420"/>
          </w:pPr>
          <w:r>
            <w:rPr>
              <w:rFonts w:hint="eastAsia"/>
            </w:rPr>
            <w:t>（</w:t>
          </w:r>
          <w:r>
            <w:t>2）预计负债的计量方法</w:t>
          </w:r>
        </w:p>
        <w:p w:rsidR="00597370" w:rsidRDefault="003C2EEE">
          <w:pPr>
            <w:pStyle w:val="Style175"/>
            <w:ind w:firstLine="420"/>
          </w:pPr>
          <w:r>
            <w:rPr>
              <w:rFonts w:hint="eastAsia"/>
            </w:rPr>
            <w:t>本公司预计负债</w:t>
          </w:r>
          <w:proofErr w:type="gramStart"/>
          <w:r>
            <w:rPr>
              <w:rFonts w:hint="eastAsia"/>
            </w:rPr>
            <w:t>按履行</w:t>
          </w:r>
          <w:proofErr w:type="gramEnd"/>
          <w:r>
            <w:rPr>
              <w:rFonts w:hint="eastAsia"/>
            </w:rPr>
            <w:t>相关现时义务所需的支出的最佳估计数进行初始计量。</w:t>
          </w:r>
        </w:p>
        <w:p w:rsidR="00597370" w:rsidRDefault="003C2EEE">
          <w:pPr>
            <w:pStyle w:val="Style175"/>
            <w:ind w:firstLine="420"/>
          </w:pPr>
          <w:r>
            <w:rPr>
              <w:rFonts w:hint="eastAsia"/>
            </w:rPr>
            <w:t>本公司在确定最佳估计数时，综合考虑与或有事项有关的风险、不确定性和货币时间价值等因素。对于货币时间价值影响重大的，通过对相关未来现金流出进行折现后确定最佳估计数。</w:t>
          </w:r>
        </w:p>
        <w:p w:rsidR="00597370" w:rsidRDefault="003C2EEE">
          <w:pPr>
            <w:pStyle w:val="Style175"/>
            <w:ind w:firstLine="420"/>
          </w:pPr>
          <w:r>
            <w:rPr>
              <w:rFonts w:hint="eastAsia"/>
            </w:rPr>
            <w:t>最佳估计数分别以下情况处理：</w:t>
          </w:r>
        </w:p>
        <w:p w:rsidR="00597370" w:rsidRDefault="003C2EEE">
          <w:pPr>
            <w:pStyle w:val="Style175"/>
            <w:ind w:firstLine="420"/>
          </w:pPr>
          <w:r>
            <w:rPr>
              <w:rFonts w:hint="eastAsia"/>
            </w:rPr>
            <w:t>所需支出存在一个连续范围（或区间），且该范围内各种结果发生的可能性相同的，</w:t>
          </w:r>
          <w:proofErr w:type="gramStart"/>
          <w:r>
            <w:rPr>
              <w:rFonts w:hint="eastAsia"/>
            </w:rPr>
            <w:t>则最佳估计数按照</w:t>
          </w:r>
          <w:proofErr w:type="gramEnd"/>
          <w:r>
            <w:rPr>
              <w:rFonts w:hint="eastAsia"/>
            </w:rPr>
            <w:t>该范围的中间值即上下限金额的平均数确定。</w:t>
          </w:r>
        </w:p>
        <w:p w:rsidR="00597370" w:rsidRDefault="003C2EEE">
          <w:pPr>
            <w:pStyle w:val="Style175"/>
            <w:ind w:firstLine="420"/>
          </w:pPr>
          <w:r>
            <w:rPr>
              <w:rFonts w:hint="eastAsia"/>
            </w:rPr>
            <w:t>所需支出不存在一个连续范围（或区间），或虽然存在一个连续范围但该范围内各种结果发生的可能性不相同的，如或有事项涉及单个项目的，</w:t>
          </w:r>
          <w:proofErr w:type="gramStart"/>
          <w:r>
            <w:rPr>
              <w:rFonts w:hint="eastAsia"/>
            </w:rPr>
            <w:t>则最佳估计数按照</w:t>
          </w:r>
          <w:proofErr w:type="gramEnd"/>
          <w:r>
            <w:rPr>
              <w:rFonts w:hint="eastAsia"/>
            </w:rPr>
            <w:t>最可能发生金额确定；如或有事项涉及多个项目的，</w:t>
          </w:r>
          <w:proofErr w:type="gramStart"/>
          <w:r>
            <w:rPr>
              <w:rFonts w:hint="eastAsia"/>
            </w:rPr>
            <w:t>则最佳</w:t>
          </w:r>
          <w:proofErr w:type="gramEnd"/>
          <w:r>
            <w:rPr>
              <w:rFonts w:hint="eastAsia"/>
            </w:rPr>
            <w:t>估计数按各种可能结果及相关概率计算确定。</w:t>
          </w:r>
        </w:p>
        <w:p w:rsidR="00597370" w:rsidRDefault="003C2EEE">
          <w:pPr>
            <w:pStyle w:val="Style175"/>
            <w:ind w:firstLine="420"/>
          </w:pPr>
          <w:r>
            <w:rPr>
              <w:rFonts w:hint="eastAsia"/>
            </w:rPr>
            <w:t>本公司清偿预计负债所需支出全部或部分预期由第三方补偿的，补偿金额在基本确定能够收到时，作为资产单独确认，确认的补偿金额不超过预计负债的账面价值。</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r>
        <w:rPr>
          <w:rFonts w:ascii="宋体" w:hAnsi="宋体"/>
          <w:color w:val="000000" w:themeColor="text1"/>
        </w:rPr>
        <w:t>股份支付</w:t>
      </w:r>
    </w:p>
    <w:sdt>
      <w:sdtPr>
        <w:rPr>
          <w:rFonts w:hint="eastAsia"/>
          <w:color w:val="000000" w:themeColor="text1"/>
        </w:rPr>
        <w:alias w:val="是否适用：股份支付_重要会计政策和估计[双击切换]"/>
        <w:tag w:val="_GBC_cfe00a6b35f24950855f2412f34bcf7a"/>
        <w:id w:val="-57320738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股份支付的核算方法"/>
        <w:tag w:val="_GBC_99e197c555ed4cf8aa00bbd5da2fe98b"/>
        <w:id w:val="-1290429105"/>
        <w:placeholder>
          <w:docPart w:val="GBC22222222222222222222222222222"/>
        </w:placeholder>
      </w:sdtPr>
      <w:sdtEndPr/>
      <w:sdtContent>
        <w:p w:rsidR="00597370" w:rsidRDefault="003C2EEE">
          <w:pPr>
            <w:pStyle w:val="Style175"/>
            <w:ind w:firstLine="420"/>
          </w:pPr>
          <w:r>
            <w:t>(1)股份支付的种类</w:t>
          </w:r>
        </w:p>
        <w:p w:rsidR="00597370" w:rsidRDefault="003C2EEE">
          <w:pPr>
            <w:pStyle w:val="Style175"/>
            <w:ind w:firstLine="420"/>
          </w:pPr>
          <w:r>
            <w:rPr>
              <w:rFonts w:hint="eastAsia"/>
            </w:rPr>
            <w:t>本公司的股份支付分为以权益结算的股份支付和以现金结算的股份支付。</w:t>
          </w:r>
        </w:p>
        <w:p w:rsidR="00597370" w:rsidRDefault="003C2EEE">
          <w:pPr>
            <w:pStyle w:val="Style175"/>
            <w:ind w:firstLine="420"/>
          </w:pPr>
          <w:r>
            <w:t>(2)权益工具公允价值的确定方法</w:t>
          </w:r>
        </w:p>
        <w:p w:rsidR="00597370" w:rsidRDefault="003C2EEE">
          <w:pPr>
            <w:pStyle w:val="Style175"/>
            <w:ind w:firstLine="420"/>
          </w:pPr>
          <w:r>
            <w:rPr>
              <w:rFonts w:hint="eastAsia"/>
            </w:rPr>
            <w:lastRenderedPageBreak/>
            <w:t>对于授予的存在活跃市场的期权等权益工具，按照活跃市场中的报价确定其公允价值。对于授予的不存在活跃市场的期权等权益工具，采用期权定价模型等确定其公允价值，选用的期权定价模型考虑以下因素：</w:t>
          </w:r>
        </w:p>
        <w:p w:rsidR="00597370" w:rsidRDefault="003C2EEE">
          <w:pPr>
            <w:pStyle w:val="Style175"/>
            <w:ind w:firstLine="420"/>
          </w:pPr>
          <w:r>
            <w:t>1）期权的行权价格；</w:t>
          </w:r>
        </w:p>
        <w:p w:rsidR="00597370" w:rsidRDefault="003C2EEE">
          <w:pPr>
            <w:pStyle w:val="Style175"/>
            <w:ind w:firstLine="420"/>
          </w:pPr>
          <w:r>
            <w:t>2）期权的有效期；</w:t>
          </w:r>
        </w:p>
        <w:p w:rsidR="00597370" w:rsidRDefault="003C2EEE">
          <w:pPr>
            <w:pStyle w:val="Style175"/>
            <w:ind w:firstLine="420"/>
          </w:pPr>
          <w:r>
            <w:t>3）标的股份的现行价格；</w:t>
          </w:r>
        </w:p>
        <w:p w:rsidR="00597370" w:rsidRDefault="003C2EEE">
          <w:pPr>
            <w:pStyle w:val="Style175"/>
            <w:ind w:firstLine="420"/>
          </w:pPr>
          <w:r>
            <w:t>4）股价预计波动率；</w:t>
          </w:r>
        </w:p>
        <w:p w:rsidR="00597370" w:rsidRDefault="003C2EEE">
          <w:pPr>
            <w:pStyle w:val="Style175"/>
            <w:ind w:firstLine="420"/>
          </w:pPr>
          <w:r>
            <w:t>5）股份的预计股利；</w:t>
          </w:r>
        </w:p>
        <w:p w:rsidR="00597370" w:rsidRDefault="003C2EEE">
          <w:pPr>
            <w:pStyle w:val="Style175"/>
            <w:ind w:firstLine="420"/>
          </w:pPr>
          <w:r>
            <w:t>6）期权有效期内的无风险利率。</w:t>
          </w:r>
        </w:p>
        <w:p w:rsidR="00597370" w:rsidRDefault="003C2EEE">
          <w:pPr>
            <w:pStyle w:val="Style175"/>
            <w:ind w:firstLine="420"/>
          </w:pPr>
          <w:r>
            <w:rPr>
              <w:rFonts w:hint="eastAsia"/>
            </w:rPr>
            <w:t>在确定权益工具授予日的公允价值时，考虑股份支付协议规定的可行</w:t>
          </w:r>
          <w:proofErr w:type="gramStart"/>
          <w:r>
            <w:rPr>
              <w:rFonts w:hint="eastAsia"/>
            </w:rPr>
            <w:t>权条件</w:t>
          </w:r>
          <w:proofErr w:type="gramEnd"/>
          <w:r>
            <w:rPr>
              <w:rFonts w:hint="eastAsia"/>
            </w:rPr>
            <w:t>中的市场条件和非可行</w:t>
          </w:r>
          <w:proofErr w:type="gramStart"/>
          <w:r>
            <w:rPr>
              <w:rFonts w:hint="eastAsia"/>
            </w:rPr>
            <w:t>权条件</w:t>
          </w:r>
          <w:proofErr w:type="gramEnd"/>
          <w:r>
            <w:rPr>
              <w:rFonts w:hint="eastAsia"/>
            </w:rPr>
            <w:t>的影响。股份支付存在非可行</w:t>
          </w:r>
          <w:proofErr w:type="gramStart"/>
          <w:r>
            <w:rPr>
              <w:rFonts w:hint="eastAsia"/>
            </w:rPr>
            <w:t>权条件</w:t>
          </w:r>
          <w:proofErr w:type="gramEnd"/>
          <w:r>
            <w:rPr>
              <w:rFonts w:hint="eastAsia"/>
            </w:rPr>
            <w:t>的，只要职工或其他方满足了所有可行</w:t>
          </w:r>
          <w:proofErr w:type="gramStart"/>
          <w:r>
            <w:rPr>
              <w:rFonts w:hint="eastAsia"/>
            </w:rPr>
            <w:t>权条件</w:t>
          </w:r>
          <w:proofErr w:type="gramEnd"/>
          <w:r>
            <w:rPr>
              <w:rFonts w:hint="eastAsia"/>
            </w:rPr>
            <w:t>中的非市场条件（如服务期限等），即确认已得到服务相对应的成本费用。</w:t>
          </w:r>
        </w:p>
        <w:p w:rsidR="00597370" w:rsidRDefault="003C2EEE">
          <w:pPr>
            <w:pStyle w:val="Style175"/>
            <w:ind w:firstLine="420"/>
          </w:pPr>
          <w:r>
            <w:t>(3)确定可行权权益工具最佳估计的依据</w:t>
          </w:r>
        </w:p>
        <w:p w:rsidR="00597370" w:rsidRDefault="003C2EEE">
          <w:pPr>
            <w:pStyle w:val="Style175"/>
            <w:ind w:firstLine="420"/>
          </w:pPr>
          <w:r>
            <w:rPr>
              <w:rFonts w:hint="eastAsia"/>
            </w:rPr>
            <w:t>等待期内每个资产负债表日，根据最新取得的可行</w:t>
          </w:r>
          <w:proofErr w:type="gramStart"/>
          <w:r>
            <w:rPr>
              <w:rFonts w:hint="eastAsia"/>
            </w:rPr>
            <w:t>权职工</w:t>
          </w:r>
          <w:proofErr w:type="gramEnd"/>
          <w:r>
            <w:rPr>
              <w:rFonts w:hint="eastAsia"/>
            </w:rPr>
            <w:t>人数变动等后续信息</w:t>
          </w:r>
          <w:proofErr w:type="gramStart"/>
          <w:r>
            <w:rPr>
              <w:rFonts w:hint="eastAsia"/>
            </w:rPr>
            <w:t>作出</w:t>
          </w:r>
          <w:proofErr w:type="gramEnd"/>
          <w:r>
            <w:rPr>
              <w:rFonts w:hint="eastAsia"/>
            </w:rPr>
            <w:t>最佳估计，修正预计可行权的权益工具数量。在可行权日，最终预计可行权权益工具的数量与实际可行权数量一致。</w:t>
          </w:r>
        </w:p>
        <w:p w:rsidR="00597370" w:rsidRDefault="003C2EEE">
          <w:pPr>
            <w:pStyle w:val="Style175"/>
            <w:ind w:firstLine="420"/>
          </w:pPr>
          <w:r>
            <w:t>(4)会计处理方法</w:t>
          </w:r>
        </w:p>
        <w:p w:rsidR="00597370" w:rsidRDefault="003C2EEE">
          <w:pPr>
            <w:pStyle w:val="Style175"/>
            <w:ind w:firstLine="420"/>
          </w:pPr>
          <w:r>
            <w:t>1）权益结算和现金结算股份支付的会计处理</w:t>
          </w:r>
        </w:p>
        <w:p w:rsidR="00597370" w:rsidRDefault="003C2EEE">
          <w:pPr>
            <w:pStyle w:val="Style175"/>
            <w:ind w:firstLine="420"/>
          </w:pPr>
          <w:r>
            <w:rPr>
              <w:rFonts w:hint="eastAsia"/>
            </w:rPr>
            <w:t>以权益结算的股份支付，按授予职工权益工具的公允价值计量。授予后立即可行权的，在授予</w:t>
          </w:r>
          <w:proofErr w:type="gramStart"/>
          <w:r>
            <w:rPr>
              <w:rFonts w:hint="eastAsia"/>
            </w:rPr>
            <w:t>日按照</w:t>
          </w:r>
          <w:proofErr w:type="gramEnd"/>
          <w:r>
            <w:rPr>
              <w:rFonts w:hint="eastAsia"/>
            </w:rPr>
            <w:t>权益工具的公允价值计入相关成本或费用，相应增加资本公积。在完成等待期内的服务或达到规定业绩条件才可行权的，在等待期内的每个资产负债表日，以对可行权权益工具数量的最佳估计为基础，按照权益工具授予日的公允价值，将当期取得的服务计入相关成本或费用和资本公积。在可行权日之后不再对已确认的相关成本或费用和所有者权益总额进行调整。</w:t>
          </w:r>
        </w:p>
        <w:p w:rsidR="00597370" w:rsidRDefault="003C2EEE">
          <w:pPr>
            <w:pStyle w:val="Style175"/>
            <w:ind w:firstLine="420"/>
          </w:pPr>
          <w:r>
            <w:rPr>
              <w:rFonts w:hint="eastAsia"/>
            </w:rPr>
            <w:t>以现金结算的股份支付，按照本公司承担的以股份或其他权益工具为基础计算确定的负债的公允价值计量。授予后立即可行权的，在授予日以本公司承担负债的公允价值计入相关成本或费用，相应增加负债。在完成等待期内的服务或达到规定业绩条件以后才可行权的以现金结算的股份支付，在等待期内的每个资产负债表日，以对可行</w:t>
          </w:r>
          <w:proofErr w:type="gramStart"/>
          <w:r>
            <w:rPr>
              <w:rFonts w:hint="eastAsia"/>
            </w:rPr>
            <w:t>权情况</w:t>
          </w:r>
          <w:proofErr w:type="gramEnd"/>
          <w:r>
            <w:rPr>
              <w:rFonts w:hint="eastAsia"/>
            </w:rPr>
            <w:t>的最佳估计为基础，按照本公司承担负债的公允价值金额，将当期取得的服务计入成本或费用和相应的负债。在相关负债结算前的每个资产负债表日以及结算日，对负债的公允价值重新计量，其变动计入当期损益。</w:t>
          </w:r>
        </w:p>
        <w:p w:rsidR="00597370" w:rsidRDefault="003C2EEE">
          <w:pPr>
            <w:pStyle w:val="Style175"/>
            <w:ind w:firstLine="420"/>
          </w:pPr>
          <w:r>
            <w:t>2）股份支付条款和条件修改的会计处理</w:t>
          </w:r>
        </w:p>
        <w:p w:rsidR="00597370" w:rsidRDefault="003C2EEE">
          <w:pPr>
            <w:pStyle w:val="Style175"/>
            <w:ind w:firstLine="420"/>
          </w:pPr>
          <w:r>
            <w:rPr>
              <w:rFonts w:hint="eastAsia"/>
            </w:rPr>
            <w:t>对于不利修改，本公司视同该变更从未发生，仍继续对取得的服务进行会计处理。</w:t>
          </w:r>
        </w:p>
        <w:p w:rsidR="00597370" w:rsidRDefault="003C2EEE">
          <w:pPr>
            <w:pStyle w:val="Style175"/>
            <w:ind w:firstLine="420"/>
          </w:pPr>
          <w:r>
            <w:rPr>
              <w:rFonts w:hint="eastAsia"/>
            </w:rPr>
            <w:t>对于有利修改，本公司按照如下规定进行处理：如果修改增加了所授予的权益工具的公允价值，企业应按照权益工具公允价值的增加相应地确认取得服务的增加。如果修改发生在等待期内，在确认修改日至修改后的可行权日之间取得服务的公允价值时，应当既包括在剩余原等待期</w:t>
          </w:r>
          <w:r>
            <w:rPr>
              <w:rFonts w:hint="eastAsia"/>
            </w:rPr>
            <w:lastRenderedPageBreak/>
            <w:t>内以原权益工具授予日公允价值为基础确定的服务金额，也包括权益工具公允价值的增加。如果修改发生在可行权日之后，应当立即确认权益工具公允价值的增加。如果股份支付协议要求职工只有先完成更长期间的服务才能取得修改后的权益工具，则企业应在整个等待期内确认权益工具公允价值的增加。</w:t>
          </w:r>
        </w:p>
        <w:p w:rsidR="00597370" w:rsidRDefault="003C2EEE">
          <w:pPr>
            <w:pStyle w:val="Style175"/>
            <w:ind w:firstLine="420"/>
          </w:pPr>
          <w:r>
            <w:rPr>
              <w:rFonts w:hint="eastAsia"/>
            </w:rPr>
            <w:t>如果修改增加了所授予的权益工具的数量，企业将增加的权益工具的公允价值相应地确认为取得服务的增加。如果修改发生在等待期内，在确认修改日至增加的权益工具可行权日之间取得服务的公允价值时，应当既包括在剩余原等待期内以原权益工具授予日公允价值为基础确定的服务金额，也包括权益工具公允价值的增加。</w:t>
          </w:r>
        </w:p>
        <w:p w:rsidR="00597370" w:rsidRDefault="003C2EEE">
          <w:pPr>
            <w:pStyle w:val="Style175"/>
            <w:ind w:firstLine="420"/>
          </w:pPr>
          <w:r>
            <w:rPr>
              <w:rFonts w:hint="eastAsia"/>
            </w:rPr>
            <w:t>如果企业按照有利于职工的方式修改可行权条件，如缩短等待期、变更或取消业绩条件（而非市场条件），企业在处理可行</w:t>
          </w:r>
          <w:proofErr w:type="gramStart"/>
          <w:r>
            <w:rPr>
              <w:rFonts w:hint="eastAsia"/>
            </w:rPr>
            <w:t>权条件</w:t>
          </w:r>
          <w:proofErr w:type="gramEnd"/>
          <w:r>
            <w:rPr>
              <w:rFonts w:hint="eastAsia"/>
            </w:rPr>
            <w:t>时，应当考虑修改后的可行权条件。</w:t>
          </w:r>
        </w:p>
        <w:p w:rsidR="00597370" w:rsidRDefault="003C2EEE">
          <w:pPr>
            <w:pStyle w:val="Style175"/>
            <w:ind w:firstLine="420"/>
          </w:pPr>
          <w:r>
            <w:t>3）股份支付取消的会计处理</w:t>
          </w:r>
        </w:p>
        <w:p w:rsidR="00597370" w:rsidRDefault="003C2EEE">
          <w:pPr>
            <w:pStyle w:val="Style175"/>
            <w:ind w:firstLine="420"/>
          </w:pPr>
          <w:r>
            <w:rPr>
              <w:rFonts w:hint="eastAsia"/>
            </w:rPr>
            <w:t>若在等待期内取消了授予的权益工具，本公司对取消所授予的权益性工具作为加速行权处理，将剩余等待期内应确认的金额立即计入当期损益，同时确认资本公积。职工或其他方能够选择满足非可行</w:t>
          </w:r>
          <w:proofErr w:type="gramStart"/>
          <w:r>
            <w:rPr>
              <w:rFonts w:hint="eastAsia"/>
            </w:rPr>
            <w:t>权条件</w:t>
          </w:r>
          <w:proofErr w:type="gramEnd"/>
          <w:r>
            <w:rPr>
              <w:rFonts w:hint="eastAsia"/>
            </w:rPr>
            <w:t>但在等待期内未满足的，本公司将其作为授予权益工具的取消处理。</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r>
        <w:rPr>
          <w:rFonts w:ascii="宋体" w:hAnsi="宋体"/>
          <w:color w:val="000000" w:themeColor="text1"/>
        </w:rPr>
        <w:t>优先股、永续债等其他金融工具</w:t>
      </w:r>
    </w:p>
    <w:sdt>
      <w:sdtPr>
        <w:rPr>
          <w:rFonts w:hint="eastAsia"/>
          <w:color w:val="000000" w:themeColor="text1"/>
        </w:rPr>
        <w:alias w:val="是否适用：优先股、永续债等其他金融工具[双击切换]"/>
        <w:tag w:val="_GBC_34eb80e2168144958293aa1351780303"/>
        <w:id w:val="92646444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优先股、永续债等其他金融工具的核算方法"/>
        <w:tag w:val="_GBC_4d72f974ad08467694c4c547d6e1f03b"/>
        <w:id w:val="949896234"/>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bookmarkStart w:id="140" w:name="_Hlk10465559"/>
      <w:r>
        <w:rPr>
          <w:rFonts w:ascii="宋体" w:hAnsi="宋体"/>
          <w:color w:val="000000" w:themeColor="text1"/>
        </w:rPr>
        <w:t>收入</w:t>
      </w:r>
    </w:p>
    <w:p w:rsidR="00597370" w:rsidRDefault="003C2EEE">
      <w:pPr>
        <w:pStyle w:val="Style110"/>
        <w:numPr>
          <w:ilvl w:val="3"/>
          <w:numId w:val="43"/>
        </w:numPr>
        <w:ind w:left="426" w:hanging="426"/>
        <w:rPr>
          <w:rFonts w:ascii="宋体" w:hAnsi="宋体"/>
          <w:color w:val="000000" w:themeColor="text1"/>
          <w:szCs w:val="21"/>
        </w:rPr>
      </w:pPr>
      <w:r>
        <w:rPr>
          <w:rFonts w:ascii="宋体" w:hAnsi="宋体" w:hint="eastAsia"/>
          <w:color w:val="000000" w:themeColor="text1"/>
          <w:szCs w:val="21"/>
        </w:rPr>
        <w:t>按照业务类型披露收入确认和计量所采用的会计政策</w:t>
      </w:r>
    </w:p>
    <w:sdt>
      <w:sdtPr>
        <w:rPr>
          <w:color w:val="000000" w:themeColor="text1"/>
        </w:rPr>
        <w:alias w:val="是否适用：收入确认和计量所采用的会计政策[双击切换]"/>
        <w:tag w:val="_GBC_b6eb71cc057645f3b05fb68d8273c681"/>
        <w:id w:val="125378924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收入确认和计量所采用的会计政策"/>
        <w:tag w:val="_GBC_c9c2b3029c08405387c460d2d7eacc7d"/>
        <w:id w:val="-1571577926"/>
        <w:placeholder>
          <w:docPart w:val="GBC22222222222222222222222222222"/>
        </w:placeholder>
      </w:sdtPr>
      <w:sdtEndPr/>
      <w:sdtContent>
        <w:p w:rsidR="00597370" w:rsidRDefault="003C2EEE">
          <w:pPr>
            <w:pStyle w:val="Style175"/>
            <w:ind w:firstLine="420"/>
          </w:pPr>
          <w:r>
            <w:rPr>
              <w:rFonts w:hint="eastAsia"/>
            </w:rPr>
            <w:t>（</w:t>
          </w:r>
          <w:r>
            <w:t>1）本公司的收入主要来源于如下业务类型：</w:t>
          </w:r>
        </w:p>
        <w:p w:rsidR="00597370" w:rsidRDefault="003C2EEE">
          <w:pPr>
            <w:pStyle w:val="Style175"/>
            <w:ind w:firstLine="420"/>
          </w:pPr>
          <w:r>
            <w:t>1）销售输配电及控制设备；</w:t>
          </w:r>
        </w:p>
        <w:p w:rsidR="00597370" w:rsidRDefault="003C2EEE">
          <w:pPr>
            <w:pStyle w:val="Style175"/>
            <w:ind w:firstLine="420"/>
          </w:pPr>
          <w:r>
            <w:t>2）销售取向硅钢。</w:t>
          </w:r>
        </w:p>
        <w:p w:rsidR="00597370" w:rsidRDefault="003C2EEE">
          <w:pPr>
            <w:pStyle w:val="Style175"/>
            <w:ind w:firstLine="420"/>
          </w:pPr>
          <w:r>
            <w:rPr>
              <w:rFonts w:hint="eastAsia"/>
            </w:rPr>
            <w:t>（</w:t>
          </w:r>
          <w:r>
            <w:t>2）收入确认的一般原则</w:t>
          </w:r>
        </w:p>
        <w:p w:rsidR="00597370" w:rsidRDefault="003C2EEE">
          <w:pPr>
            <w:pStyle w:val="Style175"/>
            <w:ind w:firstLine="420"/>
          </w:pPr>
          <w:r>
            <w:rPr>
              <w:rFonts w:hint="eastAsia"/>
            </w:rPr>
            <w:t>本公司在履行了合同中的履约义务，即在客户取得相关商品或服务控制权时，按照分摊至该项履约义务的交易价格确认收入。履约义务，是指合同中本公司向客户转让可明确区分商品或服务的承诺。取得相关商品控制权，是指能够主导该商品的使用并从中获得几乎全部的经济利益。</w:t>
          </w:r>
        </w:p>
        <w:p w:rsidR="00597370" w:rsidRDefault="003C2EEE">
          <w:pPr>
            <w:pStyle w:val="Style175"/>
            <w:ind w:firstLine="420"/>
          </w:pPr>
          <w:r>
            <w:rPr>
              <w:rFonts w:hint="eastAsia"/>
            </w:rPr>
            <w:t>本公司在合同开始日即对合同进行评估，识别该合同所包含的各单项履约义务，并确定各单项履约义务是在某一时段内履行，还是某一时点履行。满足下列条件之一的，属于在某一时间段内履行的履约义务，本公司按照履约进度，在一段时间内确认收入：</w:t>
          </w:r>
          <w:r>
            <w:t>1)客户在本公司履约的同时即取得并消耗本公司履约所带来的经济利益；2)客户能够控制本公司履约过程中在建的商品；3)本公司履约过程中所产出的商品具有不可替代用途，且本公司在整个合同期间内有权就累计至今已完成的履约部分收取款项。否则，本公司在客户取得相关商品或服务控制权的时点确认收入。</w:t>
          </w:r>
        </w:p>
        <w:p w:rsidR="00597370" w:rsidRDefault="003C2EEE">
          <w:pPr>
            <w:pStyle w:val="Style175"/>
            <w:ind w:firstLine="420"/>
          </w:pPr>
          <w:r>
            <w:rPr>
              <w:rFonts w:hint="eastAsia"/>
            </w:rPr>
            <w:lastRenderedPageBreak/>
            <w:t>对于在某一时段内履行的履约义务，本公司根据商品和劳务的性质，采用产出法确定恰当的履约进度。产出法是根据已转移给客户的商品对于客户的价值确定履约进度。当履约进度不能合理确定时，已经发生的成本预计能够得到补偿的，本公司按照已经发生的成本金额确认收入，直到履约进度能够合理确定为止。</w:t>
          </w:r>
        </w:p>
        <w:p w:rsidR="00597370" w:rsidRDefault="003C2EEE">
          <w:pPr>
            <w:pStyle w:val="Style175"/>
            <w:ind w:firstLine="420"/>
          </w:pPr>
          <w:r>
            <w:rPr>
              <w:rFonts w:hint="eastAsia"/>
            </w:rPr>
            <w:t>（</w:t>
          </w:r>
          <w:r>
            <w:t>3）收入确认的具体方法</w:t>
          </w:r>
        </w:p>
        <w:p w:rsidR="00597370" w:rsidRDefault="003C2EEE">
          <w:pPr>
            <w:pStyle w:val="Style175"/>
            <w:ind w:firstLine="420"/>
          </w:pPr>
          <w:r>
            <w:rPr>
              <w:rFonts w:hint="eastAsia"/>
            </w:rPr>
            <w:t>本公司主要销售输配电及控制设备和取向硅钢，属于在某一时点履约合同，产品销售收入具体确认原则如下：</w:t>
          </w:r>
        </w:p>
        <w:p w:rsidR="00597370" w:rsidRDefault="003C2EEE">
          <w:pPr>
            <w:pStyle w:val="Style175"/>
            <w:ind w:firstLine="420"/>
          </w:pPr>
          <w:r>
            <w:t>1）境内商品销售收入确认具体原则</w:t>
          </w:r>
        </w:p>
        <w:p w:rsidR="00597370" w:rsidRDefault="003C2EEE">
          <w:pPr>
            <w:pStyle w:val="Style175"/>
            <w:ind w:firstLine="420"/>
          </w:pPr>
          <w:r>
            <w:rPr>
              <w:rFonts w:hint="eastAsia"/>
            </w:rPr>
            <w:t>公司根据合同约定或订单要求将产品交付给购货方，并获得购货方验收确认后，已将商品的控制权转移给购货方时确认收入。</w:t>
          </w:r>
        </w:p>
        <w:p w:rsidR="00597370" w:rsidRDefault="003C2EEE">
          <w:pPr>
            <w:pStyle w:val="Style175"/>
            <w:ind w:firstLine="420"/>
          </w:pPr>
          <w:r>
            <w:t>2）境外商品销售收入确认具体原则</w:t>
          </w:r>
        </w:p>
        <w:p w:rsidR="00597370" w:rsidRDefault="003C2EEE">
          <w:pPr>
            <w:pStyle w:val="Style175"/>
            <w:ind w:firstLine="420"/>
          </w:pPr>
          <w:r>
            <w:rPr>
              <w:rFonts w:hint="eastAsia"/>
            </w:rPr>
            <w:t>公司在将货物交付承运方并完成报关出口时，按照出口报关单出口日期作为控制权转移的时点，确认销售收入。</w:t>
          </w:r>
        </w:p>
        <w:p w:rsidR="00597370" w:rsidRDefault="003C2EEE">
          <w:pPr>
            <w:pStyle w:val="Style175"/>
            <w:ind w:firstLine="420"/>
          </w:pPr>
          <w:r>
            <w:rPr>
              <w:rFonts w:hint="eastAsia"/>
            </w:rPr>
            <w:t>（</w:t>
          </w:r>
          <w:r>
            <w:t>4）特定交易的收入处理原则</w:t>
          </w:r>
        </w:p>
        <w:p w:rsidR="00597370" w:rsidRDefault="003C2EEE">
          <w:pPr>
            <w:pStyle w:val="Style175"/>
            <w:ind w:firstLine="420"/>
          </w:pPr>
          <w:r>
            <w:t>1）附有销售退回条款的合同</w:t>
          </w:r>
        </w:p>
        <w:p w:rsidR="00597370" w:rsidRDefault="003C2EEE">
          <w:pPr>
            <w:pStyle w:val="Style175"/>
            <w:ind w:firstLine="420"/>
          </w:pPr>
          <w:r>
            <w:rPr>
              <w:rFonts w:hint="eastAsia"/>
            </w:rPr>
            <w:t>对于附有销售退回条款的销售，本公司在客户取得相关商品控制权时，按照因向客户转让商品而预期有权收取的对</w:t>
          </w:r>
          <w:proofErr w:type="gramStart"/>
          <w:r>
            <w:rPr>
              <w:rFonts w:hint="eastAsia"/>
            </w:rPr>
            <w:t>价金额</w:t>
          </w:r>
          <w:proofErr w:type="gramEnd"/>
          <w:r>
            <w:t>(即，不包含预期因销售退回将退还的金额)确认收入，按照预期因销售退回将退还的金额确认负债；同时，按照预期将退回商品转让时的账面价值，扣除收回该商品预计发生的成本(包括退回商品的价值减损)后的余额，确认为一项资产，按照所转让商品转让时的账面价值，扣除上述资产成本的净额结转成本。</w:t>
          </w:r>
        </w:p>
        <w:p w:rsidR="00597370" w:rsidRDefault="003C2EEE">
          <w:pPr>
            <w:pStyle w:val="Style175"/>
            <w:ind w:firstLine="420"/>
          </w:pPr>
          <w:r>
            <w:t>2）附有质量保证条款的合同</w:t>
          </w:r>
        </w:p>
        <w:p w:rsidR="00597370" w:rsidRDefault="003C2EEE">
          <w:pPr>
            <w:pStyle w:val="Style175"/>
            <w:ind w:firstLine="420"/>
          </w:pPr>
          <w:r>
            <w:rPr>
              <w:rFonts w:hint="eastAsia"/>
            </w:rPr>
            <w:t>对于附有质量保证条款的销售，如果该质量保证在向客户保证所销售商品或服务符合既定标准之外提供了一项单独的服务，该质量保证构成单项履约义务。否则，本公司按照《企业会计准则第</w:t>
          </w:r>
          <w:r>
            <w:t>13号——或有事项》规定对质量保证责任进行会计处理</w:t>
          </w:r>
        </w:p>
        <w:p w:rsidR="00597370" w:rsidRDefault="003C2EEE">
          <w:pPr>
            <w:pStyle w:val="Style175"/>
            <w:ind w:firstLine="420"/>
          </w:pPr>
          <w:r>
            <w:t>3）主要责任人和代理人</w:t>
          </w:r>
        </w:p>
        <w:p w:rsidR="00597370" w:rsidRDefault="003C2EEE">
          <w:pPr>
            <w:pStyle w:val="Style175"/>
            <w:ind w:firstLine="420"/>
          </w:pPr>
          <w:r>
            <w:rPr>
              <w:rFonts w:hint="eastAsia"/>
            </w:rPr>
            <w:t>本公司根据在向客户转让商品或服务前是否拥有对该商品或服务的控制权，来判断从事交易时本公司的身份是主要责任人还是代理人。本公司在向客户转让商品或服务前能够控制该商品或服务的，本公司为主要责任人，按照已收或应收对价总额确认收入；否则，本公司为代理人，按照预期有权收取的佣金或手续费的金额确认收入，该金额按照已收或应收对价总额扣除应支付给其他相关方的价款后的净额确定。</w:t>
          </w:r>
        </w:p>
      </w:sdtContent>
    </w:sdt>
    <w:p w:rsidR="00597370" w:rsidRDefault="00597370">
      <w:pPr>
        <w:rPr>
          <w:color w:val="000000" w:themeColor="text1"/>
        </w:rPr>
      </w:pPr>
    </w:p>
    <w:p w:rsidR="00597370" w:rsidRDefault="003C2EEE">
      <w:pPr>
        <w:pStyle w:val="Style110"/>
        <w:numPr>
          <w:ilvl w:val="3"/>
          <w:numId w:val="43"/>
        </w:numPr>
        <w:ind w:left="426" w:hanging="426"/>
        <w:rPr>
          <w:rFonts w:ascii="宋体" w:hAnsi="宋体"/>
          <w:color w:val="000000" w:themeColor="text1"/>
          <w:szCs w:val="21"/>
        </w:rPr>
      </w:pPr>
      <w:bookmarkStart w:id="141" w:name="_Hlk10465594"/>
      <w:bookmarkEnd w:id="140"/>
      <w:r>
        <w:rPr>
          <w:rFonts w:ascii="宋体" w:hAnsi="宋体" w:hint="eastAsia"/>
          <w:color w:val="000000" w:themeColor="text1"/>
          <w:szCs w:val="21"/>
        </w:rPr>
        <w:t>同类业务采用不同经营模式涉及不同收入确认方式及计量方法</w:t>
      </w:r>
    </w:p>
    <w:sdt>
      <w:sdtPr>
        <w:rPr>
          <w:color w:val="000000" w:themeColor="text1"/>
        </w:rPr>
        <w:alias w:val="是否适用：同类业务采用不同经营模式导致收入确认会计政策存在差异的情况[双击切换]"/>
        <w:tag w:val="_GBC_f4f4337356c44180a833322bec4248a8"/>
        <w:id w:val="874243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bookmarkStart w:id="142" w:name="_Hlk10465679"/>
      <w:bookmarkEnd w:id="141"/>
      <w:r>
        <w:rPr>
          <w:rFonts w:ascii="宋体" w:hAnsi="宋体"/>
          <w:color w:val="000000" w:themeColor="text1"/>
        </w:rPr>
        <w:lastRenderedPageBreak/>
        <w:t>合同成本</w:t>
      </w:r>
    </w:p>
    <w:sdt>
      <w:sdtPr>
        <w:rPr>
          <w:color w:val="000000" w:themeColor="text1"/>
        </w:rPr>
        <w:alias w:val="是否适用：合同成本_重要会计政策和估计[双击切换]"/>
        <w:tag w:val="_GBC_d7752b20e4914f04bf87bad019929fe8"/>
        <w:id w:val="33009858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合同成本_重要会计政策和估计"/>
        <w:tag w:val="_GBC_6936a4a013d94bae8da35405dbef11fd"/>
        <w:id w:val="-704333296"/>
        <w:placeholder>
          <w:docPart w:val="GBC22222222222222222222222222222"/>
        </w:placeholder>
      </w:sdtPr>
      <w:sdtEndPr/>
      <w:sdtContent>
        <w:p w:rsidR="00597370" w:rsidRDefault="003C2EEE">
          <w:pPr>
            <w:pStyle w:val="Style175"/>
            <w:ind w:firstLine="420"/>
          </w:pPr>
          <w:r>
            <w:rPr>
              <w:rFonts w:hint="eastAsia"/>
            </w:rPr>
            <w:t>（</w:t>
          </w:r>
          <w:r>
            <w:t>1）合同履约成本</w:t>
          </w:r>
        </w:p>
        <w:p w:rsidR="00597370" w:rsidRDefault="003C2EEE">
          <w:pPr>
            <w:pStyle w:val="Style175"/>
            <w:ind w:firstLine="420"/>
          </w:pPr>
          <w:r>
            <w:rPr>
              <w:rFonts w:hint="eastAsia"/>
            </w:rPr>
            <w:t>本公司对于为履行合同发生的成本，不属于除收入准则外的其他企业会计准则范围且同时满足下列条件的作为合同履约成本确认为一项资产：</w:t>
          </w:r>
        </w:p>
        <w:p w:rsidR="00597370" w:rsidRDefault="003C2EEE">
          <w:pPr>
            <w:pStyle w:val="Style175"/>
            <w:ind w:firstLine="420"/>
          </w:pPr>
          <w:r>
            <w:t>1）</w:t>
          </w:r>
          <w:proofErr w:type="gramStart"/>
          <w:r>
            <w:t>该成本</w:t>
          </w:r>
          <w:proofErr w:type="gramEnd"/>
          <w:r>
            <w:t>与一份当前或预期取得的合同直接相关，包括直接人工、直接材料、制造费用（或类似费用）、明确由客户承担的成本以及仅因该合同而发生的其他成本；</w:t>
          </w:r>
        </w:p>
        <w:p w:rsidR="00597370" w:rsidRDefault="003C2EEE">
          <w:pPr>
            <w:pStyle w:val="Style175"/>
            <w:ind w:firstLine="420"/>
          </w:pPr>
          <w:r>
            <w:t>2）</w:t>
          </w:r>
          <w:proofErr w:type="gramStart"/>
          <w:r>
            <w:t>该成本</w:t>
          </w:r>
          <w:proofErr w:type="gramEnd"/>
          <w:r>
            <w:t>增加了企业未来用于履行履约义务的资源。</w:t>
          </w:r>
        </w:p>
        <w:p w:rsidR="00597370" w:rsidRDefault="003C2EEE">
          <w:pPr>
            <w:pStyle w:val="Style175"/>
            <w:ind w:firstLine="420"/>
          </w:pPr>
          <w:r>
            <w:t>3）</w:t>
          </w:r>
          <w:proofErr w:type="gramStart"/>
          <w:r>
            <w:t>该成本</w:t>
          </w:r>
          <w:proofErr w:type="gramEnd"/>
          <w:r>
            <w:t>预期能够收回。</w:t>
          </w:r>
        </w:p>
        <w:p w:rsidR="00597370" w:rsidRDefault="003C2EEE">
          <w:pPr>
            <w:pStyle w:val="Style175"/>
            <w:ind w:firstLine="420"/>
          </w:pPr>
          <w:r>
            <w:rPr>
              <w:rFonts w:hint="eastAsia"/>
            </w:rPr>
            <w:t>该资产根据其初始确认时摊销期限是否超过一个正常营业周期在存货或其他非流动资产中列报。</w:t>
          </w:r>
        </w:p>
        <w:p w:rsidR="00597370" w:rsidRDefault="003C2EEE">
          <w:pPr>
            <w:pStyle w:val="Style175"/>
            <w:ind w:firstLine="420"/>
          </w:pPr>
          <w:r>
            <w:rPr>
              <w:rFonts w:hint="eastAsia"/>
            </w:rPr>
            <w:t>（</w:t>
          </w:r>
          <w:r>
            <w:t>2）合同取得成本</w:t>
          </w:r>
        </w:p>
        <w:p w:rsidR="00597370" w:rsidRDefault="003C2EEE">
          <w:pPr>
            <w:pStyle w:val="Style175"/>
            <w:ind w:firstLine="420"/>
          </w:pPr>
          <w:r>
            <w:rPr>
              <w:rFonts w:hint="eastAsia"/>
            </w:rPr>
            <w:t>本公司为取得合同发生的增量成本预期能够收回的，作为合同取得成本确认为一项资产。增量成本是指本公司不取得合同就不会发生的成本，如销售佣金等。对于摊销期限不超过一年的，在发生时计入当期损益。</w:t>
          </w:r>
        </w:p>
        <w:p w:rsidR="00597370" w:rsidRDefault="003C2EEE">
          <w:pPr>
            <w:pStyle w:val="Style175"/>
            <w:ind w:firstLine="420"/>
          </w:pPr>
          <w:r>
            <w:rPr>
              <w:rFonts w:hint="eastAsia"/>
            </w:rPr>
            <w:t>（</w:t>
          </w:r>
          <w:r>
            <w:t>3）合同成本摊销</w:t>
          </w:r>
        </w:p>
        <w:p w:rsidR="00597370" w:rsidRDefault="003C2EEE">
          <w:pPr>
            <w:pStyle w:val="Style175"/>
            <w:ind w:firstLine="420"/>
          </w:pPr>
          <w:r>
            <w:rPr>
              <w:rFonts w:hint="eastAsia"/>
            </w:rPr>
            <w:t>上述与合同成本有关的资产，采用与该资产相关的商品或服务收入确认相同的基础，在履约义务履行的时点或按照履约义务的履约进度进行摊销，计入当期损益。</w:t>
          </w:r>
        </w:p>
        <w:p w:rsidR="00597370" w:rsidRDefault="003C2EEE">
          <w:pPr>
            <w:pStyle w:val="Style175"/>
            <w:ind w:firstLine="420"/>
          </w:pPr>
          <w:r>
            <w:rPr>
              <w:rFonts w:hint="eastAsia"/>
            </w:rPr>
            <w:t>（</w:t>
          </w:r>
          <w:r>
            <w:t>4）合同成本减值</w:t>
          </w:r>
        </w:p>
        <w:p w:rsidR="00597370" w:rsidRDefault="003C2EEE">
          <w:pPr>
            <w:pStyle w:val="Style175"/>
            <w:ind w:firstLine="420"/>
          </w:pPr>
          <w:r>
            <w:rPr>
              <w:rFonts w:hint="eastAsia"/>
            </w:rPr>
            <w:t>上述与合同成本有关的资产，账面价值高于本公司因转让与该资产相关的商品预期能够取得剩余对价与为转让</w:t>
          </w:r>
          <w:proofErr w:type="gramStart"/>
          <w:r>
            <w:rPr>
              <w:rFonts w:hint="eastAsia"/>
            </w:rPr>
            <w:t>该相关</w:t>
          </w:r>
          <w:proofErr w:type="gramEnd"/>
          <w:r>
            <w:rPr>
              <w:rFonts w:hint="eastAsia"/>
            </w:rPr>
            <w:t>商品估计将要发生的成本的差额的，超出部分应当计提减值准备，并确认为资产减值损失。</w:t>
          </w:r>
        </w:p>
        <w:p w:rsidR="00597370" w:rsidRDefault="003C2EEE">
          <w:pPr>
            <w:pStyle w:val="Style175"/>
            <w:ind w:firstLine="420"/>
          </w:pPr>
          <w:r>
            <w:rPr>
              <w:rFonts w:hint="eastAsia"/>
            </w:rPr>
            <w:t>计提减值准备后，如果以前期间减值的因素发生变化，使得上述两项差额高于该资产账面价值的，转回原已计提的资产减值准备，并计入当期损益，但转回后的资产账面价值不超过假定不计提减值准备情况下该资产在</w:t>
          </w:r>
          <w:proofErr w:type="gramStart"/>
          <w:r>
            <w:rPr>
              <w:rFonts w:hint="eastAsia"/>
            </w:rPr>
            <w:t>转回日</w:t>
          </w:r>
          <w:proofErr w:type="gramEnd"/>
          <w:r>
            <w:rPr>
              <w:rFonts w:hint="eastAsia"/>
            </w:rPr>
            <w:t>的账面价值。</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bookmarkStart w:id="143" w:name="_Hlk10465775"/>
      <w:bookmarkEnd w:id="142"/>
      <w:r>
        <w:rPr>
          <w:rFonts w:ascii="宋体" w:hAnsi="宋体"/>
          <w:color w:val="000000" w:themeColor="text1"/>
        </w:rPr>
        <w:t>政府补助</w:t>
      </w:r>
    </w:p>
    <w:sdt>
      <w:sdtPr>
        <w:rPr>
          <w:color w:val="000000" w:themeColor="text1"/>
        </w:rPr>
        <w:alias w:val="是否适用：政府补助_重要会计政策和估计[双击切换]"/>
        <w:tag w:val="_GBC_09d5ec3540ea4d9a8e10c93326c490a0"/>
        <w:id w:val="151565955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bCs w:val="0"/>
          <w:color w:val="000000" w:themeColor="text1"/>
        </w:rPr>
        <w:alias w:val="政府补助_重要会计政策和估计"/>
        <w:tag w:val="_GBC_f313a7b8b81b4ed0845a3af1ac57e5e8"/>
        <w:id w:val="411982259"/>
        <w:placeholder>
          <w:docPart w:val="GBC22222222222222222222222222222"/>
        </w:placeholder>
      </w:sdtPr>
      <w:sdtEndPr/>
      <w:sdtContent>
        <w:p w:rsidR="00597370" w:rsidRDefault="003C2EEE">
          <w:pPr>
            <w:rPr>
              <w:color w:val="000000" w:themeColor="text1"/>
            </w:rPr>
          </w:pPr>
          <w:r>
            <w:rPr>
              <w:color w:val="000000" w:themeColor="text1"/>
            </w:rPr>
            <w:t>(1)类型</w:t>
          </w:r>
        </w:p>
        <w:p w:rsidR="00597370" w:rsidRDefault="003C2EEE">
          <w:pPr>
            <w:rPr>
              <w:color w:val="000000" w:themeColor="text1"/>
            </w:rPr>
          </w:pPr>
          <w:r>
            <w:rPr>
              <w:rFonts w:hint="eastAsia"/>
              <w:color w:val="000000" w:themeColor="text1"/>
            </w:rPr>
            <w:t>政府补助，是本公司从政府无偿取得的货币性资产与非货币性资产。根据相关政府文件规定的补助对象，将政府补助划分为与资产相关的政府补助和与收益相关的政府补助。</w:t>
          </w:r>
        </w:p>
        <w:p w:rsidR="00597370" w:rsidRDefault="003C2EEE">
          <w:pPr>
            <w:rPr>
              <w:color w:val="000000" w:themeColor="text1"/>
            </w:rPr>
          </w:pPr>
          <w:r>
            <w:rPr>
              <w:rFonts w:hint="eastAsia"/>
              <w:color w:val="000000" w:themeColor="text1"/>
            </w:rPr>
            <w:t>与资产相关的政府补助，是指本公司取得的、用于购建或以其他方式形成长期资产的政府补助。与收益相关的政府补助，是指除与资产相关的政府补助之外的政府补助。</w:t>
          </w:r>
        </w:p>
        <w:p w:rsidR="00597370" w:rsidRDefault="003C2EEE">
          <w:pPr>
            <w:rPr>
              <w:color w:val="000000" w:themeColor="text1"/>
            </w:rPr>
          </w:pPr>
          <w:r>
            <w:rPr>
              <w:color w:val="000000" w:themeColor="text1"/>
            </w:rPr>
            <w:t>(2)政府补助的确认</w:t>
          </w:r>
        </w:p>
        <w:p w:rsidR="00597370" w:rsidRDefault="003C2EEE">
          <w:pPr>
            <w:rPr>
              <w:color w:val="000000" w:themeColor="text1"/>
            </w:rPr>
          </w:pPr>
          <w:r>
            <w:rPr>
              <w:rFonts w:hint="eastAsia"/>
              <w:color w:val="000000" w:themeColor="text1"/>
            </w:rPr>
            <w:t>对期末有证据表明公司能够符合财政扶持政策规定的相关条件且预计能够收到财政扶持资金的，按应收金额确认政府补助。除此之外，政府补助均在实际收到时确认。</w:t>
          </w:r>
        </w:p>
        <w:p w:rsidR="00597370" w:rsidRDefault="003C2EEE">
          <w:pPr>
            <w:rPr>
              <w:color w:val="000000" w:themeColor="text1"/>
            </w:rPr>
          </w:pPr>
          <w:r>
            <w:rPr>
              <w:rFonts w:hint="eastAsia"/>
              <w:color w:val="000000" w:themeColor="text1"/>
            </w:rPr>
            <w:lastRenderedPageBreak/>
            <w:t>政府补助为货币性资产的，按照收到或应收的金额计量。政府补助为非货币性资产的，按照公允价值计量；公允价值不能够可靠取得的，按照名义金额（人民币</w:t>
          </w:r>
          <w:r>
            <w:rPr>
              <w:color w:val="000000" w:themeColor="text1"/>
            </w:rPr>
            <w:t>1元）计量。按照名义金额计量的政府补助，直接计入当期损益。</w:t>
          </w:r>
        </w:p>
        <w:p w:rsidR="00597370" w:rsidRDefault="003C2EEE">
          <w:pPr>
            <w:rPr>
              <w:color w:val="000000" w:themeColor="text1"/>
            </w:rPr>
          </w:pPr>
          <w:r>
            <w:rPr>
              <w:color w:val="000000" w:themeColor="text1"/>
            </w:rPr>
            <w:t>(3)会计处理方法</w:t>
          </w:r>
        </w:p>
        <w:p w:rsidR="00597370" w:rsidRDefault="003C2EEE">
          <w:pPr>
            <w:rPr>
              <w:color w:val="000000" w:themeColor="text1"/>
            </w:rPr>
          </w:pPr>
          <w:r>
            <w:rPr>
              <w:rFonts w:hint="eastAsia"/>
              <w:color w:val="000000" w:themeColor="text1"/>
            </w:rPr>
            <w:t>本公司根据经济业务的实质，确定某一类政府补助业务应当采用总额法还是净额法进行会计处理。通常情况下，本公司对于同类或类似政府补助业务只选用一种方法，且对该业务一贯地运用该方法。</w:t>
          </w:r>
        </w:p>
        <w:tbl>
          <w:tblPr>
            <w:tblStyle w:val="g3"/>
            <w:tblW w:w="5000" w:type="pct"/>
            <w:jc w:val="center"/>
            <w:tblLayout w:type="fixed"/>
            <w:tblCellMar>
              <w:left w:w="0" w:type="dxa"/>
              <w:right w:w="28" w:type="dxa"/>
            </w:tblCellMar>
            <w:tblLook w:val="04A0" w:firstRow="1" w:lastRow="0" w:firstColumn="1" w:lastColumn="0" w:noHBand="0" w:noVBand="1"/>
          </w:tblPr>
          <w:tblGrid>
            <w:gridCol w:w="4411"/>
            <w:gridCol w:w="4412"/>
          </w:tblGrid>
          <w:tr w:rsidR="00597370">
            <w:trPr>
              <w:trHeight w:val="397"/>
              <w:jc w:val="center"/>
            </w:trPr>
            <w:tc>
              <w:tcPr>
                <w:tcW w:w="4411" w:type="dxa"/>
                <w:vAlign w:val="center"/>
              </w:tcPr>
              <w:p w:rsidR="00597370" w:rsidRDefault="003C2EEE">
                <w:pPr>
                  <w:jc w:val="center"/>
                  <w:rPr>
                    <w:rFonts w:ascii="Times New Roman" w:hAnsi="Times New Roman"/>
                    <w:color w:val="000000" w:themeColor="text1"/>
                  </w:rPr>
                </w:pPr>
                <w:r>
                  <w:rPr>
                    <w:rFonts w:ascii="Times New Roman" w:hAnsi="Times New Roman"/>
                  </w:rPr>
                  <w:t>项目</w:t>
                </w:r>
              </w:p>
            </w:tc>
            <w:tc>
              <w:tcPr>
                <w:tcW w:w="4412" w:type="dxa"/>
                <w:vAlign w:val="center"/>
              </w:tcPr>
              <w:p w:rsidR="00597370" w:rsidRDefault="003C2EEE">
                <w:pPr>
                  <w:jc w:val="center"/>
                  <w:rPr>
                    <w:rFonts w:ascii="Times New Roman" w:hAnsi="Times New Roman"/>
                    <w:color w:val="000000" w:themeColor="text1"/>
                  </w:rPr>
                </w:pPr>
                <w:r>
                  <w:rPr>
                    <w:rFonts w:ascii="Times New Roman" w:hAnsi="Times New Roman"/>
                  </w:rPr>
                  <w:t>核算内容</w:t>
                </w:r>
              </w:p>
            </w:tc>
          </w:tr>
          <w:tr w:rsidR="00597370">
            <w:trPr>
              <w:trHeight w:val="397"/>
              <w:jc w:val="center"/>
            </w:trPr>
            <w:tc>
              <w:tcPr>
                <w:tcW w:w="4411" w:type="dxa"/>
                <w:vAlign w:val="center"/>
              </w:tcPr>
              <w:p w:rsidR="00597370" w:rsidRDefault="003C2EEE">
                <w:pPr>
                  <w:jc w:val="center"/>
                  <w:rPr>
                    <w:rFonts w:ascii="Times New Roman" w:hAnsi="Times New Roman"/>
                    <w:color w:val="000000" w:themeColor="text1"/>
                  </w:rPr>
                </w:pPr>
                <w:r>
                  <w:rPr>
                    <w:rFonts w:ascii="Times New Roman" w:hAnsi="Times New Roman"/>
                  </w:rPr>
                  <w:t>采用总额法核算的政府补助类别</w:t>
                </w:r>
              </w:p>
            </w:tc>
            <w:tc>
              <w:tcPr>
                <w:tcW w:w="4412" w:type="dxa"/>
                <w:vAlign w:val="center"/>
              </w:tcPr>
              <w:p w:rsidR="00597370" w:rsidRDefault="003C2EEE">
                <w:pPr>
                  <w:jc w:val="center"/>
                  <w:rPr>
                    <w:rFonts w:ascii="Times New Roman" w:hAnsi="Times New Roman"/>
                    <w:color w:val="000000" w:themeColor="text1"/>
                  </w:rPr>
                </w:pPr>
                <w:r>
                  <w:rPr>
                    <w:rFonts w:ascii="Times New Roman" w:hAnsi="Times New Roman"/>
                  </w:rPr>
                  <w:t>政府补助</w:t>
                </w:r>
              </w:p>
            </w:tc>
          </w:tr>
          <w:tr w:rsidR="00597370">
            <w:trPr>
              <w:trHeight w:val="397"/>
              <w:jc w:val="center"/>
            </w:trPr>
            <w:tc>
              <w:tcPr>
                <w:tcW w:w="4411" w:type="dxa"/>
                <w:vAlign w:val="center"/>
              </w:tcPr>
              <w:p w:rsidR="00597370" w:rsidRDefault="003C2EEE">
                <w:pPr>
                  <w:jc w:val="center"/>
                  <w:rPr>
                    <w:rFonts w:ascii="Times New Roman" w:hAnsi="Times New Roman"/>
                    <w:color w:val="000000" w:themeColor="text1"/>
                  </w:rPr>
                </w:pPr>
                <w:r>
                  <w:rPr>
                    <w:rFonts w:ascii="Times New Roman" w:hAnsi="Times New Roman"/>
                  </w:rPr>
                  <w:t>采用净额法核算的政府补助类别</w:t>
                </w:r>
              </w:p>
            </w:tc>
            <w:tc>
              <w:tcPr>
                <w:tcW w:w="4412" w:type="dxa"/>
                <w:vAlign w:val="center"/>
              </w:tcPr>
              <w:p w:rsidR="00597370" w:rsidRDefault="003C2EEE">
                <w:pPr>
                  <w:jc w:val="center"/>
                  <w:rPr>
                    <w:rFonts w:ascii="Times New Roman" w:hAnsi="Times New Roman"/>
                    <w:color w:val="000000" w:themeColor="text1"/>
                  </w:rPr>
                </w:pPr>
                <w:r>
                  <w:rPr>
                    <w:rFonts w:ascii="Times New Roman" w:hAnsi="Times New Roman"/>
                  </w:rPr>
                  <w:t>无</w:t>
                </w:r>
              </w:p>
            </w:tc>
          </w:tr>
        </w:tbl>
        <w:p w:rsidR="00597370" w:rsidRDefault="003C2EEE">
          <w:pPr>
            <w:pStyle w:val="Style175"/>
            <w:ind w:firstLine="420"/>
          </w:pPr>
          <w:r>
            <w:rPr>
              <w:rFonts w:hint="eastAsia"/>
            </w:rPr>
            <w:t>与资产相关的政府补助，应当冲减相关资产的账面价值或</w:t>
          </w:r>
          <w:proofErr w:type="gramStart"/>
          <w:r>
            <w:rPr>
              <w:rFonts w:hint="eastAsia"/>
            </w:rPr>
            <w:t>确认为递延</w:t>
          </w:r>
          <w:proofErr w:type="gramEnd"/>
          <w:r>
            <w:rPr>
              <w:rFonts w:hint="eastAsia"/>
            </w:rPr>
            <w:t>收益。与资产相关的政府补助</w:t>
          </w:r>
          <w:proofErr w:type="gramStart"/>
          <w:r>
            <w:rPr>
              <w:rFonts w:hint="eastAsia"/>
            </w:rPr>
            <w:t>确认为递延</w:t>
          </w:r>
          <w:proofErr w:type="gramEnd"/>
          <w:r>
            <w:rPr>
              <w:rFonts w:hint="eastAsia"/>
            </w:rPr>
            <w:t>收益的，在所建造或购买资产使用寿命内按照合理、系统的方法分期计入损益。</w:t>
          </w:r>
        </w:p>
        <w:p w:rsidR="00597370" w:rsidRDefault="003C2EEE">
          <w:pPr>
            <w:pStyle w:val="Style175"/>
            <w:ind w:firstLine="420"/>
          </w:pPr>
          <w:r>
            <w:rPr>
              <w:rFonts w:hint="eastAsia"/>
            </w:rPr>
            <w:t>与收益相关的政府补助，用于补偿企业以后期间的相关费用或损失的，</w:t>
          </w:r>
          <w:proofErr w:type="gramStart"/>
          <w:r>
            <w:rPr>
              <w:rFonts w:hint="eastAsia"/>
            </w:rPr>
            <w:t>确认为递延</w:t>
          </w:r>
          <w:proofErr w:type="gramEnd"/>
          <w:r>
            <w:rPr>
              <w:rFonts w:hint="eastAsia"/>
            </w:rPr>
            <w:t>收益，在确认相关费用或损失的期间计入当期损益或冲减相关成本；用于补偿企业已发生的相关费用或损失的，取得时直接计入当期损益或冲减相关成本。</w:t>
          </w:r>
        </w:p>
        <w:p w:rsidR="00597370" w:rsidRDefault="003C2EEE">
          <w:pPr>
            <w:pStyle w:val="Style175"/>
            <w:ind w:firstLine="420"/>
          </w:pPr>
          <w:r>
            <w:rPr>
              <w:rFonts w:hint="eastAsia"/>
            </w:rPr>
            <w:t>与企业日常活动相关的政府补助计入其他收益或冲减相关成本费用；与企业日常活动无关的政府补助计入营业外收支。</w:t>
          </w:r>
        </w:p>
        <w:p w:rsidR="00597370" w:rsidRDefault="003C2EEE">
          <w:pPr>
            <w:pStyle w:val="Style175"/>
            <w:ind w:firstLine="420"/>
          </w:pPr>
          <w:r>
            <w:rPr>
              <w:rFonts w:hint="eastAsia"/>
            </w:rPr>
            <w:t>收到与政策性优惠贷款贴息相关的政府补助冲减相关借款费用；取得贷款银行提供的政策性优惠利率贷款的，以实际收到的借款金额作为借款的入账价值，按照借款本金和该政策性优惠利率计算相关借款费用。</w:t>
          </w:r>
        </w:p>
        <w:p w:rsidR="00597370" w:rsidRDefault="003C2EEE">
          <w:pPr>
            <w:pStyle w:val="Style175"/>
            <w:ind w:firstLine="420"/>
          </w:pPr>
          <w:r>
            <w:rPr>
              <w:rFonts w:hint="eastAsia"/>
            </w:rPr>
            <w:t>已确认的政府补助需要返还时，初始确认时冲减相关资产账面价值的，调整资产账面价值；存在相关递延收益余额的，冲减相关递延收益账面余额，超出部分计入当期损益；不存在相关递延收益的，直接计入当期损益。</w:t>
          </w:r>
        </w:p>
      </w:sdtContent>
    </w:sdt>
    <w:bookmarkEnd w:id="143"/>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r>
        <w:rPr>
          <w:rFonts w:ascii="宋体" w:hAnsi="宋体"/>
          <w:color w:val="000000" w:themeColor="text1"/>
        </w:rPr>
        <w:t>递延所得税资产/递延所得税负债</w:t>
      </w:r>
    </w:p>
    <w:sdt>
      <w:sdtPr>
        <w:rPr>
          <w:rFonts w:hint="eastAsia"/>
          <w:color w:val="000000" w:themeColor="text1"/>
        </w:rPr>
        <w:alias w:val="是否适用：所得税的会计处理方法[双击切换]"/>
        <w:tag w:val="_GBC_3e4bb828d17944599248216201e65683"/>
        <w:id w:val="-20751844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所得税的会计处理方法"/>
        <w:tag w:val="_GBC_545dd84ed2b9458fa5e2b87aa1e1cc1c"/>
        <w:id w:val="-2127915607"/>
        <w:placeholder>
          <w:docPart w:val="GBC22222222222222222222222222222"/>
        </w:placeholder>
      </w:sdtPr>
      <w:sdtEndPr/>
      <w:sdtContent>
        <w:p w:rsidR="00597370" w:rsidRDefault="003C2EEE">
          <w:pPr>
            <w:pStyle w:val="Style175"/>
            <w:ind w:firstLine="420"/>
          </w:pPr>
          <w:r>
            <w:rPr>
              <w:rFonts w:hint="eastAsia"/>
            </w:rPr>
            <w:t>递延所得税资产和递延所得税负债根据资产和负债的计税基础与其账面价值的差额</w:t>
          </w:r>
          <w:r>
            <w:t>(暂时性差异)计算确认。于资产负债表日，递延所得税资产和递延所得税负债，按照预期收回该资产或清偿该负债期间的适用税率计量。</w:t>
          </w:r>
        </w:p>
        <w:p w:rsidR="00597370" w:rsidRDefault="003C2EEE">
          <w:pPr>
            <w:pStyle w:val="Style175"/>
            <w:ind w:firstLine="420"/>
          </w:pPr>
          <w:r>
            <w:rPr>
              <w:rFonts w:hint="eastAsia"/>
            </w:rPr>
            <w:t>（</w:t>
          </w:r>
          <w:r>
            <w:t>1）确认递延所得税资产的依据</w:t>
          </w:r>
        </w:p>
        <w:p w:rsidR="00597370" w:rsidRDefault="003C2EEE">
          <w:pPr>
            <w:pStyle w:val="Style175"/>
            <w:ind w:firstLine="420"/>
          </w:pPr>
          <w:r>
            <w:rPr>
              <w:rFonts w:hint="eastAsia"/>
            </w:rPr>
            <w:t>本公司以很可能取得用来抵扣可抵扣暂时性差异、能够结转以后年度的可抵扣亏损和税款抵减的应纳税所得额为限，确认由可抵扣暂时性差异产生的递延所得税资产。但是，同时具有下列特征的交易中因资产或负债的初始确认所产生的递延所得税资产不予确认：</w:t>
          </w:r>
        </w:p>
        <w:p w:rsidR="00597370" w:rsidRDefault="003C2EEE">
          <w:pPr>
            <w:pStyle w:val="Style175"/>
            <w:ind w:firstLine="420"/>
          </w:pPr>
          <w:r>
            <w:t>1）该交易不是企业合并；</w:t>
          </w:r>
        </w:p>
        <w:p w:rsidR="00597370" w:rsidRDefault="003C2EEE">
          <w:pPr>
            <w:pStyle w:val="Style175"/>
            <w:ind w:firstLine="420"/>
          </w:pPr>
          <w:r>
            <w:t>2）交易发生时既不影响会计利润也不影响应纳税所得额或可抵扣亏损。</w:t>
          </w:r>
        </w:p>
        <w:p w:rsidR="00597370" w:rsidRDefault="003C2EEE">
          <w:pPr>
            <w:pStyle w:val="Style175"/>
            <w:ind w:firstLine="420"/>
          </w:pPr>
          <w:r>
            <w:rPr>
              <w:rFonts w:hint="eastAsia"/>
            </w:rPr>
            <w:lastRenderedPageBreak/>
            <w:t>对于与联营企业投资相关的可抵扣暂时性差异，同时满足下列条件的，确认相应的递延所得税资产：暂时性差异在可预见的未来很可能转回，且未来很可能获得用来抵扣可抵扣暂时性差异的应纳税所得额。</w:t>
          </w:r>
        </w:p>
        <w:p w:rsidR="00597370" w:rsidRDefault="003C2EEE">
          <w:pPr>
            <w:pStyle w:val="Style175"/>
            <w:ind w:firstLine="420"/>
          </w:pPr>
          <w:r>
            <w:rPr>
              <w:rFonts w:hint="eastAsia"/>
            </w:rPr>
            <w:t>（</w:t>
          </w:r>
          <w:r>
            <w:t>2）确认递延所得税负债的依据</w:t>
          </w:r>
        </w:p>
        <w:p w:rsidR="00597370" w:rsidRDefault="003C2EEE">
          <w:pPr>
            <w:pStyle w:val="Style175"/>
            <w:ind w:firstLine="420"/>
          </w:pPr>
          <w:r>
            <w:rPr>
              <w:rFonts w:hint="eastAsia"/>
            </w:rPr>
            <w:t>公司将当期与以前期间应交未交的应纳税暂时性差异</w:t>
          </w:r>
          <w:proofErr w:type="gramStart"/>
          <w:r>
            <w:rPr>
              <w:rFonts w:hint="eastAsia"/>
            </w:rPr>
            <w:t>确认为递延</w:t>
          </w:r>
          <w:proofErr w:type="gramEnd"/>
          <w:r>
            <w:rPr>
              <w:rFonts w:hint="eastAsia"/>
            </w:rPr>
            <w:t>所得税负债。但不包括：</w:t>
          </w:r>
        </w:p>
        <w:p w:rsidR="00597370" w:rsidRDefault="003C2EEE">
          <w:pPr>
            <w:pStyle w:val="Style175"/>
            <w:ind w:firstLine="420"/>
          </w:pPr>
          <w:r>
            <w:t>1）商誉的初始确认所形成的暂时性差异；</w:t>
          </w:r>
        </w:p>
        <w:p w:rsidR="00597370" w:rsidRDefault="003C2EEE">
          <w:pPr>
            <w:pStyle w:val="Style175"/>
            <w:ind w:firstLine="420"/>
          </w:pPr>
          <w:r>
            <w:t>2）非企业合并形成的交易或事项，且该交易或事项发生时既不影响会计利润，也不影响应纳税所得额（或可抵扣亏损）所形成的暂时性差异；</w:t>
          </w:r>
        </w:p>
        <w:p w:rsidR="00597370" w:rsidRDefault="003C2EEE">
          <w:pPr>
            <w:pStyle w:val="Style175"/>
            <w:ind w:firstLine="420"/>
          </w:pPr>
          <w:r>
            <w:t>3）对于与子公司、联营企业投资相关的应纳税暂时性差异，该暂时性差异转回的时间能够控制并且该暂时性差异在可预见的未来很可能不会转回。</w:t>
          </w:r>
        </w:p>
      </w:sdtContent>
    </w:sdt>
    <w:p w:rsidR="00597370" w:rsidRDefault="00597370">
      <w:pPr>
        <w:rPr>
          <w:color w:val="000000" w:themeColor="text1"/>
        </w:rPr>
      </w:pPr>
    </w:p>
    <w:p w:rsidR="00597370" w:rsidRDefault="003C2EEE">
      <w:pPr>
        <w:pStyle w:val="Style109"/>
        <w:numPr>
          <w:ilvl w:val="0"/>
          <w:numId w:val="39"/>
        </w:numPr>
        <w:rPr>
          <w:rFonts w:ascii="宋体" w:hAnsi="宋体"/>
          <w:color w:val="000000" w:themeColor="text1"/>
        </w:rPr>
      </w:pPr>
      <w:bookmarkStart w:id="144" w:name="_Hlk169007779"/>
      <w:bookmarkStart w:id="145" w:name="_Hlk167884177"/>
      <w:r>
        <w:rPr>
          <w:rFonts w:ascii="宋体" w:hAnsi="宋体"/>
          <w:color w:val="000000" w:themeColor="text1"/>
        </w:rPr>
        <w:t>租赁</w:t>
      </w:r>
    </w:p>
    <w:sdt>
      <w:sdtPr>
        <w:rPr>
          <w:color w:val="000000" w:themeColor="text1"/>
        </w:rPr>
        <w:alias w:val="是否适用：租赁_重要会计政策和估计[双击切换]"/>
        <w:tag w:val="_GBC_7f954ee357264e2c946d2c530d8787c5"/>
        <w:id w:val="-4255746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ascii="Calibri" w:hAnsi="Calibri" w:cs="Times New Roman"/>
          <w:b/>
          <w:color w:val="000000" w:themeColor="text1"/>
          <w:kern w:val="2"/>
          <w:szCs w:val="32"/>
        </w:rPr>
      </w:pPr>
      <w:r>
        <w:rPr>
          <w:rFonts w:ascii="Calibri" w:hAnsi="Calibri" w:cs="Times New Roman"/>
          <w:b/>
          <w:color w:val="000000" w:themeColor="text1"/>
          <w:kern w:val="2"/>
          <w:szCs w:val="32"/>
        </w:rPr>
        <w:t>作为承租方对短期租赁和低价值资产租赁进行简化处理的判断依据和会计处理方法</w:t>
      </w:r>
    </w:p>
    <w:sdt>
      <w:sdtPr>
        <w:rPr>
          <w:color w:val="000000" w:themeColor="text1"/>
        </w:rPr>
        <w:alias w:val="是否适用：作为承租方对短期租赁和低价值资产租赁进行简化处理的判断依据和会计处理方法[双击切换]"/>
        <w:tag w:val="_GBC_7bcaad3acb7c40ecbe59ad19b127555f"/>
        <w:id w:val="-201852907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作为承租方对短期租赁和低价值资产租赁进行简化处理的判断依据和会计处理方法"/>
        <w:tag w:val="_GBC_83c59a0eb4ac4ef2afb783bc5dd4efb6"/>
        <w:id w:val="1742750407"/>
        <w:placeholder>
          <w:docPart w:val="GBC22222222222222222222222222222"/>
        </w:placeholder>
      </w:sdtPr>
      <w:sdtEndPr/>
      <w:sdtContent>
        <w:p w:rsidR="00597370" w:rsidRDefault="003C2EEE">
          <w:pPr>
            <w:pStyle w:val="Style175"/>
            <w:ind w:firstLine="420"/>
          </w:pPr>
          <w:r>
            <w:rPr>
              <w:rFonts w:hint="eastAsia"/>
            </w:rPr>
            <w:t>在租赁期开始日，除应用简化处理的短期租赁和低价值资产租赁外，本公司对租赁确认使用权资产和租赁负债。</w:t>
          </w:r>
        </w:p>
        <w:p w:rsidR="00597370" w:rsidRDefault="003C2EEE">
          <w:pPr>
            <w:pStyle w:val="Style175"/>
            <w:ind w:firstLine="420"/>
          </w:pPr>
          <w:r>
            <w:rPr>
              <w:rFonts w:hint="eastAsia"/>
            </w:rPr>
            <w:t>（</w:t>
          </w:r>
          <w:r>
            <w:t>1）短期租赁和低价值资产租赁</w:t>
          </w:r>
        </w:p>
        <w:p w:rsidR="00597370" w:rsidRDefault="003C2EEE">
          <w:pPr>
            <w:pStyle w:val="Style175"/>
            <w:ind w:firstLine="420"/>
          </w:pPr>
          <w:r>
            <w:rPr>
              <w:rFonts w:hint="eastAsia"/>
            </w:rPr>
            <w:t>短期租赁是指不包含购买选择权且租赁期不超过</w:t>
          </w:r>
          <w:r>
            <w:t>12个月的租赁。低价值资产租赁是指单项租赁资产为全新资产时价值较低的租赁。</w:t>
          </w:r>
        </w:p>
      </w:sdtContent>
    </w:sdt>
    <w:p w:rsidR="00597370" w:rsidRDefault="00597370">
      <w:pPr>
        <w:rPr>
          <w:rFonts w:ascii="Calibri" w:hAnsi="Calibri" w:cs="Times New Roman"/>
          <w:color w:val="000000" w:themeColor="text1"/>
          <w:kern w:val="2"/>
          <w:szCs w:val="32"/>
        </w:rPr>
      </w:pPr>
    </w:p>
    <w:p w:rsidR="00597370" w:rsidRDefault="003C2EEE">
      <w:pPr>
        <w:rPr>
          <w:rFonts w:ascii="Calibri" w:hAnsi="Calibri" w:cs="Times New Roman"/>
          <w:b/>
          <w:color w:val="000000" w:themeColor="text1"/>
          <w:kern w:val="2"/>
          <w:szCs w:val="32"/>
        </w:rPr>
      </w:pPr>
      <w:r>
        <w:rPr>
          <w:rFonts w:ascii="Calibri" w:hAnsi="Calibri" w:cs="Times New Roman"/>
          <w:b/>
          <w:color w:val="000000" w:themeColor="text1"/>
          <w:kern w:val="2"/>
          <w:szCs w:val="32"/>
        </w:rPr>
        <w:t>作为出租方的租赁分类标准和会计处理方法</w:t>
      </w:r>
    </w:p>
    <w:sdt>
      <w:sdtPr>
        <w:rPr>
          <w:color w:val="000000" w:themeColor="text1"/>
        </w:rPr>
        <w:alias w:val="是否适用：作为出租方的租赁分类标准和会计处理方法[双击切换]"/>
        <w:tag w:val="_GBC_5f67d3c5f08047cab6976824f73e97e9"/>
        <w:id w:val="56269400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alias w:val="作为出租方的租赁分类标准和会计处理方法"/>
        <w:tag w:val="_GBC_32ac25e0a5c442ef8da612bad391098d"/>
        <w:id w:val="-1245637714"/>
        <w:placeholder>
          <w:docPart w:val="GBC22222222222222222222222222222"/>
        </w:placeholder>
      </w:sdtPr>
      <w:sdtEndPr/>
      <w:sdtContent>
        <w:p w:rsidR="00597370" w:rsidRDefault="003C2EEE">
          <w:pPr>
            <w:pStyle w:val="Style175"/>
            <w:ind w:firstLine="420"/>
          </w:pPr>
          <w:r>
            <w:rPr>
              <w:rFonts w:hint="eastAsia"/>
            </w:rPr>
            <w:t>（</w:t>
          </w:r>
          <w:r>
            <w:t>1）租赁的分类</w:t>
          </w:r>
        </w:p>
        <w:p w:rsidR="00597370" w:rsidRDefault="003C2EEE">
          <w:pPr>
            <w:pStyle w:val="Style175"/>
            <w:ind w:firstLine="420"/>
          </w:pPr>
          <w:r>
            <w:rPr>
              <w:rFonts w:hint="eastAsia"/>
            </w:rPr>
            <w:t>本公司在租赁开始日将租赁分为融资租赁和经营租赁。融资租赁是指实质上转移了与租赁资产所有权有关的几乎全部风险和报酬的租赁，其所有权最终可能转移，也可能不转移。经营租赁是指除融资租赁以外的其他租赁。</w:t>
          </w:r>
        </w:p>
        <w:p w:rsidR="00597370" w:rsidRDefault="003C2EEE">
          <w:pPr>
            <w:pStyle w:val="Style175"/>
            <w:ind w:firstLine="420"/>
          </w:pPr>
          <w:r>
            <w:rPr>
              <w:rFonts w:hint="eastAsia"/>
            </w:rPr>
            <w:t>一项租赁存在下列一种或多种情形的，本公司通常分类为融资租赁：</w:t>
          </w:r>
        </w:p>
        <w:p w:rsidR="00597370" w:rsidRDefault="003C2EEE">
          <w:pPr>
            <w:pStyle w:val="Style175"/>
            <w:ind w:firstLine="420"/>
          </w:pPr>
          <w:r>
            <w:t>1）在租赁期届满时，租赁资产的所有权转移给承租人。</w:t>
          </w:r>
        </w:p>
        <w:p w:rsidR="00597370" w:rsidRDefault="003C2EEE">
          <w:pPr>
            <w:pStyle w:val="Style175"/>
            <w:ind w:firstLine="420"/>
          </w:pPr>
          <w:r>
            <w:t>2）承租人有购买租赁资产的选择权，所订立的购买价款与预计行使选择权时租赁资产的公允价值相比足够低，因而在租赁开始日就可以合理确定承租人将行使该选择权。</w:t>
          </w:r>
        </w:p>
        <w:p w:rsidR="00597370" w:rsidRDefault="003C2EEE">
          <w:pPr>
            <w:pStyle w:val="Style175"/>
            <w:ind w:firstLine="420"/>
          </w:pPr>
          <w:r>
            <w:t>3）资产的所有权虽然不转移，但租赁期占租赁资产使用寿命的大部分。</w:t>
          </w:r>
        </w:p>
        <w:p w:rsidR="00597370" w:rsidRDefault="003C2EEE">
          <w:pPr>
            <w:pStyle w:val="Style175"/>
            <w:ind w:firstLine="420"/>
          </w:pPr>
          <w:r>
            <w:t>4）在租赁开始日，</w:t>
          </w:r>
          <w:proofErr w:type="gramStart"/>
          <w:r>
            <w:t>租赁收</w:t>
          </w:r>
          <w:proofErr w:type="gramEnd"/>
          <w:r>
            <w:t>款额的现值几乎相当于租赁资产的公允价值。</w:t>
          </w:r>
        </w:p>
        <w:p w:rsidR="00597370" w:rsidRDefault="003C2EEE">
          <w:pPr>
            <w:pStyle w:val="Style175"/>
            <w:ind w:firstLine="420"/>
          </w:pPr>
          <w:r>
            <w:t>5）租赁资产性质特殊，如果不作较大改造，只有承租人才能使用。</w:t>
          </w:r>
        </w:p>
        <w:p w:rsidR="00597370" w:rsidRDefault="003C2EEE">
          <w:pPr>
            <w:pStyle w:val="Style175"/>
            <w:ind w:firstLine="420"/>
          </w:pPr>
          <w:r>
            <w:rPr>
              <w:rFonts w:hint="eastAsia"/>
            </w:rPr>
            <w:t>一项租赁存在下列一项或</w:t>
          </w:r>
          <w:proofErr w:type="gramStart"/>
          <w:r>
            <w:rPr>
              <w:rFonts w:hint="eastAsia"/>
            </w:rPr>
            <w:t>多项迹象</w:t>
          </w:r>
          <w:proofErr w:type="gramEnd"/>
          <w:r>
            <w:rPr>
              <w:rFonts w:hint="eastAsia"/>
            </w:rPr>
            <w:t>的，本公司也可能分类为融资租赁：</w:t>
          </w:r>
        </w:p>
        <w:p w:rsidR="00597370" w:rsidRDefault="003C2EEE">
          <w:pPr>
            <w:pStyle w:val="Style175"/>
            <w:ind w:firstLine="420"/>
          </w:pPr>
          <w:r>
            <w:t>1）若承租人撤销租赁，撤销租赁对出租人造成的损失由承租人承担。</w:t>
          </w:r>
        </w:p>
        <w:p w:rsidR="00597370" w:rsidRDefault="003C2EEE">
          <w:pPr>
            <w:pStyle w:val="Style175"/>
            <w:ind w:firstLine="420"/>
          </w:pPr>
          <w:r>
            <w:lastRenderedPageBreak/>
            <w:t>2）资产余值的公允价值波动所产生的利得或损失归属于承租人。</w:t>
          </w:r>
        </w:p>
        <w:p w:rsidR="00597370" w:rsidRDefault="003C2EEE">
          <w:pPr>
            <w:pStyle w:val="Style175"/>
            <w:ind w:firstLine="420"/>
          </w:pPr>
          <w:r>
            <w:t>3）承租人有能力以远低于市场水平的租金继续租赁至下一期间。</w:t>
          </w:r>
        </w:p>
        <w:p w:rsidR="00597370" w:rsidRDefault="003C2EEE">
          <w:pPr>
            <w:pStyle w:val="Style175"/>
            <w:ind w:firstLine="420"/>
          </w:pPr>
          <w:r>
            <w:rPr>
              <w:rFonts w:hint="eastAsia"/>
            </w:rPr>
            <w:t>（</w:t>
          </w:r>
          <w:r>
            <w:t>2）对融资租赁的会计处理</w:t>
          </w:r>
        </w:p>
        <w:p w:rsidR="00597370" w:rsidRDefault="003C2EEE">
          <w:pPr>
            <w:pStyle w:val="Style175"/>
            <w:ind w:firstLine="420"/>
          </w:pPr>
          <w:r>
            <w:rPr>
              <w:rFonts w:hint="eastAsia"/>
            </w:rPr>
            <w:t>在租赁期开始日，本公司对融资租赁确认应收融资租赁款，并终止确认融资租赁资产。</w:t>
          </w:r>
        </w:p>
        <w:p w:rsidR="00597370" w:rsidRDefault="003C2EEE">
          <w:pPr>
            <w:pStyle w:val="Style175"/>
            <w:ind w:firstLine="420"/>
          </w:pPr>
          <w:r>
            <w:rPr>
              <w:rFonts w:hint="eastAsia"/>
            </w:rPr>
            <w:t>应收融资租赁款初始计量时，以未担保余值和租赁期开始日尚未收到的</w:t>
          </w:r>
          <w:proofErr w:type="gramStart"/>
          <w:r>
            <w:rPr>
              <w:rFonts w:hint="eastAsia"/>
            </w:rPr>
            <w:t>租赁收</w:t>
          </w:r>
          <w:proofErr w:type="gramEnd"/>
          <w:r>
            <w:rPr>
              <w:rFonts w:hint="eastAsia"/>
            </w:rPr>
            <w:t>款额按照租赁内含利率折现的现值之和作为应收融资租赁款的入账价值。</w:t>
          </w:r>
          <w:proofErr w:type="gramStart"/>
          <w:r>
            <w:rPr>
              <w:rFonts w:hint="eastAsia"/>
            </w:rPr>
            <w:t>租赁收</w:t>
          </w:r>
          <w:proofErr w:type="gramEnd"/>
          <w:r>
            <w:rPr>
              <w:rFonts w:hint="eastAsia"/>
            </w:rPr>
            <w:t>款额包括：</w:t>
          </w:r>
        </w:p>
        <w:p w:rsidR="00597370" w:rsidRDefault="003C2EEE">
          <w:pPr>
            <w:pStyle w:val="Style175"/>
            <w:ind w:firstLine="420"/>
          </w:pPr>
          <w:r>
            <w:t>1）扣除租赁激励相关金额后的固定付款额及实质固定付款额；</w:t>
          </w:r>
        </w:p>
        <w:p w:rsidR="00597370" w:rsidRDefault="003C2EEE">
          <w:pPr>
            <w:pStyle w:val="Style175"/>
            <w:ind w:firstLine="420"/>
          </w:pPr>
          <w:r>
            <w:t>2）取决于指数或比率的可变租赁付款额；</w:t>
          </w:r>
        </w:p>
        <w:p w:rsidR="00597370" w:rsidRDefault="003C2EEE">
          <w:pPr>
            <w:pStyle w:val="Style175"/>
            <w:ind w:firstLine="420"/>
          </w:pPr>
          <w:r>
            <w:t>3）合理确定承租人将行使购买选择权的情况下，</w:t>
          </w:r>
          <w:proofErr w:type="gramStart"/>
          <w:r>
            <w:t>租赁收</w:t>
          </w:r>
          <w:proofErr w:type="gramEnd"/>
          <w:r>
            <w:t>款额包括购买选择权的行权价格；</w:t>
          </w:r>
        </w:p>
        <w:p w:rsidR="00597370" w:rsidRDefault="003C2EEE">
          <w:pPr>
            <w:pStyle w:val="Style175"/>
            <w:ind w:firstLine="420"/>
          </w:pPr>
          <w:r>
            <w:t>4）租赁</w:t>
          </w:r>
          <w:proofErr w:type="gramStart"/>
          <w:r>
            <w:t>期反映</w:t>
          </w:r>
          <w:proofErr w:type="gramEnd"/>
          <w:r>
            <w:t>出承租人将行使终止租赁选择权的情况下，</w:t>
          </w:r>
          <w:proofErr w:type="gramStart"/>
          <w:r>
            <w:t>租赁收</w:t>
          </w:r>
          <w:proofErr w:type="gramEnd"/>
          <w:r>
            <w:t>款额包括承租人行使终止租赁选择权需支付的款项；</w:t>
          </w:r>
        </w:p>
        <w:p w:rsidR="00597370" w:rsidRDefault="003C2EEE">
          <w:pPr>
            <w:pStyle w:val="Style175"/>
            <w:ind w:firstLine="420"/>
          </w:pPr>
          <w:r>
            <w:t>5）由承租人、与承租人有关的一方以及有经济能力履行担保义务的</w:t>
          </w:r>
          <w:proofErr w:type="gramStart"/>
          <w:r>
            <w:t>独立第三</w:t>
          </w:r>
          <w:proofErr w:type="gramEnd"/>
          <w:r>
            <w:t>方向出租人提供的担保余值。</w:t>
          </w:r>
        </w:p>
        <w:p w:rsidR="00597370" w:rsidRDefault="003C2EEE">
          <w:pPr>
            <w:pStyle w:val="Style175"/>
            <w:ind w:firstLine="420"/>
          </w:pPr>
          <w:r>
            <w:rPr>
              <w:rFonts w:hint="eastAsia"/>
            </w:rPr>
            <w:t>本公司按照固定的租赁内含利率计算并确认租赁期内各个期间的利息收入，所取得的未纳入租赁投资净额计量的可变租赁付款额在实际发生时计入当期损益。</w:t>
          </w:r>
        </w:p>
        <w:p w:rsidR="00597370" w:rsidRDefault="003C2EEE">
          <w:pPr>
            <w:pStyle w:val="Style175"/>
            <w:ind w:firstLine="420"/>
          </w:pPr>
          <w:r>
            <w:rPr>
              <w:rFonts w:hint="eastAsia"/>
            </w:rPr>
            <w:t>（</w:t>
          </w:r>
          <w:r>
            <w:t>3）对经营租赁的会计处理</w:t>
          </w:r>
        </w:p>
        <w:p w:rsidR="00597370" w:rsidRDefault="003C2EEE">
          <w:pPr>
            <w:pStyle w:val="Style175"/>
            <w:ind w:firstLine="420"/>
          </w:pPr>
          <w:r>
            <w:rPr>
              <w:rFonts w:hint="eastAsia"/>
            </w:rPr>
            <w:t>本公司在租赁期内各个期间采用直线法或其他系统合理的方法，将经营租赁的</w:t>
          </w:r>
          <w:proofErr w:type="gramStart"/>
          <w:r>
            <w:rPr>
              <w:rFonts w:hint="eastAsia"/>
            </w:rPr>
            <w:t>租赁收</w:t>
          </w:r>
          <w:proofErr w:type="gramEnd"/>
          <w:r>
            <w:rPr>
              <w:rFonts w:hint="eastAsia"/>
            </w:rPr>
            <w:t>款额确认为租金收入；发生的与经营租赁有关的初始直接费用资本化，在租赁期内按照与租金收入确认相同的基础进行分摊，分期计入当期损益；取得的与经营租赁有关的未计入</w:t>
          </w:r>
          <w:proofErr w:type="gramStart"/>
          <w:r>
            <w:rPr>
              <w:rFonts w:hint="eastAsia"/>
            </w:rPr>
            <w:t>租赁收</w:t>
          </w:r>
          <w:proofErr w:type="gramEnd"/>
          <w:r>
            <w:rPr>
              <w:rFonts w:hint="eastAsia"/>
            </w:rPr>
            <w:t>款额的可变租赁付款额，在实际发生时计入当期损益。</w:t>
          </w:r>
        </w:p>
      </w:sdtContent>
    </w:sdt>
    <w:p w:rsidR="00597370" w:rsidRDefault="00597370">
      <w:pPr>
        <w:rPr>
          <w:color w:val="000000" w:themeColor="text1"/>
        </w:rPr>
      </w:pPr>
    </w:p>
    <w:bookmarkEnd w:id="144"/>
    <w:bookmarkEnd w:id="145"/>
    <w:p w:rsidR="00597370" w:rsidRDefault="003C2EEE">
      <w:pPr>
        <w:pStyle w:val="Style109"/>
        <w:numPr>
          <w:ilvl w:val="0"/>
          <w:numId w:val="39"/>
        </w:numPr>
        <w:rPr>
          <w:rFonts w:ascii="宋体" w:hAnsi="宋体"/>
          <w:color w:val="000000" w:themeColor="text1"/>
        </w:rPr>
      </w:pPr>
      <w:r>
        <w:rPr>
          <w:rFonts w:ascii="宋体" w:hAnsi="宋体"/>
          <w:color w:val="000000" w:themeColor="text1"/>
        </w:rPr>
        <w:t>其他重要的会计政策和会计估计</w:t>
      </w:r>
    </w:p>
    <w:sdt>
      <w:sdtPr>
        <w:rPr>
          <w:color w:val="000000" w:themeColor="text1"/>
        </w:rPr>
        <w:alias w:val="是否适用：其他重要的会计政策和会计估计[双击切换]"/>
        <w:tag w:val="_GBC_b4281f4538de4623a036697d3903e1f8"/>
        <w:id w:val="111170943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39"/>
        </w:numPr>
        <w:rPr>
          <w:rFonts w:ascii="宋体" w:hAnsi="宋体"/>
          <w:color w:val="000000" w:themeColor="text1"/>
        </w:rPr>
      </w:pPr>
      <w:r>
        <w:rPr>
          <w:rFonts w:ascii="宋体" w:hAnsi="宋体"/>
          <w:color w:val="000000" w:themeColor="text1"/>
        </w:rPr>
        <w:t>重要会计政策和会计估计的变更</w:t>
      </w:r>
    </w:p>
    <w:p w:rsidR="00597370" w:rsidRDefault="003C2EEE">
      <w:pPr>
        <w:pStyle w:val="Style110"/>
        <w:numPr>
          <w:ilvl w:val="3"/>
          <w:numId w:val="44"/>
        </w:numPr>
        <w:ind w:left="426" w:hanging="426"/>
        <w:rPr>
          <w:rFonts w:ascii="宋体" w:hAnsi="宋体"/>
          <w:color w:val="000000" w:themeColor="text1"/>
        </w:rPr>
      </w:pPr>
      <w:bookmarkStart w:id="146" w:name="_Hlk169007887"/>
      <w:r>
        <w:rPr>
          <w:rFonts w:ascii="宋体" w:hAnsi="宋体" w:hint="eastAsia"/>
          <w:color w:val="000000" w:themeColor="text1"/>
        </w:rPr>
        <w:t>重要</w:t>
      </w:r>
      <w:r>
        <w:rPr>
          <w:rFonts w:ascii="宋体" w:hAnsi="宋体"/>
          <w:color w:val="000000" w:themeColor="text1"/>
        </w:rPr>
        <w:t>会计政策变更</w:t>
      </w:r>
    </w:p>
    <w:sdt>
      <w:sdtPr>
        <w:rPr>
          <w:color w:val="000000" w:themeColor="text1"/>
        </w:rPr>
        <w:alias w:val="是否适用：重要会计政策变更[双击切换]"/>
        <w:tag w:val="_GBC_f1ebc580f60c4d30a80747190ffbec4f"/>
        <w:id w:val="-2078740375"/>
        <w:placeholder>
          <w:docPart w:val="GBC22222222222222222222222222222"/>
        </w:placeholder>
      </w:sdtPr>
      <w:sdtEndPr/>
      <w:sdtContent>
        <w:p w:rsidR="00597370" w:rsidRDefault="003C2EEE">
          <w:pPr>
            <w:rPr>
              <w:rFonts w:ascii="Times New Roman" w:hAnsi="Times New Roman" w:cs="Times New Roman"/>
              <w:color w:val="000000" w:themeColor="text1"/>
              <w:kern w:val="2"/>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4"/>
        </w:numPr>
        <w:ind w:left="426" w:hanging="426"/>
        <w:rPr>
          <w:rFonts w:ascii="宋体" w:hAnsi="宋体"/>
          <w:color w:val="000000" w:themeColor="text1"/>
        </w:rPr>
      </w:pPr>
      <w:r>
        <w:rPr>
          <w:rFonts w:ascii="宋体" w:hAnsi="宋体" w:hint="eastAsia"/>
          <w:color w:val="000000" w:themeColor="text1"/>
        </w:rPr>
        <w:t>重要会计估计变更</w:t>
      </w:r>
    </w:p>
    <w:sdt>
      <w:sdtPr>
        <w:rPr>
          <w:color w:val="000000" w:themeColor="text1"/>
        </w:rPr>
        <w:alias w:val="是否适用：重要会计估计变更[双击切换]"/>
        <w:tag w:val="_GBC_902f08bd36774074945386d2d1f9b67d"/>
        <w:id w:val="1183482429"/>
        <w:placeholder>
          <w:docPart w:val="GBC22222222222222222222222222222"/>
        </w:placeholder>
      </w:sdtPr>
      <w:sdtEndPr/>
      <w:sdtContent>
        <w:p w:rsidR="00597370" w:rsidRDefault="003C2EEE">
          <w:pPr>
            <w:rPr>
              <w:rFonts w:cs="Times New Roman"/>
              <w:color w:val="000000" w:themeColor="text1"/>
              <w:kern w:val="2"/>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4"/>
        </w:numPr>
        <w:ind w:left="426" w:hanging="426"/>
        <w:rPr>
          <w:rFonts w:ascii="宋体" w:hAnsi="宋体"/>
          <w:color w:val="000000" w:themeColor="text1"/>
        </w:rPr>
      </w:pPr>
      <w:bookmarkStart w:id="147" w:name="_Hlk10465969"/>
      <w:bookmarkStart w:id="148" w:name="_Hlk24100246"/>
      <w:bookmarkStart w:id="149" w:name="_Hlk137050657"/>
      <w:bookmarkEnd w:id="146"/>
      <w:bookmarkEnd w:id="147"/>
      <w:r>
        <w:rPr>
          <w:rFonts w:ascii="宋体" w:hAnsi="宋体" w:hint="eastAsia"/>
          <w:color w:val="000000" w:themeColor="text1"/>
        </w:rPr>
        <w:t>2024年起首次执行新会计准则或准则解释等涉及调整首次执行当年年初的财务报表</w:t>
      </w:r>
    </w:p>
    <w:sdt>
      <w:sdtPr>
        <w:rPr>
          <w:rFonts w:hint="eastAsia"/>
          <w:color w:val="000000" w:themeColor="text1"/>
        </w:rPr>
        <w:alias w:val="是否适用：首次执行新金融工具准则或新收入准则调整首次执行当年年初财务报表相关项目情况[双击切换]"/>
        <w:tag w:val="_GBC_8608c1ec447d48978e05546e78cb2ffc"/>
        <w:id w:val="-12643742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39"/>
        </w:numPr>
        <w:rPr>
          <w:rFonts w:ascii="宋体" w:hAnsi="宋体"/>
          <w:color w:val="000000" w:themeColor="text1"/>
        </w:rPr>
      </w:pPr>
      <w:bookmarkStart w:id="150" w:name="_Hlk24100423"/>
      <w:bookmarkStart w:id="151" w:name="_Hlk137051084"/>
      <w:bookmarkEnd w:id="148"/>
      <w:bookmarkEnd w:id="149"/>
      <w:bookmarkEnd w:id="150"/>
      <w:bookmarkEnd w:id="151"/>
      <w:r>
        <w:rPr>
          <w:rFonts w:ascii="宋体" w:hAnsi="宋体"/>
          <w:color w:val="000000" w:themeColor="text1"/>
        </w:rPr>
        <w:t>其他</w:t>
      </w:r>
    </w:p>
    <w:sdt>
      <w:sdtPr>
        <w:rPr>
          <w:rFonts w:hint="eastAsia"/>
          <w:color w:val="000000" w:themeColor="text1"/>
        </w:rPr>
        <w:alias w:val="是否适用：公司主要会计政策、会计估计和前期差错的其他说明[双击切换]"/>
        <w:tag w:val="_GBC_6deb29735f384e0d9a2b017d4265a493"/>
        <w:id w:val="72209985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税项</w:t>
      </w:r>
    </w:p>
    <w:p w:rsidR="00597370" w:rsidRDefault="003C2EEE">
      <w:pPr>
        <w:pStyle w:val="Style109"/>
        <w:numPr>
          <w:ilvl w:val="0"/>
          <w:numId w:val="45"/>
        </w:numPr>
        <w:tabs>
          <w:tab w:val="left" w:pos="546"/>
        </w:tabs>
        <w:rPr>
          <w:rFonts w:ascii="宋体" w:hAnsi="宋体"/>
          <w:color w:val="000000" w:themeColor="text1"/>
        </w:rPr>
      </w:pPr>
      <w:r>
        <w:rPr>
          <w:rFonts w:ascii="宋体" w:hAnsi="宋体"/>
          <w:color w:val="000000" w:themeColor="text1"/>
        </w:rPr>
        <w:t>主要税种及税率</w:t>
      </w:r>
    </w:p>
    <w:p w:rsidR="00597370" w:rsidRDefault="003C2EEE">
      <w:pPr>
        <w:rPr>
          <w:color w:val="000000" w:themeColor="text1"/>
        </w:rPr>
      </w:pPr>
      <w:r>
        <w:rPr>
          <w:rFonts w:hint="eastAsia"/>
          <w:color w:val="000000" w:themeColor="text1"/>
        </w:rPr>
        <w:t>主要税种及税率情况</w:t>
      </w:r>
    </w:p>
    <w:sdt>
      <w:sdtPr>
        <w:rPr>
          <w:color w:val="000000" w:themeColor="text1"/>
        </w:rPr>
        <w:alias w:val="是否适用：主要税种及税率情况 [双击切换]"/>
        <w:tag w:val="_GBC_fd47fa4fd9aa499c8903795268a25582"/>
        <w:id w:val="-177469721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2"/>
        <w:tblW w:w="5002"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713"/>
        <w:gridCol w:w="3069"/>
        <w:gridCol w:w="3045"/>
      </w:tblGrid>
      <w:tr w:rsidR="00597370">
        <w:trPr>
          <w:trHeight w:val="397"/>
          <w:jc w:val="center"/>
        </w:trPr>
        <w:sdt>
          <w:sdtPr>
            <w:rPr>
              <w:rFonts w:cstheme="minorBidi"/>
              <w:color w:val="000000" w:themeColor="text1"/>
              <w:kern w:val="2"/>
            </w:rPr>
            <w:tag w:val="_PLD_e7d49d0412b143bf84fec865b918065a"/>
            <w:id w:val="-1252654300"/>
          </w:sdtPr>
          <w:sdtEndPr>
            <w:rPr>
              <w:rFonts w:cs="宋体"/>
              <w:kern w:val="0"/>
            </w:rPr>
          </w:sdtEndPr>
          <w:sdtContent>
            <w:tc>
              <w:tcPr>
                <w:tcW w:w="1536" w:type="pct"/>
                <w:vAlign w:val="center"/>
              </w:tcPr>
              <w:p w:rsidR="00597370" w:rsidRDefault="003C2EEE">
                <w:pPr>
                  <w:jc w:val="center"/>
                  <w:rPr>
                    <w:color w:val="000000" w:themeColor="text1"/>
                  </w:rPr>
                </w:pPr>
                <w:r>
                  <w:rPr>
                    <w:color w:val="000000" w:themeColor="text1"/>
                  </w:rPr>
                  <w:t>税种</w:t>
                </w:r>
              </w:p>
            </w:tc>
          </w:sdtContent>
        </w:sdt>
        <w:sdt>
          <w:sdtPr>
            <w:rPr>
              <w:color w:val="000000" w:themeColor="text1"/>
            </w:rPr>
            <w:tag w:val="_PLD_e42202809983483baa812ed26e1b27a2"/>
            <w:id w:val="-950092611"/>
          </w:sdtPr>
          <w:sdtEndPr/>
          <w:sdtContent>
            <w:tc>
              <w:tcPr>
                <w:tcW w:w="1738" w:type="pct"/>
                <w:vAlign w:val="center"/>
              </w:tcPr>
              <w:p w:rsidR="00597370" w:rsidRDefault="003C2EEE">
                <w:pPr>
                  <w:jc w:val="center"/>
                  <w:rPr>
                    <w:color w:val="000000" w:themeColor="text1"/>
                  </w:rPr>
                </w:pPr>
                <w:r>
                  <w:rPr>
                    <w:color w:val="000000" w:themeColor="text1"/>
                  </w:rPr>
                  <w:t>计税依据</w:t>
                </w:r>
              </w:p>
            </w:tc>
          </w:sdtContent>
        </w:sdt>
        <w:sdt>
          <w:sdtPr>
            <w:rPr>
              <w:color w:val="000000" w:themeColor="text1"/>
            </w:rPr>
            <w:tag w:val="_PLD_0cebc7a4c62844c6b35146cd64cd4277"/>
            <w:id w:val="-88076243"/>
          </w:sdtPr>
          <w:sdtEndPr/>
          <w:sdtContent>
            <w:tc>
              <w:tcPr>
                <w:tcW w:w="1725" w:type="pct"/>
                <w:vAlign w:val="center"/>
              </w:tcPr>
              <w:p w:rsidR="00597370" w:rsidRDefault="003C2EEE">
                <w:pPr>
                  <w:jc w:val="center"/>
                  <w:rPr>
                    <w:color w:val="000000" w:themeColor="text1"/>
                  </w:rPr>
                </w:pPr>
                <w:r>
                  <w:rPr>
                    <w:color w:val="000000" w:themeColor="text1"/>
                  </w:rPr>
                  <w:t>税率</w:t>
                </w:r>
              </w:p>
            </w:tc>
          </w:sdtContent>
        </w:sdt>
      </w:tr>
      <w:tr w:rsidR="00597370">
        <w:trPr>
          <w:trHeight w:val="397"/>
          <w:jc w:val="center"/>
        </w:trPr>
        <w:tc>
          <w:tcPr>
            <w:tcW w:w="1536" w:type="pct"/>
            <w:vMerge w:val="restart"/>
            <w:vAlign w:val="center"/>
          </w:tcPr>
          <w:p w:rsidR="00597370" w:rsidRDefault="003C2EEE">
            <w:pPr>
              <w:jc w:val="center"/>
              <w:rPr>
                <w:color w:val="000000" w:themeColor="text1"/>
              </w:rPr>
            </w:pPr>
            <w:r>
              <w:rPr>
                <w:color w:val="000000" w:themeColor="text1"/>
              </w:rPr>
              <w:lastRenderedPageBreak/>
              <w:t>增值税</w:t>
            </w:r>
          </w:p>
        </w:tc>
        <w:tc>
          <w:tcPr>
            <w:tcW w:w="1738" w:type="pct"/>
            <w:vAlign w:val="center"/>
          </w:tcPr>
          <w:p w:rsidR="00597370" w:rsidRDefault="003C2EEE">
            <w:pPr>
              <w:jc w:val="center"/>
            </w:pPr>
            <w:r>
              <w:t>境内销售：提供加工、修理修配劳务；以及提供有形动产租赁服务</w:t>
            </w:r>
          </w:p>
        </w:tc>
        <w:tc>
          <w:tcPr>
            <w:tcW w:w="1725" w:type="pct"/>
            <w:vAlign w:val="center"/>
          </w:tcPr>
          <w:p w:rsidR="00597370" w:rsidRDefault="003C2EEE">
            <w:pPr>
              <w:jc w:val="center"/>
            </w:pPr>
            <w:r>
              <w:t>13%</w:t>
            </w:r>
          </w:p>
        </w:tc>
      </w:tr>
      <w:tr w:rsidR="00597370">
        <w:trPr>
          <w:trHeight w:val="397"/>
          <w:jc w:val="center"/>
        </w:trPr>
        <w:tc>
          <w:tcPr>
            <w:tcW w:w="1536" w:type="pct"/>
            <w:vMerge/>
            <w:vAlign w:val="center"/>
          </w:tcPr>
          <w:p w:rsidR="00597370" w:rsidRDefault="00597370">
            <w:pPr>
              <w:jc w:val="center"/>
              <w:rPr>
                <w:color w:val="000000" w:themeColor="text1"/>
              </w:rPr>
            </w:pPr>
          </w:p>
        </w:tc>
        <w:tc>
          <w:tcPr>
            <w:tcW w:w="1738" w:type="pct"/>
            <w:vAlign w:val="center"/>
          </w:tcPr>
          <w:p w:rsidR="00597370" w:rsidRDefault="003C2EEE">
            <w:pPr>
              <w:jc w:val="center"/>
            </w:pPr>
            <w:r>
              <w:t>不动产租赁服务</w:t>
            </w:r>
          </w:p>
        </w:tc>
        <w:tc>
          <w:tcPr>
            <w:tcW w:w="1725" w:type="pct"/>
            <w:vAlign w:val="center"/>
          </w:tcPr>
          <w:p w:rsidR="00597370" w:rsidRDefault="003C2EEE">
            <w:pPr>
              <w:jc w:val="center"/>
            </w:pPr>
            <w:r>
              <w:t>9%</w:t>
            </w:r>
          </w:p>
        </w:tc>
      </w:tr>
      <w:tr w:rsidR="00597370">
        <w:trPr>
          <w:trHeight w:val="397"/>
          <w:jc w:val="center"/>
        </w:trPr>
        <w:tc>
          <w:tcPr>
            <w:tcW w:w="1536" w:type="pct"/>
            <w:vMerge/>
            <w:vAlign w:val="center"/>
          </w:tcPr>
          <w:p w:rsidR="00597370" w:rsidRDefault="00597370">
            <w:pPr>
              <w:jc w:val="center"/>
              <w:rPr>
                <w:color w:val="000000" w:themeColor="text1"/>
              </w:rPr>
            </w:pPr>
          </w:p>
        </w:tc>
        <w:tc>
          <w:tcPr>
            <w:tcW w:w="1738" w:type="pct"/>
            <w:vAlign w:val="center"/>
          </w:tcPr>
          <w:p w:rsidR="00597370" w:rsidRDefault="003C2EEE">
            <w:pPr>
              <w:jc w:val="center"/>
            </w:pPr>
            <w:r>
              <w:t>其他应税销售服务行为</w:t>
            </w:r>
          </w:p>
        </w:tc>
        <w:tc>
          <w:tcPr>
            <w:tcW w:w="1725" w:type="pct"/>
            <w:vAlign w:val="center"/>
          </w:tcPr>
          <w:p w:rsidR="00597370" w:rsidRDefault="003C2EEE">
            <w:pPr>
              <w:jc w:val="center"/>
            </w:pPr>
            <w:r>
              <w:t>6%</w:t>
            </w:r>
          </w:p>
        </w:tc>
      </w:tr>
      <w:tr w:rsidR="00597370">
        <w:trPr>
          <w:trHeight w:val="397"/>
          <w:jc w:val="center"/>
        </w:trPr>
        <w:tc>
          <w:tcPr>
            <w:tcW w:w="1536" w:type="pct"/>
            <w:vAlign w:val="center"/>
          </w:tcPr>
          <w:p w:rsidR="00597370" w:rsidRDefault="003C2EEE">
            <w:pPr>
              <w:jc w:val="center"/>
              <w:rPr>
                <w:color w:val="000000" w:themeColor="text1"/>
              </w:rPr>
            </w:pPr>
            <w:r>
              <w:t>城市维护建设税</w:t>
            </w:r>
          </w:p>
        </w:tc>
        <w:tc>
          <w:tcPr>
            <w:tcW w:w="1738" w:type="pct"/>
            <w:vAlign w:val="center"/>
          </w:tcPr>
          <w:p w:rsidR="00597370" w:rsidRDefault="003C2EEE">
            <w:pPr>
              <w:jc w:val="center"/>
            </w:pPr>
            <w:r>
              <w:t>实缴流转税税额</w:t>
            </w:r>
          </w:p>
        </w:tc>
        <w:tc>
          <w:tcPr>
            <w:tcW w:w="1725" w:type="pct"/>
            <w:vAlign w:val="center"/>
          </w:tcPr>
          <w:p w:rsidR="00597370" w:rsidRDefault="003C2EEE">
            <w:pPr>
              <w:jc w:val="center"/>
            </w:pPr>
            <w:r>
              <w:t>7%</w:t>
            </w:r>
          </w:p>
        </w:tc>
      </w:tr>
      <w:tr w:rsidR="00597370">
        <w:trPr>
          <w:trHeight w:val="397"/>
          <w:jc w:val="center"/>
        </w:trPr>
        <w:tc>
          <w:tcPr>
            <w:tcW w:w="1536" w:type="pct"/>
            <w:vAlign w:val="center"/>
          </w:tcPr>
          <w:p w:rsidR="00597370" w:rsidRDefault="003C2EEE">
            <w:pPr>
              <w:jc w:val="center"/>
              <w:rPr>
                <w:color w:val="000000" w:themeColor="text1"/>
              </w:rPr>
            </w:pPr>
            <w:r>
              <w:t>企业所得税</w:t>
            </w:r>
          </w:p>
        </w:tc>
        <w:tc>
          <w:tcPr>
            <w:tcW w:w="1738" w:type="pct"/>
            <w:vAlign w:val="center"/>
          </w:tcPr>
          <w:p w:rsidR="00597370" w:rsidRDefault="003C2EEE">
            <w:pPr>
              <w:jc w:val="center"/>
            </w:pPr>
            <w:r>
              <w:t>应纳税所得额</w:t>
            </w:r>
          </w:p>
        </w:tc>
        <w:tc>
          <w:tcPr>
            <w:tcW w:w="1725" w:type="pct"/>
            <w:vAlign w:val="center"/>
          </w:tcPr>
          <w:p w:rsidR="00597370" w:rsidRDefault="003C2EEE">
            <w:pPr>
              <w:jc w:val="center"/>
            </w:pPr>
            <w:r>
              <w:t>15%、25%</w:t>
            </w:r>
          </w:p>
        </w:tc>
      </w:tr>
      <w:tr w:rsidR="00597370">
        <w:trPr>
          <w:trHeight w:val="397"/>
          <w:jc w:val="center"/>
        </w:trPr>
        <w:tc>
          <w:tcPr>
            <w:tcW w:w="1536" w:type="pct"/>
            <w:vAlign w:val="center"/>
          </w:tcPr>
          <w:p w:rsidR="00597370" w:rsidRDefault="003C2EEE">
            <w:pPr>
              <w:jc w:val="center"/>
              <w:rPr>
                <w:color w:val="000000" w:themeColor="text1"/>
              </w:rPr>
            </w:pPr>
            <w:r>
              <w:t>教育费附加</w:t>
            </w:r>
          </w:p>
        </w:tc>
        <w:tc>
          <w:tcPr>
            <w:tcW w:w="1738" w:type="pct"/>
            <w:vAlign w:val="center"/>
          </w:tcPr>
          <w:p w:rsidR="00597370" w:rsidRDefault="003C2EEE">
            <w:pPr>
              <w:jc w:val="center"/>
            </w:pPr>
            <w:r>
              <w:t>应交增值税</w:t>
            </w:r>
          </w:p>
        </w:tc>
        <w:tc>
          <w:tcPr>
            <w:tcW w:w="1725" w:type="pct"/>
            <w:vAlign w:val="center"/>
          </w:tcPr>
          <w:p w:rsidR="00597370" w:rsidRDefault="003C2EEE">
            <w:pPr>
              <w:jc w:val="center"/>
            </w:pPr>
            <w:r>
              <w:t>3%</w:t>
            </w:r>
          </w:p>
        </w:tc>
      </w:tr>
      <w:tr w:rsidR="00597370">
        <w:trPr>
          <w:trHeight w:val="397"/>
          <w:jc w:val="center"/>
        </w:trPr>
        <w:tc>
          <w:tcPr>
            <w:tcW w:w="1536" w:type="pct"/>
            <w:vAlign w:val="center"/>
          </w:tcPr>
          <w:p w:rsidR="00597370" w:rsidRDefault="003C2EEE">
            <w:pPr>
              <w:jc w:val="center"/>
              <w:rPr>
                <w:color w:val="000000" w:themeColor="text1"/>
              </w:rPr>
            </w:pPr>
            <w:r>
              <w:t>地方教育附加</w:t>
            </w:r>
          </w:p>
        </w:tc>
        <w:tc>
          <w:tcPr>
            <w:tcW w:w="1738" w:type="pct"/>
            <w:vAlign w:val="center"/>
          </w:tcPr>
          <w:p w:rsidR="00597370" w:rsidRDefault="003C2EEE">
            <w:pPr>
              <w:jc w:val="center"/>
            </w:pPr>
            <w:r>
              <w:t>应交增值税</w:t>
            </w:r>
          </w:p>
        </w:tc>
        <w:tc>
          <w:tcPr>
            <w:tcW w:w="1725" w:type="pct"/>
            <w:vAlign w:val="center"/>
          </w:tcPr>
          <w:p w:rsidR="00597370" w:rsidRDefault="003C2EEE">
            <w:pPr>
              <w:jc w:val="center"/>
            </w:pPr>
            <w:r>
              <w:t>2%</w:t>
            </w:r>
          </w:p>
        </w:tc>
      </w:tr>
      <w:tr w:rsidR="00597370">
        <w:trPr>
          <w:trHeight w:val="397"/>
          <w:jc w:val="center"/>
        </w:trPr>
        <w:tc>
          <w:tcPr>
            <w:tcW w:w="1536" w:type="pct"/>
            <w:vAlign w:val="center"/>
          </w:tcPr>
          <w:p w:rsidR="00597370" w:rsidRDefault="003C2EEE">
            <w:pPr>
              <w:jc w:val="center"/>
            </w:pPr>
            <w:r>
              <w:t>房产税</w:t>
            </w:r>
          </w:p>
        </w:tc>
        <w:tc>
          <w:tcPr>
            <w:tcW w:w="1738" w:type="pct"/>
            <w:vAlign w:val="center"/>
          </w:tcPr>
          <w:p w:rsidR="00597370" w:rsidRDefault="003C2EEE">
            <w:pPr>
              <w:jc w:val="center"/>
            </w:pPr>
            <w:r>
              <w:t>按照房产原值的70%（或租金收入）为纳税基准</w:t>
            </w:r>
          </w:p>
        </w:tc>
        <w:tc>
          <w:tcPr>
            <w:tcW w:w="1725" w:type="pct"/>
            <w:vAlign w:val="center"/>
          </w:tcPr>
          <w:p w:rsidR="00597370" w:rsidRDefault="003C2EEE">
            <w:pPr>
              <w:jc w:val="center"/>
            </w:pPr>
            <w:r>
              <w:t>1.2%或12%</w:t>
            </w: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存在不同企业所得税税率纳税主体的，披露情况说明</w:t>
      </w:r>
    </w:p>
    <w:sdt>
      <w:sdtPr>
        <w:rPr>
          <w:color w:val="000000" w:themeColor="text1"/>
        </w:rPr>
        <w:alias w:val="是否适用：存在不同企业所得税税率纳税主体的，披露情况说明[双击切换]"/>
        <w:tag w:val="_GBC_848dc0d1182048ccb5485f3b0d7d1d70"/>
        <w:id w:val="-71773625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28" w:type="dxa"/>
        </w:tblCellMar>
        <w:tblLook w:val="04A0" w:firstRow="1" w:lastRow="0" w:firstColumn="1" w:lastColumn="0" w:noHBand="0" w:noVBand="1"/>
      </w:tblPr>
      <w:tblGrid>
        <w:gridCol w:w="4487"/>
        <w:gridCol w:w="4336"/>
      </w:tblGrid>
      <w:tr w:rsidR="00597370">
        <w:trPr>
          <w:trHeight w:val="397"/>
          <w:jc w:val="center"/>
        </w:trPr>
        <w:sdt>
          <w:sdtPr>
            <w:rPr>
              <w:color w:val="000000" w:themeColor="text1"/>
            </w:rPr>
            <w:tag w:val="_PLD_440a50b0d3fa4b22b061006e717665d8"/>
            <w:id w:val="-1594462216"/>
          </w:sdtPr>
          <w:sdtEndPr/>
          <w:sdtContent>
            <w:tc>
              <w:tcPr>
                <w:tcW w:w="2543" w:type="pct"/>
                <w:shd w:val="clear" w:color="auto" w:fill="auto"/>
                <w:vAlign w:val="center"/>
              </w:tcPr>
              <w:p w:rsidR="00597370" w:rsidRDefault="003C2EEE">
                <w:pPr>
                  <w:jc w:val="center"/>
                  <w:rPr>
                    <w:color w:val="000000" w:themeColor="text1"/>
                  </w:rPr>
                </w:pPr>
                <w:r>
                  <w:rPr>
                    <w:rFonts w:hint="eastAsia"/>
                    <w:color w:val="000000" w:themeColor="text1"/>
                  </w:rPr>
                  <w:t>纳税主体名称</w:t>
                </w:r>
              </w:p>
            </w:tc>
          </w:sdtContent>
        </w:sdt>
        <w:sdt>
          <w:sdtPr>
            <w:rPr>
              <w:color w:val="000000" w:themeColor="text1"/>
            </w:rPr>
            <w:tag w:val="_PLD_5c2541995bc04204a53104c1e5a4c9da"/>
            <w:id w:val="-733078739"/>
          </w:sdtPr>
          <w:sdtEndPr/>
          <w:sdtContent>
            <w:tc>
              <w:tcPr>
                <w:tcW w:w="2457" w:type="pct"/>
                <w:shd w:val="clear" w:color="auto" w:fill="auto"/>
                <w:vAlign w:val="center"/>
              </w:tcPr>
              <w:p w:rsidR="00597370" w:rsidRDefault="003C2EEE">
                <w:pPr>
                  <w:jc w:val="center"/>
                  <w:rPr>
                    <w:color w:val="000000" w:themeColor="text1"/>
                  </w:rPr>
                </w:pPr>
                <w:r>
                  <w:rPr>
                    <w:rFonts w:hint="eastAsia"/>
                    <w:color w:val="000000" w:themeColor="text1"/>
                  </w:rPr>
                  <w:t>所得税税率（%）</w:t>
                </w:r>
              </w:p>
            </w:tc>
          </w:sdtContent>
        </w:sdt>
      </w:tr>
      <w:tr w:rsidR="00597370">
        <w:trPr>
          <w:trHeight w:val="397"/>
          <w:jc w:val="center"/>
        </w:trPr>
        <w:tc>
          <w:tcPr>
            <w:tcW w:w="2543" w:type="pct"/>
            <w:shd w:val="clear" w:color="auto" w:fill="auto"/>
            <w:vAlign w:val="center"/>
          </w:tcPr>
          <w:p w:rsidR="00597370" w:rsidRDefault="003C2EEE">
            <w:pPr>
              <w:pStyle w:val="Style106"/>
            </w:pPr>
            <w:proofErr w:type="gramStart"/>
            <w:r>
              <w:t>重庆望变电气</w:t>
            </w:r>
            <w:proofErr w:type="gramEnd"/>
            <w:r>
              <w:t>（集团）股份有限公司</w:t>
            </w:r>
          </w:p>
        </w:tc>
        <w:tc>
          <w:tcPr>
            <w:tcW w:w="2457" w:type="pct"/>
            <w:shd w:val="clear" w:color="auto" w:fill="auto"/>
            <w:vAlign w:val="center"/>
          </w:tcPr>
          <w:p w:rsidR="00597370" w:rsidRDefault="003C2EEE">
            <w:pPr>
              <w:jc w:val="center"/>
            </w:pPr>
            <w:r>
              <w:t>15%</w:t>
            </w:r>
          </w:p>
        </w:tc>
      </w:tr>
      <w:tr w:rsidR="00597370">
        <w:trPr>
          <w:trHeight w:val="397"/>
          <w:jc w:val="center"/>
        </w:trPr>
        <w:tc>
          <w:tcPr>
            <w:tcW w:w="2543" w:type="pct"/>
            <w:shd w:val="clear" w:color="auto" w:fill="auto"/>
            <w:vAlign w:val="center"/>
          </w:tcPr>
          <w:p w:rsidR="00597370" w:rsidRDefault="003C2EEE">
            <w:pPr>
              <w:pStyle w:val="Style106"/>
            </w:pPr>
            <w:r>
              <w:t>重庆惠泽电器有限公司</w:t>
            </w:r>
          </w:p>
        </w:tc>
        <w:tc>
          <w:tcPr>
            <w:tcW w:w="2457" w:type="pct"/>
            <w:shd w:val="clear" w:color="auto" w:fill="auto"/>
            <w:vAlign w:val="center"/>
          </w:tcPr>
          <w:p w:rsidR="00597370" w:rsidRDefault="003C2EEE">
            <w:pPr>
              <w:jc w:val="center"/>
            </w:pPr>
            <w:r>
              <w:t>25%</w:t>
            </w:r>
          </w:p>
        </w:tc>
      </w:tr>
      <w:tr w:rsidR="00597370">
        <w:trPr>
          <w:trHeight w:val="397"/>
          <w:jc w:val="center"/>
        </w:trPr>
        <w:tc>
          <w:tcPr>
            <w:tcW w:w="2543" w:type="pct"/>
            <w:shd w:val="clear" w:color="auto" w:fill="auto"/>
            <w:vAlign w:val="center"/>
          </w:tcPr>
          <w:p w:rsidR="00597370" w:rsidRDefault="003C2EEE">
            <w:pPr>
              <w:pStyle w:val="Style106"/>
            </w:pPr>
            <w:r>
              <w:t>黔南望江变压器有限公司</w:t>
            </w:r>
          </w:p>
        </w:tc>
        <w:tc>
          <w:tcPr>
            <w:tcW w:w="2457" w:type="pct"/>
            <w:shd w:val="clear" w:color="auto" w:fill="auto"/>
            <w:vAlign w:val="center"/>
          </w:tcPr>
          <w:p w:rsidR="00597370" w:rsidRDefault="003C2EEE">
            <w:pPr>
              <w:jc w:val="center"/>
            </w:pPr>
            <w:r>
              <w:t>15%</w:t>
            </w:r>
          </w:p>
        </w:tc>
      </w:tr>
      <w:tr w:rsidR="00597370">
        <w:trPr>
          <w:trHeight w:val="397"/>
          <w:jc w:val="center"/>
        </w:trPr>
        <w:tc>
          <w:tcPr>
            <w:tcW w:w="2543" w:type="pct"/>
            <w:shd w:val="clear" w:color="auto" w:fill="auto"/>
            <w:vAlign w:val="center"/>
          </w:tcPr>
          <w:p w:rsidR="00597370" w:rsidRDefault="003C2EEE">
            <w:pPr>
              <w:pStyle w:val="Style106"/>
            </w:pPr>
            <w:r>
              <w:rPr>
                <w:rFonts w:hint="eastAsia"/>
              </w:rPr>
              <w:t>云南变压器电气股份有限公司</w:t>
            </w:r>
          </w:p>
        </w:tc>
        <w:tc>
          <w:tcPr>
            <w:tcW w:w="2457" w:type="pct"/>
            <w:shd w:val="clear" w:color="auto" w:fill="auto"/>
            <w:vAlign w:val="center"/>
          </w:tcPr>
          <w:p w:rsidR="00597370" w:rsidRDefault="003C2EEE">
            <w:pPr>
              <w:jc w:val="center"/>
            </w:pPr>
            <w:r>
              <w:rPr>
                <w:rFonts w:hint="eastAsia"/>
              </w:rPr>
              <w:t>1</w:t>
            </w:r>
            <w:r>
              <w:t>5%</w:t>
            </w:r>
          </w:p>
        </w:tc>
      </w:tr>
    </w:tbl>
    <w:p w:rsidR="00597370" w:rsidRDefault="00597370">
      <w:pPr>
        <w:rPr>
          <w:color w:val="000000" w:themeColor="text1"/>
        </w:rPr>
      </w:pPr>
    </w:p>
    <w:p w:rsidR="00597370" w:rsidRDefault="003C2EEE">
      <w:pPr>
        <w:pStyle w:val="Style109"/>
        <w:numPr>
          <w:ilvl w:val="0"/>
          <w:numId w:val="45"/>
        </w:numPr>
        <w:tabs>
          <w:tab w:val="left" w:pos="546"/>
        </w:tabs>
        <w:rPr>
          <w:rFonts w:ascii="宋体" w:hAnsi="宋体"/>
          <w:color w:val="000000" w:themeColor="text1"/>
        </w:rPr>
      </w:pPr>
      <w:r>
        <w:rPr>
          <w:rFonts w:ascii="宋体" w:hAnsi="宋体"/>
          <w:color w:val="000000" w:themeColor="text1"/>
        </w:rPr>
        <w:t>税收优惠</w:t>
      </w:r>
    </w:p>
    <w:sdt>
      <w:sdtPr>
        <w:rPr>
          <w:rFonts w:hint="eastAsia"/>
          <w:color w:val="000000" w:themeColor="text1"/>
        </w:rPr>
        <w:alias w:val="是否适用：税收优惠[双击切换]"/>
        <w:tag w:val="_GBC_f8eb23e7a2e74e448e4eb46519d87bd6"/>
        <w:id w:val="-69630745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rPr>
        <w:alias w:val="优惠税赋及批文"/>
        <w:tag w:val="_GBC_3bbdacdaa3ba421fb8a81b9bda047bb4"/>
        <w:id w:val="-1621909320"/>
        <w:placeholder>
          <w:docPart w:val="GBC22222222222222222222222222222"/>
        </w:placeholder>
      </w:sdtPr>
      <w:sdtEndPr/>
      <w:sdtContent>
        <w:p w:rsidR="00597370" w:rsidRDefault="003C2EEE">
          <w:pPr>
            <w:pStyle w:val="Style175"/>
            <w:ind w:firstLine="420"/>
          </w:pPr>
          <w:r>
            <w:t>(1)根据《财政部、国家税务总局、国家发展改革委关于延续西部大开发企业所得税政策的公告》（2020年第23号），自2021年1月1日至2030年12月31日，设立在西部地区的鼓励类产业企业可享受减按15%的税率缴纳企业所得税。目前</w:t>
          </w:r>
          <w:proofErr w:type="gramStart"/>
          <w:r>
            <w:t>重庆望变电气</w:t>
          </w:r>
          <w:proofErr w:type="gramEnd"/>
          <w:r>
            <w:t>（集团）股份有限公司、黔南望江变压器有限公司</w:t>
          </w:r>
          <w:r>
            <w:rPr>
              <w:rFonts w:hint="eastAsia"/>
            </w:rPr>
            <w:t>、云南</w:t>
          </w:r>
          <w:r>
            <w:t>变压器电气股份有限公司享受西部大开发所得税优惠政策，报告期内所得税减按15%税率征税。</w:t>
          </w:r>
        </w:p>
        <w:p w:rsidR="00597370" w:rsidRDefault="003C2EEE">
          <w:pPr>
            <w:pStyle w:val="Style175"/>
            <w:ind w:firstLine="420"/>
          </w:pPr>
          <w:r>
            <w:t xml:space="preserve"> (2) 根据</w:t>
          </w:r>
          <w:proofErr w:type="gramStart"/>
          <w:r>
            <w:t>《</w:t>
          </w:r>
          <w:proofErr w:type="gramEnd"/>
          <w:r>
            <w:t>财政部、税务总局关于进一步完善税前加计扣除政策的公告（2021年第13号）规定，自2021年1月1日起，公司开展研发活动中实际发生的研发费用，未形成无形资产计入当期损益的，在按规定据实扣除的基础上，再按照实际发生额的100%在税前加计扣除；形成无形资产的，自2021年1月1日起，按照无形资产成本的200%在税前摊销。</w:t>
          </w:r>
        </w:p>
        <w:p w:rsidR="00597370" w:rsidRDefault="003C2EEE">
          <w:pPr>
            <w:spacing w:line="360" w:lineRule="auto"/>
            <w:ind w:firstLineChars="200" w:firstLine="420"/>
            <w:rPr>
              <w:bCs w:val="0"/>
              <w:color w:val="000000" w:themeColor="text1"/>
            </w:rPr>
          </w:pPr>
          <w:r>
            <w:t xml:space="preserve">(3) </w:t>
          </w:r>
          <w:r>
            <w:rPr>
              <w:bCs w:val="0"/>
              <w:color w:val="000000" w:themeColor="text1"/>
            </w:rPr>
            <w:t>根据《</w:t>
          </w:r>
          <w:r>
            <w:rPr>
              <w:rFonts w:hint="eastAsia"/>
              <w:bCs w:val="0"/>
              <w:color w:val="000000" w:themeColor="text1"/>
            </w:rPr>
            <w:t>财政部</w:t>
          </w:r>
          <w:r>
            <w:rPr>
              <w:bCs w:val="0"/>
              <w:color w:val="000000" w:themeColor="text1"/>
            </w:rPr>
            <w:t xml:space="preserve"> </w:t>
          </w:r>
          <w:r>
            <w:rPr>
              <w:rFonts w:hint="eastAsia"/>
              <w:bCs w:val="0"/>
              <w:color w:val="000000" w:themeColor="text1"/>
            </w:rPr>
            <w:t>税务总局关于设备、器具扣除有关企业所得税政策的公告</w:t>
          </w:r>
          <w:r>
            <w:rPr>
              <w:bCs w:val="0"/>
              <w:color w:val="000000" w:themeColor="text1"/>
            </w:rPr>
            <w:t>》（</w:t>
          </w:r>
          <w:r>
            <w:rPr>
              <w:rFonts w:hint="eastAsia"/>
              <w:bCs w:val="0"/>
              <w:color w:val="000000" w:themeColor="text1"/>
            </w:rPr>
            <w:t>财政部</w:t>
          </w:r>
          <w:r>
            <w:rPr>
              <w:bCs w:val="0"/>
              <w:color w:val="000000" w:themeColor="text1"/>
            </w:rPr>
            <w:t xml:space="preserve"> </w:t>
          </w:r>
          <w:r>
            <w:rPr>
              <w:rFonts w:hint="eastAsia"/>
              <w:bCs w:val="0"/>
              <w:color w:val="000000" w:themeColor="text1"/>
            </w:rPr>
            <w:t>税务总局公告</w:t>
          </w:r>
          <w:r>
            <w:rPr>
              <w:bCs w:val="0"/>
              <w:color w:val="000000" w:themeColor="text1"/>
            </w:rPr>
            <w:t>2023年第37号）规定，公司在2024年1月1日至2027年12月31日期间新购进的设备、器具，单位价值不超过500万元的，</w:t>
          </w:r>
          <w:r>
            <w:rPr>
              <w:rFonts w:hint="eastAsia"/>
              <w:bCs w:val="0"/>
              <w:color w:val="000000" w:themeColor="text1"/>
            </w:rPr>
            <w:t>允许一次性计入当期成本费用在计算应纳税所得额时扣除，不再分年度计算折旧。</w:t>
          </w:r>
        </w:p>
        <w:p w:rsidR="00597370" w:rsidRDefault="003C2EEE">
          <w:pPr>
            <w:pStyle w:val="Style175"/>
            <w:ind w:firstLine="420"/>
          </w:pPr>
          <w:r>
            <w:t>(4) 根据《财政部、税务总局关于先进制造企业增值税加计抵减政策的公告》（公告 2023 年第 43 号）规定，自 2023 年 1月 1 日至 2027 年 12 月 31 日，允许先进制造企业按照当</w:t>
          </w:r>
          <w:r>
            <w:lastRenderedPageBreak/>
            <w:t>期可抵扣进项税额加计5%抵减应纳增值税税额。上述先进制造企业是指高新技术企业中的制造业一般纳税人，高新技术企业是指按照《科技部、财政部、国家税务总局关于修订印发〈高新技术企业认定管理办法〉的通知》（国科发火〔2016〕 32 号）规定认定的高新技术企业。先进制造业企业具体名单，由各省、自治区、直辖市、计划单列</w:t>
          </w:r>
          <w:r>
            <w:rPr>
              <w:rFonts w:hint="eastAsia"/>
            </w:rPr>
            <w:t>市工业和信息化部门会同同级科技、财政、税务部门确定。根据相关规定，本公司按照当期可抵扣进项税额加计</w:t>
          </w:r>
          <w:r>
            <w:t xml:space="preserve"> 5%抵减应纳增值税税额。</w:t>
          </w:r>
        </w:p>
      </w:sdtContent>
    </w:sdt>
    <w:p w:rsidR="00597370" w:rsidRDefault="003C2EEE">
      <w:pPr>
        <w:pStyle w:val="Style109"/>
        <w:numPr>
          <w:ilvl w:val="0"/>
          <w:numId w:val="45"/>
        </w:numPr>
        <w:tabs>
          <w:tab w:val="left" w:pos="546"/>
        </w:tabs>
        <w:rPr>
          <w:rFonts w:ascii="宋体" w:hAnsi="宋体"/>
          <w:color w:val="000000" w:themeColor="text1"/>
        </w:rPr>
      </w:pPr>
      <w:r>
        <w:rPr>
          <w:rFonts w:ascii="宋体" w:hAnsi="宋体"/>
          <w:color w:val="000000" w:themeColor="text1"/>
        </w:rPr>
        <w:t>其他</w:t>
      </w:r>
    </w:p>
    <w:sdt>
      <w:sdtPr>
        <w:rPr>
          <w:rFonts w:hint="eastAsia"/>
          <w:color w:val="000000" w:themeColor="text1"/>
        </w:rPr>
        <w:alias w:val="是否适用：税项说明[双击切换]"/>
        <w:tag w:val="_GBC_566ef0a7141a4b2ca002ad8d0663c462"/>
        <w:id w:val="1464884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合并财务报表项目注释</w:t>
      </w:r>
    </w:p>
    <w:p w:rsidR="00597370" w:rsidRDefault="003C2EEE">
      <w:pPr>
        <w:pStyle w:val="Style109"/>
        <w:numPr>
          <w:ilvl w:val="0"/>
          <w:numId w:val="46"/>
        </w:numPr>
        <w:rPr>
          <w:color w:val="000000" w:themeColor="text1"/>
          <w:szCs w:val="21"/>
        </w:rPr>
      </w:pPr>
      <w:bookmarkStart w:id="152" w:name="_Hlk167884561"/>
      <w:r>
        <w:rPr>
          <w:color w:val="000000" w:themeColor="text1"/>
          <w:szCs w:val="21"/>
        </w:rPr>
        <w:t>货币资金</w:t>
      </w:r>
    </w:p>
    <w:sdt>
      <w:sdtPr>
        <w:rPr>
          <w:rFonts w:hint="eastAsia"/>
          <w:color w:val="000000" w:themeColor="text1"/>
        </w:rPr>
        <w:alias w:val="是否适用：货币资金[双击切换]"/>
        <w:tag w:val="_GBC_5f3519836df54c60a57659bf8a9d755e"/>
        <w:id w:val="-776094856"/>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√适用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货币资金"/>
          <w:tag w:val="_GBC_fbefd7cb6bcc4b278e8eafe562f64817"/>
          <w:id w:val="12285779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货币资金"/>
          <w:tag w:val="_GBC_c76577cdfdc64a9abb84903fd74497a4"/>
          <w:id w:val="-12942100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216"/>
        <w:gridCol w:w="3291"/>
        <w:gridCol w:w="3316"/>
      </w:tblGrid>
      <w:tr w:rsidR="00597370">
        <w:trPr>
          <w:cantSplit/>
          <w:trHeight w:val="397"/>
          <w:jc w:val="center"/>
        </w:trPr>
        <w:sdt>
          <w:sdtPr>
            <w:rPr>
              <w:color w:val="000000" w:themeColor="text1"/>
            </w:rPr>
            <w:tag w:val="_PLD_c298b96ff42b4ec08ce0bc2e7ff09d9d"/>
            <w:id w:val="1681548821"/>
          </w:sdtPr>
          <w:sdtEndPr/>
          <w:sdtContent>
            <w:tc>
              <w:tcPr>
                <w:tcW w:w="1256" w:type="pct"/>
                <w:shd w:val="clear" w:color="auto" w:fill="auto"/>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rPr>
              <w:color w:val="000000" w:themeColor="text1"/>
            </w:rPr>
            <w:tag w:val="_PLD_410d387a5f404c958f8ba18c816ca023"/>
            <w:id w:val="-1912540208"/>
          </w:sdtPr>
          <w:sdtEndPr/>
          <w:sdtContent>
            <w:tc>
              <w:tcPr>
                <w:tcW w:w="1865" w:type="pct"/>
                <w:shd w:val="clear" w:color="auto" w:fill="auto"/>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rPr>
              <w:color w:val="000000" w:themeColor="text1"/>
            </w:rPr>
            <w:tag w:val="_PLD_04102c94e9134fa683ae3d0eac53465c"/>
            <w:id w:val="-614139390"/>
          </w:sdtPr>
          <w:sdtEndPr/>
          <w:sdtContent>
            <w:tc>
              <w:tcPr>
                <w:tcW w:w="1879" w:type="pct"/>
                <w:shd w:val="clear" w:color="auto" w:fill="auto"/>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597370">
        <w:trPr>
          <w:cantSplit/>
          <w:trHeight w:val="397"/>
          <w:jc w:val="center"/>
        </w:trPr>
        <w:tc>
          <w:tcPr>
            <w:tcW w:w="1256" w:type="pct"/>
            <w:shd w:val="clear" w:color="auto" w:fill="auto"/>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库存现金</w:t>
            </w:r>
          </w:p>
        </w:tc>
        <w:tc>
          <w:tcPr>
            <w:tcW w:w="1865" w:type="pct"/>
            <w:shd w:val="clear" w:color="auto" w:fill="auto"/>
            <w:vAlign w:val="bottom"/>
          </w:tcPr>
          <w:p w:rsidR="00597370" w:rsidRDefault="003C2EEE">
            <w:pPr>
              <w:autoSpaceDE w:val="0"/>
              <w:autoSpaceDN w:val="0"/>
              <w:adjustRightInd w:val="0"/>
              <w:snapToGrid w:val="0"/>
              <w:spacing w:line="240" w:lineRule="atLeast"/>
              <w:jc w:val="right"/>
            </w:pPr>
            <w:r>
              <w:rPr>
                <w:rFonts w:hint="eastAsia"/>
                <w:color w:val="000000"/>
              </w:rPr>
              <w:t xml:space="preserve"> 31,274.30 </w:t>
            </w:r>
          </w:p>
        </w:tc>
        <w:tc>
          <w:tcPr>
            <w:tcW w:w="1879" w:type="pct"/>
            <w:shd w:val="clear" w:color="auto" w:fill="auto"/>
            <w:vAlign w:val="bottom"/>
          </w:tcPr>
          <w:p w:rsidR="00597370" w:rsidRDefault="003C2EEE">
            <w:pPr>
              <w:autoSpaceDE w:val="0"/>
              <w:autoSpaceDN w:val="0"/>
              <w:adjustRightInd w:val="0"/>
              <w:snapToGrid w:val="0"/>
              <w:spacing w:line="240" w:lineRule="atLeast"/>
              <w:jc w:val="right"/>
            </w:pPr>
            <w:r>
              <w:t>64,324.30</w:t>
            </w:r>
          </w:p>
        </w:tc>
      </w:tr>
      <w:tr w:rsidR="00597370">
        <w:trPr>
          <w:cantSplit/>
          <w:trHeight w:val="397"/>
          <w:jc w:val="center"/>
        </w:trPr>
        <w:tc>
          <w:tcPr>
            <w:tcW w:w="1256" w:type="pct"/>
            <w:shd w:val="clear" w:color="auto" w:fill="auto"/>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银行存款</w:t>
            </w:r>
          </w:p>
        </w:tc>
        <w:tc>
          <w:tcPr>
            <w:tcW w:w="1865" w:type="pct"/>
            <w:shd w:val="clear" w:color="auto" w:fill="auto"/>
            <w:vAlign w:val="bottom"/>
          </w:tcPr>
          <w:p w:rsidR="00597370" w:rsidRDefault="003C2EEE">
            <w:pPr>
              <w:autoSpaceDE w:val="0"/>
              <w:autoSpaceDN w:val="0"/>
              <w:adjustRightInd w:val="0"/>
              <w:snapToGrid w:val="0"/>
              <w:spacing w:line="240" w:lineRule="atLeast"/>
              <w:jc w:val="right"/>
            </w:pPr>
            <w:r>
              <w:rPr>
                <w:rFonts w:hint="eastAsia"/>
                <w:color w:val="000000"/>
              </w:rPr>
              <w:t xml:space="preserve"> 882,704,779.50 </w:t>
            </w:r>
          </w:p>
        </w:tc>
        <w:tc>
          <w:tcPr>
            <w:tcW w:w="1879" w:type="pct"/>
            <w:shd w:val="clear" w:color="auto" w:fill="auto"/>
            <w:vAlign w:val="bottom"/>
          </w:tcPr>
          <w:p w:rsidR="00597370" w:rsidRDefault="003C2EEE">
            <w:pPr>
              <w:autoSpaceDE w:val="0"/>
              <w:autoSpaceDN w:val="0"/>
              <w:adjustRightInd w:val="0"/>
              <w:snapToGrid w:val="0"/>
              <w:spacing w:line="240" w:lineRule="atLeast"/>
              <w:jc w:val="right"/>
            </w:pPr>
            <w:r>
              <w:t>1,226,578,330.90</w:t>
            </w:r>
          </w:p>
        </w:tc>
      </w:tr>
      <w:tr w:rsidR="00597370">
        <w:trPr>
          <w:cantSplit/>
          <w:trHeight w:val="397"/>
          <w:jc w:val="center"/>
        </w:trPr>
        <w:tc>
          <w:tcPr>
            <w:tcW w:w="1256" w:type="pct"/>
            <w:shd w:val="clear" w:color="auto" w:fill="auto"/>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其他货币资金</w:t>
            </w:r>
          </w:p>
        </w:tc>
        <w:tc>
          <w:tcPr>
            <w:tcW w:w="1865" w:type="pct"/>
            <w:shd w:val="clear" w:color="auto" w:fill="auto"/>
            <w:vAlign w:val="bottom"/>
          </w:tcPr>
          <w:p w:rsidR="00597370" w:rsidRDefault="003C2EEE">
            <w:pPr>
              <w:autoSpaceDE w:val="0"/>
              <w:autoSpaceDN w:val="0"/>
              <w:adjustRightInd w:val="0"/>
              <w:snapToGrid w:val="0"/>
              <w:spacing w:line="240" w:lineRule="atLeast"/>
              <w:jc w:val="right"/>
            </w:pPr>
            <w:r>
              <w:rPr>
                <w:rFonts w:hint="eastAsia"/>
                <w:color w:val="000000"/>
              </w:rPr>
              <w:t xml:space="preserve"> 136,838,653.26 </w:t>
            </w:r>
          </w:p>
        </w:tc>
        <w:tc>
          <w:tcPr>
            <w:tcW w:w="1879" w:type="pct"/>
            <w:shd w:val="clear" w:color="auto" w:fill="auto"/>
            <w:vAlign w:val="bottom"/>
          </w:tcPr>
          <w:p w:rsidR="00597370" w:rsidRDefault="003C2EEE">
            <w:pPr>
              <w:autoSpaceDE w:val="0"/>
              <w:autoSpaceDN w:val="0"/>
              <w:adjustRightInd w:val="0"/>
              <w:snapToGrid w:val="0"/>
              <w:spacing w:line="240" w:lineRule="atLeast"/>
              <w:jc w:val="right"/>
            </w:pPr>
            <w:r>
              <w:t>146,492,485.38</w:t>
            </w:r>
          </w:p>
        </w:tc>
      </w:tr>
      <w:tr w:rsidR="00597370">
        <w:trPr>
          <w:cantSplit/>
          <w:trHeight w:val="397"/>
          <w:jc w:val="center"/>
        </w:trPr>
        <w:tc>
          <w:tcPr>
            <w:tcW w:w="1256" w:type="pct"/>
            <w:shd w:val="clear" w:color="auto" w:fill="auto"/>
            <w:vAlign w:val="center"/>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合计</w:t>
            </w:r>
          </w:p>
        </w:tc>
        <w:tc>
          <w:tcPr>
            <w:tcW w:w="1865" w:type="pct"/>
            <w:shd w:val="clear" w:color="auto" w:fill="auto"/>
            <w:vAlign w:val="bottom"/>
          </w:tcPr>
          <w:p w:rsidR="00597370" w:rsidRDefault="003C2EEE">
            <w:pPr>
              <w:autoSpaceDE w:val="0"/>
              <w:autoSpaceDN w:val="0"/>
              <w:adjustRightInd w:val="0"/>
              <w:snapToGrid w:val="0"/>
              <w:spacing w:line="240" w:lineRule="atLeast"/>
              <w:jc w:val="right"/>
            </w:pPr>
            <w:r>
              <w:t>1,019,574,707.06</w:t>
            </w:r>
          </w:p>
        </w:tc>
        <w:tc>
          <w:tcPr>
            <w:tcW w:w="1879" w:type="pct"/>
            <w:shd w:val="clear" w:color="auto" w:fill="auto"/>
            <w:vAlign w:val="bottom"/>
          </w:tcPr>
          <w:p w:rsidR="00597370" w:rsidRDefault="003C2EEE">
            <w:pPr>
              <w:autoSpaceDE w:val="0"/>
              <w:autoSpaceDN w:val="0"/>
              <w:adjustRightInd w:val="0"/>
              <w:snapToGrid w:val="0"/>
              <w:spacing w:line="240" w:lineRule="atLeast"/>
              <w:jc w:val="right"/>
            </w:pPr>
            <w:r>
              <w:t>1,373,135,140.58</w:t>
            </w: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其他说明</w:t>
      </w:r>
    </w:p>
    <w:sdt>
      <w:sdtPr>
        <w:rPr>
          <w:color w:val="000000" w:themeColor="text1"/>
        </w:rPr>
        <w:alias w:val="货币资金的说明"/>
        <w:tag w:val="_GBC_2938fcf8616141aca7cb2bc277476b5d"/>
        <w:id w:val="-2127694710"/>
        <w:placeholder>
          <w:docPart w:val="GBC22222222222222222222222222222"/>
        </w:placeholder>
      </w:sdtPr>
      <w:sdtEndPr/>
      <w:sdtContent>
        <w:p w:rsidR="00597370" w:rsidRDefault="003C2EEE">
          <w:pPr>
            <w:rPr>
              <w:color w:val="000000" w:themeColor="text1"/>
            </w:rPr>
          </w:pPr>
          <w:r>
            <w:rPr>
              <w:rFonts w:hint="eastAsia"/>
              <w:color w:val="000000" w:themeColor="text1"/>
            </w:rPr>
            <w:t>其中受限资产明细如下：</w:t>
          </w:r>
        </w:p>
        <w:tbl>
          <w:tblPr>
            <w:tblStyle w:val="g3"/>
            <w:tblW w:w="5000" w:type="pct"/>
            <w:jc w:val="center"/>
            <w:tblLayout w:type="fixed"/>
            <w:tblCellMar>
              <w:left w:w="0" w:type="dxa"/>
              <w:right w:w="28" w:type="dxa"/>
            </w:tblCellMar>
            <w:tblLook w:val="04A0" w:firstRow="1" w:lastRow="0" w:firstColumn="1" w:lastColumn="0" w:noHBand="0" w:noVBand="1"/>
          </w:tblPr>
          <w:tblGrid>
            <w:gridCol w:w="2941"/>
            <w:gridCol w:w="2941"/>
            <w:gridCol w:w="2941"/>
          </w:tblGrid>
          <w:tr w:rsidR="00597370">
            <w:trPr>
              <w:trHeight w:val="397"/>
              <w:jc w:val="center"/>
            </w:trPr>
            <w:tc>
              <w:tcPr>
                <w:tcW w:w="2941" w:type="dxa"/>
                <w:vAlign w:val="center"/>
              </w:tcPr>
              <w:p w:rsidR="00597370" w:rsidRDefault="003C2EEE">
                <w:pPr>
                  <w:jc w:val="center"/>
                  <w:rPr>
                    <w:rFonts w:ascii="Times New Roman" w:hAnsi="Times New Roman"/>
                    <w:color w:val="000000" w:themeColor="text1"/>
                  </w:rPr>
                </w:pPr>
                <w:r>
                  <w:rPr>
                    <w:rFonts w:ascii="Times New Roman" w:eastAsiaTheme="minorEastAsia" w:hAnsi="Times New Roman" w:hint="eastAsia"/>
                  </w:rPr>
                  <w:t>项目</w:t>
                </w:r>
              </w:p>
            </w:tc>
            <w:tc>
              <w:tcPr>
                <w:tcW w:w="2941" w:type="dxa"/>
                <w:vAlign w:val="center"/>
              </w:tcPr>
              <w:p w:rsidR="00597370" w:rsidRDefault="003C2EEE">
                <w:pPr>
                  <w:jc w:val="center"/>
                  <w:rPr>
                    <w:rFonts w:ascii="Times New Roman" w:hAnsi="Times New Roman"/>
                    <w:color w:val="000000" w:themeColor="text1"/>
                  </w:rPr>
                </w:pPr>
                <w:r>
                  <w:rPr>
                    <w:rFonts w:ascii="Times New Roman" w:eastAsiaTheme="minorEastAsia" w:hAnsi="Times New Roman" w:hint="eastAsia"/>
                  </w:rPr>
                  <w:t>期末余额</w:t>
                </w:r>
              </w:p>
            </w:tc>
            <w:tc>
              <w:tcPr>
                <w:tcW w:w="2941" w:type="dxa"/>
                <w:vAlign w:val="center"/>
              </w:tcPr>
              <w:p w:rsidR="00597370" w:rsidRDefault="003C2EEE">
                <w:pPr>
                  <w:jc w:val="center"/>
                  <w:rPr>
                    <w:rFonts w:ascii="Times New Roman" w:hAnsi="Times New Roman"/>
                    <w:color w:val="000000" w:themeColor="text1"/>
                  </w:rPr>
                </w:pPr>
                <w:r>
                  <w:rPr>
                    <w:rFonts w:ascii="Times New Roman" w:eastAsiaTheme="minorEastAsia" w:hAnsi="Times New Roman" w:hint="eastAsia"/>
                  </w:rPr>
                  <w:t>期初余额</w:t>
                </w:r>
              </w:p>
            </w:tc>
          </w:tr>
          <w:tr w:rsidR="00597370">
            <w:trPr>
              <w:trHeight w:val="397"/>
              <w:jc w:val="center"/>
            </w:trPr>
            <w:tc>
              <w:tcPr>
                <w:tcW w:w="2941" w:type="dxa"/>
                <w:vAlign w:val="center"/>
              </w:tcPr>
              <w:p w:rsidR="00597370" w:rsidRDefault="003C2EEE">
                <w:pPr>
                  <w:rPr>
                    <w:rFonts w:ascii="Times New Roman" w:hAnsi="Times New Roman"/>
                    <w:color w:val="000000" w:themeColor="text1"/>
                  </w:rPr>
                </w:pPr>
                <w:r>
                  <w:rPr>
                    <w:rFonts w:ascii="Times New Roman" w:eastAsiaTheme="minorEastAsia" w:hAnsi="Times New Roman" w:hint="eastAsia"/>
                  </w:rPr>
                  <w:t>银行承兑汇票保证金</w:t>
                </w:r>
              </w:p>
            </w:tc>
            <w:tc>
              <w:tcPr>
                <w:tcW w:w="2941" w:type="dxa"/>
                <w:vAlign w:val="center"/>
              </w:tcPr>
              <w:p w:rsidR="00597370" w:rsidRDefault="003C2EEE">
                <w:pPr>
                  <w:jc w:val="right"/>
                  <w:rPr>
                    <w:rFonts w:asciiTheme="majorEastAsia" w:eastAsiaTheme="majorEastAsia" w:hAnsiTheme="majorEastAsia"/>
                    <w:color w:val="000000" w:themeColor="text1"/>
                  </w:rPr>
                </w:pPr>
                <w:r>
                  <w:rPr>
                    <w:rFonts w:asciiTheme="majorEastAsia" w:eastAsiaTheme="majorEastAsia" w:hAnsiTheme="majorEastAsia" w:hint="eastAsia"/>
                    <w:color w:val="000000"/>
                  </w:rPr>
                  <w:t xml:space="preserve"> 102,395,760.80 </w:t>
                </w:r>
              </w:p>
            </w:tc>
            <w:tc>
              <w:tcPr>
                <w:tcW w:w="2941" w:type="dxa"/>
                <w:vAlign w:val="center"/>
              </w:tcPr>
              <w:p w:rsidR="00597370" w:rsidRDefault="003C2EEE">
                <w:pPr>
                  <w:jc w:val="right"/>
                  <w:rPr>
                    <w:rFonts w:asciiTheme="majorEastAsia" w:eastAsiaTheme="majorEastAsia" w:hAnsiTheme="majorEastAsia"/>
                    <w:color w:val="000000" w:themeColor="text1"/>
                  </w:rPr>
                </w:pPr>
                <w:r>
                  <w:rPr>
                    <w:rFonts w:asciiTheme="majorEastAsia" w:eastAsiaTheme="majorEastAsia" w:hAnsiTheme="majorEastAsia"/>
                  </w:rPr>
                  <w:t>122,615,598.69</w:t>
                </w:r>
              </w:p>
            </w:tc>
          </w:tr>
          <w:tr w:rsidR="00597370">
            <w:trPr>
              <w:trHeight w:val="397"/>
              <w:jc w:val="center"/>
            </w:trPr>
            <w:tc>
              <w:tcPr>
                <w:tcW w:w="2941" w:type="dxa"/>
                <w:vAlign w:val="center"/>
              </w:tcPr>
              <w:p w:rsidR="00597370" w:rsidRDefault="003C2EEE">
                <w:pPr>
                  <w:rPr>
                    <w:rFonts w:ascii="Times New Roman" w:hAnsi="Times New Roman"/>
                    <w:color w:val="000000" w:themeColor="text1"/>
                  </w:rPr>
                </w:pPr>
                <w:r>
                  <w:rPr>
                    <w:rFonts w:ascii="Times New Roman" w:eastAsiaTheme="minorEastAsia" w:hAnsi="Times New Roman" w:hint="eastAsia"/>
                  </w:rPr>
                  <w:t>保函保证金</w:t>
                </w:r>
              </w:p>
            </w:tc>
            <w:tc>
              <w:tcPr>
                <w:tcW w:w="2941" w:type="dxa"/>
                <w:vAlign w:val="center"/>
              </w:tcPr>
              <w:p w:rsidR="00597370" w:rsidRDefault="003C2EEE">
                <w:pPr>
                  <w:jc w:val="right"/>
                  <w:rPr>
                    <w:rFonts w:asciiTheme="majorEastAsia" w:eastAsiaTheme="majorEastAsia" w:hAnsiTheme="majorEastAsia"/>
                    <w:color w:val="000000" w:themeColor="text1"/>
                  </w:rPr>
                </w:pPr>
                <w:r>
                  <w:rPr>
                    <w:rFonts w:asciiTheme="majorEastAsia" w:eastAsiaTheme="majorEastAsia" w:hAnsiTheme="majorEastAsia" w:hint="eastAsia"/>
                    <w:color w:val="000000"/>
                  </w:rPr>
                  <w:t xml:space="preserve"> 22,371,155.05 </w:t>
                </w:r>
              </w:p>
            </w:tc>
            <w:tc>
              <w:tcPr>
                <w:tcW w:w="2941" w:type="dxa"/>
                <w:vAlign w:val="center"/>
              </w:tcPr>
              <w:p w:rsidR="00597370" w:rsidRDefault="003C2EEE">
                <w:pPr>
                  <w:jc w:val="right"/>
                  <w:rPr>
                    <w:rFonts w:asciiTheme="majorEastAsia" w:eastAsiaTheme="majorEastAsia" w:hAnsiTheme="majorEastAsia"/>
                    <w:color w:val="000000" w:themeColor="text1"/>
                  </w:rPr>
                </w:pPr>
                <w:r>
                  <w:rPr>
                    <w:rFonts w:asciiTheme="majorEastAsia" w:eastAsiaTheme="majorEastAsia" w:hAnsiTheme="majorEastAsia"/>
                  </w:rPr>
                  <w:t>11,807,177.26</w:t>
                </w:r>
              </w:p>
            </w:tc>
          </w:tr>
          <w:tr w:rsidR="00597370">
            <w:trPr>
              <w:trHeight w:val="397"/>
              <w:jc w:val="center"/>
            </w:trPr>
            <w:tc>
              <w:tcPr>
                <w:tcW w:w="2941" w:type="dxa"/>
                <w:vAlign w:val="center"/>
              </w:tcPr>
              <w:p w:rsidR="00597370" w:rsidRDefault="003C2EEE">
                <w:pPr>
                  <w:rPr>
                    <w:rFonts w:ascii="Times New Roman" w:hAnsi="Times New Roman"/>
                    <w:color w:val="000000" w:themeColor="text1"/>
                  </w:rPr>
                </w:pPr>
                <w:r>
                  <w:rPr>
                    <w:rFonts w:ascii="Times New Roman" w:eastAsiaTheme="minorEastAsia" w:hAnsi="Times New Roman" w:hint="eastAsia"/>
                  </w:rPr>
                  <w:t>信用证保证金</w:t>
                </w:r>
              </w:p>
            </w:tc>
            <w:tc>
              <w:tcPr>
                <w:tcW w:w="2941" w:type="dxa"/>
                <w:vAlign w:val="center"/>
              </w:tcPr>
              <w:p w:rsidR="00597370" w:rsidRDefault="003C2EEE">
                <w:pPr>
                  <w:jc w:val="right"/>
                  <w:rPr>
                    <w:rFonts w:asciiTheme="majorEastAsia" w:eastAsiaTheme="majorEastAsia" w:hAnsiTheme="majorEastAsia"/>
                    <w:color w:val="000000" w:themeColor="text1"/>
                  </w:rPr>
                </w:pPr>
                <w:r>
                  <w:rPr>
                    <w:rFonts w:asciiTheme="majorEastAsia" w:eastAsiaTheme="majorEastAsia" w:hAnsiTheme="majorEastAsia" w:hint="eastAsia"/>
                    <w:color w:val="000000"/>
                  </w:rPr>
                  <w:t xml:space="preserve"> 12,069,709.43 </w:t>
                </w:r>
              </w:p>
            </w:tc>
            <w:tc>
              <w:tcPr>
                <w:tcW w:w="2941" w:type="dxa"/>
                <w:vAlign w:val="center"/>
              </w:tcPr>
              <w:p w:rsidR="00597370" w:rsidRDefault="003C2EEE">
                <w:pPr>
                  <w:jc w:val="right"/>
                  <w:rPr>
                    <w:rFonts w:asciiTheme="majorEastAsia" w:eastAsiaTheme="majorEastAsia" w:hAnsiTheme="majorEastAsia"/>
                    <w:color w:val="000000" w:themeColor="text1"/>
                  </w:rPr>
                </w:pPr>
                <w:r>
                  <w:rPr>
                    <w:rFonts w:asciiTheme="majorEastAsia" w:eastAsiaTheme="majorEastAsia" w:hAnsiTheme="majorEastAsia"/>
                  </w:rPr>
                  <w:t>12,069,709.43</w:t>
                </w:r>
              </w:p>
            </w:tc>
          </w:tr>
          <w:tr w:rsidR="00597370">
            <w:trPr>
              <w:trHeight w:val="397"/>
              <w:jc w:val="center"/>
            </w:trPr>
            <w:tc>
              <w:tcPr>
                <w:tcW w:w="2941" w:type="dxa"/>
                <w:vAlign w:val="center"/>
              </w:tcPr>
              <w:p w:rsidR="00597370" w:rsidRDefault="003C2EEE">
                <w:pPr>
                  <w:rPr>
                    <w:rFonts w:ascii="Times New Roman" w:hAnsi="Times New Roman"/>
                    <w:color w:val="000000" w:themeColor="text1"/>
                  </w:rPr>
                </w:pPr>
                <w:r>
                  <w:rPr>
                    <w:rFonts w:ascii="Times New Roman" w:eastAsiaTheme="minorEastAsia" w:hAnsi="Times New Roman" w:hint="eastAsia"/>
                  </w:rPr>
                  <w:t>合计</w:t>
                </w:r>
              </w:p>
            </w:tc>
            <w:tc>
              <w:tcPr>
                <w:tcW w:w="2941" w:type="dxa"/>
                <w:vAlign w:val="center"/>
              </w:tcPr>
              <w:p w:rsidR="00597370" w:rsidRDefault="003C2EEE">
                <w:pPr>
                  <w:jc w:val="right"/>
                  <w:rPr>
                    <w:rFonts w:asciiTheme="majorEastAsia" w:eastAsiaTheme="majorEastAsia" w:hAnsiTheme="majorEastAsia"/>
                    <w:color w:val="000000" w:themeColor="text1"/>
                  </w:rPr>
                </w:pPr>
                <w:r>
                  <w:rPr>
                    <w:rFonts w:asciiTheme="majorEastAsia" w:eastAsiaTheme="majorEastAsia" w:hAnsiTheme="majorEastAsia"/>
                    <w:color w:val="000000" w:themeColor="text1"/>
                  </w:rPr>
                  <w:t>136,836,625.28</w:t>
                </w:r>
              </w:p>
            </w:tc>
            <w:tc>
              <w:tcPr>
                <w:tcW w:w="2941" w:type="dxa"/>
                <w:vAlign w:val="center"/>
              </w:tcPr>
              <w:p w:rsidR="00597370" w:rsidRDefault="003C2EEE">
                <w:pPr>
                  <w:jc w:val="right"/>
                  <w:rPr>
                    <w:rFonts w:asciiTheme="majorEastAsia" w:eastAsiaTheme="majorEastAsia" w:hAnsiTheme="majorEastAsia"/>
                    <w:color w:val="000000" w:themeColor="text1"/>
                  </w:rPr>
                </w:pPr>
                <w:r>
                  <w:rPr>
                    <w:rFonts w:asciiTheme="majorEastAsia" w:eastAsiaTheme="majorEastAsia" w:hAnsiTheme="majorEastAsia"/>
                  </w:rPr>
                  <w:t>146,492,485.38</w:t>
                </w:r>
              </w:p>
            </w:tc>
          </w:tr>
        </w:tbl>
        <w:p w:rsidR="00597370" w:rsidRDefault="006840ED">
          <w:pPr>
            <w:rPr>
              <w:color w:val="000000" w:themeColor="text1"/>
            </w:rPr>
          </w:pPr>
        </w:p>
      </w:sdtContent>
    </w:sdt>
    <w:p w:rsidR="00597370" w:rsidRDefault="003C2EEE">
      <w:pPr>
        <w:pStyle w:val="Style109"/>
        <w:numPr>
          <w:ilvl w:val="0"/>
          <w:numId w:val="46"/>
        </w:numPr>
        <w:rPr>
          <w:color w:val="000000" w:themeColor="text1"/>
          <w:szCs w:val="21"/>
        </w:rPr>
      </w:pPr>
      <w:bookmarkStart w:id="153" w:name="_Hlk167884670"/>
      <w:bookmarkEnd w:id="152"/>
      <w:r>
        <w:rPr>
          <w:rFonts w:hint="eastAsia"/>
          <w:color w:val="000000" w:themeColor="text1"/>
          <w:szCs w:val="21"/>
        </w:rPr>
        <w:t>交易性金融资产</w:t>
      </w:r>
    </w:p>
    <w:sdt>
      <w:sdtPr>
        <w:rPr>
          <w:color w:val="000000" w:themeColor="text1"/>
        </w:rPr>
        <w:alias w:val="是否适用：交易性金融资产[双击切换]"/>
        <w:tag w:val="_GBC_814e9c37d6a143e79b3faaee7ef0a917"/>
        <w:id w:val="-109377760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53"/>
    <w:p w:rsidR="00597370" w:rsidRDefault="003C2EEE">
      <w:pPr>
        <w:pStyle w:val="Style109"/>
        <w:numPr>
          <w:ilvl w:val="0"/>
          <w:numId w:val="46"/>
        </w:numPr>
        <w:rPr>
          <w:rFonts w:ascii="宋体" w:hAnsi="宋体"/>
          <w:color w:val="000000" w:themeColor="text1"/>
          <w:szCs w:val="21"/>
        </w:rPr>
      </w:pPr>
      <w:r>
        <w:rPr>
          <w:rFonts w:ascii="宋体" w:hAnsi="宋体" w:hint="eastAsia"/>
          <w:color w:val="000000" w:themeColor="text1"/>
          <w:szCs w:val="21"/>
        </w:rPr>
        <w:t>衍生金融资产</w:t>
      </w:r>
    </w:p>
    <w:sdt>
      <w:sdtPr>
        <w:rPr>
          <w:color w:val="000000" w:themeColor="text1"/>
        </w:rPr>
        <w:alias w:val="是否适用：衍生金融资产[双击切换]"/>
        <w:tag w:val="_GBC_7f1559f8ac9a442b81c5479563d9e8bb"/>
        <w:id w:val="-109354989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rPr>
          <w:rFonts w:ascii="宋体" w:hAnsi="宋体"/>
          <w:color w:val="000000" w:themeColor="text1"/>
        </w:rPr>
      </w:pPr>
      <w:r>
        <w:rPr>
          <w:rFonts w:ascii="宋体" w:hAnsi="宋体" w:hint="eastAsia"/>
          <w:color w:val="000000" w:themeColor="text1"/>
        </w:rPr>
        <w:t>应收票据</w:t>
      </w:r>
    </w:p>
    <w:p w:rsidR="00597370" w:rsidRDefault="003C2EEE">
      <w:pPr>
        <w:pStyle w:val="Style110"/>
        <w:numPr>
          <w:ilvl w:val="3"/>
          <w:numId w:val="47"/>
        </w:numPr>
        <w:rPr>
          <w:rFonts w:ascii="宋体" w:hAnsi="宋体"/>
          <w:color w:val="000000" w:themeColor="text1"/>
        </w:rPr>
      </w:pPr>
      <w:r>
        <w:rPr>
          <w:rFonts w:ascii="宋体" w:hAnsi="宋体" w:hint="eastAsia"/>
          <w:color w:val="000000" w:themeColor="text1"/>
        </w:rPr>
        <w:t>应收票据分类列示</w:t>
      </w:r>
    </w:p>
    <w:sdt>
      <w:sdtPr>
        <w:rPr>
          <w:color w:val="000000" w:themeColor="text1"/>
        </w:rPr>
        <w:alias w:val="是否适用：应收票据分类列示[双击切换]"/>
        <w:tag w:val="_GBC_3c32a2809ab3476a93b88a8155fb0be8"/>
        <w:id w:val="67207425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应收票据分类"/>
          <w:tag w:val="_GBC_21d6ba5a9ccb41d7aee707ba343741db"/>
          <w:id w:val="-6050430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应收票据分类"/>
          <w:tag w:val="_GBC_08bc82a26735413f8516c3d080579822"/>
          <w:id w:val="5565893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41"/>
        <w:gridCol w:w="3122"/>
        <w:gridCol w:w="2871"/>
      </w:tblGrid>
      <w:tr w:rsidR="00597370">
        <w:trPr>
          <w:cantSplit/>
        </w:trPr>
        <w:sdt>
          <w:sdtPr>
            <w:rPr>
              <w:color w:val="000000" w:themeColor="text1"/>
            </w:rPr>
            <w:tag w:val="_PLD_a48e9b652e5b48b08b05dc5f5dba5744"/>
            <w:id w:val="1270272248"/>
          </w:sdtPr>
          <w:sdtEndPr/>
          <w:sdtContent>
            <w:tc>
              <w:tcPr>
                <w:tcW w:w="1646"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rPr>
              <w:color w:val="000000" w:themeColor="text1"/>
            </w:rPr>
            <w:tag w:val="_PLD_c6664062fcf84681af8b24fee4722ae5"/>
            <w:id w:val="780459386"/>
          </w:sdtPr>
          <w:sdtEndPr/>
          <w:sdtContent>
            <w:tc>
              <w:tcPr>
                <w:tcW w:w="1747"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rPr>
              <w:color w:val="000000" w:themeColor="text1"/>
            </w:rPr>
            <w:tag w:val="_PLD_7d93c99ec70e48ac985c37b2b3046178"/>
            <w:id w:val="-252433267"/>
          </w:sdtPr>
          <w:sdtEndPr/>
          <w:sdtContent>
            <w:tc>
              <w:tcPr>
                <w:tcW w:w="1607"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597370">
        <w:trPr>
          <w:cantSplit/>
        </w:trPr>
        <w:tc>
          <w:tcPr>
            <w:tcW w:w="1646" w:type="pct"/>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银行承兑票据</w:t>
            </w:r>
          </w:p>
        </w:tc>
        <w:tc>
          <w:tcPr>
            <w:tcW w:w="1747" w:type="pct"/>
          </w:tcPr>
          <w:p w:rsidR="00597370" w:rsidRDefault="003C2EEE">
            <w:pPr>
              <w:ind w:right="13"/>
              <w:jc w:val="right"/>
            </w:pPr>
            <w:r>
              <w:rPr>
                <w:rFonts w:hint="eastAsia"/>
                <w:color w:val="000000"/>
              </w:rPr>
              <w:t xml:space="preserve"> 174,748,092.03 </w:t>
            </w:r>
          </w:p>
        </w:tc>
        <w:tc>
          <w:tcPr>
            <w:tcW w:w="1607" w:type="pct"/>
            <w:vAlign w:val="center"/>
          </w:tcPr>
          <w:p w:rsidR="00597370" w:rsidRDefault="003C2EEE">
            <w:pPr>
              <w:ind w:right="13"/>
              <w:jc w:val="right"/>
            </w:pPr>
            <w:r>
              <w:t>120,343,404.82</w:t>
            </w:r>
          </w:p>
        </w:tc>
      </w:tr>
      <w:tr w:rsidR="00597370">
        <w:trPr>
          <w:cantSplit/>
        </w:trPr>
        <w:tc>
          <w:tcPr>
            <w:tcW w:w="1646" w:type="pct"/>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商业承兑票据</w:t>
            </w:r>
          </w:p>
        </w:tc>
        <w:tc>
          <w:tcPr>
            <w:tcW w:w="1747" w:type="pct"/>
          </w:tcPr>
          <w:p w:rsidR="00597370" w:rsidRDefault="003C2EEE">
            <w:pPr>
              <w:ind w:right="13"/>
              <w:jc w:val="right"/>
            </w:pPr>
            <w:r>
              <w:rPr>
                <w:rFonts w:hint="eastAsia"/>
                <w:color w:val="000000"/>
              </w:rPr>
              <w:t xml:space="preserve"> 19,897,113.15 </w:t>
            </w:r>
          </w:p>
        </w:tc>
        <w:tc>
          <w:tcPr>
            <w:tcW w:w="1607" w:type="pct"/>
            <w:vAlign w:val="center"/>
          </w:tcPr>
          <w:p w:rsidR="00597370" w:rsidRDefault="003C2EEE">
            <w:pPr>
              <w:ind w:right="13"/>
              <w:jc w:val="right"/>
            </w:pPr>
            <w:r>
              <w:t>2,154,031.05</w:t>
            </w:r>
          </w:p>
        </w:tc>
      </w:tr>
      <w:tr w:rsidR="00597370">
        <w:trPr>
          <w:cantSplit/>
        </w:trPr>
        <w:tc>
          <w:tcPr>
            <w:tcW w:w="1646"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747" w:type="pct"/>
          </w:tcPr>
          <w:p w:rsidR="00597370" w:rsidRDefault="003C2EEE">
            <w:pPr>
              <w:jc w:val="right"/>
            </w:pPr>
            <w:r>
              <w:rPr>
                <w:rFonts w:hint="eastAsia"/>
                <w:color w:val="000000"/>
              </w:rPr>
              <w:t xml:space="preserve"> 194,645,205.18 </w:t>
            </w:r>
          </w:p>
        </w:tc>
        <w:tc>
          <w:tcPr>
            <w:tcW w:w="1607" w:type="pct"/>
          </w:tcPr>
          <w:p w:rsidR="00597370" w:rsidRDefault="003C2EEE">
            <w:pPr>
              <w:autoSpaceDE w:val="0"/>
              <w:autoSpaceDN w:val="0"/>
              <w:adjustRightInd w:val="0"/>
              <w:jc w:val="right"/>
            </w:pPr>
            <w:r>
              <w:t>122,497,435.87</w:t>
            </w:r>
          </w:p>
        </w:tc>
      </w:tr>
    </w:tbl>
    <w:p w:rsidR="00597370" w:rsidRDefault="00597370">
      <w:pPr>
        <w:rPr>
          <w:color w:val="000000" w:themeColor="text1"/>
        </w:rPr>
      </w:pPr>
    </w:p>
    <w:p w:rsidR="00597370" w:rsidRDefault="003C2EEE">
      <w:pPr>
        <w:pStyle w:val="Style110"/>
        <w:numPr>
          <w:ilvl w:val="3"/>
          <w:numId w:val="47"/>
        </w:numPr>
        <w:rPr>
          <w:rFonts w:ascii="宋体" w:hAnsi="宋体"/>
          <w:color w:val="000000" w:themeColor="text1"/>
        </w:rPr>
      </w:pPr>
      <w:r>
        <w:rPr>
          <w:rFonts w:ascii="宋体" w:hAnsi="宋体" w:hint="eastAsia"/>
          <w:color w:val="000000" w:themeColor="text1"/>
        </w:rPr>
        <w:lastRenderedPageBreak/>
        <w:t>期末公司已质押的应收票据</w:t>
      </w:r>
    </w:p>
    <w:sdt>
      <w:sdtPr>
        <w:rPr>
          <w:color w:val="000000" w:themeColor="text1"/>
        </w:rPr>
        <w:alias w:val="是否适用：期末公司已质押的应收票据[双击切换]"/>
        <w:tag w:val="_GBC_3440ef2908e64e51a440106bfa389257"/>
        <w:id w:val="18951575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7"/>
        </w:numPr>
        <w:rPr>
          <w:rFonts w:ascii="宋体" w:hAnsi="宋体"/>
          <w:color w:val="000000" w:themeColor="text1"/>
        </w:rPr>
      </w:pPr>
      <w:r>
        <w:rPr>
          <w:rFonts w:ascii="宋体" w:hAnsi="宋体" w:hint="eastAsia"/>
          <w:color w:val="000000" w:themeColor="text1"/>
        </w:rPr>
        <w:t>期末公司已背书或贴现且在资产负债表日尚未到期的应收票据</w:t>
      </w:r>
    </w:p>
    <w:sdt>
      <w:sdtPr>
        <w:rPr>
          <w:color w:val="000000" w:themeColor="text1"/>
        </w:rPr>
        <w:alias w:val="是否适用：期末公司已背书或贴现且在资产负债表日尚未到期的应收票据[双击切换]"/>
        <w:tag w:val="_GBC_d04f4c30d18f498d986ce6c934ec761c"/>
        <w:id w:val="-199217456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期末公司已背书或贴现且在资产负债表日尚未到期的应收票据"/>
          <w:tag w:val="_GBC_1a006471fd2344fca1e27a6484895b0f"/>
          <w:id w:val="-2034056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期末公司已背书或贴现且在资产负债表日尚未到期的应收票据"/>
          <w:tag w:val="_GBC_394a26f35e05433d88a516241a51f5ba"/>
          <w:id w:val="16443914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2973"/>
        <w:gridCol w:w="3044"/>
      </w:tblGrid>
      <w:tr w:rsidR="00597370">
        <w:sdt>
          <w:sdtPr>
            <w:rPr>
              <w:color w:val="000000" w:themeColor="text1"/>
            </w:rPr>
            <w:tag w:val="_PLD_7f8eb653a3a24ed29cc795bb9a08fb8e"/>
            <w:id w:val="887230072"/>
          </w:sdtPr>
          <w:sdtEndPr/>
          <w:sdtContent>
            <w:tc>
              <w:tcPr>
                <w:tcW w:w="1590"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96af9fcfe145402ea8d401a1f6c0d081"/>
            <w:id w:val="1352296820"/>
          </w:sdtPr>
          <w:sdtEndPr/>
          <w:sdtContent>
            <w:tc>
              <w:tcPr>
                <w:tcW w:w="1685" w:type="pct"/>
                <w:shd w:val="clear" w:color="auto" w:fill="auto"/>
                <w:vAlign w:val="center"/>
              </w:tcPr>
              <w:p w:rsidR="00597370" w:rsidRDefault="003C2EEE">
                <w:pPr>
                  <w:jc w:val="center"/>
                  <w:rPr>
                    <w:color w:val="000000" w:themeColor="text1"/>
                  </w:rPr>
                </w:pPr>
                <w:r>
                  <w:rPr>
                    <w:rFonts w:hint="eastAsia"/>
                    <w:color w:val="000000" w:themeColor="text1"/>
                  </w:rPr>
                  <w:t>期末终止确认金额</w:t>
                </w:r>
              </w:p>
            </w:tc>
          </w:sdtContent>
        </w:sdt>
        <w:sdt>
          <w:sdtPr>
            <w:rPr>
              <w:color w:val="000000" w:themeColor="text1"/>
            </w:rPr>
            <w:tag w:val="_PLD_2efea7e570304a7e9fb54f87b3247807"/>
            <w:id w:val="-307093253"/>
          </w:sdtPr>
          <w:sdtEndPr/>
          <w:sdtContent>
            <w:tc>
              <w:tcPr>
                <w:tcW w:w="1725" w:type="pct"/>
                <w:shd w:val="clear" w:color="auto" w:fill="auto"/>
                <w:vAlign w:val="center"/>
              </w:tcPr>
              <w:p w:rsidR="00597370" w:rsidRDefault="003C2EEE">
                <w:pPr>
                  <w:jc w:val="center"/>
                  <w:rPr>
                    <w:color w:val="000000" w:themeColor="text1"/>
                  </w:rPr>
                </w:pPr>
                <w:r>
                  <w:rPr>
                    <w:rFonts w:hint="eastAsia"/>
                    <w:color w:val="000000" w:themeColor="text1"/>
                  </w:rPr>
                  <w:t>期末未终止确认金额</w:t>
                </w:r>
              </w:p>
            </w:tc>
          </w:sdtContent>
        </w:sdt>
      </w:tr>
      <w:tr w:rsidR="00597370">
        <w:tc>
          <w:tcPr>
            <w:tcW w:w="1590" w:type="pct"/>
            <w:shd w:val="clear" w:color="auto" w:fill="auto"/>
          </w:tcPr>
          <w:p w:rsidR="00597370" w:rsidRDefault="003C2EEE">
            <w:pPr>
              <w:rPr>
                <w:color w:val="000000" w:themeColor="text1"/>
              </w:rPr>
            </w:pPr>
            <w:r>
              <w:rPr>
                <w:rFonts w:hint="eastAsia"/>
                <w:color w:val="000000" w:themeColor="text1"/>
              </w:rPr>
              <w:t>银行承兑票据</w:t>
            </w:r>
          </w:p>
        </w:tc>
        <w:tc>
          <w:tcPr>
            <w:tcW w:w="1685" w:type="pct"/>
            <w:shd w:val="clear" w:color="auto" w:fill="auto"/>
          </w:tcPr>
          <w:p w:rsidR="00597370" w:rsidRDefault="00597370">
            <w:pPr>
              <w:jc w:val="right"/>
            </w:pPr>
          </w:p>
        </w:tc>
        <w:tc>
          <w:tcPr>
            <w:tcW w:w="1725" w:type="pct"/>
            <w:shd w:val="clear" w:color="auto" w:fill="auto"/>
            <w:vAlign w:val="center"/>
          </w:tcPr>
          <w:p w:rsidR="00597370" w:rsidRDefault="003C2EEE">
            <w:pPr>
              <w:jc w:val="right"/>
            </w:pPr>
            <w:r>
              <w:rPr>
                <w:rFonts w:hint="eastAsia"/>
                <w:color w:val="000000"/>
              </w:rPr>
              <w:t xml:space="preserve"> 171,919,459.30 </w:t>
            </w:r>
          </w:p>
        </w:tc>
      </w:tr>
      <w:tr w:rsidR="00597370">
        <w:tc>
          <w:tcPr>
            <w:tcW w:w="1590" w:type="pct"/>
            <w:shd w:val="clear" w:color="auto" w:fill="auto"/>
          </w:tcPr>
          <w:p w:rsidR="00597370" w:rsidRDefault="003C2EEE">
            <w:pPr>
              <w:rPr>
                <w:color w:val="000000" w:themeColor="text1"/>
              </w:rPr>
            </w:pPr>
            <w:r>
              <w:rPr>
                <w:rFonts w:hint="eastAsia"/>
                <w:color w:val="000000" w:themeColor="text1"/>
              </w:rPr>
              <w:t>商业承兑票据</w:t>
            </w:r>
          </w:p>
        </w:tc>
        <w:tc>
          <w:tcPr>
            <w:tcW w:w="1685" w:type="pct"/>
            <w:shd w:val="clear" w:color="auto" w:fill="auto"/>
          </w:tcPr>
          <w:p w:rsidR="00597370" w:rsidRDefault="00597370">
            <w:pPr>
              <w:jc w:val="right"/>
            </w:pPr>
          </w:p>
        </w:tc>
        <w:tc>
          <w:tcPr>
            <w:tcW w:w="1725" w:type="pct"/>
            <w:shd w:val="clear" w:color="auto" w:fill="auto"/>
            <w:vAlign w:val="center"/>
          </w:tcPr>
          <w:p w:rsidR="00597370" w:rsidRDefault="003C2EEE">
            <w:pPr>
              <w:jc w:val="right"/>
            </w:pPr>
            <w:r>
              <w:rPr>
                <w:rFonts w:hint="eastAsia"/>
                <w:color w:val="000000"/>
              </w:rPr>
              <w:t xml:space="preserve"> 18,289,970.81 </w:t>
            </w:r>
          </w:p>
        </w:tc>
      </w:tr>
      <w:tr w:rsidR="00597370">
        <w:tc>
          <w:tcPr>
            <w:tcW w:w="1590" w:type="pct"/>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1685" w:type="pct"/>
            <w:shd w:val="clear" w:color="auto" w:fill="auto"/>
          </w:tcPr>
          <w:p w:rsidR="00597370" w:rsidRDefault="00597370">
            <w:pPr>
              <w:jc w:val="right"/>
            </w:pPr>
          </w:p>
        </w:tc>
        <w:tc>
          <w:tcPr>
            <w:tcW w:w="1725" w:type="pct"/>
            <w:shd w:val="clear" w:color="auto" w:fill="auto"/>
          </w:tcPr>
          <w:p w:rsidR="00597370" w:rsidRDefault="003C2EEE">
            <w:pPr>
              <w:jc w:val="right"/>
            </w:pPr>
            <w:r>
              <w:t>190,209,430.11</w:t>
            </w:r>
          </w:p>
        </w:tc>
      </w:tr>
    </w:tbl>
    <w:p w:rsidR="00597370" w:rsidRDefault="00597370">
      <w:pPr>
        <w:rPr>
          <w:rFonts w:cs="Times New Roman"/>
          <w:color w:val="000000" w:themeColor="text1"/>
          <w:kern w:val="2"/>
        </w:rPr>
      </w:pPr>
    </w:p>
    <w:p w:rsidR="00597370" w:rsidRDefault="003C2EEE">
      <w:pPr>
        <w:pStyle w:val="Style110"/>
        <w:numPr>
          <w:ilvl w:val="3"/>
          <w:numId w:val="47"/>
        </w:numPr>
        <w:rPr>
          <w:rFonts w:ascii="宋体" w:hAnsi="宋体"/>
          <w:color w:val="000000" w:themeColor="text1"/>
        </w:rPr>
      </w:pPr>
      <w:bookmarkStart w:id="154" w:name="_Hlk10466572"/>
      <w:r>
        <w:rPr>
          <w:rFonts w:ascii="宋体" w:hAnsi="宋体" w:hint="eastAsia"/>
          <w:color w:val="000000" w:themeColor="text1"/>
        </w:rPr>
        <w:t>按坏账计提方法分类披露</w:t>
      </w:r>
    </w:p>
    <w:sdt>
      <w:sdtPr>
        <w:rPr>
          <w:color w:val="000000" w:themeColor="text1"/>
        </w:rPr>
        <w:alias w:val="是否适用：应收票据按坏账计提方法分类披露[双击切换]"/>
        <w:tag w:val="_GBC_064ae6cf552d47d6abf4ad2b5c55d254"/>
        <w:id w:val="-1842459582"/>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应收票据按坏账计提方法分类披露"/>
          <w:tag w:val="_GBC_1ddd4d416c8341618d49da8050568b3a"/>
          <w:id w:val="-8836377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应收票据按坏账计提方法分类披露"/>
          <w:tag w:val="_GBC_ee21347c53de4655b7421f9707c0f27c"/>
          <w:id w:val="19995370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5"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7"/>
        <w:gridCol w:w="1072"/>
        <w:gridCol w:w="496"/>
        <w:gridCol w:w="1000"/>
        <w:gridCol w:w="424"/>
        <w:gridCol w:w="1076"/>
        <w:gridCol w:w="1242"/>
        <w:gridCol w:w="567"/>
        <w:gridCol w:w="1074"/>
        <w:gridCol w:w="399"/>
        <w:gridCol w:w="1245"/>
      </w:tblGrid>
      <w:tr w:rsidR="00597370">
        <w:trPr>
          <w:cantSplit/>
          <w:trHeight w:val="397"/>
          <w:jc w:val="center"/>
        </w:trPr>
        <w:bookmarkStart w:id="155" w:name="_Hlk533511527" w:displacedByCustomXml="next"/>
        <w:sdt>
          <w:sdtPr>
            <w:rPr>
              <w:rFonts w:asciiTheme="minorEastAsia" w:eastAsiaTheme="minorEastAsia" w:hAnsiTheme="minorEastAsia"/>
              <w:sz w:val="18"/>
              <w:szCs w:val="18"/>
            </w:rPr>
            <w:tag w:val="_PLD_b41ab991b5cb44b284803f0e13680cca"/>
            <w:id w:val="791634089"/>
          </w:sdtPr>
          <w:sdtEndPr/>
          <w:sdtContent>
            <w:tc>
              <w:tcPr>
                <w:tcW w:w="134" w:type="pct"/>
                <w:vMerge w:val="restart"/>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类别</w:t>
                </w:r>
              </w:p>
            </w:tc>
          </w:sdtContent>
        </w:sdt>
        <w:sdt>
          <w:sdtPr>
            <w:rPr>
              <w:rFonts w:asciiTheme="minorEastAsia" w:eastAsiaTheme="minorEastAsia" w:hAnsiTheme="minorEastAsia"/>
              <w:sz w:val="18"/>
              <w:szCs w:val="18"/>
            </w:rPr>
            <w:tag w:val="_PLD_4250aa21af14465089e9a64950228223"/>
            <w:id w:val="-1720198332"/>
          </w:sdtPr>
          <w:sdtEndPr/>
          <w:sdtContent>
            <w:tc>
              <w:tcPr>
                <w:tcW w:w="2303" w:type="pct"/>
                <w:gridSpan w:val="5"/>
                <w:tcBorders>
                  <w:top w:val="single" w:sz="4" w:space="0" w:color="auto"/>
                  <w:left w:val="single" w:sz="4" w:space="0" w:color="auto"/>
                  <w:right w:val="single" w:sz="4" w:space="0" w:color="auto"/>
                </w:tcBorders>
                <w:vAlign w:val="center"/>
              </w:tcPr>
              <w:p w:rsidR="00597370" w:rsidRDefault="003C2EEE">
                <w:pPr>
                  <w:autoSpaceDE w:val="0"/>
                  <w:autoSpaceDN w:val="0"/>
                  <w:adjustRightInd w:val="0"/>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期末余额</w:t>
                </w:r>
              </w:p>
            </w:tc>
          </w:sdtContent>
        </w:sdt>
        <w:sdt>
          <w:sdtPr>
            <w:rPr>
              <w:rFonts w:asciiTheme="minorEastAsia" w:eastAsiaTheme="minorEastAsia" w:hAnsiTheme="minorEastAsia"/>
              <w:sz w:val="18"/>
              <w:szCs w:val="18"/>
            </w:rPr>
            <w:tag w:val="_PLD_efdd4dc84ac74beda0c7ce9ee8ac707c"/>
            <w:id w:val="698829340"/>
          </w:sdtPr>
          <w:sdtEndPr/>
          <w:sdtContent>
            <w:tc>
              <w:tcPr>
                <w:tcW w:w="2561" w:type="pct"/>
                <w:gridSpan w:val="5"/>
                <w:tcBorders>
                  <w:top w:val="single" w:sz="4" w:space="0" w:color="auto"/>
                  <w:left w:val="single" w:sz="4" w:space="0" w:color="auto"/>
                  <w:right w:val="single" w:sz="4" w:space="0" w:color="auto"/>
                </w:tcBorders>
                <w:vAlign w:val="center"/>
              </w:tcPr>
              <w:p w:rsidR="00597370" w:rsidRDefault="003C2EEE">
                <w:pPr>
                  <w:autoSpaceDE w:val="0"/>
                  <w:autoSpaceDN w:val="0"/>
                  <w:adjustRightInd w:val="0"/>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期初余额</w:t>
                </w:r>
              </w:p>
            </w:tc>
          </w:sdtContent>
        </w:sdt>
      </w:tr>
      <w:tr w:rsidR="00597370">
        <w:trPr>
          <w:cantSplit/>
          <w:trHeight w:val="397"/>
          <w:jc w:val="center"/>
        </w:trPr>
        <w:tc>
          <w:tcPr>
            <w:tcW w:w="134" w:type="pct"/>
            <w:vMerge/>
            <w:tcBorders>
              <w:left w:val="single" w:sz="4" w:space="0" w:color="auto"/>
              <w:right w:val="single" w:sz="4" w:space="0" w:color="auto"/>
            </w:tcBorders>
            <w:vAlign w:val="center"/>
          </w:tcPr>
          <w:p w:rsidR="00597370" w:rsidRDefault="00597370">
            <w:pPr>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4d31e977a3b64420aab06ccefa58a768"/>
            <w:id w:val="1745216913"/>
          </w:sdtPr>
          <w:sdtEndPr/>
          <w:sdtContent>
            <w:tc>
              <w:tcPr>
                <w:tcW w:w="888"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账面余额</w:t>
                </w:r>
              </w:p>
            </w:tc>
          </w:sdtContent>
        </w:sdt>
        <w:sdt>
          <w:sdtPr>
            <w:rPr>
              <w:rFonts w:asciiTheme="minorEastAsia" w:eastAsiaTheme="minorEastAsia" w:hAnsiTheme="minorEastAsia"/>
              <w:sz w:val="18"/>
              <w:szCs w:val="18"/>
            </w:rPr>
            <w:tag w:val="_PLD_ce16034971f3433baf795de55c0fcc02"/>
            <w:id w:val="1684860433"/>
          </w:sdtPr>
          <w:sdtEndPr/>
          <w:sdtContent>
            <w:tc>
              <w:tcPr>
                <w:tcW w:w="806"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坏账准备</w:t>
                </w:r>
              </w:p>
            </w:tc>
          </w:sdtContent>
        </w:sdt>
        <w:sdt>
          <w:sdtPr>
            <w:rPr>
              <w:rFonts w:asciiTheme="minorEastAsia" w:eastAsiaTheme="minorEastAsia" w:hAnsiTheme="minorEastAsia"/>
              <w:sz w:val="18"/>
              <w:szCs w:val="18"/>
            </w:rPr>
            <w:tag w:val="_PLD_13676246dce14cd09ca054f6ed8baa70"/>
            <w:id w:val="-2129082327"/>
          </w:sdtPr>
          <w:sdtEndPr/>
          <w:sdtContent>
            <w:tc>
              <w:tcPr>
                <w:tcW w:w="608" w:type="pct"/>
                <w:vMerge w:val="restart"/>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账面</w:t>
                </w:r>
              </w:p>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价值</w:t>
                </w:r>
              </w:p>
            </w:tc>
          </w:sdtContent>
        </w:sdt>
        <w:sdt>
          <w:sdtPr>
            <w:rPr>
              <w:rFonts w:asciiTheme="minorEastAsia" w:eastAsiaTheme="minorEastAsia" w:hAnsiTheme="minorEastAsia"/>
              <w:sz w:val="18"/>
              <w:szCs w:val="18"/>
            </w:rPr>
            <w:tag w:val="_PLD_3f5cbfe2ccd14f7a9fa6413579511d78"/>
            <w:id w:val="644394614"/>
          </w:sdtPr>
          <w:sdtEndPr/>
          <w:sdtContent>
            <w:tc>
              <w:tcPr>
                <w:tcW w:w="1024" w:type="pct"/>
                <w:gridSpan w:val="2"/>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账面余额</w:t>
                </w:r>
              </w:p>
            </w:tc>
          </w:sdtContent>
        </w:sdt>
        <w:sdt>
          <w:sdtPr>
            <w:rPr>
              <w:rFonts w:asciiTheme="minorEastAsia" w:eastAsiaTheme="minorEastAsia" w:hAnsiTheme="minorEastAsia"/>
              <w:sz w:val="18"/>
              <w:szCs w:val="18"/>
            </w:rPr>
            <w:tag w:val="_PLD_063250a22f93425b948b3ffb834d8c5a"/>
            <w:id w:val="-1270776615"/>
          </w:sdtPr>
          <w:sdtEndPr/>
          <w:sdtContent>
            <w:tc>
              <w:tcPr>
                <w:tcW w:w="834" w:type="pct"/>
                <w:gridSpan w:val="2"/>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坏账准备</w:t>
                </w:r>
              </w:p>
            </w:tc>
          </w:sdtContent>
        </w:sdt>
        <w:sdt>
          <w:sdtPr>
            <w:rPr>
              <w:rFonts w:asciiTheme="minorEastAsia" w:eastAsiaTheme="minorEastAsia" w:hAnsiTheme="minorEastAsia"/>
              <w:sz w:val="18"/>
              <w:szCs w:val="18"/>
            </w:rPr>
            <w:tag w:val="_PLD_9932dde99a63463ab11a246a2b6129c8"/>
            <w:id w:val="-609276447"/>
          </w:sdtPr>
          <w:sdtEndPr/>
          <w:sdtContent>
            <w:tc>
              <w:tcPr>
                <w:tcW w:w="702" w:type="pct"/>
                <w:vMerge w:val="restart"/>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账面</w:t>
                </w:r>
              </w:p>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价值</w:t>
                </w:r>
              </w:p>
            </w:tc>
          </w:sdtContent>
        </w:sdt>
      </w:tr>
      <w:tr w:rsidR="00597370">
        <w:trPr>
          <w:cantSplit/>
          <w:trHeight w:val="397"/>
          <w:jc w:val="center"/>
        </w:trPr>
        <w:tc>
          <w:tcPr>
            <w:tcW w:w="134" w:type="pct"/>
            <w:vMerge/>
            <w:tcBorders>
              <w:left w:val="single" w:sz="4" w:space="0" w:color="auto"/>
              <w:bottom w:val="single" w:sz="4" w:space="0" w:color="auto"/>
              <w:right w:val="single" w:sz="4" w:space="0" w:color="auto"/>
            </w:tcBorders>
            <w:vAlign w:val="center"/>
          </w:tcPr>
          <w:p w:rsidR="00597370" w:rsidRDefault="00597370">
            <w:pPr>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c0290ae623e744d38ca9b437c3a7f380"/>
            <w:id w:val="1905951277"/>
          </w:sdtPr>
          <w:sdtEndPr/>
          <w:sdtContent>
            <w:tc>
              <w:tcPr>
                <w:tcW w:w="607"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金额</w:t>
                </w:r>
              </w:p>
            </w:tc>
          </w:sdtContent>
        </w:sdt>
        <w:sdt>
          <w:sdtPr>
            <w:rPr>
              <w:rFonts w:asciiTheme="minorEastAsia" w:eastAsiaTheme="minorEastAsia" w:hAnsiTheme="minorEastAsia"/>
              <w:sz w:val="18"/>
              <w:szCs w:val="18"/>
            </w:rPr>
            <w:tag w:val="_PLD_193b3b07b4e0498485bc12534ae975ec"/>
            <w:id w:val="1303570791"/>
          </w:sdtPr>
          <w:sdtEndPr/>
          <w:sdtContent>
            <w:tc>
              <w:tcPr>
                <w:tcW w:w="280"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比例</w:t>
                </w:r>
                <w:r>
                  <w:rPr>
                    <w:rFonts w:asciiTheme="minorEastAsia" w:eastAsiaTheme="minorEastAsia" w:hAnsiTheme="minorEastAsia"/>
                    <w:sz w:val="18"/>
                    <w:szCs w:val="18"/>
                  </w:rPr>
                  <w:t>(%)</w:t>
                </w:r>
              </w:p>
            </w:tc>
          </w:sdtContent>
        </w:sdt>
        <w:sdt>
          <w:sdtPr>
            <w:rPr>
              <w:rFonts w:asciiTheme="minorEastAsia" w:eastAsiaTheme="minorEastAsia" w:hAnsiTheme="minorEastAsia"/>
              <w:sz w:val="18"/>
              <w:szCs w:val="18"/>
            </w:rPr>
            <w:tag w:val="_PLD_1f47ced2bea143d39f38cb11c0113cf4"/>
            <w:id w:val="-1837752211"/>
          </w:sdtPr>
          <w:sdtEndPr/>
          <w:sdtContent>
            <w:tc>
              <w:tcPr>
                <w:tcW w:w="566"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金额</w:t>
                </w:r>
              </w:p>
            </w:tc>
          </w:sdtContent>
        </w:sdt>
        <w:sdt>
          <w:sdtPr>
            <w:rPr>
              <w:rFonts w:asciiTheme="minorEastAsia" w:eastAsiaTheme="minorEastAsia" w:hAnsiTheme="minorEastAsia"/>
              <w:sz w:val="18"/>
              <w:szCs w:val="18"/>
            </w:rPr>
            <w:tag w:val="_PLD_a23086fe0481444ab724c5dec4a5f19d"/>
            <w:id w:val="955455277"/>
          </w:sdtPr>
          <w:sdtEndPr/>
          <w:sdtContent>
            <w:tc>
              <w:tcPr>
                <w:tcW w:w="239"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计提比例</w:t>
                </w:r>
                <w:r>
                  <w:rPr>
                    <w:rFonts w:asciiTheme="minorEastAsia" w:eastAsiaTheme="minorEastAsia" w:hAnsiTheme="minorEastAsia"/>
                    <w:sz w:val="18"/>
                    <w:szCs w:val="18"/>
                  </w:rPr>
                  <w:t>(%)</w:t>
                </w:r>
              </w:p>
            </w:tc>
          </w:sdtContent>
        </w:sdt>
        <w:tc>
          <w:tcPr>
            <w:tcW w:w="608" w:type="pct"/>
            <w:vMerge/>
            <w:tcBorders>
              <w:left w:val="single" w:sz="4" w:space="0" w:color="auto"/>
              <w:bottom w:val="single" w:sz="4" w:space="0" w:color="auto"/>
              <w:right w:val="single" w:sz="4" w:space="0" w:color="auto"/>
            </w:tcBorders>
            <w:vAlign w:val="center"/>
          </w:tcPr>
          <w:p w:rsidR="00597370" w:rsidRDefault="00597370">
            <w:pPr>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0ebe7a6ebddd49acb12d2e49fbaeb5ef"/>
            <w:id w:val="1663738427"/>
          </w:sdtPr>
          <w:sdtEndPr/>
          <w:sdtContent>
            <w:tc>
              <w:tcPr>
                <w:tcW w:w="703"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金额</w:t>
                </w:r>
              </w:p>
            </w:tc>
          </w:sdtContent>
        </w:sdt>
        <w:sdt>
          <w:sdtPr>
            <w:rPr>
              <w:rFonts w:asciiTheme="minorEastAsia" w:eastAsiaTheme="minorEastAsia" w:hAnsiTheme="minorEastAsia"/>
              <w:sz w:val="18"/>
              <w:szCs w:val="18"/>
            </w:rPr>
            <w:tag w:val="_PLD_f3083b688a88491aaa0236072ce160b8"/>
            <w:id w:val="228966093"/>
          </w:sdtPr>
          <w:sdtEndPr/>
          <w:sdtContent>
            <w:tc>
              <w:tcPr>
                <w:tcW w:w="321"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比例</w:t>
                </w:r>
                <w:r>
                  <w:rPr>
                    <w:rFonts w:asciiTheme="minorEastAsia" w:eastAsiaTheme="minorEastAsia" w:hAnsiTheme="minorEastAsia"/>
                    <w:sz w:val="18"/>
                    <w:szCs w:val="18"/>
                  </w:rPr>
                  <w:t>(%)</w:t>
                </w:r>
              </w:p>
            </w:tc>
          </w:sdtContent>
        </w:sdt>
        <w:sdt>
          <w:sdtPr>
            <w:rPr>
              <w:rFonts w:asciiTheme="minorEastAsia" w:eastAsiaTheme="minorEastAsia" w:hAnsiTheme="minorEastAsia"/>
              <w:sz w:val="18"/>
              <w:szCs w:val="18"/>
            </w:rPr>
            <w:tag w:val="_PLD_1cdb2a199b6d43678bae639c01b9d9cb"/>
            <w:id w:val="893626527"/>
          </w:sdtPr>
          <w:sdtEndPr/>
          <w:sdtContent>
            <w:tc>
              <w:tcPr>
                <w:tcW w:w="608"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金额</w:t>
                </w:r>
              </w:p>
            </w:tc>
          </w:sdtContent>
        </w:sdt>
        <w:sdt>
          <w:sdtPr>
            <w:rPr>
              <w:rFonts w:asciiTheme="minorEastAsia" w:eastAsiaTheme="minorEastAsia" w:hAnsiTheme="minorEastAsia"/>
              <w:sz w:val="18"/>
              <w:szCs w:val="18"/>
            </w:rPr>
            <w:tag w:val="_PLD_ad76cc2b302a460a8cbeb5e98be19160"/>
            <w:id w:val="769891446"/>
          </w:sdtPr>
          <w:sdtEndPr/>
          <w:sdtContent>
            <w:tc>
              <w:tcPr>
                <w:tcW w:w="225"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计提比例</w:t>
                </w:r>
                <w:r>
                  <w:rPr>
                    <w:rFonts w:asciiTheme="minorEastAsia" w:eastAsiaTheme="minorEastAsia" w:hAnsiTheme="minorEastAsia"/>
                    <w:sz w:val="18"/>
                    <w:szCs w:val="18"/>
                  </w:rPr>
                  <w:t>(%)</w:t>
                </w:r>
              </w:p>
            </w:tc>
          </w:sdtContent>
        </w:sdt>
        <w:tc>
          <w:tcPr>
            <w:tcW w:w="702" w:type="pct"/>
            <w:vMerge/>
            <w:tcBorders>
              <w:left w:val="single" w:sz="4" w:space="0" w:color="auto"/>
              <w:bottom w:val="single" w:sz="4" w:space="0" w:color="auto"/>
              <w:right w:val="single" w:sz="4" w:space="0" w:color="auto"/>
            </w:tcBorders>
            <w:vAlign w:val="center"/>
          </w:tcPr>
          <w:p w:rsidR="00597370" w:rsidRDefault="00597370">
            <w:pPr>
              <w:jc w:val="center"/>
              <w:rPr>
                <w:rFonts w:asciiTheme="minorEastAsia" w:eastAsiaTheme="minorEastAsia" w:hAnsiTheme="minorEastAsia"/>
                <w:sz w:val="18"/>
                <w:szCs w:val="18"/>
              </w:rPr>
            </w:pPr>
          </w:p>
        </w:tc>
      </w:tr>
      <w:tr w:rsidR="00597370">
        <w:trPr>
          <w:cantSplit/>
          <w:trHeight w:val="397"/>
          <w:jc w:val="center"/>
        </w:trPr>
        <w:tc>
          <w:tcPr>
            <w:tcW w:w="13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按单项计提坏账准备</w:t>
            </w:r>
          </w:p>
        </w:tc>
        <w:tc>
          <w:tcPr>
            <w:tcW w:w="60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280"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566" w:type="pct"/>
            <w:tcBorders>
              <w:top w:val="single" w:sz="4" w:space="0" w:color="auto"/>
              <w:left w:val="single" w:sz="4" w:space="0" w:color="auto"/>
              <w:bottom w:val="single" w:sz="4" w:space="0" w:color="auto"/>
              <w:right w:val="single" w:sz="4" w:space="0" w:color="auto"/>
            </w:tcBorders>
            <w:vAlign w:val="center"/>
          </w:tcPr>
          <w:p w:rsidR="00597370" w:rsidRDefault="00597370">
            <w:pPr>
              <w:pStyle w:val="Style106"/>
              <w:jc w:val="right"/>
              <w:rPr>
                <w:rFonts w:asciiTheme="minorEastAsia" w:eastAsiaTheme="minorEastAsia" w:hAnsiTheme="minorEastAsia"/>
                <w:sz w:val="18"/>
                <w:szCs w:val="18"/>
              </w:rPr>
            </w:pPr>
          </w:p>
        </w:tc>
        <w:tc>
          <w:tcPr>
            <w:tcW w:w="23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703"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3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225"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702"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r>
      <w:tr w:rsidR="00597370">
        <w:trPr>
          <w:cantSplit/>
          <w:trHeight w:val="397"/>
          <w:jc w:val="center"/>
        </w:trPr>
        <w:sdt>
          <w:sdtPr>
            <w:rPr>
              <w:rFonts w:asciiTheme="minorEastAsia" w:eastAsiaTheme="minorEastAsia" w:hAnsiTheme="minorEastAsia"/>
              <w:sz w:val="18"/>
              <w:szCs w:val="18"/>
            </w:rPr>
            <w:tag w:val="_PLD_2a6d1b30f65e462ebca8043195ba30aa"/>
            <w:id w:val="-1357570097"/>
          </w:sdtPr>
          <w:sdtEnd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rsidR="00597370" w:rsidRDefault="003C2EEE">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其中：</w:t>
                </w:r>
              </w:p>
            </w:tc>
          </w:sdtContent>
        </w:sdt>
      </w:tr>
      <w:tr w:rsidR="00597370">
        <w:trPr>
          <w:cantSplit/>
          <w:trHeight w:val="397"/>
          <w:jc w:val="center"/>
        </w:trPr>
        <w:sdt>
          <w:sdtPr>
            <w:rPr>
              <w:rFonts w:asciiTheme="minorEastAsia" w:eastAsiaTheme="minorEastAsia" w:hAnsiTheme="minorEastAsia"/>
              <w:sz w:val="18"/>
              <w:szCs w:val="18"/>
            </w:rPr>
            <w:alias w:val="按单项计提坏账准备的应收票据明细-类别"/>
            <w:tag w:val="_GBC_22d2031cbdb84eadae4c63049715879e"/>
            <w:id w:val="-1487551652"/>
            <w:showingPlcHdr/>
          </w:sdtPr>
          <w:sdtEndPr/>
          <w:sdtContent>
            <w:tc>
              <w:tcPr>
                <w:tcW w:w="13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p>
            </w:tc>
          </w:sdtContent>
        </w:sdt>
        <w:tc>
          <w:tcPr>
            <w:tcW w:w="60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280"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566"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23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703"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3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225"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c>
          <w:tcPr>
            <w:tcW w:w="702"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sz w:val="18"/>
                <w:szCs w:val="18"/>
              </w:rPr>
            </w:pPr>
          </w:p>
        </w:tc>
      </w:tr>
      <w:tr w:rsidR="00597370">
        <w:trPr>
          <w:cantSplit/>
          <w:trHeight w:val="397"/>
          <w:jc w:val="center"/>
        </w:trPr>
        <w:tc>
          <w:tcPr>
            <w:tcW w:w="13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按组合计提坏账准备</w:t>
            </w:r>
          </w:p>
        </w:tc>
        <w:tc>
          <w:tcPr>
            <w:tcW w:w="60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210,550,852.09 </w:t>
            </w:r>
          </w:p>
        </w:tc>
        <w:tc>
          <w:tcPr>
            <w:tcW w:w="28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100.00 </w:t>
            </w:r>
          </w:p>
        </w:tc>
        <w:tc>
          <w:tcPr>
            <w:tcW w:w="56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15,905,646.91 </w:t>
            </w:r>
          </w:p>
        </w:tc>
        <w:tc>
          <w:tcPr>
            <w:tcW w:w="23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7.55 </w:t>
            </w: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194,645,205.18</w:t>
            </w:r>
          </w:p>
        </w:tc>
        <w:tc>
          <w:tcPr>
            <w:tcW w:w="703"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129,555,059.34</w:t>
            </w:r>
          </w:p>
        </w:tc>
        <w:tc>
          <w:tcPr>
            <w:tcW w:w="32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100.00</w:t>
            </w: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7,057,623.47</w:t>
            </w:r>
          </w:p>
        </w:tc>
        <w:tc>
          <w:tcPr>
            <w:tcW w:w="22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5.45</w:t>
            </w:r>
          </w:p>
        </w:tc>
        <w:tc>
          <w:tcPr>
            <w:tcW w:w="7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122,497,435.87</w:t>
            </w:r>
          </w:p>
        </w:tc>
      </w:tr>
      <w:tr w:rsidR="00597370">
        <w:trPr>
          <w:cantSplit/>
          <w:trHeight w:val="397"/>
          <w:jc w:val="center"/>
        </w:trPr>
        <w:sdt>
          <w:sdtPr>
            <w:rPr>
              <w:rFonts w:asciiTheme="minorEastAsia" w:eastAsiaTheme="minorEastAsia" w:hAnsiTheme="minorEastAsia"/>
              <w:sz w:val="18"/>
              <w:szCs w:val="18"/>
            </w:rPr>
            <w:tag w:val="_PLD_6921e0fe3b3b446d887af92fc2bcab4d"/>
            <w:id w:val="-91477131"/>
          </w:sdtPr>
          <w:sdtEnd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rsidR="00597370" w:rsidRDefault="003C2EEE">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其中：</w:t>
                </w:r>
              </w:p>
            </w:tc>
          </w:sdtContent>
        </w:sdt>
      </w:tr>
      <w:tr w:rsidR="00597370">
        <w:trPr>
          <w:cantSplit/>
          <w:trHeight w:val="397"/>
          <w:jc w:val="center"/>
        </w:trPr>
        <w:sdt>
          <w:sdtPr>
            <w:rPr>
              <w:rFonts w:asciiTheme="minorEastAsia" w:eastAsiaTheme="minorEastAsia" w:hAnsiTheme="minorEastAsia"/>
              <w:sz w:val="18"/>
              <w:szCs w:val="18"/>
            </w:rPr>
            <w:alias w:val="按组合计提坏账准备的应收票据明细-类别"/>
            <w:tag w:val="_GBC_6d9e7457cc694a73a262b35683b9ab0e"/>
            <w:id w:val="-2064938422"/>
          </w:sdtPr>
          <w:sdtEndPr/>
          <w:sdtContent>
            <w:tc>
              <w:tcPr>
                <w:tcW w:w="13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proofErr w:type="gramStart"/>
                <w:r>
                  <w:rPr>
                    <w:rFonts w:asciiTheme="minorEastAsia" w:eastAsiaTheme="minorEastAsia" w:hAnsiTheme="minorEastAsia" w:hint="eastAsia"/>
                    <w:sz w:val="18"/>
                    <w:szCs w:val="18"/>
                  </w:rPr>
                  <w:t>账</w:t>
                </w:r>
                <w:proofErr w:type="gramEnd"/>
                <w:r>
                  <w:rPr>
                    <w:rFonts w:asciiTheme="minorEastAsia" w:eastAsiaTheme="minorEastAsia" w:hAnsiTheme="minorEastAsia" w:hint="eastAsia"/>
                    <w:sz w:val="18"/>
                    <w:szCs w:val="18"/>
                  </w:rPr>
                  <w:t>龄组合</w:t>
                </w:r>
                <w:r>
                  <w:rPr>
                    <w:rFonts w:asciiTheme="minorEastAsia" w:eastAsiaTheme="minorEastAsia" w:hAnsiTheme="minorEastAsia"/>
                    <w:sz w:val="18"/>
                    <w:szCs w:val="18"/>
                  </w:rPr>
                  <w:t>-银行承兑汇票</w:t>
                </w:r>
              </w:p>
            </w:tc>
          </w:sdtContent>
        </w:sdt>
        <w:tc>
          <w:tcPr>
            <w:tcW w:w="60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185,786,988.34 </w:t>
            </w:r>
          </w:p>
        </w:tc>
        <w:tc>
          <w:tcPr>
            <w:tcW w:w="28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88.24 </w:t>
            </w:r>
          </w:p>
        </w:tc>
        <w:tc>
          <w:tcPr>
            <w:tcW w:w="56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11,038,896.31 </w:t>
            </w:r>
          </w:p>
        </w:tc>
        <w:tc>
          <w:tcPr>
            <w:tcW w:w="23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5.94 </w:t>
            </w: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174,748,092.03 </w:t>
            </w:r>
          </w:p>
        </w:tc>
        <w:tc>
          <w:tcPr>
            <w:tcW w:w="703"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127,177,107.34</w:t>
            </w:r>
          </w:p>
        </w:tc>
        <w:tc>
          <w:tcPr>
            <w:tcW w:w="32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98.16</w:t>
            </w: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6,833,702.52</w:t>
            </w:r>
          </w:p>
        </w:tc>
        <w:tc>
          <w:tcPr>
            <w:tcW w:w="22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5.37</w:t>
            </w:r>
          </w:p>
        </w:tc>
        <w:tc>
          <w:tcPr>
            <w:tcW w:w="7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120,343,404.82</w:t>
            </w:r>
          </w:p>
        </w:tc>
      </w:tr>
      <w:tr w:rsidR="00597370">
        <w:trPr>
          <w:cantSplit/>
          <w:trHeight w:val="397"/>
          <w:jc w:val="center"/>
        </w:trPr>
        <w:sdt>
          <w:sdtPr>
            <w:rPr>
              <w:rFonts w:asciiTheme="minorEastAsia" w:eastAsiaTheme="minorEastAsia" w:hAnsiTheme="minorEastAsia"/>
              <w:sz w:val="18"/>
              <w:szCs w:val="18"/>
            </w:rPr>
            <w:alias w:val="按组合计提坏账准备的应收票据明细-类别"/>
            <w:tag w:val="_GBC_6d9e7457cc694a73a262b35683b9ab0e"/>
            <w:id w:val="-1807152106"/>
          </w:sdtPr>
          <w:sdtEndPr/>
          <w:sdtContent>
            <w:tc>
              <w:tcPr>
                <w:tcW w:w="13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proofErr w:type="gramStart"/>
                <w:r>
                  <w:rPr>
                    <w:rFonts w:asciiTheme="minorEastAsia" w:eastAsiaTheme="minorEastAsia" w:hAnsiTheme="minorEastAsia" w:hint="eastAsia"/>
                    <w:sz w:val="18"/>
                    <w:szCs w:val="18"/>
                  </w:rPr>
                  <w:t>账</w:t>
                </w:r>
                <w:proofErr w:type="gramEnd"/>
                <w:r>
                  <w:rPr>
                    <w:rFonts w:asciiTheme="minorEastAsia" w:eastAsiaTheme="minorEastAsia" w:hAnsiTheme="minorEastAsia" w:hint="eastAsia"/>
                    <w:sz w:val="18"/>
                    <w:szCs w:val="18"/>
                  </w:rPr>
                  <w:t>龄组合</w:t>
                </w:r>
                <w:r>
                  <w:rPr>
                    <w:rFonts w:asciiTheme="minorEastAsia" w:eastAsiaTheme="minorEastAsia" w:hAnsiTheme="minorEastAsia"/>
                    <w:sz w:val="18"/>
                    <w:szCs w:val="18"/>
                  </w:rPr>
                  <w:t>-商业承兑汇票</w:t>
                </w:r>
              </w:p>
            </w:tc>
          </w:sdtContent>
        </w:sdt>
        <w:tc>
          <w:tcPr>
            <w:tcW w:w="60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24,763,863.75 </w:t>
            </w:r>
          </w:p>
        </w:tc>
        <w:tc>
          <w:tcPr>
            <w:tcW w:w="28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11.76 </w:t>
            </w:r>
          </w:p>
        </w:tc>
        <w:tc>
          <w:tcPr>
            <w:tcW w:w="56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4,866,750.60 </w:t>
            </w:r>
          </w:p>
        </w:tc>
        <w:tc>
          <w:tcPr>
            <w:tcW w:w="23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19.65 </w:t>
            </w: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19,897,113.15 </w:t>
            </w:r>
          </w:p>
        </w:tc>
        <w:tc>
          <w:tcPr>
            <w:tcW w:w="703"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2,377,952.00</w:t>
            </w:r>
          </w:p>
        </w:tc>
        <w:tc>
          <w:tcPr>
            <w:tcW w:w="32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1.84</w:t>
            </w: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223,920.95</w:t>
            </w:r>
          </w:p>
        </w:tc>
        <w:tc>
          <w:tcPr>
            <w:tcW w:w="22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9.42</w:t>
            </w:r>
          </w:p>
        </w:tc>
        <w:tc>
          <w:tcPr>
            <w:tcW w:w="7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2,154,031.05</w:t>
            </w:r>
          </w:p>
        </w:tc>
      </w:tr>
      <w:tr w:rsidR="00597370">
        <w:trPr>
          <w:cantSplit/>
          <w:trHeight w:val="397"/>
          <w:jc w:val="center"/>
        </w:trPr>
        <w:tc>
          <w:tcPr>
            <w:tcW w:w="13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rPr>
                <w:rFonts w:asciiTheme="minorEastAsia" w:eastAsiaTheme="minorEastAsia" w:hAnsiTheme="minorEastAsia"/>
                <w:sz w:val="18"/>
                <w:szCs w:val="18"/>
              </w:rPr>
            </w:pPr>
            <w:r>
              <w:rPr>
                <w:rFonts w:asciiTheme="minorEastAsia" w:eastAsiaTheme="minorEastAsia" w:hAnsiTheme="minorEastAsia" w:hint="eastAsia"/>
                <w:sz w:val="18"/>
                <w:szCs w:val="18"/>
              </w:rPr>
              <w:t>合计</w:t>
            </w:r>
          </w:p>
        </w:tc>
        <w:tc>
          <w:tcPr>
            <w:tcW w:w="60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210,550,852.09 </w:t>
            </w:r>
          </w:p>
        </w:tc>
        <w:tc>
          <w:tcPr>
            <w:tcW w:w="28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100.00 </w:t>
            </w:r>
          </w:p>
        </w:tc>
        <w:tc>
          <w:tcPr>
            <w:tcW w:w="56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15,905,646.91 </w:t>
            </w:r>
          </w:p>
        </w:tc>
        <w:tc>
          <w:tcPr>
            <w:tcW w:w="23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7.55 </w:t>
            </w: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194,645,205.18 </w:t>
            </w:r>
          </w:p>
        </w:tc>
        <w:tc>
          <w:tcPr>
            <w:tcW w:w="703"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129,555,059.34</w:t>
            </w:r>
          </w:p>
        </w:tc>
        <w:tc>
          <w:tcPr>
            <w:tcW w:w="32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608"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7,057,623.47</w:t>
            </w:r>
          </w:p>
        </w:tc>
        <w:tc>
          <w:tcPr>
            <w:tcW w:w="22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5.45</w:t>
            </w:r>
          </w:p>
        </w:tc>
        <w:tc>
          <w:tcPr>
            <w:tcW w:w="7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122,497,435.87</w:t>
            </w:r>
          </w:p>
        </w:tc>
      </w:tr>
    </w:tbl>
    <w:p w:rsidR="00597370" w:rsidRDefault="00597370">
      <w:pPr>
        <w:rPr>
          <w:color w:val="000000" w:themeColor="text1"/>
        </w:rPr>
      </w:pPr>
    </w:p>
    <w:p w:rsidR="00597370" w:rsidRDefault="003C2EEE">
      <w:pPr>
        <w:rPr>
          <w:color w:val="000000" w:themeColor="text1"/>
        </w:rPr>
      </w:pPr>
      <w:bookmarkStart w:id="156" w:name="_Hlk10466593"/>
      <w:bookmarkStart w:id="157" w:name="_Hlk10466603"/>
      <w:bookmarkEnd w:id="154"/>
      <w:bookmarkEnd w:id="155"/>
      <w:r>
        <w:rPr>
          <w:rFonts w:hint="eastAsia"/>
          <w:color w:val="000000" w:themeColor="text1"/>
        </w:rPr>
        <w:t>按单项计提坏账准备：</w:t>
      </w:r>
      <w:bookmarkEnd w:id="156"/>
    </w:p>
    <w:sdt>
      <w:sdtPr>
        <w:rPr>
          <w:rFonts w:hint="eastAsia"/>
          <w:color w:val="000000" w:themeColor="text1"/>
        </w:rPr>
        <w:alias w:val="是否适用：按单项计提坏账准备的应收票据详细情况[双击切换]"/>
        <w:tag w:val="_GBC_90335c20d2434e43b63dbeddbebca5f6"/>
        <w:id w:val="-1243145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cstheme="minorBidi"/>
          <w:color w:val="000000" w:themeColor="text1"/>
          <w:szCs w:val="22"/>
        </w:rPr>
      </w:pPr>
      <w:bookmarkStart w:id="158" w:name="_Hlk533597423"/>
      <w:bookmarkStart w:id="159" w:name="_Hlk10466625"/>
      <w:bookmarkStart w:id="160" w:name="_Hlk10466636"/>
      <w:bookmarkEnd w:id="157"/>
      <w:bookmarkEnd w:id="158"/>
      <w:r>
        <w:rPr>
          <w:rFonts w:cstheme="minorBidi" w:hint="eastAsia"/>
          <w:color w:val="000000" w:themeColor="text1"/>
          <w:szCs w:val="22"/>
        </w:rPr>
        <w:t>按组合计提坏账准备：</w:t>
      </w:r>
      <w:bookmarkEnd w:id="159"/>
    </w:p>
    <w:sdt>
      <w:sdtPr>
        <w:rPr>
          <w:rFonts w:cstheme="minorBidi" w:hint="eastAsia"/>
          <w:color w:val="000000" w:themeColor="text1"/>
          <w:szCs w:val="22"/>
        </w:rPr>
        <w:alias w:val="是否适用：按组合计提坏账准备的应收票据详细情况[双击切换]"/>
        <w:tag w:val="_GBC_2b00fe7228b14b11bdb374e735777f02"/>
        <w:id w:val="1875343062"/>
        <w:placeholder>
          <w:docPart w:val="GBC22222222222222222222222222222"/>
        </w:placeholder>
      </w:sdtPr>
      <w:sdtEndPr/>
      <w:sdtContent>
        <w:p w:rsidR="00597370" w:rsidRDefault="003C2EEE">
          <w:pPr>
            <w:rPr>
              <w:color w:val="000000" w:themeColor="text1"/>
            </w:rPr>
          </w:pPr>
          <w:r>
            <w:rPr>
              <w:rFonts w:cstheme="minorBidi"/>
              <w:color w:val="000000" w:themeColor="text1"/>
              <w:szCs w:val="22"/>
            </w:rPr>
            <w:fldChar w:fldCharType="begin"/>
          </w:r>
          <w:r>
            <w:rPr>
              <w:rFonts w:cstheme="minorBidi"/>
              <w:color w:val="000000" w:themeColor="text1"/>
              <w:szCs w:val="22"/>
            </w:rPr>
            <w:instrText xml:space="preserve"> MACROBUTTON  SnrToggleCheckbox □适用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color w:val="000000" w:themeColor="text1"/>
              <w:szCs w:val="22"/>
            </w:rPr>
            <w:fldChar w:fldCharType="end"/>
          </w:r>
        </w:p>
      </w:sdtContent>
    </w:sdt>
    <w:p w:rsidR="00597370" w:rsidRDefault="003C2EEE">
      <w:pPr>
        <w:rPr>
          <w:rFonts w:cstheme="minorBidi"/>
          <w:color w:val="000000" w:themeColor="text1"/>
          <w:szCs w:val="22"/>
        </w:rPr>
      </w:pPr>
      <w:bookmarkStart w:id="161" w:name="_Hlk153356892"/>
      <w:bookmarkStart w:id="162" w:name="_Hlk167884917"/>
      <w:bookmarkEnd w:id="160"/>
      <w:r>
        <w:rPr>
          <w:rFonts w:cstheme="minorBidi" w:hint="eastAsia"/>
          <w:color w:val="000000" w:themeColor="text1"/>
          <w:szCs w:val="22"/>
        </w:rPr>
        <w:t>按预期信用损失一般模型计提坏账准备</w:t>
      </w:r>
    </w:p>
    <w:sdt>
      <w:sdtPr>
        <w:rPr>
          <w:rFonts w:cstheme="minorBidi"/>
          <w:color w:val="000000" w:themeColor="text1"/>
          <w:szCs w:val="22"/>
        </w:rPr>
        <w:alias w:val="是否适用：按预期信用损失一般模型计提坏账准备[双击切换]"/>
        <w:tag w:val="_GBC_843d776745f34ed8a0f1956fcb3af042"/>
        <w:id w:val="1382749829"/>
        <w:placeholder>
          <w:docPart w:val="GBC22222222222222222222222222222"/>
        </w:placeholder>
      </w:sdtPr>
      <w:sdtEndPr/>
      <w:sdtContent>
        <w:p w:rsidR="00597370" w:rsidRDefault="003C2EEE">
          <w:pPr>
            <w:rPr>
              <w:rFonts w:cstheme="minorBidi"/>
              <w:color w:val="000000" w:themeColor="text1"/>
              <w:szCs w:val="22"/>
            </w:rPr>
          </w:pPr>
          <w:r>
            <w:rPr>
              <w:rFonts w:cstheme="minorBidi"/>
              <w:color w:val="000000" w:themeColor="text1"/>
              <w:szCs w:val="22"/>
            </w:rPr>
            <w:fldChar w:fldCharType="begin"/>
          </w:r>
          <w:r>
            <w:rPr>
              <w:rFonts w:cstheme="minorBidi"/>
              <w:color w:val="000000" w:themeColor="text1"/>
              <w:szCs w:val="22"/>
            </w:rPr>
            <w:instrText xml:space="preserve"> MACROBUTTON  SnrToggleCheckbox □适用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color w:val="000000" w:themeColor="text1"/>
              <w:szCs w:val="22"/>
            </w:rPr>
            <w:fldChar w:fldCharType="end"/>
          </w:r>
        </w:p>
      </w:sdtContent>
    </w:sdt>
    <w:p w:rsidR="00597370" w:rsidRDefault="00597370">
      <w:pPr>
        <w:rPr>
          <w:color w:val="000000" w:themeColor="text1"/>
        </w:rPr>
      </w:pPr>
    </w:p>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各阶段划分依据和坏账准备计提比例"/>
        <w:tag w:val="_GBC_0c92b3ffc361499bb76814db60f3df97"/>
        <w:id w:val="1081794522"/>
        <w:placeholder>
          <w:docPart w:val="GBC22222222222222222222222222222"/>
        </w:placeholder>
      </w:sdtPr>
      <w:sdtEndPr/>
      <w:sdtContent>
        <w:p w:rsidR="00597370" w:rsidRDefault="003C2EEE">
          <w:pPr>
            <w:rPr>
              <w:rFonts w:cs="Times New Roman"/>
              <w:color w:val="000000" w:themeColor="text1"/>
              <w:szCs w:val="22"/>
            </w:rPr>
          </w:pPr>
          <w:r>
            <w:rPr>
              <w:rFonts w:cs="Times New Roman" w:hint="eastAsia"/>
              <w:color w:val="000000" w:themeColor="text1"/>
              <w:szCs w:val="22"/>
            </w:rPr>
            <w:t>无</w:t>
          </w:r>
        </w:p>
      </w:sdtContent>
    </w:sdt>
    <w:p w:rsidR="00597370" w:rsidRDefault="003C2EEE">
      <w:pPr>
        <w:pStyle w:val="Style151"/>
        <w:rPr>
          <w:color w:val="000000" w:themeColor="text1"/>
        </w:rPr>
      </w:pPr>
      <w:r>
        <w:rPr>
          <w:rFonts w:hint="eastAsia"/>
          <w:color w:val="000000" w:themeColor="text1"/>
        </w:rPr>
        <w:t>对本期发生损失准备变动的应收票据账面余额显著变动的情况说明：</w:t>
      </w:r>
    </w:p>
    <w:sdt>
      <w:sdtPr>
        <w:rPr>
          <w:color w:val="000000" w:themeColor="text1"/>
        </w:rPr>
        <w:alias w:val="是否适用：对本期发生损失准备变动的账面余额显著变动的情况说明[双击切换]"/>
        <w:tag w:val="_GBC_58cb241b61cd42d1a0d769cec83b1516"/>
        <w:id w:val="299582053"/>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7"/>
        </w:numPr>
        <w:rPr>
          <w:rFonts w:ascii="宋体" w:hAnsi="宋体"/>
          <w:color w:val="000000" w:themeColor="text1"/>
        </w:rPr>
      </w:pPr>
      <w:bookmarkStart w:id="163" w:name="_Hlk154148795"/>
      <w:bookmarkStart w:id="164" w:name="_Hlk167885031"/>
      <w:bookmarkStart w:id="165" w:name="_Hlk532980547"/>
      <w:bookmarkEnd w:id="161"/>
      <w:bookmarkEnd w:id="162"/>
      <w:r>
        <w:rPr>
          <w:rFonts w:ascii="宋体" w:hAnsi="宋体" w:hint="eastAsia"/>
          <w:color w:val="000000" w:themeColor="text1"/>
        </w:rPr>
        <w:t>坏账准备的情况</w:t>
      </w:r>
    </w:p>
    <w:sdt>
      <w:sdtPr>
        <w:rPr>
          <w:color w:val="000000" w:themeColor="text1"/>
        </w:rPr>
        <w:alias w:val="是否适用：应收票据坏账准备情况[双击切换]"/>
        <w:tag w:val="_GBC_168f3e2065e34239828a1cf025c3d9ad"/>
        <w:id w:val="191997637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snapToGrid w:val="0"/>
        <w:spacing w:line="240" w:lineRule="atLeast"/>
        <w:ind w:left="42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应收票据坏账准备情况"/>
          <w:tag w:val="_GBC_d3a8b55f4d3d46338dc8615962682b22"/>
          <w:id w:val="1952027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应收票据坏账准备情况"/>
          <w:tag w:val="_GBC_f03e183b4ddf4c9ebe18b9e75a7c77f3"/>
          <w:id w:val="3130045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g2"/>
        <w:tblW w:w="474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38"/>
        <w:gridCol w:w="1426"/>
        <w:gridCol w:w="1182"/>
        <w:gridCol w:w="835"/>
        <w:gridCol w:w="872"/>
        <w:gridCol w:w="1118"/>
        <w:gridCol w:w="1609"/>
      </w:tblGrid>
      <w:tr w:rsidR="00597370">
        <w:trPr>
          <w:trHeight w:val="397"/>
          <w:jc w:val="center"/>
        </w:trPr>
        <w:sdt>
          <w:sdtPr>
            <w:rPr>
              <w:color w:val="000000" w:themeColor="text1"/>
            </w:rPr>
            <w:tag w:val="_PLD_d91070330c034808b2168b8b81919a89"/>
            <w:id w:val="2064061901"/>
          </w:sdtPr>
          <w:sdtEndPr/>
          <w:sdtContent>
            <w:tc>
              <w:tcPr>
                <w:tcW w:w="798" w:type="pct"/>
                <w:vMerge w:val="restart"/>
                <w:shd w:val="clear" w:color="auto" w:fill="FFFFFF"/>
                <w:vAlign w:val="center"/>
              </w:tcPr>
              <w:p w:rsidR="00597370" w:rsidRDefault="003C2EEE">
                <w:pPr>
                  <w:widowControl w:val="0"/>
                  <w:jc w:val="center"/>
                  <w:rPr>
                    <w:color w:val="000000" w:themeColor="text1"/>
                  </w:rPr>
                </w:pPr>
                <w:r>
                  <w:rPr>
                    <w:color w:val="000000" w:themeColor="text1"/>
                  </w:rPr>
                  <w:t>类别</w:t>
                </w:r>
              </w:p>
            </w:tc>
          </w:sdtContent>
        </w:sdt>
        <w:sdt>
          <w:sdtPr>
            <w:rPr>
              <w:color w:val="000000" w:themeColor="text1"/>
            </w:rPr>
            <w:tag w:val="_PLD_60ccbd20c2d8456995a587f893de4932"/>
            <w:id w:val="-1814554822"/>
          </w:sdtPr>
          <w:sdtEndPr/>
          <w:sdtContent>
            <w:tc>
              <w:tcPr>
                <w:tcW w:w="850" w:type="pct"/>
                <w:vMerge w:val="restart"/>
                <w:shd w:val="clear" w:color="auto" w:fill="FFFFFF"/>
                <w:vAlign w:val="center"/>
              </w:tcPr>
              <w:p w:rsidR="00597370" w:rsidRDefault="003C2EEE">
                <w:pPr>
                  <w:widowControl w:val="0"/>
                  <w:jc w:val="center"/>
                  <w:rPr>
                    <w:color w:val="000000" w:themeColor="text1"/>
                  </w:rPr>
                </w:pPr>
                <w:r>
                  <w:rPr>
                    <w:color w:val="000000" w:themeColor="text1"/>
                  </w:rPr>
                  <w:t>期初余额</w:t>
                </w:r>
              </w:p>
            </w:tc>
          </w:sdtContent>
        </w:sdt>
        <w:sdt>
          <w:sdtPr>
            <w:rPr>
              <w:color w:val="000000" w:themeColor="text1"/>
            </w:rPr>
            <w:tag w:val="_PLD_742c587d8e0148bf971392aa01bf66de"/>
            <w:id w:val="1250852464"/>
          </w:sdtPr>
          <w:sdtEndPr/>
          <w:sdtContent>
            <w:tc>
              <w:tcPr>
                <w:tcW w:w="2390" w:type="pct"/>
                <w:gridSpan w:val="4"/>
                <w:shd w:val="clear" w:color="auto" w:fill="FFFFFF"/>
                <w:vAlign w:val="center"/>
              </w:tcPr>
              <w:p w:rsidR="00597370" w:rsidRDefault="003C2EEE">
                <w:pPr>
                  <w:widowControl w:val="0"/>
                  <w:jc w:val="center"/>
                  <w:rPr>
                    <w:color w:val="000000" w:themeColor="text1"/>
                  </w:rPr>
                </w:pPr>
                <w:r>
                  <w:rPr>
                    <w:rFonts w:hint="eastAsia"/>
                    <w:color w:val="000000" w:themeColor="text1"/>
                  </w:rPr>
                  <w:t>本期变动</w:t>
                </w:r>
                <w:r>
                  <w:rPr>
                    <w:color w:val="000000" w:themeColor="text1"/>
                  </w:rPr>
                  <w:t>金额</w:t>
                </w:r>
              </w:p>
            </w:tc>
          </w:sdtContent>
        </w:sdt>
        <w:sdt>
          <w:sdtPr>
            <w:rPr>
              <w:color w:val="000000" w:themeColor="text1"/>
            </w:rPr>
            <w:tag w:val="_PLD_e573bb55483f4ff8b7343b703edf5fab"/>
            <w:id w:val="-281497144"/>
          </w:sdtPr>
          <w:sdtEndPr/>
          <w:sdtContent>
            <w:tc>
              <w:tcPr>
                <w:tcW w:w="960" w:type="pct"/>
                <w:vMerge w:val="restart"/>
                <w:shd w:val="clear" w:color="auto" w:fill="FFFFFF"/>
                <w:vAlign w:val="center"/>
              </w:tcPr>
              <w:p w:rsidR="00597370" w:rsidRDefault="003C2EEE">
                <w:pPr>
                  <w:widowControl w:val="0"/>
                  <w:jc w:val="center"/>
                  <w:rPr>
                    <w:color w:val="000000" w:themeColor="text1"/>
                  </w:rPr>
                </w:pPr>
                <w:r>
                  <w:rPr>
                    <w:color w:val="000000" w:themeColor="text1"/>
                  </w:rPr>
                  <w:t>期末余额</w:t>
                </w:r>
              </w:p>
            </w:tc>
          </w:sdtContent>
        </w:sdt>
      </w:tr>
      <w:tr w:rsidR="00597370">
        <w:trPr>
          <w:trHeight w:val="397"/>
          <w:jc w:val="center"/>
        </w:trPr>
        <w:tc>
          <w:tcPr>
            <w:tcW w:w="798" w:type="pct"/>
            <w:vMerge/>
            <w:shd w:val="clear" w:color="auto" w:fill="FFFFFF"/>
          </w:tcPr>
          <w:p w:rsidR="00597370" w:rsidRDefault="00597370">
            <w:pPr>
              <w:widowControl w:val="0"/>
              <w:jc w:val="center"/>
              <w:rPr>
                <w:color w:val="000000" w:themeColor="text1"/>
              </w:rPr>
            </w:pPr>
          </w:p>
        </w:tc>
        <w:tc>
          <w:tcPr>
            <w:tcW w:w="850" w:type="pct"/>
            <w:vMerge/>
            <w:shd w:val="clear" w:color="auto" w:fill="FFFFFF"/>
          </w:tcPr>
          <w:p w:rsidR="00597370" w:rsidRDefault="00597370">
            <w:pPr>
              <w:widowControl w:val="0"/>
              <w:jc w:val="right"/>
              <w:rPr>
                <w:color w:val="000000" w:themeColor="text1"/>
              </w:rPr>
            </w:pPr>
          </w:p>
        </w:tc>
        <w:sdt>
          <w:sdtPr>
            <w:rPr>
              <w:color w:val="000000" w:themeColor="text1"/>
            </w:rPr>
            <w:tag w:val="_PLD_77edaeb5d0ba4895bf03260caf79609a"/>
            <w:id w:val="-1484933316"/>
          </w:sdtPr>
          <w:sdtEndPr/>
          <w:sdtContent>
            <w:tc>
              <w:tcPr>
                <w:tcW w:w="705" w:type="pct"/>
                <w:shd w:val="clear" w:color="auto" w:fill="FFFFFF"/>
                <w:vAlign w:val="center"/>
              </w:tcPr>
              <w:p w:rsidR="00597370" w:rsidRDefault="003C2EEE">
                <w:pPr>
                  <w:widowControl w:val="0"/>
                  <w:jc w:val="center"/>
                  <w:rPr>
                    <w:color w:val="000000" w:themeColor="text1"/>
                  </w:rPr>
                </w:pPr>
                <w:r>
                  <w:rPr>
                    <w:color w:val="000000" w:themeColor="text1"/>
                  </w:rPr>
                  <w:t>计提</w:t>
                </w:r>
              </w:p>
            </w:tc>
          </w:sdtContent>
        </w:sdt>
        <w:sdt>
          <w:sdtPr>
            <w:rPr>
              <w:color w:val="000000" w:themeColor="text1"/>
            </w:rPr>
            <w:tag w:val="_PLD_07e66fa953b04e198132856ff978b12d"/>
            <w:id w:val="-391586138"/>
          </w:sdtPr>
          <w:sdtEndPr/>
          <w:sdtContent>
            <w:tc>
              <w:tcPr>
                <w:tcW w:w="498" w:type="pct"/>
                <w:shd w:val="clear" w:color="auto" w:fill="FFFFFF"/>
                <w:vAlign w:val="center"/>
              </w:tcPr>
              <w:p w:rsidR="00597370" w:rsidRDefault="003C2EEE">
                <w:pPr>
                  <w:widowControl w:val="0"/>
                  <w:jc w:val="center"/>
                  <w:rPr>
                    <w:color w:val="000000" w:themeColor="text1"/>
                  </w:rPr>
                </w:pPr>
                <w:r>
                  <w:rPr>
                    <w:rFonts w:hint="eastAsia"/>
                    <w:color w:val="000000" w:themeColor="text1"/>
                  </w:rPr>
                  <w:t>收回或转回</w:t>
                </w:r>
              </w:p>
            </w:tc>
          </w:sdtContent>
        </w:sdt>
        <w:tc>
          <w:tcPr>
            <w:tcW w:w="520" w:type="pct"/>
            <w:shd w:val="clear" w:color="auto" w:fill="FFFFFF"/>
            <w:vAlign w:val="center"/>
          </w:tcPr>
          <w:sdt>
            <w:sdtPr>
              <w:rPr>
                <w:rFonts w:hint="eastAsia"/>
                <w:color w:val="000000" w:themeColor="text1"/>
              </w:rPr>
              <w:tag w:val="_PLD_659150d8a45b4fe4aa5b1a76230550df"/>
              <w:id w:val="50892359"/>
            </w:sdtPr>
            <w:sdtEndPr/>
            <w:sdtContent>
              <w:p w:rsidR="00597370" w:rsidRDefault="003C2EEE">
                <w:pPr>
                  <w:widowControl w:val="0"/>
                  <w:jc w:val="center"/>
                  <w:rPr>
                    <w:color w:val="000000" w:themeColor="text1"/>
                  </w:rPr>
                </w:pPr>
                <w:r>
                  <w:rPr>
                    <w:rFonts w:hint="eastAsia"/>
                    <w:color w:val="000000" w:themeColor="text1"/>
                  </w:rPr>
                  <w:t>转销或核销</w:t>
                </w:r>
              </w:p>
            </w:sdtContent>
          </w:sdt>
        </w:tc>
        <w:tc>
          <w:tcPr>
            <w:tcW w:w="664" w:type="pct"/>
            <w:shd w:val="clear" w:color="auto" w:fill="FFFFFF"/>
            <w:vAlign w:val="center"/>
          </w:tcPr>
          <w:sdt>
            <w:sdtPr>
              <w:rPr>
                <w:rFonts w:hint="eastAsia"/>
                <w:color w:val="000000" w:themeColor="text1"/>
              </w:rPr>
              <w:tag w:val="_PLD_b2f39b7c7250417f9d0d6e05c18ae503"/>
              <w:id w:val="-2038651597"/>
            </w:sdtPr>
            <w:sdtEndPr/>
            <w:sdtContent>
              <w:p w:rsidR="00597370" w:rsidRDefault="003C2EEE">
                <w:pPr>
                  <w:widowControl w:val="0"/>
                  <w:jc w:val="center"/>
                  <w:rPr>
                    <w:color w:val="000000" w:themeColor="text1"/>
                  </w:rPr>
                </w:pPr>
                <w:r>
                  <w:rPr>
                    <w:rFonts w:hint="eastAsia"/>
                    <w:color w:val="000000" w:themeColor="text1"/>
                  </w:rPr>
                  <w:t>合并范围内增加</w:t>
                </w:r>
              </w:p>
            </w:sdtContent>
          </w:sdt>
        </w:tc>
        <w:tc>
          <w:tcPr>
            <w:tcW w:w="960" w:type="pct"/>
            <w:vMerge/>
            <w:shd w:val="clear" w:color="auto" w:fill="FFFFFF"/>
          </w:tcPr>
          <w:p w:rsidR="00597370" w:rsidRDefault="00597370">
            <w:pPr>
              <w:widowControl w:val="0"/>
              <w:jc w:val="right"/>
              <w:rPr>
                <w:color w:val="000000" w:themeColor="text1"/>
              </w:rPr>
            </w:pPr>
          </w:p>
        </w:tc>
      </w:tr>
      <w:tr w:rsidR="00597370">
        <w:trPr>
          <w:trHeight w:val="397"/>
          <w:jc w:val="center"/>
        </w:trPr>
        <w:tc>
          <w:tcPr>
            <w:tcW w:w="798" w:type="pct"/>
            <w:shd w:val="clear" w:color="auto" w:fill="auto"/>
            <w:vAlign w:val="center"/>
          </w:tcPr>
          <w:p w:rsidR="00597370" w:rsidRDefault="003C2EEE">
            <w:pPr>
              <w:widowControl w:val="0"/>
            </w:pPr>
            <w:r>
              <w:rPr>
                <w:rFonts w:hint="eastAsia"/>
              </w:rPr>
              <w:t>按组合计提预期信用损失的应收票据</w:t>
            </w:r>
          </w:p>
        </w:tc>
        <w:tc>
          <w:tcPr>
            <w:tcW w:w="850" w:type="pct"/>
            <w:shd w:val="clear" w:color="auto" w:fill="auto"/>
            <w:vAlign w:val="center"/>
          </w:tcPr>
          <w:p w:rsidR="00597370" w:rsidRDefault="003C2EEE">
            <w:pPr>
              <w:widowControl w:val="0"/>
              <w:jc w:val="center"/>
              <w:rPr>
                <w:sz w:val="20"/>
                <w:szCs w:val="20"/>
              </w:rPr>
            </w:pPr>
            <w:r>
              <w:rPr>
                <w:color w:val="000000"/>
                <w:sz w:val="18"/>
                <w:szCs w:val="18"/>
              </w:rPr>
              <w:t>7,057,623.47</w:t>
            </w:r>
          </w:p>
        </w:tc>
        <w:tc>
          <w:tcPr>
            <w:tcW w:w="705" w:type="pct"/>
            <w:shd w:val="clear" w:color="auto" w:fill="auto"/>
            <w:vAlign w:val="center"/>
          </w:tcPr>
          <w:p w:rsidR="00597370" w:rsidRDefault="003C2EEE">
            <w:pPr>
              <w:widowControl w:val="0"/>
              <w:jc w:val="center"/>
              <w:rPr>
                <w:sz w:val="20"/>
                <w:szCs w:val="20"/>
              </w:rPr>
            </w:pPr>
            <w:r>
              <w:rPr>
                <w:color w:val="000000"/>
                <w:sz w:val="16"/>
                <w:szCs w:val="16"/>
              </w:rPr>
              <w:t>4,274,185.16</w:t>
            </w:r>
          </w:p>
        </w:tc>
        <w:tc>
          <w:tcPr>
            <w:tcW w:w="498" w:type="pct"/>
            <w:shd w:val="clear" w:color="auto" w:fill="auto"/>
            <w:vAlign w:val="center"/>
          </w:tcPr>
          <w:p w:rsidR="00597370" w:rsidRDefault="003C2EEE">
            <w:pPr>
              <w:widowControl w:val="0"/>
              <w:jc w:val="center"/>
              <w:rPr>
                <w:sz w:val="20"/>
                <w:szCs w:val="20"/>
              </w:rPr>
            </w:pPr>
            <w:r>
              <w:rPr>
                <w:color w:val="000000"/>
                <w:sz w:val="18"/>
                <w:szCs w:val="18"/>
              </w:rPr>
              <w:t>-</w:t>
            </w:r>
          </w:p>
        </w:tc>
        <w:tc>
          <w:tcPr>
            <w:tcW w:w="520" w:type="pct"/>
            <w:vAlign w:val="center"/>
          </w:tcPr>
          <w:p w:rsidR="00597370" w:rsidRDefault="003C2EEE">
            <w:pPr>
              <w:widowControl w:val="0"/>
              <w:jc w:val="center"/>
              <w:rPr>
                <w:sz w:val="20"/>
                <w:szCs w:val="20"/>
              </w:rPr>
            </w:pPr>
            <w:r>
              <w:rPr>
                <w:color w:val="000000"/>
                <w:sz w:val="18"/>
                <w:szCs w:val="18"/>
              </w:rPr>
              <w:t>-</w:t>
            </w:r>
          </w:p>
        </w:tc>
        <w:tc>
          <w:tcPr>
            <w:tcW w:w="664" w:type="pct"/>
            <w:vAlign w:val="center"/>
          </w:tcPr>
          <w:p w:rsidR="00597370" w:rsidRDefault="003C2EEE">
            <w:pPr>
              <w:widowControl w:val="0"/>
              <w:jc w:val="center"/>
              <w:rPr>
                <w:sz w:val="20"/>
                <w:szCs w:val="20"/>
              </w:rPr>
            </w:pPr>
            <w:r>
              <w:rPr>
                <w:color w:val="000000"/>
                <w:sz w:val="18"/>
                <w:szCs w:val="18"/>
              </w:rPr>
              <w:t>4,573,838.27</w:t>
            </w:r>
          </w:p>
        </w:tc>
        <w:tc>
          <w:tcPr>
            <w:tcW w:w="960" w:type="pct"/>
            <w:shd w:val="clear" w:color="auto" w:fill="auto"/>
            <w:vAlign w:val="center"/>
          </w:tcPr>
          <w:p w:rsidR="00597370" w:rsidRDefault="003C2EEE">
            <w:pPr>
              <w:widowControl w:val="0"/>
              <w:jc w:val="center"/>
              <w:rPr>
                <w:sz w:val="20"/>
                <w:szCs w:val="20"/>
              </w:rPr>
            </w:pPr>
            <w:r>
              <w:rPr>
                <w:color w:val="000000"/>
                <w:sz w:val="18"/>
                <w:szCs w:val="18"/>
              </w:rPr>
              <w:t>15,905,646.91</w:t>
            </w:r>
          </w:p>
        </w:tc>
      </w:tr>
      <w:tr w:rsidR="00597370">
        <w:trPr>
          <w:trHeight w:val="397"/>
          <w:jc w:val="center"/>
        </w:trPr>
        <w:tc>
          <w:tcPr>
            <w:tcW w:w="798" w:type="pct"/>
            <w:shd w:val="clear" w:color="auto" w:fill="auto"/>
          </w:tcPr>
          <w:p w:rsidR="00597370" w:rsidRDefault="003C2EEE">
            <w:pPr>
              <w:widowControl w:val="0"/>
              <w:jc w:val="center"/>
              <w:rPr>
                <w:color w:val="000000" w:themeColor="text1"/>
              </w:rPr>
            </w:pPr>
            <w:r>
              <w:rPr>
                <w:rFonts w:hint="eastAsia"/>
                <w:color w:val="000000" w:themeColor="text1"/>
              </w:rPr>
              <w:t>合计</w:t>
            </w:r>
          </w:p>
        </w:tc>
        <w:tc>
          <w:tcPr>
            <w:tcW w:w="850" w:type="pct"/>
            <w:shd w:val="clear" w:color="auto" w:fill="auto"/>
            <w:vAlign w:val="center"/>
          </w:tcPr>
          <w:p w:rsidR="00597370" w:rsidRDefault="003C2EEE">
            <w:pPr>
              <w:widowControl w:val="0"/>
              <w:jc w:val="center"/>
              <w:rPr>
                <w:sz w:val="20"/>
                <w:szCs w:val="20"/>
              </w:rPr>
            </w:pPr>
            <w:r>
              <w:rPr>
                <w:color w:val="000000"/>
                <w:sz w:val="18"/>
                <w:szCs w:val="18"/>
              </w:rPr>
              <w:t>7,057,623.47</w:t>
            </w:r>
          </w:p>
        </w:tc>
        <w:tc>
          <w:tcPr>
            <w:tcW w:w="705" w:type="pct"/>
            <w:shd w:val="clear" w:color="auto" w:fill="auto"/>
            <w:vAlign w:val="center"/>
          </w:tcPr>
          <w:p w:rsidR="00597370" w:rsidRDefault="003C2EEE">
            <w:pPr>
              <w:widowControl w:val="0"/>
              <w:jc w:val="center"/>
              <w:rPr>
                <w:sz w:val="20"/>
                <w:szCs w:val="20"/>
              </w:rPr>
            </w:pPr>
            <w:r>
              <w:rPr>
                <w:color w:val="000000"/>
                <w:sz w:val="16"/>
                <w:szCs w:val="16"/>
              </w:rPr>
              <w:t>4,274,185.16</w:t>
            </w:r>
          </w:p>
        </w:tc>
        <w:tc>
          <w:tcPr>
            <w:tcW w:w="498" w:type="pct"/>
            <w:shd w:val="clear" w:color="auto" w:fill="auto"/>
            <w:vAlign w:val="center"/>
          </w:tcPr>
          <w:p w:rsidR="00597370" w:rsidRDefault="003C2EEE">
            <w:pPr>
              <w:widowControl w:val="0"/>
              <w:jc w:val="center"/>
              <w:rPr>
                <w:sz w:val="20"/>
                <w:szCs w:val="20"/>
              </w:rPr>
            </w:pPr>
            <w:r>
              <w:rPr>
                <w:color w:val="000000"/>
                <w:sz w:val="18"/>
                <w:szCs w:val="18"/>
              </w:rPr>
              <w:t>-</w:t>
            </w:r>
          </w:p>
        </w:tc>
        <w:tc>
          <w:tcPr>
            <w:tcW w:w="520" w:type="pct"/>
            <w:vAlign w:val="center"/>
          </w:tcPr>
          <w:p w:rsidR="00597370" w:rsidRDefault="003C2EEE">
            <w:pPr>
              <w:widowControl w:val="0"/>
              <w:jc w:val="center"/>
              <w:rPr>
                <w:sz w:val="20"/>
                <w:szCs w:val="20"/>
              </w:rPr>
            </w:pPr>
            <w:r>
              <w:rPr>
                <w:color w:val="000000"/>
                <w:sz w:val="18"/>
                <w:szCs w:val="18"/>
              </w:rPr>
              <w:t>-</w:t>
            </w:r>
          </w:p>
        </w:tc>
        <w:tc>
          <w:tcPr>
            <w:tcW w:w="664" w:type="pct"/>
            <w:vAlign w:val="center"/>
          </w:tcPr>
          <w:p w:rsidR="00597370" w:rsidRDefault="003C2EEE">
            <w:pPr>
              <w:widowControl w:val="0"/>
              <w:jc w:val="center"/>
              <w:rPr>
                <w:sz w:val="20"/>
                <w:szCs w:val="20"/>
              </w:rPr>
            </w:pPr>
            <w:r>
              <w:rPr>
                <w:color w:val="000000"/>
                <w:sz w:val="18"/>
                <w:szCs w:val="18"/>
              </w:rPr>
              <w:t>4,573,838.27</w:t>
            </w:r>
          </w:p>
        </w:tc>
        <w:tc>
          <w:tcPr>
            <w:tcW w:w="960" w:type="pct"/>
            <w:shd w:val="clear" w:color="auto" w:fill="auto"/>
            <w:vAlign w:val="center"/>
          </w:tcPr>
          <w:p w:rsidR="00597370" w:rsidRDefault="003C2EEE">
            <w:pPr>
              <w:widowControl w:val="0"/>
              <w:jc w:val="center"/>
              <w:rPr>
                <w:sz w:val="20"/>
                <w:szCs w:val="20"/>
              </w:rPr>
            </w:pPr>
            <w:r>
              <w:rPr>
                <w:color w:val="000000"/>
                <w:sz w:val="18"/>
                <w:szCs w:val="18"/>
              </w:rPr>
              <w:t>15,905,646.91</w:t>
            </w: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其中本期坏账准备收回或转回金额重要的：</w:t>
      </w:r>
    </w:p>
    <w:sdt>
      <w:sdtPr>
        <w:rPr>
          <w:rFonts w:hint="eastAsia"/>
          <w:color w:val="000000" w:themeColor="text1"/>
        </w:rPr>
        <w:alias w:val="是否适用：应收票据本期坏账准备收回或转回金额重要的[双击切换]"/>
        <w:tag w:val="_GBC_ebd5833e36984f6f9c7dc0fec90cccc0"/>
        <w:id w:val="-1370307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rFonts w:cstheme="minorBidi"/>
          <w:color w:val="000000" w:themeColor="text1"/>
          <w:szCs w:val="22"/>
        </w:rPr>
        <w:alias w:val="应收票据坏账准备的其他说明"/>
        <w:tag w:val="_GBC_06a2eec03f574dd1baa82ec8987eaf65"/>
        <w:id w:val="1600604473"/>
        <w:placeholder>
          <w:docPart w:val="GBC22222222222222222222222222222"/>
        </w:placeholder>
      </w:sdtPr>
      <w:sdtEndPr>
        <w:rPr>
          <w:rFonts w:asciiTheme="minorHAnsi" w:hAnsiTheme="minorHAnsi"/>
          <w:b/>
        </w:rPr>
      </w:sdtEndPr>
      <w:sdtContent>
        <w:p w:rsidR="00597370" w:rsidRDefault="003C2EEE">
          <w:pPr>
            <w:rPr>
              <w:rFonts w:asciiTheme="minorHAnsi" w:hAnsiTheme="minorHAnsi" w:cstheme="minorBidi"/>
              <w:b/>
              <w:color w:val="000000" w:themeColor="text1"/>
              <w:szCs w:val="22"/>
            </w:rPr>
          </w:pPr>
          <w:r>
            <w:rPr>
              <w:rFonts w:cstheme="minorBidi" w:hint="eastAsia"/>
              <w:color w:val="000000" w:themeColor="text1"/>
              <w:szCs w:val="22"/>
            </w:rPr>
            <w:t>无</w:t>
          </w:r>
        </w:p>
      </w:sdtContent>
    </w:sdt>
    <w:p w:rsidR="00597370" w:rsidRDefault="003C2EEE">
      <w:pPr>
        <w:pStyle w:val="Style110"/>
        <w:numPr>
          <w:ilvl w:val="3"/>
          <w:numId w:val="47"/>
        </w:numPr>
        <w:rPr>
          <w:rFonts w:ascii="宋体" w:hAnsi="宋体"/>
          <w:color w:val="000000" w:themeColor="text1"/>
        </w:rPr>
      </w:pPr>
      <w:bookmarkStart w:id="166" w:name="_Hlk10466841"/>
      <w:bookmarkStart w:id="167" w:name="_Hlk10466853"/>
      <w:bookmarkEnd w:id="163"/>
      <w:bookmarkEnd w:id="164"/>
      <w:bookmarkEnd w:id="165"/>
      <w:r>
        <w:rPr>
          <w:rFonts w:ascii="宋体" w:hAnsi="宋体" w:hint="eastAsia"/>
          <w:color w:val="000000" w:themeColor="text1"/>
        </w:rPr>
        <w:lastRenderedPageBreak/>
        <w:t>本期实际核销的应收票据情况</w:t>
      </w:r>
      <w:bookmarkEnd w:id="166"/>
    </w:p>
    <w:sdt>
      <w:sdtPr>
        <w:rPr>
          <w:color w:val="000000" w:themeColor="text1"/>
        </w:rPr>
        <w:alias w:val="是否适用：实际核销的应收票据[双击切换]"/>
        <w:tag w:val="_GBC_d0dcbb36ec68469bb29eac25b4a7af19"/>
        <w:id w:val="15180376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其中重要的应收票据核销情况：</w:t>
      </w:r>
    </w:p>
    <w:sdt>
      <w:sdtPr>
        <w:rPr>
          <w:color w:val="000000" w:themeColor="text1"/>
        </w:rPr>
        <w:alias w:val="是否适用：重要的应收票据核销[双击切换]"/>
        <w:tag w:val="_GBC_e2717d0c54ea4f5eb5b1671a3c798609"/>
        <w:id w:val="164594071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应收票据核销说明：</w:t>
      </w:r>
    </w:p>
    <w:sdt>
      <w:sdtPr>
        <w:rPr>
          <w:rFonts w:cstheme="minorBidi"/>
          <w:color w:val="000000" w:themeColor="text1"/>
          <w:szCs w:val="22"/>
        </w:rPr>
        <w:alias w:val="是否适用：应收票据核销说明[双击切换]"/>
        <w:tag w:val="_GBC_60d1268fdde049f1971e1a68d97580f2"/>
        <w:id w:val="1240755076"/>
        <w:placeholder>
          <w:docPart w:val="GBC22222222222222222222222222222"/>
        </w:placeholder>
      </w:sdtPr>
      <w:sdtEndPr/>
      <w:sdtContent>
        <w:p w:rsidR="00597370" w:rsidRDefault="003C2EEE">
          <w:pPr>
            <w:rPr>
              <w:rFonts w:cstheme="minorBidi"/>
              <w:color w:val="000000" w:themeColor="text1"/>
              <w:szCs w:val="22"/>
            </w:rPr>
          </w:pPr>
          <w:r>
            <w:rPr>
              <w:rFonts w:cstheme="minorBidi"/>
              <w:color w:val="000000" w:themeColor="text1"/>
              <w:szCs w:val="22"/>
            </w:rPr>
            <w:fldChar w:fldCharType="begin"/>
          </w:r>
          <w:r>
            <w:rPr>
              <w:rFonts w:cstheme="minorBidi"/>
              <w:color w:val="000000" w:themeColor="text1"/>
              <w:szCs w:val="22"/>
            </w:rPr>
            <w:instrText xml:space="preserve"> MACROBUTTON  SnrToggleCheckbox □适用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color w:val="000000" w:themeColor="text1"/>
              <w:szCs w:val="22"/>
            </w:rPr>
            <w:fldChar w:fldCharType="end"/>
          </w:r>
        </w:p>
      </w:sdtContent>
    </w:sdt>
    <w:bookmarkEnd w:id="167"/>
    <w:p w:rsidR="00597370" w:rsidRDefault="003C2EEE">
      <w:pPr>
        <w:rPr>
          <w:color w:val="000000" w:themeColor="text1"/>
        </w:rPr>
      </w:pPr>
      <w:r>
        <w:rPr>
          <w:rFonts w:hint="eastAsia"/>
          <w:color w:val="000000" w:themeColor="text1"/>
        </w:rPr>
        <w:t>其他说明：</w:t>
      </w:r>
    </w:p>
    <w:sdt>
      <w:sdtPr>
        <w:rPr>
          <w:color w:val="000000" w:themeColor="text1"/>
        </w:rPr>
        <w:alias w:val="是否适用：应收票据的说明[双击切换]"/>
        <w:tag w:val="_GBC_704e24e70b65463883e10335ce93a1ac"/>
        <w:id w:val="21471091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rPr>
          <w:rFonts w:ascii="宋体" w:hAnsi="宋体"/>
          <w:color w:val="000000" w:themeColor="text1"/>
        </w:rPr>
      </w:pPr>
      <w:r>
        <w:rPr>
          <w:rFonts w:ascii="宋体" w:hAnsi="宋体" w:hint="eastAsia"/>
          <w:color w:val="000000" w:themeColor="text1"/>
        </w:rPr>
        <w:t>应收账款</w:t>
      </w:r>
    </w:p>
    <w:p w:rsidR="00597370" w:rsidRDefault="003C2EEE">
      <w:pPr>
        <w:pStyle w:val="Style110"/>
        <w:numPr>
          <w:ilvl w:val="3"/>
          <w:numId w:val="48"/>
        </w:numPr>
        <w:ind w:left="426" w:hanging="426"/>
        <w:rPr>
          <w:color w:val="000000" w:themeColor="text1"/>
        </w:rPr>
      </w:pPr>
      <w:bookmarkStart w:id="168" w:name="_Hlk167885161"/>
      <w:proofErr w:type="gramStart"/>
      <w:r>
        <w:rPr>
          <w:rFonts w:hint="eastAsia"/>
          <w:color w:val="000000" w:themeColor="text1"/>
        </w:rPr>
        <w:t>按账龄</w:t>
      </w:r>
      <w:proofErr w:type="gramEnd"/>
      <w:r>
        <w:rPr>
          <w:rFonts w:hint="eastAsia"/>
          <w:color w:val="000000" w:themeColor="text1"/>
        </w:rPr>
        <w:t>披露</w:t>
      </w:r>
    </w:p>
    <w:sdt>
      <w:sdtPr>
        <w:rPr>
          <w:rFonts w:hint="eastAsia"/>
          <w:color w:val="000000" w:themeColor="text1"/>
        </w:rPr>
        <w:alias w:val="是否适用：组合中，按账龄分析法计提坏账准备的应收账款[双击切换]"/>
        <w:tag w:val="_GBC_0cb5a49c5db74995bd3018603d9e51bd"/>
        <w:id w:val="-138239804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单项金额不重大但按信用风险特征组合后该组合的风险较大的应收账款"/>
          <w:tag w:val="_GBC_265ded289d9549b48b782b655857ce0f"/>
          <w:id w:val="2820822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单项金额不重大但按信用风险特征组合后该组合的风险较大的应收账款"/>
          <w:tag w:val="_GBC_180ea8d33f6444f78eff9694acd980ae"/>
          <w:id w:val="5362398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873"/>
        <w:gridCol w:w="2975"/>
        <w:gridCol w:w="2975"/>
      </w:tblGrid>
      <w:tr w:rsidR="00597370">
        <w:trPr>
          <w:cantSplit/>
          <w:trHeight w:val="397"/>
          <w:jc w:val="center"/>
        </w:trPr>
        <w:sdt>
          <w:sdtPr>
            <w:rPr>
              <w:color w:val="000000" w:themeColor="text1"/>
            </w:rPr>
            <w:tag w:val="_PLD_213499a1ef1849a6bacc47a55e2a94f7"/>
            <w:id w:val="1076326741"/>
          </w:sdtPr>
          <w:sdtEndPr/>
          <w:sdtContent>
            <w:tc>
              <w:tcPr>
                <w:tcW w:w="1628"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账龄</w:t>
                </w:r>
              </w:p>
            </w:tc>
          </w:sdtContent>
        </w:sdt>
        <w:sdt>
          <w:sdtPr>
            <w:rPr>
              <w:color w:val="000000" w:themeColor="text1"/>
            </w:rPr>
            <w:tag w:val="_PLD_80e3ddf3d703438d9bc59aba1626c89f"/>
            <w:id w:val="615796377"/>
          </w:sdtPr>
          <w:sdtEndPr/>
          <w:sdtContent>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期末账面余额</w:t>
                </w:r>
              </w:p>
            </w:tc>
          </w:sdtContent>
        </w:sdt>
        <w:sdt>
          <w:sdtPr>
            <w:rPr>
              <w:rFonts w:hint="eastAsia"/>
              <w:color w:val="000000" w:themeColor="text1"/>
            </w:rPr>
            <w:tag w:val="_PLD_4acf836dd5254d2ba9d541e7076daad6"/>
            <w:id w:val="-1517221886"/>
          </w:sdtPr>
          <w:sdtEndPr/>
          <w:sdtContent>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期初账面余额</w:t>
                </w:r>
              </w:p>
            </w:tc>
          </w:sdtContent>
        </w:sdt>
      </w:tr>
      <w:tr w:rsidR="00597370">
        <w:trPr>
          <w:cantSplit/>
          <w:trHeight w:val="397"/>
          <w:jc w:val="center"/>
        </w:trPr>
        <w:sdt>
          <w:sdtPr>
            <w:rPr>
              <w:color w:val="000000" w:themeColor="text1"/>
            </w:rPr>
            <w:tag w:val="_PLD_37c8ceb117234cbb9f63d89ba7fd1656"/>
            <w:id w:val="-2068719974"/>
          </w:sdtPr>
          <w:sdtEndPr/>
          <w:sdtContent>
            <w:tc>
              <w:tcPr>
                <w:tcW w:w="5000" w:type="pct"/>
                <w:gridSpan w:val="3"/>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proofErr w:type="gramStart"/>
                <w:r>
                  <w:rPr>
                    <w:rFonts w:hint="eastAsia"/>
                    <w:color w:val="000000" w:themeColor="text1"/>
                  </w:rPr>
                  <w:t>1年以内</w:t>
                </w:r>
                <w:proofErr w:type="gramEnd"/>
              </w:p>
            </w:tc>
          </w:sdtContent>
        </w:sdt>
      </w:tr>
      <w:tr w:rsidR="00597370">
        <w:trPr>
          <w:cantSplit/>
          <w:trHeight w:val="397"/>
          <w:jc w:val="center"/>
        </w:trPr>
        <w:sdt>
          <w:sdtPr>
            <w:rPr>
              <w:color w:val="000000" w:themeColor="text1"/>
            </w:rPr>
            <w:tag w:val="_PLD_5dbb08f253e945cb85c3a63533465ab0"/>
            <w:id w:val="902181572"/>
          </w:sdtPr>
          <w:sdtEndPr/>
          <w:sdtContent>
            <w:tc>
              <w:tcPr>
                <w:tcW w:w="5000" w:type="pct"/>
                <w:gridSpan w:val="3"/>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其中：1年以内分项</w:t>
                </w:r>
              </w:p>
            </w:tc>
          </w:sdtContent>
        </w:sdt>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tcPr>
          <w:p w:rsidR="00597370" w:rsidRDefault="003C2EEE">
            <w:pPr>
              <w:pStyle w:val="Style106"/>
            </w:pPr>
            <w:r>
              <w:t>1年以内</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1,192,271,212.55</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816,518,624.11</w:t>
            </w:r>
          </w:p>
        </w:tc>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1年以内小计</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1,192,271,212.55</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816,518,624.11</w:t>
            </w:r>
          </w:p>
        </w:tc>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1至2年</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330,228,252.73</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140,096,874.61</w:t>
            </w:r>
          </w:p>
        </w:tc>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2至3年</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108,415,817.25</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51,474,167.07</w:t>
            </w:r>
          </w:p>
        </w:tc>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3年以上</w:t>
            </w:r>
          </w:p>
        </w:tc>
        <w:tc>
          <w:tcPr>
            <w:tcW w:w="168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3至4年</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47,500,385.33</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38,017,112.46</w:t>
            </w:r>
          </w:p>
        </w:tc>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4至5年</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20,850,729.79</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13,094,331.20</w:t>
            </w:r>
          </w:p>
        </w:tc>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5年以上</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41,623,217.74</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19,798,257.16</w:t>
            </w:r>
          </w:p>
        </w:tc>
      </w:tr>
      <w:tr w:rsidR="00597370">
        <w:trPr>
          <w:cantSplit/>
          <w:trHeight w:val="397"/>
          <w:jc w:val="center"/>
        </w:trPr>
        <w:tc>
          <w:tcPr>
            <w:tcW w:w="1628"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合计</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1,740,889,615.39</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1,078,999,366.61</w:t>
            </w:r>
          </w:p>
        </w:tc>
      </w:tr>
    </w:tbl>
    <w:p w:rsidR="00597370" w:rsidRDefault="00597370">
      <w:pPr>
        <w:rPr>
          <w:color w:val="000000" w:themeColor="text1"/>
        </w:rPr>
      </w:pPr>
    </w:p>
    <w:p w:rsidR="00597370" w:rsidRDefault="003C2EEE">
      <w:pPr>
        <w:pStyle w:val="Style110"/>
        <w:numPr>
          <w:ilvl w:val="3"/>
          <w:numId w:val="48"/>
        </w:numPr>
        <w:ind w:left="426" w:hanging="426"/>
        <w:rPr>
          <w:color w:val="000000" w:themeColor="text1"/>
        </w:rPr>
      </w:pPr>
      <w:bookmarkStart w:id="169" w:name="_Hlk10467162"/>
      <w:bookmarkEnd w:id="168"/>
      <w:r>
        <w:rPr>
          <w:rFonts w:hint="eastAsia"/>
          <w:color w:val="000000" w:themeColor="text1"/>
        </w:rPr>
        <w:t>按坏账计提方法分类披露</w:t>
      </w:r>
    </w:p>
    <w:sdt>
      <w:sdtPr>
        <w:rPr>
          <w:color w:val="000000" w:themeColor="text1"/>
        </w:rPr>
        <w:alias w:val="是否适用：应收账款分类披露[双击切换]"/>
        <w:tag w:val="_GBC_fc55e6778e08412caa3e7b9e7a1a0f85"/>
        <w:id w:val="-430818705"/>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应收账款按种类披露"/>
          <w:tag w:val="_GBC_13874a7a2d5642bc9d06df2e53ad133f"/>
          <w:id w:val="-2136605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应收账款按种类披露"/>
          <w:tag w:val="_GBC_a7c9ba83409d4f5ebb3a7b0903842485"/>
          <w:id w:val="4664734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4A0" w:firstRow="1" w:lastRow="0" w:firstColumn="1" w:lastColumn="0" w:noHBand="0" w:noVBand="1"/>
      </w:tblPr>
      <w:tblGrid>
        <w:gridCol w:w="204"/>
        <w:gridCol w:w="1204"/>
        <w:gridCol w:w="420"/>
        <w:gridCol w:w="1062"/>
        <w:gridCol w:w="416"/>
        <w:gridCol w:w="1205"/>
        <w:gridCol w:w="1202"/>
        <w:gridCol w:w="420"/>
        <w:gridCol w:w="1062"/>
        <w:gridCol w:w="416"/>
        <w:gridCol w:w="1212"/>
      </w:tblGrid>
      <w:tr w:rsidR="00597370">
        <w:trPr>
          <w:cantSplit/>
          <w:trHeight w:val="259"/>
        </w:trPr>
        <w:bookmarkEnd w:id="169" w:displacedByCustomXml="next"/>
        <w:bookmarkStart w:id="170" w:name="_Hlk10467187" w:displacedByCustomXml="next"/>
        <w:bookmarkStart w:id="171" w:name="_Hlk10467200" w:displacedByCustomXml="next"/>
        <w:sdt>
          <w:sdtPr>
            <w:rPr>
              <w:color w:val="000000" w:themeColor="text1"/>
            </w:rPr>
            <w:tag w:val="_PLD_a2143754c0e847e9a8bbb40d4548066c"/>
            <w:id w:val="1694411492"/>
          </w:sdtPr>
          <w:sdtEndPr/>
          <w:sdtContent>
            <w:tc>
              <w:tcPr>
                <w:tcW w:w="115"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类别</w:t>
                </w:r>
              </w:p>
            </w:tc>
          </w:sdtContent>
        </w:sdt>
        <w:sdt>
          <w:sdtPr>
            <w:rPr>
              <w:color w:val="000000" w:themeColor="text1"/>
            </w:rPr>
            <w:tag w:val="_PLD_25d42b68a0be4b6c9079bb6f0b9688f1"/>
            <w:id w:val="1057133573"/>
          </w:sdtPr>
          <w:sdtEndPr/>
          <w:sdtContent>
            <w:tc>
              <w:tcPr>
                <w:tcW w:w="2441" w:type="pct"/>
                <w:gridSpan w:val="5"/>
                <w:tcBorders>
                  <w:top w:val="single" w:sz="4" w:space="0" w:color="auto"/>
                  <w:left w:val="single" w:sz="4" w:space="0" w:color="auto"/>
                  <w:right w:val="single" w:sz="4" w:space="0" w:color="auto"/>
                </w:tcBorders>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rPr>
              <w:color w:val="000000" w:themeColor="text1"/>
            </w:rPr>
            <w:tag w:val="_PLD_7ebf4817a5864c42bb0897c8ddd0cd9c"/>
            <w:id w:val="-729693162"/>
          </w:sdtPr>
          <w:sdtEndPr/>
          <w:sdtContent>
            <w:tc>
              <w:tcPr>
                <w:tcW w:w="2442" w:type="pct"/>
                <w:gridSpan w:val="5"/>
                <w:tcBorders>
                  <w:top w:val="single" w:sz="4" w:space="0" w:color="auto"/>
                  <w:left w:val="single" w:sz="4" w:space="0" w:color="auto"/>
                  <w:right w:val="single" w:sz="4" w:space="0" w:color="auto"/>
                </w:tcBorders>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597370">
        <w:trPr>
          <w:cantSplit/>
          <w:trHeight w:val="227"/>
        </w:trPr>
        <w:tc>
          <w:tcPr>
            <w:tcW w:w="115" w:type="pct"/>
            <w:vMerge/>
            <w:tcBorders>
              <w:left w:val="single" w:sz="4" w:space="0" w:color="auto"/>
              <w:right w:val="single" w:sz="4" w:space="0" w:color="auto"/>
            </w:tcBorders>
            <w:vAlign w:val="center"/>
          </w:tcPr>
          <w:p w:rsidR="00597370" w:rsidRDefault="00597370">
            <w:pPr>
              <w:rPr>
                <w:color w:val="000000" w:themeColor="text1"/>
              </w:rPr>
            </w:pPr>
          </w:p>
        </w:tc>
        <w:sdt>
          <w:sdtPr>
            <w:rPr>
              <w:color w:val="000000" w:themeColor="text1"/>
            </w:rPr>
            <w:tag w:val="_PLD_fd64cffe158d4ef48a5ff569de778464"/>
            <w:id w:val="-460198402"/>
          </w:sdtPr>
          <w:sdtEndPr/>
          <w:sdtContent>
            <w:tc>
              <w:tcPr>
                <w:tcW w:w="920"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账面余额</w:t>
                </w:r>
              </w:p>
            </w:tc>
          </w:sdtContent>
        </w:sdt>
        <w:sdt>
          <w:sdtPr>
            <w:rPr>
              <w:color w:val="000000" w:themeColor="text1"/>
            </w:rPr>
            <w:tag w:val="_PLD_f0f4adcb95c44cfa884ef7d853d6b134"/>
            <w:id w:val="-1919315155"/>
          </w:sdtPr>
          <w:sdtEnd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坏账准备</w:t>
                </w:r>
              </w:p>
            </w:tc>
          </w:sdtContent>
        </w:sdt>
        <w:sdt>
          <w:sdtPr>
            <w:rPr>
              <w:color w:val="000000" w:themeColor="text1"/>
            </w:rPr>
            <w:tag w:val="_PLD_4c122527ed0743b8905d9f19514f4328"/>
            <w:id w:val="-2070796400"/>
          </w:sdtPr>
          <w:sdtEndPr/>
          <w:sdtContent>
            <w:tc>
              <w:tcPr>
                <w:tcW w:w="682"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w:t>
                </w:r>
              </w:p>
              <w:p w:rsidR="00597370" w:rsidRDefault="003C2EEE">
                <w:pPr>
                  <w:jc w:val="center"/>
                  <w:rPr>
                    <w:color w:val="000000" w:themeColor="text1"/>
                  </w:rPr>
                </w:pPr>
                <w:r>
                  <w:rPr>
                    <w:rFonts w:hint="eastAsia"/>
                    <w:color w:val="000000" w:themeColor="text1"/>
                  </w:rPr>
                  <w:t>价值</w:t>
                </w:r>
              </w:p>
            </w:tc>
          </w:sdtContent>
        </w:sdt>
        <w:sdt>
          <w:sdtPr>
            <w:rPr>
              <w:color w:val="000000" w:themeColor="text1"/>
            </w:rPr>
            <w:tag w:val="_PLD_fa758d9eb4ae426faef8e328262241b4"/>
            <w:id w:val="237062276"/>
          </w:sdtPr>
          <w:sdtEndPr/>
          <w:sdtContent>
            <w:tc>
              <w:tcPr>
                <w:tcW w:w="919" w:type="pct"/>
                <w:gridSpan w:val="2"/>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账面余额</w:t>
                </w:r>
              </w:p>
            </w:tc>
          </w:sdtContent>
        </w:sdt>
        <w:sdt>
          <w:sdtPr>
            <w:rPr>
              <w:color w:val="000000" w:themeColor="text1"/>
            </w:rPr>
            <w:tag w:val="_PLD_58080bac137d4831ab65bc2f8ca82429"/>
            <w:id w:val="1368411628"/>
          </w:sdtPr>
          <w:sdtEndPr/>
          <w:sdtContent>
            <w:tc>
              <w:tcPr>
                <w:tcW w:w="838" w:type="pct"/>
                <w:gridSpan w:val="2"/>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坏账准备</w:t>
                </w:r>
              </w:p>
            </w:tc>
          </w:sdtContent>
        </w:sdt>
        <w:sdt>
          <w:sdtPr>
            <w:rPr>
              <w:color w:val="000000" w:themeColor="text1"/>
            </w:rPr>
            <w:tag w:val="_PLD_c015e43e7b384b6ab9bf259155579fa4"/>
            <w:id w:val="-1721514368"/>
          </w:sdtPr>
          <w:sdtEndPr/>
          <w:sdtContent>
            <w:tc>
              <w:tcPr>
                <w:tcW w:w="684"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w:t>
                </w:r>
              </w:p>
              <w:p w:rsidR="00597370" w:rsidRDefault="003C2EEE">
                <w:pPr>
                  <w:jc w:val="center"/>
                  <w:rPr>
                    <w:color w:val="000000" w:themeColor="text1"/>
                  </w:rPr>
                </w:pPr>
                <w:r>
                  <w:rPr>
                    <w:rFonts w:hint="eastAsia"/>
                    <w:color w:val="000000" w:themeColor="text1"/>
                  </w:rPr>
                  <w:t>价值</w:t>
                </w:r>
              </w:p>
            </w:tc>
          </w:sdtContent>
        </w:sdt>
      </w:tr>
      <w:tr w:rsidR="00597370">
        <w:trPr>
          <w:cantSplit/>
          <w:trHeight w:val="375"/>
        </w:trPr>
        <w:tc>
          <w:tcPr>
            <w:tcW w:w="115" w:type="pct"/>
            <w:vMerge/>
            <w:tcBorders>
              <w:left w:val="single" w:sz="4" w:space="0" w:color="auto"/>
              <w:bottom w:val="single" w:sz="4" w:space="0" w:color="auto"/>
              <w:right w:val="single" w:sz="4" w:space="0" w:color="auto"/>
            </w:tcBorders>
            <w:vAlign w:val="center"/>
          </w:tcPr>
          <w:p w:rsidR="00597370" w:rsidRDefault="00597370">
            <w:pPr>
              <w:rPr>
                <w:color w:val="000000" w:themeColor="text1"/>
              </w:rPr>
            </w:pPr>
          </w:p>
        </w:tc>
        <w:sdt>
          <w:sdtPr>
            <w:rPr>
              <w:color w:val="000000" w:themeColor="text1"/>
            </w:rPr>
            <w:tag w:val="_PLD_2a622138bde346ccae812608989b472d"/>
            <w:id w:val="-1835368573"/>
          </w:sdtPr>
          <w:sdtEndPr/>
          <w:sdtContent>
            <w:tc>
              <w:tcPr>
                <w:tcW w:w="682"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金额</w:t>
                </w:r>
              </w:p>
            </w:tc>
          </w:sdtContent>
        </w:sdt>
        <w:sdt>
          <w:sdtPr>
            <w:rPr>
              <w:color w:val="000000" w:themeColor="text1"/>
            </w:rPr>
            <w:tag w:val="_PLD_abd0e3a320c240aeb85b1414af26aa00"/>
            <w:id w:val="434168603"/>
          </w:sdtPr>
          <w:sdtEndPr/>
          <w:sdtContent>
            <w:tc>
              <w:tcPr>
                <w:tcW w:w="237"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比例</w:t>
                </w:r>
                <w:r>
                  <w:rPr>
                    <w:color w:val="000000" w:themeColor="text1"/>
                  </w:rPr>
                  <w:t>(%)</w:t>
                </w:r>
              </w:p>
            </w:tc>
          </w:sdtContent>
        </w:sdt>
        <w:sdt>
          <w:sdtPr>
            <w:rPr>
              <w:color w:val="000000" w:themeColor="text1"/>
            </w:rPr>
            <w:tag w:val="_PLD_d60468b4e5934fb9af3ebf3b3ca06a6b"/>
            <w:id w:val="-512606783"/>
          </w:sdtPr>
          <w:sdtEndPr/>
          <w:sdtContent>
            <w:tc>
              <w:tcPr>
                <w:tcW w:w="602"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金额</w:t>
                </w:r>
              </w:p>
            </w:tc>
          </w:sdtContent>
        </w:sdt>
        <w:sdt>
          <w:sdtPr>
            <w:rPr>
              <w:color w:val="000000" w:themeColor="text1"/>
            </w:rPr>
            <w:tag w:val="_PLD_743ca215156149608b4d9149bc142cc3"/>
            <w:id w:val="1537538838"/>
          </w:sdtPr>
          <w:sdtEndPr/>
          <w:sdtContent>
            <w:tc>
              <w:tcPr>
                <w:tcW w:w="236"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计提比例</w:t>
                </w:r>
                <w:r>
                  <w:rPr>
                    <w:color w:val="000000" w:themeColor="text1"/>
                  </w:rPr>
                  <w:t>(%)</w:t>
                </w:r>
              </w:p>
            </w:tc>
          </w:sdtContent>
        </w:sdt>
        <w:tc>
          <w:tcPr>
            <w:tcW w:w="682" w:type="pct"/>
            <w:vMerge/>
            <w:tcBorders>
              <w:left w:val="single" w:sz="4" w:space="0" w:color="auto"/>
              <w:bottom w:val="single" w:sz="4" w:space="0" w:color="auto"/>
              <w:right w:val="single" w:sz="4" w:space="0" w:color="auto"/>
            </w:tcBorders>
            <w:vAlign w:val="center"/>
          </w:tcPr>
          <w:p w:rsidR="00597370" w:rsidRDefault="00597370">
            <w:pPr>
              <w:jc w:val="center"/>
              <w:rPr>
                <w:color w:val="000000" w:themeColor="text1"/>
              </w:rPr>
            </w:pPr>
          </w:p>
        </w:tc>
        <w:sdt>
          <w:sdtPr>
            <w:rPr>
              <w:color w:val="000000" w:themeColor="text1"/>
            </w:rPr>
            <w:tag w:val="_PLD_88061469e7574f3d93ff9dc8f7c03e2d"/>
            <w:id w:val="-122150494"/>
          </w:sdtPr>
          <w:sdtEndPr/>
          <w:sdtContent>
            <w:tc>
              <w:tcPr>
                <w:tcW w:w="681"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金额</w:t>
                </w:r>
              </w:p>
            </w:tc>
          </w:sdtContent>
        </w:sdt>
        <w:sdt>
          <w:sdtPr>
            <w:rPr>
              <w:color w:val="000000" w:themeColor="text1"/>
            </w:rPr>
            <w:tag w:val="_PLD_c2b4bd19b5284f3481bdd6a3becafce0"/>
            <w:id w:val="-1627451587"/>
          </w:sdtPr>
          <w:sdtEndPr/>
          <w:sdtContent>
            <w:tc>
              <w:tcPr>
                <w:tcW w:w="237"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比例</w:t>
                </w:r>
                <w:r>
                  <w:rPr>
                    <w:color w:val="000000" w:themeColor="text1"/>
                  </w:rPr>
                  <w:t>(%)</w:t>
                </w:r>
              </w:p>
            </w:tc>
          </w:sdtContent>
        </w:sdt>
        <w:sdt>
          <w:sdtPr>
            <w:rPr>
              <w:color w:val="000000" w:themeColor="text1"/>
            </w:rPr>
            <w:tag w:val="_PLD_c6874c65e4ac43019002d5903e4b46d6"/>
            <w:id w:val="-600113955"/>
          </w:sdtPr>
          <w:sdtEndPr/>
          <w:sdtContent>
            <w:tc>
              <w:tcPr>
                <w:tcW w:w="602"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金额</w:t>
                </w:r>
              </w:p>
            </w:tc>
          </w:sdtContent>
        </w:sdt>
        <w:sdt>
          <w:sdtPr>
            <w:rPr>
              <w:color w:val="000000" w:themeColor="text1"/>
            </w:rPr>
            <w:tag w:val="_PLD_0596fb5f4bb147b48d9ab2f32535e71f"/>
            <w:id w:val="153035790"/>
          </w:sdtPr>
          <w:sdtEndPr/>
          <w:sdtContent>
            <w:tc>
              <w:tcPr>
                <w:tcW w:w="236"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计提比例</w:t>
                </w:r>
                <w:r>
                  <w:rPr>
                    <w:color w:val="000000" w:themeColor="text1"/>
                  </w:rPr>
                  <w:t>(%)</w:t>
                </w:r>
              </w:p>
            </w:tc>
          </w:sdtContent>
        </w:sdt>
        <w:tc>
          <w:tcPr>
            <w:tcW w:w="684" w:type="pct"/>
            <w:vMerge/>
            <w:tcBorders>
              <w:left w:val="single" w:sz="4" w:space="0" w:color="auto"/>
              <w:bottom w:val="single" w:sz="4" w:space="0" w:color="auto"/>
              <w:right w:val="single" w:sz="4" w:space="0" w:color="auto"/>
            </w:tcBorders>
          </w:tcPr>
          <w:p w:rsidR="00597370" w:rsidRDefault="00597370">
            <w:pPr>
              <w:jc w:val="center"/>
              <w:rPr>
                <w:color w:val="000000" w:themeColor="text1"/>
              </w:rPr>
            </w:pPr>
          </w:p>
        </w:tc>
      </w:tr>
      <w:tr w:rsidR="00597370">
        <w:trPr>
          <w:cantSplit/>
        </w:trPr>
        <w:tc>
          <w:tcPr>
            <w:tcW w:w="115"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lastRenderedPageBreak/>
              <w:t>按单项计提坏账准备</w:t>
            </w:r>
          </w:p>
        </w:tc>
        <w:tc>
          <w:tcPr>
            <w:tcW w:w="6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36,515,882.48</w:t>
            </w:r>
          </w:p>
        </w:tc>
        <w:tc>
          <w:tcPr>
            <w:tcW w:w="23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2.10</w:t>
            </w:r>
          </w:p>
        </w:tc>
        <w:tc>
          <w:tcPr>
            <w:tcW w:w="6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27,538,475.33</w:t>
            </w:r>
          </w:p>
        </w:tc>
        <w:tc>
          <w:tcPr>
            <w:tcW w:w="23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75.42</w:t>
            </w:r>
          </w:p>
        </w:tc>
        <w:tc>
          <w:tcPr>
            <w:tcW w:w="6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8,977,407.15</w:t>
            </w:r>
          </w:p>
        </w:tc>
        <w:tc>
          <w:tcPr>
            <w:tcW w:w="68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36,886,962.48</w:t>
            </w:r>
          </w:p>
        </w:tc>
        <w:tc>
          <w:tcPr>
            <w:tcW w:w="23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3.42</w:t>
            </w:r>
          </w:p>
        </w:tc>
        <w:tc>
          <w:tcPr>
            <w:tcW w:w="6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27,440,816.44</w:t>
            </w:r>
          </w:p>
        </w:tc>
        <w:tc>
          <w:tcPr>
            <w:tcW w:w="23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74.39</w:t>
            </w:r>
          </w:p>
        </w:tc>
        <w:tc>
          <w:tcPr>
            <w:tcW w:w="68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9,446,146.04</w:t>
            </w:r>
          </w:p>
        </w:tc>
      </w:tr>
      <w:tr w:rsidR="00597370">
        <w:trPr>
          <w:cantSplit/>
        </w:trPr>
        <w:sdt>
          <w:sdtPr>
            <w:rPr>
              <w:color w:val="000000" w:themeColor="text1"/>
            </w:rPr>
            <w:tag w:val="_PLD_a3793487a0154f9a85b0e94e01b6ddbe"/>
            <w:id w:val="1909339446"/>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其中：</w:t>
                </w:r>
              </w:p>
            </w:tc>
          </w:sdtContent>
        </w:sdt>
      </w:tr>
      <w:tr w:rsidR="00597370">
        <w:trPr>
          <w:cantSplit/>
        </w:trPr>
        <w:sdt>
          <w:sdtPr>
            <w:rPr>
              <w:color w:val="000000" w:themeColor="text1"/>
            </w:rPr>
            <w:alias w:val="按单项计提坏账准备的应收账款明细-类别"/>
            <w:tag w:val="_GBC_3399611ce4724e1193aaefa4ea4bde46"/>
            <w:id w:val="-1299446951"/>
            <w:showingPlcHdr/>
          </w:sdtPr>
          <w:sdtEndPr/>
          <w:sdtContent>
            <w:tc>
              <w:tcPr>
                <w:tcW w:w="115"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 xml:space="preserve">　</w:t>
                </w:r>
              </w:p>
            </w:tc>
          </w:sdtContent>
        </w:sdt>
        <w:tc>
          <w:tcPr>
            <w:tcW w:w="68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37"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0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3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8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8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37"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0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3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84"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115"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按组合计提坏账准备</w:t>
            </w:r>
          </w:p>
        </w:tc>
        <w:tc>
          <w:tcPr>
            <w:tcW w:w="6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1,704,373,732.91</w:t>
            </w:r>
          </w:p>
        </w:tc>
        <w:tc>
          <w:tcPr>
            <w:tcW w:w="23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97.90</w:t>
            </w:r>
          </w:p>
        </w:tc>
        <w:tc>
          <w:tcPr>
            <w:tcW w:w="6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161,033,855.11</w:t>
            </w:r>
          </w:p>
        </w:tc>
        <w:tc>
          <w:tcPr>
            <w:tcW w:w="23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9.45</w:t>
            </w:r>
          </w:p>
        </w:tc>
        <w:tc>
          <w:tcPr>
            <w:tcW w:w="6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1,543,339,877.79</w:t>
            </w:r>
          </w:p>
        </w:tc>
        <w:tc>
          <w:tcPr>
            <w:tcW w:w="68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cs="Times New Roman" w:hint="eastAsia"/>
              </w:rPr>
              <w:t>1,042,112,404.13</w:t>
            </w:r>
          </w:p>
        </w:tc>
        <w:tc>
          <w:tcPr>
            <w:tcW w:w="23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cs="Times New Roman" w:hint="eastAsia"/>
              </w:rPr>
              <w:t>96.58</w:t>
            </w:r>
          </w:p>
        </w:tc>
        <w:tc>
          <w:tcPr>
            <w:tcW w:w="6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cs="Times New Roman" w:hint="eastAsia"/>
              </w:rPr>
              <w:t>84,776,389.72</w:t>
            </w:r>
          </w:p>
        </w:tc>
        <w:tc>
          <w:tcPr>
            <w:tcW w:w="23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cs="Times New Roman" w:hint="eastAsia"/>
              </w:rPr>
              <w:t>8.14</w:t>
            </w:r>
          </w:p>
        </w:tc>
        <w:tc>
          <w:tcPr>
            <w:tcW w:w="68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rPr>
              <w:t>957,336,014.41</w:t>
            </w:r>
          </w:p>
        </w:tc>
      </w:tr>
      <w:tr w:rsidR="00597370">
        <w:trPr>
          <w:cantSplit/>
        </w:trPr>
        <w:sdt>
          <w:sdtPr>
            <w:rPr>
              <w:color w:val="000000" w:themeColor="text1"/>
            </w:rPr>
            <w:tag w:val="_PLD_55a01fc28b044e40bd4e4399252665c0"/>
            <w:id w:val="-1340916724"/>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其中：</w:t>
                </w:r>
              </w:p>
            </w:tc>
          </w:sdtContent>
        </w:sdt>
      </w:tr>
      <w:tr w:rsidR="00597370">
        <w:trPr>
          <w:cantSplit/>
        </w:trPr>
        <w:sdt>
          <w:sdtPr>
            <w:rPr>
              <w:color w:val="000000" w:themeColor="text1"/>
            </w:rPr>
            <w:alias w:val="按组合计提坏账准备的应收账款明细-组合名称"/>
            <w:tag w:val="_GBC_c5f1817705f34c9782f585b3ed10e2db"/>
            <w:id w:val="-568199374"/>
          </w:sdtPr>
          <w:sdtEndPr/>
          <w:sdtContent>
            <w:tc>
              <w:tcPr>
                <w:tcW w:w="115"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proofErr w:type="gramStart"/>
                <w:r>
                  <w:rPr>
                    <w:rFonts w:hint="eastAsia"/>
                    <w:color w:val="000000" w:themeColor="text1"/>
                  </w:rPr>
                  <w:t>账</w:t>
                </w:r>
                <w:proofErr w:type="gramEnd"/>
                <w:r>
                  <w:rPr>
                    <w:rFonts w:hint="eastAsia"/>
                    <w:color w:val="000000" w:themeColor="text1"/>
                  </w:rPr>
                  <w:t>龄组合</w:t>
                </w:r>
              </w:p>
            </w:tc>
          </w:sdtContent>
        </w:sdt>
        <w:tc>
          <w:tcPr>
            <w:tcW w:w="6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1,704,373,732.91</w:t>
            </w:r>
          </w:p>
        </w:tc>
        <w:tc>
          <w:tcPr>
            <w:tcW w:w="23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97.90</w:t>
            </w:r>
          </w:p>
        </w:tc>
        <w:tc>
          <w:tcPr>
            <w:tcW w:w="6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161,033,855.11</w:t>
            </w:r>
          </w:p>
        </w:tc>
        <w:tc>
          <w:tcPr>
            <w:tcW w:w="23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9.45</w:t>
            </w:r>
          </w:p>
        </w:tc>
        <w:tc>
          <w:tcPr>
            <w:tcW w:w="6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1,543,339,877.79</w:t>
            </w:r>
          </w:p>
        </w:tc>
        <w:tc>
          <w:tcPr>
            <w:tcW w:w="68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cs="Times New Roman" w:hint="eastAsia"/>
              </w:rPr>
              <w:t>1,042,112,404.13</w:t>
            </w:r>
          </w:p>
        </w:tc>
        <w:tc>
          <w:tcPr>
            <w:tcW w:w="23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cs="Times New Roman" w:hint="eastAsia"/>
              </w:rPr>
              <w:t>96.58</w:t>
            </w:r>
          </w:p>
        </w:tc>
        <w:tc>
          <w:tcPr>
            <w:tcW w:w="6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cs="Times New Roman" w:hint="eastAsia"/>
              </w:rPr>
              <w:t>84,776,389.72</w:t>
            </w:r>
          </w:p>
        </w:tc>
        <w:tc>
          <w:tcPr>
            <w:tcW w:w="23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cs="Times New Roman" w:hint="eastAsia"/>
              </w:rPr>
              <w:t>8.14</w:t>
            </w:r>
          </w:p>
        </w:tc>
        <w:tc>
          <w:tcPr>
            <w:tcW w:w="68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rPr>
              <w:t>957,336,014.41</w:t>
            </w:r>
          </w:p>
        </w:tc>
      </w:tr>
      <w:tr w:rsidR="00597370">
        <w:trPr>
          <w:cantSplit/>
        </w:trPr>
        <w:sdt>
          <w:sdtPr>
            <w:rPr>
              <w:color w:val="000000" w:themeColor="text1"/>
            </w:rPr>
            <w:alias w:val="按组合计提坏账准备的应收账款明细-组合名称"/>
            <w:tag w:val="_GBC_c5f1817705f34c9782f585b3ed10e2db"/>
            <w:id w:val="-1521460805"/>
            <w:showingPlcHdr/>
          </w:sdtPr>
          <w:sdtEndPr/>
          <w:sdtContent>
            <w:tc>
              <w:tcPr>
                <w:tcW w:w="115"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 xml:space="preserve">　</w:t>
                </w:r>
              </w:p>
            </w:tc>
          </w:sdtContent>
        </w:sdt>
        <w:tc>
          <w:tcPr>
            <w:tcW w:w="68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37"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0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3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8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8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37"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0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3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84"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115"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合计</w:t>
            </w:r>
          </w:p>
        </w:tc>
        <w:tc>
          <w:tcPr>
            <w:tcW w:w="682" w:type="pct"/>
            <w:tcBorders>
              <w:top w:val="single" w:sz="4" w:space="0" w:color="auto"/>
              <w:left w:val="single" w:sz="4" w:space="0" w:color="auto"/>
              <w:bottom w:val="single" w:sz="4" w:space="0" w:color="auto"/>
              <w:right w:val="single" w:sz="4" w:space="0" w:color="auto"/>
            </w:tcBorders>
          </w:tcPr>
          <w:p w:rsidR="00597370" w:rsidRDefault="003C2EEE">
            <w:pPr>
              <w:jc w:val="right"/>
            </w:pPr>
            <w:r>
              <w:t>1,740,889,615.39</w:t>
            </w:r>
          </w:p>
        </w:tc>
        <w:tc>
          <w:tcPr>
            <w:tcW w:w="237" w:type="pct"/>
            <w:tcBorders>
              <w:top w:val="single" w:sz="4" w:space="0" w:color="auto"/>
              <w:left w:val="single" w:sz="4" w:space="0" w:color="auto"/>
              <w:bottom w:val="single" w:sz="4" w:space="0" w:color="auto"/>
              <w:right w:val="single" w:sz="4" w:space="0" w:color="auto"/>
            </w:tcBorders>
          </w:tcPr>
          <w:p w:rsidR="00597370" w:rsidRDefault="003C2EEE">
            <w:pPr>
              <w:jc w:val="center"/>
              <w:rPr>
                <w:color w:val="000000" w:themeColor="text1"/>
              </w:rPr>
            </w:pPr>
            <w:r>
              <w:rPr>
                <w:rFonts w:hint="eastAsia"/>
                <w:color w:val="000000" w:themeColor="text1"/>
              </w:rPr>
              <w:t>100</w:t>
            </w:r>
          </w:p>
        </w:tc>
        <w:tc>
          <w:tcPr>
            <w:tcW w:w="602" w:type="pct"/>
            <w:tcBorders>
              <w:top w:val="single" w:sz="4" w:space="0" w:color="auto"/>
              <w:left w:val="single" w:sz="4" w:space="0" w:color="auto"/>
              <w:bottom w:val="single" w:sz="4" w:space="0" w:color="auto"/>
              <w:right w:val="single" w:sz="4" w:space="0" w:color="auto"/>
            </w:tcBorders>
          </w:tcPr>
          <w:p w:rsidR="00597370" w:rsidRDefault="003C2EEE">
            <w:pPr>
              <w:jc w:val="right"/>
            </w:pPr>
            <w:r>
              <w:t>188,572,330.44</w:t>
            </w:r>
          </w:p>
        </w:tc>
        <w:tc>
          <w:tcPr>
            <w:tcW w:w="236" w:type="pct"/>
            <w:tcBorders>
              <w:top w:val="single" w:sz="4" w:space="0" w:color="auto"/>
              <w:left w:val="single" w:sz="4" w:space="0" w:color="auto"/>
              <w:bottom w:val="single" w:sz="4" w:space="0" w:color="auto"/>
              <w:right w:val="single" w:sz="4" w:space="0" w:color="auto"/>
            </w:tcBorders>
          </w:tcPr>
          <w:p w:rsidR="00597370" w:rsidRDefault="003C2EEE">
            <w:pPr>
              <w:jc w:val="center"/>
              <w:rPr>
                <w:color w:val="000000" w:themeColor="text1"/>
              </w:rPr>
            </w:pPr>
            <w:r>
              <w:rPr>
                <w:color w:val="000000" w:themeColor="text1"/>
              </w:rPr>
              <w:t>10.83</w:t>
            </w:r>
          </w:p>
        </w:tc>
        <w:tc>
          <w:tcPr>
            <w:tcW w:w="682" w:type="pct"/>
            <w:tcBorders>
              <w:top w:val="single" w:sz="4" w:space="0" w:color="auto"/>
              <w:left w:val="single" w:sz="4" w:space="0" w:color="auto"/>
              <w:bottom w:val="single" w:sz="4" w:space="0" w:color="auto"/>
              <w:right w:val="single" w:sz="4" w:space="0" w:color="auto"/>
            </w:tcBorders>
          </w:tcPr>
          <w:p w:rsidR="00597370" w:rsidRDefault="003C2EEE">
            <w:pPr>
              <w:jc w:val="right"/>
            </w:pPr>
            <w:r>
              <w:t>1,552,317,284.95</w:t>
            </w:r>
          </w:p>
        </w:tc>
        <w:tc>
          <w:tcPr>
            <w:tcW w:w="68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1,078,999,366.61</w:t>
            </w:r>
          </w:p>
        </w:tc>
        <w:tc>
          <w:tcPr>
            <w:tcW w:w="237"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rPr>
              <w:t>100</w:t>
            </w:r>
          </w:p>
        </w:tc>
        <w:tc>
          <w:tcPr>
            <w:tcW w:w="60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112,217,206.16</w:t>
            </w:r>
          </w:p>
        </w:tc>
        <w:tc>
          <w:tcPr>
            <w:tcW w:w="236"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t>10.4</w:t>
            </w:r>
          </w:p>
        </w:tc>
        <w:tc>
          <w:tcPr>
            <w:tcW w:w="68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966,782,160.45</w:t>
            </w:r>
          </w:p>
        </w:tc>
      </w:tr>
    </w:tbl>
    <w:p w:rsidR="00597370" w:rsidRDefault="00597370"/>
    <w:p w:rsidR="00597370" w:rsidRDefault="003C2EEE">
      <w:pPr>
        <w:rPr>
          <w:color w:val="000000" w:themeColor="text1"/>
        </w:rPr>
      </w:pPr>
      <w:r>
        <w:rPr>
          <w:rFonts w:hint="eastAsia"/>
          <w:color w:val="000000" w:themeColor="text1"/>
        </w:rPr>
        <w:t>按单项计提坏账准备：</w:t>
      </w:r>
      <w:bookmarkEnd w:id="170"/>
    </w:p>
    <w:sdt>
      <w:sdtPr>
        <w:rPr>
          <w:rFonts w:hint="eastAsia"/>
          <w:color w:val="000000" w:themeColor="text1"/>
        </w:rPr>
        <w:alias w:val="是否适用：按单项计提坏账准备的应收账款详细情况[双击切换]"/>
        <w:tag w:val="_GBC_e07c01cfb2fe4b05a2bb603b7f914946"/>
        <w:id w:val="-125350328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单项计提坏账准备的应收账款详细情况"/>
          <w:tag w:val="_GBC_5737c621553040588c35a299b21bda52"/>
          <w:id w:val="21042932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按单项计提坏账准备的应收账款详细情况"/>
          <w:tag w:val="_GBC_b6cb9fb35a4a4033912355f7cb997afb"/>
          <w:id w:val="17115246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657"/>
        <w:gridCol w:w="1659"/>
        <w:gridCol w:w="1657"/>
        <w:gridCol w:w="1803"/>
      </w:tblGrid>
      <w:tr w:rsidR="00597370">
        <w:sdt>
          <w:sdtPr>
            <w:rPr>
              <w:color w:val="000000" w:themeColor="text1"/>
            </w:rPr>
            <w:tag w:val="_PLD_886503527dee421ca2c31b493a41ab31"/>
            <w:id w:val="990449928"/>
          </w:sdtPr>
          <w:sdtEndPr/>
          <w:sdtContent>
            <w:tc>
              <w:tcPr>
                <w:tcW w:w="1160" w:type="pct"/>
                <w:vMerge w:val="restart"/>
                <w:vAlign w:val="center"/>
              </w:tcPr>
              <w:p w:rsidR="00597370" w:rsidRDefault="003C2EEE">
                <w:pPr>
                  <w:jc w:val="center"/>
                  <w:rPr>
                    <w:color w:val="000000" w:themeColor="text1"/>
                  </w:rPr>
                </w:pPr>
                <w:r>
                  <w:rPr>
                    <w:rFonts w:hint="eastAsia"/>
                    <w:color w:val="000000" w:themeColor="text1"/>
                  </w:rPr>
                  <w:t>名称</w:t>
                </w:r>
              </w:p>
            </w:tc>
          </w:sdtContent>
        </w:sdt>
        <w:sdt>
          <w:sdtPr>
            <w:rPr>
              <w:color w:val="000000" w:themeColor="text1"/>
            </w:rPr>
            <w:tag w:val="_PLD_e08f6e696f224538a07af6226cb97b93"/>
            <w:id w:val="-1246797950"/>
          </w:sdtPr>
          <w:sdtEndPr/>
          <w:sdtContent>
            <w:tc>
              <w:tcPr>
                <w:tcW w:w="3840" w:type="pct"/>
                <w:gridSpan w:val="4"/>
                <w:vAlign w:val="center"/>
              </w:tcPr>
              <w:p w:rsidR="00597370" w:rsidRDefault="003C2EEE">
                <w:pPr>
                  <w:jc w:val="center"/>
                  <w:rPr>
                    <w:color w:val="000000" w:themeColor="text1"/>
                  </w:rPr>
                </w:pPr>
                <w:r>
                  <w:rPr>
                    <w:rFonts w:hint="eastAsia"/>
                    <w:color w:val="000000" w:themeColor="text1"/>
                  </w:rPr>
                  <w:t>期末余额</w:t>
                </w:r>
              </w:p>
            </w:tc>
          </w:sdtContent>
        </w:sdt>
      </w:tr>
      <w:tr w:rsidR="00597370">
        <w:tc>
          <w:tcPr>
            <w:tcW w:w="1160" w:type="pct"/>
            <w:vMerge/>
          </w:tcPr>
          <w:p w:rsidR="00597370" w:rsidRDefault="00597370">
            <w:pPr>
              <w:jc w:val="center"/>
              <w:rPr>
                <w:color w:val="000000" w:themeColor="text1"/>
              </w:rPr>
            </w:pPr>
          </w:p>
        </w:tc>
        <w:sdt>
          <w:sdtPr>
            <w:rPr>
              <w:color w:val="000000" w:themeColor="text1"/>
            </w:rPr>
            <w:tag w:val="_PLD_464a1be46d05424da4883a8442e8eecd"/>
            <w:id w:val="1375193772"/>
          </w:sdtPr>
          <w:sdtEndPr/>
          <w:sdtContent>
            <w:tc>
              <w:tcPr>
                <w:tcW w:w="939" w:type="pct"/>
                <w:vAlign w:val="center"/>
              </w:tcPr>
              <w:p w:rsidR="00597370" w:rsidRDefault="003C2EEE">
                <w:pPr>
                  <w:jc w:val="center"/>
                  <w:rPr>
                    <w:color w:val="000000" w:themeColor="text1"/>
                  </w:rPr>
                </w:pPr>
                <w:r>
                  <w:rPr>
                    <w:rFonts w:hint="eastAsia"/>
                    <w:color w:val="000000" w:themeColor="text1"/>
                  </w:rPr>
                  <w:t>账面余额</w:t>
                </w:r>
              </w:p>
            </w:tc>
          </w:sdtContent>
        </w:sdt>
        <w:sdt>
          <w:sdtPr>
            <w:rPr>
              <w:color w:val="000000" w:themeColor="text1"/>
            </w:rPr>
            <w:tag w:val="_PLD_3d0d70541d9a48beb1c29f819592f107"/>
            <w:id w:val="-1590388309"/>
          </w:sdtPr>
          <w:sdtEndPr/>
          <w:sdtContent>
            <w:tc>
              <w:tcPr>
                <w:tcW w:w="940" w:type="pct"/>
                <w:vAlign w:val="center"/>
              </w:tcPr>
              <w:p w:rsidR="00597370" w:rsidRDefault="003C2EEE">
                <w:pPr>
                  <w:jc w:val="center"/>
                  <w:rPr>
                    <w:color w:val="000000" w:themeColor="text1"/>
                  </w:rPr>
                </w:pPr>
                <w:r>
                  <w:rPr>
                    <w:rFonts w:hint="eastAsia"/>
                    <w:color w:val="000000" w:themeColor="text1"/>
                  </w:rPr>
                  <w:t>坏账准备</w:t>
                </w:r>
              </w:p>
            </w:tc>
          </w:sdtContent>
        </w:sdt>
        <w:sdt>
          <w:sdtPr>
            <w:rPr>
              <w:color w:val="000000" w:themeColor="text1"/>
            </w:rPr>
            <w:tag w:val="_PLD_76393245336e41aa891aec8c50271105"/>
            <w:id w:val="-2105862037"/>
          </w:sdtPr>
          <w:sdtEndPr/>
          <w:sdtContent>
            <w:tc>
              <w:tcPr>
                <w:tcW w:w="939" w:type="pct"/>
                <w:vAlign w:val="center"/>
              </w:tcPr>
              <w:p w:rsidR="00597370" w:rsidRDefault="003C2EEE">
                <w:pPr>
                  <w:jc w:val="center"/>
                  <w:rPr>
                    <w:color w:val="000000" w:themeColor="text1"/>
                  </w:rPr>
                </w:pPr>
                <w:r>
                  <w:rPr>
                    <w:color w:val="000000" w:themeColor="text1"/>
                  </w:rPr>
                  <w:t>计提比例</w:t>
                </w:r>
                <w:r>
                  <w:rPr>
                    <w:rFonts w:hint="eastAsia"/>
                    <w:color w:val="000000" w:themeColor="text1"/>
                  </w:rPr>
                  <w:t>（%）</w:t>
                </w:r>
              </w:p>
            </w:tc>
          </w:sdtContent>
        </w:sdt>
        <w:sdt>
          <w:sdtPr>
            <w:rPr>
              <w:color w:val="000000" w:themeColor="text1"/>
            </w:rPr>
            <w:tag w:val="_PLD_950e8014be3245d1a45783884c32208d"/>
            <w:id w:val="45890931"/>
          </w:sdtPr>
          <w:sdtEndPr/>
          <w:sdtContent>
            <w:tc>
              <w:tcPr>
                <w:tcW w:w="1022" w:type="pct"/>
                <w:vAlign w:val="center"/>
              </w:tcPr>
              <w:p w:rsidR="00597370" w:rsidRDefault="003C2EEE">
                <w:pPr>
                  <w:jc w:val="center"/>
                  <w:rPr>
                    <w:color w:val="000000" w:themeColor="text1"/>
                  </w:rPr>
                </w:pPr>
                <w:r>
                  <w:rPr>
                    <w:rFonts w:hint="eastAsia"/>
                    <w:color w:val="000000" w:themeColor="text1"/>
                  </w:rPr>
                  <w:t>计提理由</w:t>
                </w:r>
              </w:p>
            </w:tc>
          </w:sdtContent>
        </w:sdt>
      </w:tr>
      <w:tr w:rsidR="00597370">
        <w:tc>
          <w:tcPr>
            <w:tcW w:w="1160" w:type="pct"/>
          </w:tcPr>
          <w:p w:rsidR="00597370" w:rsidRDefault="003C2EEE">
            <w:r>
              <w:t>应收账</w:t>
            </w:r>
            <w:proofErr w:type="gramStart"/>
            <w:r>
              <w:t>龄</w:t>
            </w:r>
            <w:proofErr w:type="gramEnd"/>
            <w:r>
              <w:t>单项计</w:t>
            </w:r>
            <w:proofErr w:type="gramStart"/>
            <w:r>
              <w:t>提单位</w:t>
            </w:r>
            <w:proofErr w:type="gramEnd"/>
            <w:r>
              <w:t>1</w:t>
            </w:r>
          </w:p>
        </w:tc>
        <w:tc>
          <w:tcPr>
            <w:tcW w:w="939" w:type="pct"/>
            <w:vAlign w:val="center"/>
          </w:tcPr>
          <w:p w:rsidR="00597370" w:rsidRDefault="003C2EEE">
            <w:pPr>
              <w:jc w:val="right"/>
            </w:pPr>
            <w:r>
              <w:t>4,978,410.00</w:t>
            </w:r>
          </w:p>
        </w:tc>
        <w:tc>
          <w:tcPr>
            <w:tcW w:w="940" w:type="pct"/>
            <w:vAlign w:val="center"/>
          </w:tcPr>
          <w:p w:rsidR="00597370" w:rsidRDefault="003C2EEE">
            <w:pPr>
              <w:jc w:val="right"/>
            </w:pPr>
            <w:r>
              <w:t>4,978,410.00</w:t>
            </w:r>
          </w:p>
        </w:tc>
        <w:tc>
          <w:tcPr>
            <w:tcW w:w="939" w:type="pct"/>
            <w:vAlign w:val="center"/>
          </w:tcPr>
          <w:p w:rsidR="00597370" w:rsidRDefault="003C2EEE">
            <w:pPr>
              <w:jc w:val="right"/>
            </w:pPr>
            <w:r>
              <w:t>100.00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2</w:t>
            </w:r>
          </w:p>
        </w:tc>
        <w:tc>
          <w:tcPr>
            <w:tcW w:w="939" w:type="pct"/>
            <w:vAlign w:val="center"/>
          </w:tcPr>
          <w:p w:rsidR="00597370" w:rsidRDefault="003C2EEE">
            <w:pPr>
              <w:jc w:val="right"/>
            </w:pPr>
            <w:r>
              <w:t>4,621,530.09</w:t>
            </w:r>
          </w:p>
        </w:tc>
        <w:tc>
          <w:tcPr>
            <w:tcW w:w="940" w:type="pct"/>
            <w:vAlign w:val="center"/>
          </w:tcPr>
          <w:p w:rsidR="00597370" w:rsidRDefault="003C2EEE">
            <w:pPr>
              <w:jc w:val="right"/>
            </w:pPr>
            <w:r>
              <w:t>2,772,918.05</w:t>
            </w:r>
          </w:p>
        </w:tc>
        <w:tc>
          <w:tcPr>
            <w:tcW w:w="939" w:type="pct"/>
            <w:vAlign w:val="center"/>
          </w:tcPr>
          <w:p w:rsidR="00597370" w:rsidRDefault="003C2EEE">
            <w:pPr>
              <w:jc w:val="right"/>
            </w:pPr>
            <w:r>
              <w:t>60.00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3</w:t>
            </w:r>
          </w:p>
        </w:tc>
        <w:tc>
          <w:tcPr>
            <w:tcW w:w="939" w:type="pct"/>
            <w:vAlign w:val="center"/>
          </w:tcPr>
          <w:p w:rsidR="00597370" w:rsidRDefault="003C2EEE">
            <w:pPr>
              <w:jc w:val="right"/>
            </w:pPr>
            <w:r>
              <w:t>4,200,000.00</w:t>
            </w:r>
          </w:p>
        </w:tc>
        <w:tc>
          <w:tcPr>
            <w:tcW w:w="940" w:type="pct"/>
            <w:vAlign w:val="center"/>
          </w:tcPr>
          <w:p w:rsidR="00597370" w:rsidRDefault="003C2EEE">
            <w:pPr>
              <w:jc w:val="right"/>
            </w:pPr>
            <w:r>
              <w:t>4,200,000.00</w:t>
            </w:r>
          </w:p>
        </w:tc>
        <w:tc>
          <w:tcPr>
            <w:tcW w:w="939" w:type="pct"/>
            <w:vAlign w:val="center"/>
          </w:tcPr>
          <w:p w:rsidR="00597370" w:rsidRDefault="003C2EEE">
            <w:pPr>
              <w:jc w:val="right"/>
            </w:pPr>
            <w:r>
              <w:t>100.00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4</w:t>
            </w:r>
          </w:p>
        </w:tc>
        <w:tc>
          <w:tcPr>
            <w:tcW w:w="939" w:type="pct"/>
            <w:vAlign w:val="center"/>
          </w:tcPr>
          <w:p w:rsidR="00597370" w:rsidRDefault="003C2EEE">
            <w:pPr>
              <w:jc w:val="right"/>
            </w:pPr>
            <w:r>
              <w:t>4,170,310.42</w:t>
            </w:r>
          </w:p>
        </w:tc>
        <w:tc>
          <w:tcPr>
            <w:tcW w:w="940" w:type="pct"/>
            <w:vAlign w:val="center"/>
          </w:tcPr>
          <w:p w:rsidR="00597370" w:rsidRDefault="003C2EEE">
            <w:pPr>
              <w:jc w:val="right"/>
            </w:pPr>
            <w:r>
              <w:t>2,502,186.25</w:t>
            </w:r>
          </w:p>
        </w:tc>
        <w:tc>
          <w:tcPr>
            <w:tcW w:w="939" w:type="pct"/>
            <w:vAlign w:val="center"/>
          </w:tcPr>
          <w:p w:rsidR="00597370" w:rsidRDefault="003C2EEE">
            <w:pPr>
              <w:jc w:val="right"/>
            </w:pPr>
            <w:r>
              <w:t>60.00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5</w:t>
            </w:r>
          </w:p>
        </w:tc>
        <w:tc>
          <w:tcPr>
            <w:tcW w:w="939" w:type="pct"/>
            <w:vAlign w:val="center"/>
          </w:tcPr>
          <w:p w:rsidR="00597370" w:rsidRDefault="003C2EEE">
            <w:pPr>
              <w:jc w:val="right"/>
            </w:pPr>
            <w:r>
              <w:t>1,993,200.00</w:t>
            </w:r>
          </w:p>
        </w:tc>
        <w:tc>
          <w:tcPr>
            <w:tcW w:w="940" w:type="pct"/>
            <w:vAlign w:val="center"/>
          </w:tcPr>
          <w:p w:rsidR="00597370" w:rsidRDefault="003C2EEE">
            <w:pPr>
              <w:jc w:val="right"/>
            </w:pPr>
            <w:r>
              <w:t>1,195,920.00</w:t>
            </w:r>
          </w:p>
        </w:tc>
        <w:tc>
          <w:tcPr>
            <w:tcW w:w="939" w:type="pct"/>
            <w:vAlign w:val="center"/>
          </w:tcPr>
          <w:p w:rsidR="00597370" w:rsidRDefault="003C2EEE">
            <w:pPr>
              <w:jc w:val="right"/>
            </w:pPr>
            <w:r>
              <w:t>60.00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lastRenderedPageBreak/>
              <w:t>应收账</w:t>
            </w:r>
            <w:proofErr w:type="gramStart"/>
            <w:r>
              <w:t>龄</w:t>
            </w:r>
            <w:proofErr w:type="gramEnd"/>
            <w:r>
              <w:t>单项计</w:t>
            </w:r>
            <w:proofErr w:type="gramStart"/>
            <w:r>
              <w:t>提单位</w:t>
            </w:r>
            <w:proofErr w:type="gramEnd"/>
            <w:r>
              <w:t>6</w:t>
            </w:r>
          </w:p>
        </w:tc>
        <w:tc>
          <w:tcPr>
            <w:tcW w:w="939" w:type="pct"/>
            <w:vAlign w:val="center"/>
          </w:tcPr>
          <w:p w:rsidR="00597370" w:rsidRDefault="003C2EEE">
            <w:pPr>
              <w:jc w:val="right"/>
            </w:pPr>
            <w:r>
              <w:t>1,524,746.20</w:t>
            </w:r>
          </w:p>
        </w:tc>
        <w:tc>
          <w:tcPr>
            <w:tcW w:w="940" w:type="pct"/>
            <w:vAlign w:val="center"/>
          </w:tcPr>
          <w:p w:rsidR="00597370" w:rsidRDefault="003C2EEE">
            <w:pPr>
              <w:jc w:val="right"/>
            </w:pPr>
            <w:r>
              <w:t>914,847.72</w:t>
            </w:r>
          </w:p>
        </w:tc>
        <w:tc>
          <w:tcPr>
            <w:tcW w:w="939" w:type="pct"/>
            <w:vAlign w:val="center"/>
          </w:tcPr>
          <w:p w:rsidR="00597370" w:rsidRDefault="003C2EEE">
            <w:pPr>
              <w:jc w:val="right"/>
            </w:pPr>
            <w:r>
              <w:t>60.00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7</w:t>
            </w:r>
          </w:p>
        </w:tc>
        <w:tc>
          <w:tcPr>
            <w:tcW w:w="939" w:type="pct"/>
            <w:vAlign w:val="center"/>
          </w:tcPr>
          <w:p w:rsidR="00597370" w:rsidRDefault="003C2EEE">
            <w:pPr>
              <w:jc w:val="right"/>
            </w:pPr>
            <w:r>
              <w:t>1,437,350.00</w:t>
            </w:r>
          </w:p>
        </w:tc>
        <w:tc>
          <w:tcPr>
            <w:tcW w:w="940" w:type="pct"/>
            <w:vAlign w:val="center"/>
          </w:tcPr>
          <w:p w:rsidR="00597370" w:rsidRDefault="003C2EEE">
            <w:pPr>
              <w:jc w:val="right"/>
            </w:pPr>
            <w:r>
              <w:t>1,437,350.00</w:t>
            </w:r>
          </w:p>
        </w:tc>
        <w:tc>
          <w:tcPr>
            <w:tcW w:w="939" w:type="pct"/>
            <w:vAlign w:val="center"/>
          </w:tcPr>
          <w:p w:rsidR="00597370" w:rsidRDefault="003C2EEE">
            <w:pPr>
              <w:jc w:val="right"/>
            </w:pPr>
            <w:r>
              <w:t>100.00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8</w:t>
            </w:r>
          </w:p>
        </w:tc>
        <w:tc>
          <w:tcPr>
            <w:tcW w:w="939" w:type="pct"/>
            <w:vAlign w:val="center"/>
          </w:tcPr>
          <w:p w:rsidR="00597370" w:rsidRDefault="003C2EEE">
            <w:pPr>
              <w:jc w:val="right"/>
            </w:pPr>
            <w:r>
              <w:t>1,349,680.00</w:t>
            </w:r>
          </w:p>
        </w:tc>
        <w:tc>
          <w:tcPr>
            <w:tcW w:w="940" w:type="pct"/>
            <w:vAlign w:val="center"/>
          </w:tcPr>
          <w:p w:rsidR="00597370" w:rsidRDefault="003C2EEE">
            <w:pPr>
              <w:jc w:val="right"/>
            </w:pPr>
            <w:r>
              <w:t>809,808.00</w:t>
            </w:r>
          </w:p>
        </w:tc>
        <w:tc>
          <w:tcPr>
            <w:tcW w:w="939" w:type="pct"/>
            <w:vAlign w:val="center"/>
          </w:tcPr>
          <w:p w:rsidR="00597370" w:rsidRDefault="003C2EEE">
            <w:pPr>
              <w:jc w:val="right"/>
            </w:pPr>
            <w:r>
              <w:t>60.00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9</w:t>
            </w:r>
          </w:p>
        </w:tc>
        <w:tc>
          <w:tcPr>
            <w:tcW w:w="939" w:type="pct"/>
            <w:vAlign w:val="center"/>
          </w:tcPr>
          <w:p w:rsidR="00597370" w:rsidRDefault="003C2EEE">
            <w:pPr>
              <w:jc w:val="right"/>
            </w:pPr>
            <w:r>
              <w:t>1,290,764.00</w:t>
            </w:r>
          </w:p>
        </w:tc>
        <w:tc>
          <w:tcPr>
            <w:tcW w:w="940" w:type="pct"/>
            <w:vAlign w:val="center"/>
          </w:tcPr>
          <w:p w:rsidR="00597370" w:rsidRDefault="003C2EEE">
            <w:pPr>
              <w:jc w:val="right"/>
            </w:pPr>
            <w:r>
              <w:t>774,458.40</w:t>
            </w:r>
          </w:p>
        </w:tc>
        <w:tc>
          <w:tcPr>
            <w:tcW w:w="939" w:type="pct"/>
            <w:vAlign w:val="center"/>
          </w:tcPr>
          <w:p w:rsidR="00597370" w:rsidRDefault="003C2EEE">
            <w:pPr>
              <w:jc w:val="right"/>
            </w:pPr>
            <w:r>
              <w:t>60.00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10</w:t>
            </w:r>
          </w:p>
        </w:tc>
        <w:tc>
          <w:tcPr>
            <w:tcW w:w="939" w:type="pct"/>
            <w:vAlign w:val="center"/>
          </w:tcPr>
          <w:p w:rsidR="00597370" w:rsidRDefault="003C2EEE">
            <w:pPr>
              <w:jc w:val="right"/>
            </w:pPr>
            <w:r>
              <w:t>1,190,933.00</w:t>
            </w:r>
          </w:p>
        </w:tc>
        <w:tc>
          <w:tcPr>
            <w:tcW w:w="940" w:type="pct"/>
            <w:vAlign w:val="center"/>
          </w:tcPr>
          <w:p w:rsidR="00597370" w:rsidRDefault="003C2EEE">
            <w:pPr>
              <w:jc w:val="right"/>
            </w:pPr>
            <w:r>
              <w:t>714,559.80</w:t>
            </w:r>
          </w:p>
        </w:tc>
        <w:tc>
          <w:tcPr>
            <w:tcW w:w="939" w:type="pct"/>
            <w:vAlign w:val="center"/>
          </w:tcPr>
          <w:p w:rsidR="00597370" w:rsidRDefault="003C2EEE">
            <w:pPr>
              <w:jc w:val="right"/>
            </w:pPr>
            <w:r>
              <w:t>60.00</w:t>
            </w:r>
          </w:p>
        </w:tc>
        <w:tc>
          <w:tcPr>
            <w:tcW w:w="1022" w:type="pct"/>
          </w:tcPr>
          <w:p w:rsidR="00597370" w:rsidRDefault="003C2EEE">
            <w:r>
              <w:rPr>
                <w:rFonts w:hint="eastAsia"/>
              </w:rPr>
              <w:t>对方资金困难，预计款项无法收回</w:t>
            </w:r>
          </w:p>
        </w:tc>
      </w:tr>
      <w:tr w:rsidR="00597370">
        <w:tc>
          <w:tcPr>
            <w:tcW w:w="1160" w:type="pct"/>
          </w:tcPr>
          <w:p w:rsidR="00597370" w:rsidRDefault="003C2EEE">
            <w:r>
              <w:t>应收账</w:t>
            </w:r>
            <w:proofErr w:type="gramStart"/>
            <w:r>
              <w:t>龄</w:t>
            </w:r>
            <w:proofErr w:type="gramEnd"/>
            <w:r>
              <w:t>单项计</w:t>
            </w:r>
            <w:proofErr w:type="gramStart"/>
            <w:r>
              <w:t>提单位</w:t>
            </w:r>
            <w:proofErr w:type="gramEnd"/>
            <w:r>
              <w:t>11</w:t>
            </w:r>
          </w:p>
        </w:tc>
        <w:tc>
          <w:tcPr>
            <w:tcW w:w="939" w:type="pct"/>
            <w:vAlign w:val="center"/>
          </w:tcPr>
          <w:p w:rsidR="00597370" w:rsidRDefault="003C2EEE">
            <w:pPr>
              <w:jc w:val="right"/>
            </w:pPr>
            <w:r>
              <w:t>9,758,958.77</w:t>
            </w:r>
          </w:p>
        </w:tc>
        <w:tc>
          <w:tcPr>
            <w:tcW w:w="940" w:type="pct"/>
            <w:vAlign w:val="center"/>
          </w:tcPr>
          <w:p w:rsidR="00597370" w:rsidRDefault="003C2EEE">
            <w:pPr>
              <w:jc w:val="right"/>
            </w:pPr>
            <w:r>
              <w:t>7,238,017.10</w:t>
            </w:r>
          </w:p>
        </w:tc>
        <w:tc>
          <w:tcPr>
            <w:tcW w:w="939" w:type="pct"/>
            <w:vAlign w:val="center"/>
          </w:tcPr>
          <w:p w:rsidR="00597370" w:rsidRDefault="003C2EEE">
            <w:pPr>
              <w:jc w:val="right"/>
            </w:pPr>
            <w:r>
              <w:t>74.17</w:t>
            </w:r>
          </w:p>
        </w:tc>
        <w:tc>
          <w:tcPr>
            <w:tcW w:w="1022" w:type="pct"/>
          </w:tcPr>
          <w:p w:rsidR="00597370" w:rsidRDefault="003C2EEE">
            <w:r>
              <w:rPr>
                <w:rFonts w:hint="eastAsia"/>
              </w:rPr>
              <w:t>对方资金困难，预计款项无法收回</w:t>
            </w:r>
          </w:p>
        </w:tc>
      </w:tr>
      <w:tr w:rsidR="00597370">
        <w:tc>
          <w:tcPr>
            <w:tcW w:w="1160" w:type="pct"/>
            <w:vAlign w:val="center"/>
          </w:tcPr>
          <w:p w:rsidR="00597370" w:rsidRDefault="003C2EEE">
            <w:pPr>
              <w:jc w:val="center"/>
              <w:rPr>
                <w:color w:val="000000" w:themeColor="text1"/>
              </w:rPr>
            </w:pPr>
            <w:r>
              <w:rPr>
                <w:rFonts w:hint="eastAsia"/>
                <w:color w:val="000000" w:themeColor="text1"/>
              </w:rPr>
              <w:t>合计</w:t>
            </w:r>
          </w:p>
        </w:tc>
        <w:tc>
          <w:tcPr>
            <w:tcW w:w="939" w:type="pct"/>
            <w:vAlign w:val="center"/>
          </w:tcPr>
          <w:p w:rsidR="00597370" w:rsidRDefault="003C2EEE">
            <w:pPr>
              <w:jc w:val="right"/>
            </w:pPr>
            <w:r>
              <w:t>36,515,882.48</w:t>
            </w:r>
          </w:p>
        </w:tc>
        <w:tc>
          <w:tcPr>
            <w:tcW w:w="940" w:type="pct"/>
            <w:vAlign w:val="center"/>
          </w:tcPr>
          <w:p w:rsidR="00597370" w:rsidRDefault="003C2EEE">
            <w:pPr>
              <w:jc w:val="right"/>
            </w:pPr>
            <w:r>
              <w:t>27,538,475.33</w:t>
            </w:r>
          </w:p>
        </w:tc>
        <w:tc>
          <w:tcPr>
            <w:tcW w:w="939" w:type="pct"/>
            <w:vAlign w:val="center"/>
          </w:tcPr>
          <w:p w:rsidR="00597370" w:rsidRDefault="003C2EEE">
            <w:pPr>
              <w:jc w:val="right"/>
            </w:pPr>
            <w:r>
              <w:t>75.42</w:t>
            </w:r>
          </w:p>
        </w:tc>
        <w:tc>
          <w:tcPr>
            <w:tcW w:w="1022" w:type="pct"/>
            <w:vAlign w:val="center"/>
          </w:tcPr>
          <w:p w:rsidR="00597370" w:rsidRDefault="00597370">
            <w:pPr>
              <w:jc w:val="center"/>
              <w:rPr>
                <w:color w:val="000000" w:themeColor="text1"/>
              </w:rPr>
            </w:pPr>
          </w:p>
        </w:tc>
      </w:tr>
    </w:tbl>
    <w:p w:rsidR="00597370" w:rsidRDefault="00597370"/>
    <w:p w:rsidR="00597370" w:rsidRDefault="003C2EEE">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应收账款说明[双击切换]"/>
        <w:tag w:val="_GBC_5058bdcf98524a1ba98e4618d094237d"/>
        <w:id w:val="-13639025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3C2EEE">
      <w:pPr>
        <w:rPr>
          <w:color w:val="000000" w:themeColor="text1"/>
        </w:rPr>
      </w:pPr>
      <w:bookmarkStart w:id="172" w:name="_Hlk10467225"/>
      <w:bookmarkEnd w:id="171"/>
      <w:r>
        <w:rPr>
          <w:rFonts w:hint="eastAsia"/>
          <w:color w:val="000000" w:themeColor="text1"/>
        </w:rPr>
        <w:t>按组合计提坏账准备：</w:t>
      </w:r>
    </w:p>
    <w:sdt>
      <w:sdtPr>
        <w:rPr>
          <w:rFonts w:hint="eastAsia"/>
          <w:color w:val="000000" w:themeColor="text1"/>
        </w:rPr>
        <w:alias w:val="是否适用：按组合计提坏账准备的应收账款详细情况[双击切换]"/>
        <w:tag w:val="_GBC_47a07baa9a4f4c5ea6de193ae7b87e74"/>
        <w:id w:val="1972638810"/>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173" w:name="_Hlk533607573"/>
      <w:r>
        <w:rPr>
          <w:rFonts w:hint="eastAsia"/>
          <w:color w:val="000000" w:themeColor="text1"/>
        </w:rPr>
        <w:t>组合计提项目：</w:t>
      </w:r>
      <w:sdt>
        <w:sdtPr>
          <w:rPr>
            <w:rFonts w:hint="eastAsia"/>
            <w:color w:val="000000" w:themeColor="text1"/>
          </w:rPr>
          <w:alias w:val="按组合计提坏账准备的应收账款明细-组合名称"/>
          <w:tag w:val="_GBC_fec033684b6e412cabcd0e0ea1c6cb96"/>
          <w:id w:val="473184813"/>
          <w:placeholder>
            <w:docPart w:val="GBC22222222222222222222222222222"/>
          </w:placeholder>
          <w:comboBox>
            <w:listItem w:displayText="账龄组合" w:value="账龄组合"/>
          </w:comboBox>
        </w:sdtPr>
        <w:sdtEndPr/>
        <w:sdtContent>
          <w:proofErr w:type="gramStart"/>
          <w:r>
            <w:rPr>
              <w:rFonts w:hint="eastAsia"/>
              <w:color w:val="000000" w:themeColor="text1"/>
            </w:rPr>
            <w:t>账</w:t>
          </w:r>
          <w:proofErr w:type="gramEnd"/>
          <w:r>
            <w:rPr>
              <w:rFonts w:hint="eastAsia"/>
              <w:color w:val="000000" w:themeColor="text1"/>
            </w:rPr>
            <w:t>龄组合</w:t>
          </w:r>
        </w:sdtContent>
      </w:sdt>
    </w:p>
    <w:p w:rsidR="00597370" w:rsidRDefault="003C2EEE">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组合计提坏账准备的应收账款详细情况"/>
          <w:tag w:val="_GBC_ccac8c131a6748e699800a5f25e5efcf"/>
          <w:id w:val="5918192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按组合计提坏账准备的应收账款详细情况"/>
          <w:tag w:val="_GBC_f0296899749441bf8c33f5882df60a71"/>
          <w:id w:val="-12740930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252"/>
        <w:gridCol w:w="2292"/>
        <w:gridCol w:w="2236"/>
      </w:tblGrid>
      <w:tr w:rsidR="00597370">
        <w:sdt>
          <w:sdtPr>
            <w:rPr>
              <w:color w:val="000000" w:themeColor="text1"/>
            </w:rPr>
            <w:tag w:val="_PLD_331ca2a43a5247699c45fd6309aee7fd"/>
            <w:id w:val="228044125"/>
          </w:sdtPr>
          <w:sdtEndPr/>
          <w:sdtContent>
            <w:tc>
              <w:tcPr>
                <w:tcW w:w="1158" w:type="pct"/>
                <w:vMerge w:val="restart"/>
                <w:vAlign w:val="center"/>
              </w:tcPr>
              <w:p w:rsidR="00597370" w:rsidRDefault="003C2EEE">
                <w:pPr>
                  <w:jc w:val="center"/>
                  <w:rPr>
                    <w:color w:val="000000" w:themeColor="text1"/>
                  </w:rPr>
                </w:pPr>
                <w:r>
                  <w:rPr>
                    <w:rFonts w:hint="eastAsia"/>
                    <w:color w:val="000000" w:themeColor="text1"/>
                  </w:rPr>
                  <w:t>名称</w:t>
                </w:r>
              </w:p>
            </w:tc>
          </w:sdtContent>
        </w:sdt>
        <w:sdt>
          <w:sdtPr>
            <w:rPr>
              <w:color w:val="000000" w:themeColor="text1"/>
            </w:rPr>
            <w:tag w:val="_PLD_271f4f470bff48e385b1a5d9080fde35"/>
            <w:id w:val="864026959"/>
          </w:sdtPr>
          <w:sdtEndPr/>
          <w:sdtContent>
            <w:tc>
              <w:tcPr>
                <w:tcW w:w="3842" w:type="pct"/>
                <w:gridSpan w:val="3"/>
                <w:vAlign w:val="center"/>
              </w:tcPr>
              <w:p w:rsidR="00597370" w:rsidRDefault="003C2EEE">
                <w:pPr>
                  <w:jc w:val="center"/>
                  <w:rPr>
                    <w:color w:val="000000" w:themeColor="text1"/>
                  </w:rPr>
                </w:pPr>
                <w:r>
                  <w:rPr>
                    <w:rFonts w:hint="eastAsia"/>
                    <w:color w:val="000000" w:themeColor="text1"/>
                  </w:rPr>
                  <w:t>期末余额</w:t>
                </w:r>
              </w:p>
            </w:tc>
          </w:sdtContent>
        </w:sdt>
      </w:tr>
      <w:tr w:rsidR="00597370">
        <w:tc>
          <w:tcPr>
            <w:tcW w:w="1158" w:type="pct"/>
            <w:vMerge/>
          </w:tcPr>
          <w:p w:rsidR="00597370" w:rsidRDefault="00597370">
            <w:pPr>
              <w:jc w:val="center"/>
              <w:rPr>
                <w:color w:val="000000" w:themeColor="text1"/>
              </w:rPr>
            </w:pPr>
          </w:p>
        </w:tc>
        <w:sdt>
          <w:sdtPr>
            <w:rPr>
              <w:color w:val="000000" w:themeColor="text1"/>
            </w:rPr>
            <w:tag w:val="_PLD_e1c956de9b3b4544a5d0584eaaf6aea2"/>
            <w:id w:val="1818920099"/>
          </w:sdtPr>
          <w:sdtEndPr/>
          <w:sdtContent>
            <w:tc>
              <w:tcPr>
                <w:tcW w:w="1276" w:type="pct"/>
                <w:vAlign w:val="center"/>
              </w:tcPr>
              <w:p w:rsidR="00597370" w:rsidRDefault="003C2EEE">
                <w:pPr>
                  <w:jc w:val="center"/>
                  <w:rPr>
                    <w:color w:val="000000" w:themeColor="text1"/>
                  </w:rPr>
                </w:pPr>
                <w:r>
                  <w:rPr>
                    <w:rFonts w:hint="eastAsia"/>
                    <w:color w:val="000000" w:themeColor="text1"/>
                  </w:rPr>
                  <w:t>应收账款</w:t>
                </w:r>
              </w:p>
            </w:tc>
          </w:sdtContent>
        </w:sdt>
        <w:sdt>
          <w:sdtPr>
            <w:rPr>
              <w:color w:val="000000" w:themeColor="text1"/>
            </w:rPr>
            <w:tag w:val="_PLD_0098acb8b7f640f29f65a14017e23f02"/>
            <w:id w:val="-1032954749"/>
          </w:sdtPr>
          <w:sdtEndPr/>
          <w:sdtContent>
            <w:tc>
              <w:tcPr>
                <w:tcW w:w="1299" w:type="pct"/>
                <w:vAlign w:val="center"/>
              </w:tcPr>
              <w:p w:rsidR="00597370" w:rsidRDefault="003C2EEE">
                <w:pPr>
                  <w:jc w:val="center"/>
                  <w:rPr>
                    <w:color w:val="000000" w:themeColor="text1"/>
                  </w:rPr>
                </w:pPr>
                <w:r>
                  <w:rPr>
                    <w:rFonts w:hint="eastAsia"/>
                    <w:color w:val="000000" w:themeColor="text1"/>
                  </w:rPr>
                  <w:t>坏账准备</w:t>
                </w:r>
              </w:p>
            </w:tc>
          </w:sdtContent>
        </w:sdt>
        <w:sdt>
          <w:sdtPr>
            <w:rPr>
              <w:color w:val="000000" w:themeColor="text1"/>
            </w:rPr>
            <w:tag w:val="_PLD_290bbc3bde3c43c487996752ceb95160"/>
            <w:id w:val="1930848430"/>
          </w:sdtPr>
          <w:sdtEndPr/>
          <w:sdtContent>
            <w:tc>
              <w:tcPr>
                <w:tcW w:w="1267" w:type="pct"/>
                <w:vAlign w:val="center"/>
              </w:tcPr>
              <w:p w:rsidR="00597370" w:rsidRDefault="003C2EEE">
                <w:pPr>
                  <w:jc w:val="center"/>
                  <w:rPr>
                    <w:color w:val="000000" w:themeColor="text1"/>
                  </w:rPr>
                </w:pPr>
                <w:r>
                  <w:rPr>
                    <w:color w:val="000000" w:themeColor="text1"/>
                  </w:rPr>
                  <w:t>计提比例</w:t>
                </w:r>
                <w:r>
                  <w:rPr>
                    <w:rFonts w:hint="eastAsia"/>
                    <w:color w:val="000000" w:themeColor="text1"/>
                  </w:rPr>
                  <w:t>（%）</w:t>
                </w:r>
              </w:p>
            </w:tc>
          </w:sdtContent>
        </w:sdt>
      </w:tr>
      <w:tr w:rsidR="00597370">
        <w:tc>
          <w:tcPr>
            <w:tcW w:w="1158" w:type="pct"/>
          </w:tcPr>
          <w:p w:rsidR="00597370" w:rsidRDefault="003C2EEE">
            <w:r>
              <w:t>1年以内</w:t>
            </w:r>
          </w:p>
        </w:tc>
        <w:tc>
          <w:tcPr>
            <w:tcW w:w="1276" w:type="pct"/>
          </w:tcPr>
          <w:p w:rsidR="00597370" w:rsidRDefault="003C2EEE">
            <w:pPr>
              <w:jc w:val="right"/>
            </w:pPr>
            <w:r>
              <w:t>1,190,057,929.55</w:t>
            </w:r>
          </w:p>
        </w:tc>
        <w:tc>
          <w:tcPr>
            <w:tcW w:w="1299" w:type="pct"/>
          </w:tcPr>
          <w:p w:rsidR="00597370" w:rsidRDefault="003C2EEE">
            <w:pPr>
              <w:jc w:val="right"/>
            </w:pPr>
            <w:r>
              <w:t>59,502,896.49</w:t>
            </w:r>
          </w:p>
        </w:tc>
        <w:tc>
          <w:tcPr>
            <w:tcW w:w="1267" w:type="pct"/>
          </w:tcPr>
          <w:p w:rsidR="00597370" w:rsidRDefault="003C2EEE">
            <w:pPr>
              <w:jc w:val="right"/>
            </w:pPr>
            <w:r>
              <w:t>5.00</w:t>
            </w:r>
          </w:p>
        </w:tc>
      </w:tr>
      <w:tr w:rsidR="00597370">
        <w:tc>
          <w:tcPr>
            <w:tcW w:w="1158" w:type="pct"/>
          </w:tcPr>
          <w:p w:rsidR="00597370" w:rsidRDefault="003C2EEE">
            <w:r>
              <w:t>1－2年</w:t>
            </w:r>
          </w:p>
        </w:tc>
        <w:tc>
          <w:tcPr>
            <w:tcW w:w="1276" w:type="pct"/>
          </w:tcPr>
          <w:p w:rsidR="00597370" w:rsidRDefault="003C2EEE">
            <w:pPr>
              <w:jc w:val="right"/>
            </w:pPr>
            <w:r>
              <w:t>327,136,574.73</w:t>
            </w:r>
          </w:p>
        </w:tc>
        <w:tc>
          <w:tcPr>
            <w:tcW w:w="1299" w:type="pct"/>
          </w:tcPr>
          <w:p w:rsidR="00597370" w:rsidRDefault="003C2EEE">
            <w:pPr>
              <w:jc w:val="right"/>
            </w:pPr>
            <w:r>
              <w:t>32,713,657.48</w:t>
            </w:r>
          </w:p>
        </w:tc>
        <w:tc>
          <w:tcPr>
            <w:tcW w:w="1267" w:type="pct"/>
          </w:tcPr>
          <w:p w:rsidR="00597370" w:rsidRDefault="003C2EEE">
            <w:pPr>
              <w:jc w:val="right"/>
            </w:pPr>
            <w:r>
              <w:t>10.00</w:t>
            </w:r>
          </w:p>
        </w:tc>
      </w:tr>
      <w:tr w:rsidR="00597370">
        <w:tc>
          <w:tcPr>
            <w:tcW w:w="1158" w:type="pct"/>
          </w:tcPr>
          <w:p w:rsidR="00597370" w:rsidRDefault="003C2EEE">
            <w:r>
              <w:t>2－3年</w:t>
            </w:r>
          </w:p>
        </w:tc>
        <w:tc>
          <w:tcPr>
            <w:tcW w:w="1276" w:type="pct"/>
          </w:tcPr>
          <w:p w:rsidR="00597370" w:rsidRDefault="003C2EEE">
            <w:pPr>
              <w:jc w:val="right"/>
            </w:pPr>
            <w:r>
              <w:t>103,765,366.47</w:t>
            </w:r>
          </w:p>
        </w:tc>
        <w:tc>
          <w:tcPr>
            <w:tcW w:w="1299" w:type="pct"/>
          </w:tcPr>
          <w:p w:rsidR="00597370" w:rsidRDefault="003C2EEE">
            <w:pPr>
              <w:jc w:val="right"/>
            </w:pPr>
            <w:r>
              <w:t>20,753,073.30</w:t>
            </w:r>
          </w:p>
        </w:tc>
        <w:tc>
          <w:tcPr>
            <w:tcW w:w="1267" w:type="pct"/>
          </w:tcPr>
          <w:p w:rsidR="00597370" w:rsidRDefault="003C2EEE">
            <w:pPr>
              <w:jc w:val="right"/>
            </w:pPr>
            <w:r>
              <w:t>20.00</w:t>
            </w:r>
          </w:p>
        </w:tc>
      </w:tr>
      <w:tr w:rsidR="00597370">
        <w:tc>
          <w:tcPr>
            <w:tcW w:w="1158" w:type="pct"/>
          </w:tcPr>
          <w:p w:rsidR="00597370" w:rsidRDefault="003C2EEE">
            <w:r>
              <w:t>3－4年</w:t>
            </w:r>
          </w:p>
        </w:tc>
        <w:tc>
          <w:tcPr>
            <w:tcW w:w="1276" w:type="pct"/>
          </w:tcPr>
          <w:p w:rsidR="00597370" w:rsidRDefault="003C2EEE">
            <w:pPr>
              <w:jc w:val="right"/>
            </w:pPr>
            <w:r>
              <w:t>38,949,184.65</w:t>
            </w:r>
          </w:p>
        </w:tc>
        <w:tc>
          <w:tcPr>
            <w:tcW w:w="1299" w:type="pct"/>
          </w:tcPr>
          <w:p w:rsidR="00597370" w:rsidRDefault="003C2EEE">
            <w:pPr>
              <w:jc w:val="right"/>
            </w:pPr>
            <w:r>
              <w:t>11,684,755.41</w:t>
            </w:r>
          </w:p>
        </w:tc>
        <w:tc>
          <w:tcPr>
            <w:tcW w:w="1267" w:type="pct"/>
          </w:tcPr>
          <w:p w:rsidR="00597370" w:rsidRDefault="003C2EEE">
            <w:pPr>
              <w:jc w:val="right"/>
            </w:pPr>
            <w:r>
              <w:t>30.00</w:t>
            </w:r>
          </w:p>
        </w:tc>
      </w:tr>
      <w:tr w:rsidR="00597370">
        <w:tc>
          <w:tcPr>
            <w:tcW w:w="1158" w:type="pct"/>
          </w:tcPr>
          <w:p w:rsidR="00597370" w:rsidRDefault="003C2EEE">
            <w:r>
              <w:t>4－5年</w:t>
            </w:r>
          </w:p>
        </w:tc>
        <w:tc>
          <w:tcPr>
            <w:tcW w:w="1276" w:type="pct"/>
          </w:tcPr>
          <w:p w:rsidR="00597370" w:rsidRDefault="003C2EEE">
            <w:pPr>
              <w:jc w:val="right"/>
            </w:pPr>
            <w:r>
              <w:t>16,170,410.19</w:t>
            </w:r>
          </w:p>
        </w:tc>
        <w:tc>
          <w:tcPr>
            <w:tcW w:w="1299" w:type="pct"/>
          </w:tcPr>
          <w:p w:rsidR="00597370" w:rsidRDefault="003C2EEE">
            <w:pPr>
              <w:jc w:val="right"/>
            </w:pPr>
            <w:r>
              <w:t>8,085,205.12</w:t>
            </w:r>
          </w:p>
        </w:tc>
        <w:tc>
          <w:tcPr>
            <w:tcW w:w="1267" w:type="pct"/>
          </w:tcPr>
          <w:p w:rsidR="00597370" w:rsidRDefault="003C2EEE">
            <w:pPr>
              <w:jc w:val="right"/>
            </w:pPr>
            <w:r>
              <w:t>50.00</w:t>
            </w:r>
          </w:p>
        </w:tc>
      </w:tr>
      <w:tr w:rsidR="00597370">
        <w:tc>
          <w:tcPr>
            <w:tcW w:w="1158" w:type="pct"/>
          </w:tcPr>
          <w:p w:rsidR="00597370" w:rsidRDefault="003C2EEE">
            <w:r>
              <w:t>5年以上</w:t>
            </w:r>
          </w:p>
        </w:tc>
        <w:tc>
          <w:tcPr>
            <w:tcW w:w="1276" w:type="pct"/>
          </w:tcPr>
          <w:p w:rsidR="00597370" w:rsidRDefault="003C2EEE">
            <w:pPr>
              <w:jc w:val="right"/>
            </w:pPr>
            <w:r>
              <w:t>28,294,267.32</w:t>
            </w:r>
          </w:p>
        </w:tc>
        <w:tc>
          <w:tcPr>
            <w:tcW w:w="1299" w:type="pct"/>
          </w:tcPr>
          <w:p w:rsidR="00597370" w:rsidRDefault="003C2EEE">
            <w:pPr>
              <w:jc w:val="right"/>
            </w:pPr>
            <w:r>
              <w:t>28,294,267.32</w:t>
            </w:r>
          </w:p>
        </w:tc>
        <w:tc>
          <w:tcPr>
            <w:tcW w:w="1267" w:type="pct"/>
          </w:tcPr>
          <w:p w:rsidR="00597370" w:rsidRDefault="003C2EEE">
            <w:pPr>
              <w:jc w:val="right"/>
            </w:pPr>
            <w:r>
              <w:t>100.00</w:t>
            </w:r>
          </w:p>
        </w:tc>
      </w:tr>
      <w:tr w:rsidR="00597370">
        <w:tc>
          <w:tcPr>
            <w:tcW w:w="1158" w:type="pct"/>
            <w:vAlign w:val="center"/>
          </w:tcPr>
          <w:p w:rsidR="00597370" w:rsidRDefault="003C2EEE">
            <w:pPr>
              <w:jc w:val="center"/>
              <w:rPr>
                <w:color w:val="000000" w:themeColor="text1"/>
              </w:rPr>
            </w:pPr>
            <w:r>
              <w:rPr>
                <w:rFonts w:hint="eastAsia"/>
                <w:color w:val="000000" w:themeColor="text1"/>
              </w:rPr>
              <w:t>合计</w:t>
            </w:r>
          </w:p>
        </w:tc>
        <w:tc>
          <w:tcPr>
            <w:tcW w:w="1276" w:type="pct"/>
          </w:tcPr>
          <w:p w:rsidR="00597370" w:rsidRDefault="003C2EEE">
            <w:pPr>
              <w:jc w:val="right"/>
            </w:pPr>
            <w:r>
              <w:t>1,704,373,732.91</w:t>
            </w:r>
          </w:p>
        </w:tc>
        <w:tc>
          <w:tcPr>
            <w:tcW w:w="1299" w:type="pct"/>
          </w:tcPr>
          <w:p w:rsidR="00597370" w:rsidRDefault="003C2EEE">
            <w:pPr>
              <w:jc w:val="right"/>
            </w:pPr>
            <w:r>
              <w:t>161,033,855.11</w:t>
            </w:r>
          </w:p>
        </w:tc>
        <w:tc>
          <w:tcPr>
            <w:tcW w:w="1267" w:type="pct"/>
          </w:tcPr>
          <w:p w:rsidR="00597370" w:rsidRDefault="003C2EEE">
            <w:pPr>
              <w:jc w:val="right"/>
            </w:pPr>
            <w:r>
              <w:t>9.45</w:t>
            </w:r>
          </w:p>
        </w:tc>
      </w:tr>
    </w:tbl>
    <w:p w:rsidR="00597370" w:rsidRDefault="00597370"/>
    <w:p w:rsidR="00597370" w:rsidRDefault="003C2EEE">
      <w:pPr>
        <w:rPr>
          <w:color w:val="000000" w:themeColor="text1"/>
        </w:rPr>
      </w:pPr>
      <w:r>
        <w:rPr>
          <w:rFonts w:hint="eastAsia"/>
          <w:color w:val="000000" w:themeColor="text1"/>
        </w:rPr>
        <w:t>按组合计提坏账准备的说明：</w:t>
      </w:r>
    </w:p>
    <w:sdt>
      <w:sdtPr>
        <w:rPr>
          <w:color w:val="000000" w:themeColor="text1"/>
        </w:rPr>
        <w:alias w:val="是否适用：按组合计提坏账准备的应收账款确认标准[双击切换]"/>
        <w:tag w:val="_GBC_8361cfeb973b4073b7fdbd49a393b38c"/>
        <w:id w:val="80758522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cstheme="minorBidi"/>
          <w:color w:val="000000" w:themeColor="text1"/>
          <w:szCs w:val="22"/>
        </w:rPr>
      </w:pPr>
      <w:bookmarkStart w:id="174" w:name="_Hlk153357523"/>
      <w:bookmarkStart w:id="175" w:name="_Hlk154134618"/>
      <w:bookmarkStart w:id="176" w:name="_Hlk167885281"/>
      <w:bookmarkEnd w:id="172"/>
      <w:bookmarkEnd w:id="173"/>
      <w:r>
        <w:rPr>
          <w:rFonts w:cstheme="minorBidi" w:hint="eastAsia"/>
          <w:color w:val="000000" w:themeColor="text1"/>
          <w:szCs w:val="22"/>
        </w:rPr>
        <w:t>按预期信用损失一般模型计提坏账准备</w:t>
      </w:r>
    </w:p>
    <w:sdt>
      <w:sdtPr>
        <w:rPr>
          <w:rFonts w:cstheme="minorBidi"/>
          <w:color w:val="000000" w:themeColor="text1"/>
          <w:szCs w:val="22"/>
        </w:rPr>
        <w:alias w:val="是否适用：按预期信用损失一般模型计提坏账准备[双击切换]"/>
        <w:tag w:val="_GBC_1d19b1b69e8344f18b14e15d329edea7"/>
        <w:id w:val="-1211030467"/>
        <w:placeholder>
          <w:docPart w:val="GBC22222222222222222222222222222"/>
        </w:placeholder>
      </w:sdtPr>
      <w:sdtEndPr/>
      <w:sdtContent>
        <w:p w:rsidR="00597370" w:rsidRDefault="003C2EEE">
          <w:pPr>
            <w:rPr>
              <w:rFonts w:cstheme="minorBidi"/>
              <w:color w:val="000000" w:themeColor="text1"/>
              <w:szCs w:val="22"/>
            </w:rPr>
          </w:pPr>
          <w:r>
            <w:rPr>
              <w:rFonts w:cstheme="minorBidi"/>
              <w:color w:val="000000" w:themeColor="text1"/>
              <w:szCs w:val="22"/>
            </w:rPr>
            <w:fldChar w:fldCharType="begin"/>
          </w:r>
          <w:r>
            <w:rPr>
              <w:rFonts w:cstheme="minorBidi"/>
              <w:color w:val="000000" w:themeColor="text1"/>
              <w:szCs w:val="22"/>
            </w:rPr>
            <w:instrText xml:space="preserve"> MACROBUTTON  SnrToggleCheckbox □适用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color w:val="000000" w:themeColor="text1"/>
              <w:szCs w:val="22"/>
            </w:rPr>
            <w:fldChar w:fldCharType="end"/>
          </w:r>
        </w:p>
      </w:sdtContent>
    </w:sdt>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各阶段划分依据和坏账准备计提比例"/>
        <w:tag w:val="_GBC_d8e8411c0a8c4c56aa732db88b5aee2e"/>
        <w:id w:val="1965699692"/>
        <w:placeholder>
          <w:docPart w:val="GBC22222222222222222222222222222"/>
        </w:placeholder>
      </w:sdtPr>
      <w:sdtEndPr/>
      <w:sdtContent>
        <w:p w:rsidR="00597370" w:rsidRDefault="003C2EEE">
          <w:pPr>
            <w:rPr>
              <w:rFonts w:cs="Times New Roman"/>
              <w:color w:val="000000" w:themeColor="text1"/>
              <w:szCs w:val="22"/>
            </w:rPr>
          </w:pPr>
          <w:r>
            <w:rPr>
              <w:rFonts w:cs="Times New Roman" w:hint="eastAsia"/>
              <w:color w:val="000000" w:themeColor="text1"/>
              <w:szCs w:val="22"/>
            </w:rPr>
            <w:t>无</w:t>
          </w:r>
        </w:p>
      </w:sdtContent>
    </w:sdt>
    <w:p w:rsidR="00597370" w:rsidRDefault="003C2EEE">
      <w:pPr>
        <w:pStyle w:val="Style151"/>
        <w:rPr>
          <w:color w:val="000000" w:themeColor="text1"/>
        </w:rPr>
      </w:pPr>
      <w:r>
        <w:rPr>
          <w:rFonts w:hint="eastAsia"/>
          <w:color w:val="000000" w:themeColor="text1"/>
        </w:rPr>
        <w:t>对本期发生损失准备变动的应收账款账面余额显著变动的情况说明：</w:t>
      </w:r>
    </w:p>
    <w:sdt>
      <w:sdtPr>
        <w:rPr>
          <w:color w:val="000000" w:themeColor="text1"/>
        </w:rPr>
        <w:alias w:val="是否适用：对本期发生损失准备变动的账面余额显著变动的情况说明[双击切换]"/>
        <w:tag w:val="_GBC_69f0a67a74b04da0bfa388cc3243da42"/>
        <w:id w:val="-1742468569"/>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8"/>
        </w:numPr>
        <w:ind w:left="426" w:hanging="426"/>
        <w:rPr>
          <w:color w:val="000000" w:themeColor="text1"/>
        </w:rPr>
      </w:pPr>
      <w:bookmarkStart w:id="177" w:name="_Hlk10467433"/>
      <w:bookmarkEnd w:id="174"/>
      <w:bookmarkEnd w:id="175"/>
      <w:bookmarkEnd w:id="176"/>
      <w:r>
        <w:rPr>
          <w:rFonts w:hint="eastAsia"/>
          <w:color w:val="000000" w:themeColor="text1"/>
        </w:rPr>
        <w:t>坏账准备的情况</w:t>
      </w:r>
    </w:p>
    <w:sdt>
      <w:sdtPr>
        <w:rPr>
          <w:color w:val="000000" w:themeColor="text1"/>
        </w:rPr>
        <w:alias w:val="是否适用：应收账款坏账准备[双击切换]"/>
        <w:tag w:val="_GBC_fb482eb90dbc45c4a6420c45e8a46012"/>
        <w:id w:val="-7848844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snapToGrid w:val="0"/>
        <w:spacing w:line="240" w:lineRule="atLeast"/>
        <w:ind w:left="42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应收账款坏账准备"/>
          <w:tag w:val="_GBC_f681542ff42f497c9ed44328f301413f"/>
          <w:id w:val="11614336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应收账款坏账准备"/>
          <w:tag w:val="_GBC_79f82daaad1749fbb117cea0941b8667"/>
          <w:id w:val="8645680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432"/>
        <w:gridCol w:w="1594"/>
        <w:gridCol w:w="1399"/>
        <w:gridCol w:w="1203"/>
        <w:gridCol w:w="1105"/>
        <w:gridCol w:w="1496"/>
        <w:gridCol w:w="1594"/>
      </w:tblGrid>
      <w:tr w:rsidR="00597370">
        <w:sdt>
          <w:sdtPr>
            <w:rPr>
              <w:color w:val="000000" w:themeColor="text1"/>
            </w:rPr>
            <w:tag w:val="_PLD_82b0419f5c784cbe8b363ff715cfd4eb"/>
            <w:id w:val="1487048247"/>
          </w:sdtPr>
          <w:sdtEndPr/>
          <w:sdtContent>
            <w:tc>
              <w:tcPr>
                <w:tcW w:w="239" w:type="pct"/>
                <w:vMerge w:val="restart"/>
                <w:shd w:val="clear" w:color="auto" w:fill="FFFFFF"/>
                <w:vAlign w:val="center"/>
              </w:tcPr>
              <w:p w:rsidR="00597370" w:rsidRDefault="003C2EEE">
                <w:pPr>
                  <w:widowControl w:val="0"/>
                  <w:jc w:val="center"/>
                  <w:rPr>
                    <w:color w:val="000000" w:themeColor="text1"/>
                  </w:rPr>
                </w:pPr>
                <w:r>
                  <w:rPr>
                    <w:color w:val="000000" w:themeColor="text1"/>
                  </w:rPr>
                  <w:t>类</w:t>
                </w:r>
                <w:r>
                  <w:rPr>
                    <w:color w:val="000000" w:themeColor="text1"/>
                  </w:rPr>
                  <w:lastRenderedPageBreak/>
                  <w:t>别</w:t>
                </w:r>
              </w:p>
            </w:tc>
          </w:sdtContent>
        </w:sdt>
        <w:sdt>
          <w:sdtPr>
            <w:rPr>
              <w:color w:val="000000" w:themeColor="text1"/>
            </w:rPr>
            <w:tag w:val="_PLD_6cba2c33cb334541980e3e13a6ee357d"/>
            <w:id w:val="1118023016"/>
          </w:sdtPr>
          <w:sdtEndPr/>
          <w:sdtContent>
            <w:tc>
              <w:tcPr>
                <w:tcW w:w="904" w:type="pct"/>
                <w:vMerge w:val="restart"/>
                <w:shd w:val="clear" w:color="auto" w:fill="FFFFFF"/>
                <w:vAlign w:val="center"/>
              </w:tcPr>
              <w:p w:rsidR="00597370" w:rsidRDefault="003C2EEE">
                <w:pPr>
                  <w:widowControl w:val="0"/>
                  <w:jc w:val="center"/>
                  <w:rPr>
                    <w:color w:val="000000" w:themeColor="text1"/>
                  </w:rPr>
                </w:pPr>
                <w:r>
                  <w:rPr>
                    <w:color w:val="000000" w:themeColor="text1"/>
                  </w:rPr>
                  <w:t>期初余额</w:t>
                </w:r>
              </w:p>
            </w:tc>
          </w:sdtContent>
        </w:sdt>
        <w:sdt>
          <w:sdtPr>
            <w:rPr>
              <w:color w:val="000000" w:themeColor="text1"/>
            </w:rPr>
            <w:tag w:val="_PLD_ec3d2e2cde2a4ba29c966861f9ca39c7"/>
            <w:id w:val="-536657804"/>
          </w:sdtPr>
          <w:sdtEndPr/>
          <w:sdtContent>
            <w:tc>
              <w:tcPr>
                <w:tcW w:w="2953" w:type="pct"/>
                <w:gridSpan w:val="4"/>
                <w:shd w:val="clear" w:color="auto" w:fill="FFFFFF"/>
                <w:vAlign w:val="center"/>
              </w:tcPr>
              <w:p w:rsidR="00597370" w:rsidRDefault="003C2EEE">
                <w:pPr>
                  <w:widowControl w:val="0"/>
                  <w:jc w:val="center"/>
                  <w:rPr>
                    <w:color w:val="000000" w:themeColor="text1"/>
                  </w:rPr>
                </w:pPr>
                <w:r>
                  <w:rPr>
                    <w:rFonts w:hint="eastAsia"/>
                    <w:color w:val="000000" w:themeColor="text1"/>
                  </w:rPr>
                  <w:t>本期变动</w:t>
                </w:r>
                <w:r>
                  <w:rPr>
                    <w:color w:val="000000" w:themeColor="text1"/>
                  </w:rPr>
                  <w:t>金额</w:t>
                </w:r>
              </w:p>
            </w:tc>
          </w:sdtContent>
        </w:sdt>
        <w:sdt>
          <w:sdtPr>
            <w:rPr>
              <w:color w:val="000000" w:themeColor="text1"/>
            </w:rPr>
            <w:tag w:val="_PLD_9c167d6d72f94e22aecc39ba0e735a78"/>
            <w:id w:val="-121149545"/>
          </w:sdtPr>
          <w:sdtEndPr/>
          <w:sdtContent>
            <w:tc>
              <w:tcPr>
                <w:tcW w:w="904" w:type="pct"/>
                <w:vMerge w:val="restart"/>
                <w:shd w:val="clear" w:color="auto" w:fill="FFFFFF"/>
                <w:vAlign w:val="center"/>
              </w:tcPr>
              <w:p w:rsidR="00597370" w:rsidRDefault="003C2EEE">
                <w:pPr>
                  <w:widowControl w:val="0"/>
                  <w:jc w:val="center"/>
                  <w:rPr>
                    <w:color w:val="000000" w:themeColor="text1"/>
                  </w:rPr>
                </w:pPr>
                <w:r>
                  <w:rPr>
                    <w:color w:val="000000" w:themeColor="text1"/>
                  </w:rPr>
                  <w:t>期末余额</w:t>
                </w:r>
              </w:p>
            </w:tc>
          </w:sdtContent>
        </w:sdt>
      </w:tr>
      <w:tr w:rsidR="00597370">
        <w:tc>
          <w:tcPr>
            <w:tcW w:w="239" w:type="pct"/>
            <w:vMerge/>
            <w:shd w:val="clear" w:color="auto" w:fill="FFFFFF"/>
          </w:tcPr>
          <w:p w:rsidR="00597370" w:rsidRDefault="00597370">
            <w:pPr>
              <w:widowControl w:val="0"/>
              <w:jc w:val="center"/>
              <w:rPr>
                <w:color w:val="000000" w:themeColor="text1"/>
              </w:rPr>
            </w:pPr>
          </w:p>
        </w:tc>
        <w:tc>
          <w:tcPr>
            <w:tcW w:w="904" w:type="pct"/>
            <w:vMerge/>
            <w:shd w:val="clear" w:color="auto" w:fill="FFFFFF"/>
          </w:tcPr>
          <w:p w:rsidR="00597370" w:rsidRDefault="00597370">
            <w:pPr>
              <w:widowControl w:val="0"/>
              <w:jc w:val="center"/>
              <w:rPr>
                <w:color w:val="000000" w:themeColor="text1"/>
              </w:rPr>
            </w:pPr>
          </w:p>
        </w:tc>
        <w:sdt>
          <w:sdtPr>
            <w:rPr>
              <w:color w:val="000000" w:themeColor="text1"/>
            </w:rPr>
            <w:tag w:val="_PLD_6cba23a5661e46c88bed469159b39a72"/>
            <w:id w:val="-2049910886"/>
          </w:sdtPr>
          <w:sdtEndPr/>
          <w:sdtContent>
            <w:tc>
              <w:tcPr>
                <w:tcW w:w="793" w:type="pct"/>
                <w:shd w:val="clear" w:color="auto" w:fill="FFFFFF"/>
                <w:vAlign w:val="center"/>
              </w:tcPr>
              <w:p w:rsidR="00597370" w:rsidRDefault="003C2EEE">
                <w:pPr>
                  <w:widowControl w:val="0"/>
                  <w:jc w:val="center"/>
                  <w:rPr>
                    <w:color w:val="000000" w:themeColor="text1"/>
                  </w:rPr>
                </w:pPr>
                <w:r>
                  <w:rPr>
                    <w:color w:val="000000" w:themeColor="text1"/>
                  </w:rPr>
                  <w:t>计提</w:t>
                </w:r>
              </w:p>
            </w:tc>
          </w:sdtContent>
        </w:sdt>
        <w:sdt>
          <w:sdtPr>
            <w:rPr>
              <w:color w:val="000000" w:themeColor="text1"/>
            </w:rPr>
            <w:tag w:val="_PLD_eaa82901608843c6947a0e537e8e0700"/>
            <w:id w:val="-1995642920"/>
          </w:sdtPr>
          <w:sdtEndPr/>
          <w:sdtContent>
            <w:tc>
              <w:tcPr>
                <w:tcW w:w="683" w:type="pct"/>
                <w:shd w:val="clear" w:color="auto" w:fill="FFFFFF"/>
                <w:vAlign w:val="center"/>
              </w:tcPr>
              <w:p w:rsidR="00597370" w:rsidRDefault="003C2EEE">
                <w:pPr>
                  <w:widowControl w:val="0"/>
                  <w:jc w:val="center"/>
                  <w:rPr>
                    <w:color w:val="000000" w:themeColor="text1"/>
                  </w:rPr>
                </w:pPr>
                <w:r>
                  <w:rPr>
                    <w:rFonts w:hint="eastAsia"/>
                    <w:color w:val="000000" w:themeColor="text1"/>
                  </w:rPr>
                  <w:t>收回或转回</w:t>
                </w:r>
              </w:p>
            </w:tc>
          </w:sdtContent>
        </w:sdt>
        <w:tc>
          <w:tcPr>
            <w:tcW w:w="627" w:type="pct"/>
            <w:shd w:val="clear" w:color="auto" w:fill="FFFFFF"/>
            <w:vAlign w:val="center"/>
          </w:tcPr>
          <w:sdt>
            <w:sdtPr>
              <w:rPr>
                <w:rFonts w:hint="eastAsia"/>
                <w:color w:val="000000" w:themeColor="text1"/>
              </w:rPr>
              <w:tag w:val="_PLD_4232da6e7f4d498bb5fd03aa253dd7d4"/>
              <w:id w:val="-1191676114"/>
            </w:sdtPr>
            <w:sdtEndPr/>
            <w:sdtContent>
              <w:p w:rsidR="00597370" w:rsidRDefault="003C2EEE">
                <w:pPr>
                  <w:widowControl w:val="0"/>
                  <w:jc w:val="center"/>
                  <w:rPr>
                    <w:color w:val="000000" w:themeColor="text1"/>
                  </w:rPr>
                </w:pPr>
                <w:r>
                  <w:rPr>
                    <w:rFonts w:hint="eastAsia"/>
                    <w:color w:val="000000" w:themeColor="text1"/>
                  </w:rPr>
                  <w:t>转销或核销</w:t>
                </w:r>
              </w:p>
            </w:sdtContent>
          </w:sdt>
        </w:tc>
        <w:tc>
          <w:tcPr>
            <w:tcW w:w="849" w:type="pct"/>
            <w:shd w:val="clear" w:color="auto" w:fill="FFFFFF"/>
            <w:vAlign w:val="center"/>
          </w:tcPr>
          <w:sdt>
            <w:sdtPr>
              <w:rPr>
                <w:rFonts w:hint="eastAsia"/>
                <w:color w:val="000000" w:themeColor="text1"/>
              </w:rPr>
              <w:tag w:val="_PLD_6a40df7ca60f4ded8af3453519948166"/>
              <w:id w:val="-1975672962"/>
            </w:sdtPr>
            <w:sdtEndPr/>
            <w:sdtContent>
              <w:p w:rsidR="00597370" w:rsidRDefault="003C2EEE">
                <w:pPr>
                  <w:widowControl w:val="0"/>
                  <w:rPr>
                    <w:color w:val="000000" w:themeColor="text1"/>
                  </w:rPr>
                </w:pPr>
                <w:r>
                  <w:rPr>
                    <w:rFonts w:hint="eastAsia"/>
                    <w:color w:val="000000" w:themeColor="text1"/>
                  </w:rPr>
                  <w:t>合并范围内增加</w:t>
                </w:r>
              </w:p>
            </w:sdtContent>
          </w:sdt>
        </w:tc>
        <w:tc>
          <w:tcPr>
            <w:tcW w:w="904" w:type="pct"/>
            <w:vMerge/>
            <w:shd w:val="clear" w:color="auto" w:fill="FFFFFF"/>
          </w:tcPr>
          <w:p w:rsidR="00597370" w:rsidRDefault="00597370">
            <w:pPr>
              <w:widowControl w:val="0"/>
              <w:jc w:val="right"/>
              <w:rPr>
                <w:color w:val="000000" w:themeColor="text1"/>
              </w:rPr>
            </w:pPr>
          </w:p>
        </w:tc>
      </w:tr>
      <w:tr w:rsidR="00597370">
        <w:tc>
          <w:tcPr>
            <w:tcW w:w="239" w:type="pct"/>
            <w:shd w:val="clear" w:color="auto" w:fill="auto"/>
            <w:vAlign w:val="center"/>
          </w:tcPr>
          <w:p w:rsidR="00597370" w:rsidRDefault="003C2EEE">
            <w:pPr>
              <w:widowControl w:val="0"/>
            </w:pPr>
            <w:r>
              <w:t>按单项计提坏账准备</w:t>
            </w:r>
          </w:p>
        </w:tc>
        <w:tc>
          <w:tcPr>
            <w:tcW w:w="904" w:type="pct"/>
            <w:shd w:val="clear" w:color="auto" w:fill="auto"/>
            <w:vAlign w:val="center"/>
          </w:tcPr>
          <w:p w:rsidR="00597370" w:rsidRDefault="003C2EEE">
            <w:pPr>
              <w:widowControl w:val="0"/>
              <w:jc w:val="right"/>
              <w:rPr>
                <w:sz w:val="20"/>
                <w:szCs w:val="20"/>
              </w:rPr>
            </w:pPr>
            <w:r>
              <w:rPr>
                <w:sz w:val="20"/>
                <w:szCs w:val="20"/>
              </w:rPr>
              <w:t>27,440,816.44</w:t>
            </w:r>
          </w:p>
        </w:tc>
        <w:tc>
          <w:tcPr>
            <w:tcW w:w="793" w:type="pct"/>
            <w:shd w:val="clear" w:color="auto" w:fill="auto"/>
            <w:vAlign w:val="center"/>
          </w:tcPr>
          <w:p w:rsidR="00597370" w:rsidRDefault="003C2EEE">
            <w:pPr>
              <w:widowControl w:val="0"/>
              <w:jc w:val="right"/>
              <w:rPr>
                <w:sz w:val="20"/>
                <w:szCs w:val="20"/>
              </w:rPr>
            </w:pPr>
            <w:r>
              <w:rPr>
                <w:sz w:val="20"/>
                <w:szCs w:val="20"/>
              </w:rPr>
              <w:t>1,023,442.89</w:t>
            </w:r>
          </w:p>
        </w:tc>
        <w:tc>
          <w:tcPr>
            <w:tcW w:w="683" w:type="pct"/>
            <w:shd w:val="clear" w:color="auto" w:fill="auto"/>
            <w:vAlign w:val="center"/>
          </w:tcPr>
          <w:p w:rsidR="00597370" w:rsidRDefault="003C2EEE">
            <w:pPr>
              <w:widowControl w:val="0"/>
              <w:jc w:val="right"/>
              <w:rPr>
                <w:sz w:val="20"/>
                <w:szCs w:val="20"/>
              </w:rPr>
            </w:pPr>
            <w:r>
              <w:rPr>
                <w:sz w:val="20"/>
                <w:szCs w:val="20"/>
              </w:rPr>
              <w:t>925,784.00</w:t>
            </w:r>
          </w:p>
        </w:tc>
        <w:tc>
          <w:tcPr>
            <w:tcW w:w="627" w:type="pct"/>
            <w:vAlign w:val="center"/>
          </w:tcPr>
          <w:p w:rsidR="00597370" w:rsidRDefault="00597370">
            <w:pPr>
              <w:widowControl w:val="0"/>
              <w:jc w:val="right"/>
              <w:rPr>
                <w:sz w:val="20"/>
                <w:szCs w:val="20"/>
              </w:rPr>
            </w:pPr>
          </w:p>
        </w:tc>
        <w:tc>
          <w:tcPr>
            <w:tcW w:w="849" w:type="pct"/>
            <w:vAlign w:val="center"/>
          </w:tcPr>
          <w:p w:rsidR="00597370" w:rsidRDefault="00597370">
            <w:pPr>
              <w:widowControl w:val="0"/>
              <w:jc w:val="right"/>
              <w:rPr>
                <w:sz w:val="20"/>
                <w:szCs w:val="20"/>
              </w:rPr>
            </w:pPr>
          </w:p>
        </w:tc>
        <w:tc>
          <w:tcPr>
            <w:tcW w:w="904" w:type="pct"/>
            <w:shd w:val="clear" w:color="auto" w:fill="auto"/>
            <w:vAlign w:val="center"/>
          </w:tcPr>
          <w:p w:rsidR="00597370" w:rsidRDefault="003C2EEE">
            <w:pPr>
              <w:widowControl w:val="0"/>
              <w:jc w:val="right"/>
              <w:rPr>
                <w:sz w:val="20"/>
                <w:szCs w:val="20"/>
              </w:rPr>
            </w:pPr>
            <w:r>
              <w:rPr>
                <w:sz w:val="20"/>
                <w:szCs w:val="20"/>
              </w:rPr>
              <w:t>27,538,475.33</w:t>
            </w:r>
          </w:p>
        </w:tc>
      </w:tr>
      <w:tr w:rsidR="00597370">
        <w:tc>
          <w:tcPr>
            <w:tcW w:w="239" w:type="pct"/>
            <w:shd w:val="clear" w:color="auto" w:fill="auto"/>
            <w:vAlign w:val="center"/>
          </w:tcPr>
          <w:p w:rsidR="00597370" w:rsidRDefault="003C2EEE">
            <w:pPr>
              <w:widowControl w:val="0"/>
            </w:pPr>
            <w:r>
              <w:t>按组合计提坏账准备</w:t>
            </w:r>
          </w:p>
        </w:tc>
        <w:tc>
          <w:tcPr>
            <w:tcW w:w="904" w:type="pct"/>
            <w:shd w:val="clear" w:color="auto" w:fill="auto"/>
            <w:vAlign w:val="center"/>
          </w:tcPr>
          <w:p w:rsidR="00597370" w:rsidRDefault="003C2EEE">
            <w:pPr>
              <w:widowControl w:val="0"/>
              <w:jc w:val="right"/>
              <w:rPr>
                <w:sz w:val="20"/>
                <w:szCs w:val="20"/>
              </w:rPr>
            </w:pPr>
            <w:r>
              <w:rPr>
                <w:sz w:val="20"/>
                <w:szCs w:val="20"/>
              </w:rPr>
              <w:t>84,776,389.72</w:t>
            </w:r>
          </w:p>
        </w:tc>
        <w:tc>
          <w:tcPr>
            <w:tcW w:w="793" w:type="pct"/>
            <w:shd w:val="clear" w:color="auto" w:fill="auto"/>
            <w:vAlign w:val="center"/>
          </w:tcPr>
          <w:p w:rsidR="00597370" w:rsidRDefault="003C2EEE">
            <w:pPr>
              <w:widowControl w:val="0"/>
              <w:jc w:val="right"/>
              <w:rPr>
                <w:sz w:val="20"/>
                <w:szCs w:val="20"/>
              </w:rPr>
            </w:pPr>
            <w:r>
              <w:rPr>
                <w:sz w:val="20"/>
                <w:szCs w:val="20"/>
              </w:rPr>
              <w:t>4,808,666.76</w:t>
            </w:r>
          </w:p>
        </w:tc>
        <w:tc>
          <w:tcPr>
            <w:tcW w:w="683" w:type="pct"/>
            <w:shd w:val="clear" w:color="auto" w:fill="auto"/>
            <w:vAlign w:val="center"/>
          </w:tcPr>
          <w:p w:rsidR="00597370" w:rsidRDefault="00597370">
            <w:pPr>
              <w:widowControl w:val="0"/>
              <w:jc w:val="right"/>
              <w:rPr>
                <w:sz w:val="20"/>
                <w:szCs w:val="20"/>
              </w:rPr>
            </w:pPr>
          </w:p>
        </w:tc>
        <w:tc>
          <w:tcPr>
            <w:tcW w:w="627" w:type="pct"/>
            <w:vAlign w:val="center"/>
          </w:tcPr>
          <w:p w:rsidR="00597370" w:rsidRDefault="003C2EEE">
            <w:pPr>
              <w:widowControl w:val="0"/>
              <w:jc w:val="right"/>
              <w:rPr>
                <w:sz w:val="20"/>
                <w:szCs w:val="20"/>
              </w:rPr>
            </w:pPr>
            <w:r>
              <w:rPr>
                <w:sz w:val="20"/>
                <w:szCs w:val="20"/>
              </w:rPr>
              <w:t>85,711.00</w:t>
            </w:r>
          </w:p>
        </w:tc>
        <w:tc>
          <w:tcPr>
            <w:tcW w:w="849" w:type="pct"/>
            <w:vAlign w:val="center"/>
          </w:tcPr>
          <w:p w:rsidR="00597370" w:rsidRDefault="003C2EEE">
            <w:pPr>
              <w:widowControl w:val="0"/>
              <w:jc w:val="right"/>
              <w:rPr>
                <w:sz w:val="20"/>
                <w:szCs w:val="20"/>
              </w:rPr>
            </w:pPr>
            <w:r>
              <w:rPr>
                <w:sz w:val="20"/>
                <w:szCs w:val="20"/>
              </w:rPr>
              <w:t>71,534,509.63</w:t>
            </w:r>
          </w:p>
        </w:tc>
        <w:tc>
          <w:tcPr>
            <w:tcW w:w="904" w:type="pct"/>
            <w:shd w:val="clear" w:color="auto" w:fill="auto"/>
            <w:vAlign w:val="center"/>
          </w:tcPr>
          <w:p w:rsidR="00597370" w:rsidRDefault="003C2EEE">
            <w:pPr>
              <w:widowControl w:val="0"/>
              <w:jc w:val="right"/>
              <w:rPr>
                <w:sz w:val="20"/>
                <w:szCs w:val="20"/>
              </w:rPr>
            </w:pPr>
            <w:r>
              <w:rPr>
                <w:sz w:val="20"/>
                <w:szCs w:val="20"/>
              </w:rPr>
              <w:t>161,033,855.11</w:t>
            </w:r>
          </w:p>
        </w:tc>
      </w:tr>
      <w:tr w:rsidR="00597370">
        <w:tc>
          <w:tcPr>
            <w:tcW w:w="239" w:type="pct"/>
            <w:shd w:val="clear" w:color="auto" w:fill="auto"/>
          </w:tcPr>
          <w:p w:rsidR="00597370" w:rsidRDefault="003C2EEE">
            <w:pPr>
              <w:widowControl w:val="0"/>
              <w:jc w:val="center"/>
              <w:rPr>
                <w:color w:val="000000" w:themeColor="text1"/>
              </w:rPr>
            </w:pPr>
            <w:r>
              <w:rPr>
                <w:rFonts w:hint="eastAsia"/>
                <w:color w:val="000000" w:themeColor="text1"/>
              </w:rPr>
              <w:t>合计</w:t>
            </w:r>
          </w:p>
        </w:tc>
        <w:tc>
          <w:tcPr>
            <w:tcW w:w="904" w:type="pct"/>
            <w:shd w:val="clear" w:color="auto" w:fill="auto"/>
            <w:vAlign w:val="center"/>
          </w:tcPr>
          <w:p w:rsidR="00597370" w:rsidRDefault="003C2EEE">
            <w:pPr>
              <w:widowControl w:val="0"/>
              <w:jc w:val="right"/>
              <w:rPr>
                <w:sz w:val="20"/>
                <w:szCs w:val="20"/>
              </w:rPr>
            </w:pPr>
            <w:r>
              <w:rPr>
                <w:color w:val="000000"/>
                <w:sz w:val="20"/>
                <w:szCs w:val="20"/>
              </w:rPr>
              <w:t xml:space="preserve"> 112,217,206.16 </w:t>
            </w:r>
          </w:p>
        </w:tc>
        <w:tc>
          <w:tcPr>
            <w:tcW w:w="793" w:type="pct"/>
            <w:shd w:val="clear" w:color="auto" w:fill="auto"/>
            <w:vAlign w:val="center"/>
          </w:tcPr>
          <w:p w:rsidR="00597370" w:rsidRDefault="003C2EEE">
            <w:pPr>
              <w:widowControl w:val="0"/>
              <w:jc w:val="right"/>
              <w:rPr>
                <w:sz w:val="20"/>
                <w:szCs w:val="20"/>
              </w:rPr>
            </w:pPr>
            <w:r>
              <w:rPr>
                <w:color w:val="000000"/>
                <w:sz w:val="20"/>
                <w:szCs w:val="20"/>
              </w:rPr>
              <w:t xml:space="preserve"> 5,832,109.65 </w:t>
            </w:r>
          </w:p>
        </w:tc>
        <w:tc>
          <w:tcPr>
            <w:tcW w:w="683" w:type="pct"/>
            <w:shd w:val="clear" w:color="auto" w:fill="auto"/>
            <w:vAlign w:val="center"/>
          </w:tcPr>
          <w:p w:rsidR="00597370" w:rsidRDefault="003C2EEE">
            <w:pPr>
              <w:widowControl w:val="0"/>
              <w:jc w:val="right"/>
              <w:rPr>
                <w:sz w:val="20"/>
                <w:szCs w:val="20"/>
              </w:rPr>
            </w:pPr>
            <w:r>
              <w:rPr>
                <w:color w:val="000000"/>
                <w:sz w:val="20"/>
                <w:szCs w:val="20"/>
              </w:rPr>
              <w:t xml:space="preserve"> 925,784.00 </w:t>
            </w:r>
          </w:p>
        </w:tc>
        <w:tc>
          <w:tcPr>
            <w:tcW w:w="627" w:type="pct"/>
            <w:vAlign w:val="center"/>
          </w:tcPr>
          <w:p w:rsidR="00597370" w:rsidRDefault="003C2EEE">
            <w:pPr>
              <w:widowControl w:val="0"/>
              <w:jc w:val="right"/>
              <w:rPr>
                <w:sz w:val="20"/>
                <w:szCs w:val="20"/>
              </w:rPr>
            </w:pPr>
            <w:r>
              <w:rPr>
                <w:color w:val="000000"/>
                <w:sz w:val="20"/>
                <w:szCs w:val="20"/>
              </w:rPr>
              <w:t xml:space="preserve"> 85,711.00 </w:t>
            </w:r>
          </w:p>
        </w:tc>
        <w:tc>
          <w:tcPr>
            <w:tcW w:w="849" w:type="pct"/>
            <w:vAlign w:val="center"/>
          </w:tcPr>
          <w:p w:rsidR="00597370" w:rsidRDefault="003C2EEE">
            <w:pPr>
              <w:widowControl w:val="0"/>
              <w:jc w:val="right"/>
              <w:rPr>
                <w:sz w:val="20"/>
                <w:szCs w:val="20"/>
              </w:rPr>
            </w:pPr>
            <w:r>
              <w:rPr>
                <w:color w:val="000000"/>
                <w:sz w:val="20"/>
                <w:szCs w:val="20"/>
              </w:rPr>
              <w:t xml:space="preserve"> 71,534,509.63 </w:t>
            </w:r>
          </w:p>
        </w:tc>
        <w:tc>
          <w:tcPr>
            <w:tcW w:w="904" w:type="pct"/>
            <w:shd w:val="clear" w:color="auto" w:fill="auto"/>
            <w:vAlign w:val="center"/>
          </w:tcPr>
          <w:p w:rsidR="00597370" w:rsidRDefault="003C2EEE">
            <w:pPr>
              <w:widowControl w:val="0"/>
              <w:jc w:val="right"/>
              <w:rPr>
                <w:sz w:val="20"/>
                <w:szCs w:val="20"/>
              </w:rPr>
            </w:pPr>
            <w:r>
              <w:rPr>
                <w:color w:val="000000"/>
                <w:sz w:val="20"/>
                <w:szCs w:val="20"/>
              </w:rPr>
              <w:t xml:space="preserve"> 188,572,330.44 </w:t>
            </w:r>
          </w:p>
        </w:tc>
      </w:tr>
    </w:tbl>
    <w:p w:rsidR="00597370" w:rsidRDefault="00597370">
      <w:pPr>
        <w:rPr>
          <w:color w:val="000000" w:themeColor="text1"/>
        </w:rPr>
      </w:pPr>
    </w:p>
    <w:p w:rsidR="00597370" w:rsidRDefault="003C2EEE">
      <w:pPr>
        <w:rPr>
          <w:color w:val="000000" w:themeColor="text1"/>
        </w:rPr>
      </w:pPr>
      <w:bookmarkStart w:id="178" w:name="_Hlk167885446"/>
      <w:bookmarkEnd w:id="177"/>
      <w:r>
        <w:rPr>
          <w:rFonts w:hint="eastAsia"/>
          <w:color w:val="000000" w:themeColor="text1"/>
        </w:rPr>
        <w:t>其中本期坏账准备收回或转回金额重要的：</w:t>
      </w:r>
    </w:p>
    <w:sdt>
      <w:sdtPr>
        <w:rPr>
          <w:color w:val="000000" w:themeColor="text1"/>
        </w:rPr>
        <w:alias w:val="是否适用：其中本期坏账准备收回或转回金额重要的[双击切换]"/>
        <w:tag w:val="_GBC_782db13fff094d37b8b99f81224cac44"/>
        <w:id w:val="21856849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应收账款坏账准备情况的说明"/>
        <w:tag w:val="_GBC_112ac8bd16914f4682cf1367c6702f93"/>
        <w:id w:val="485595610"/>
        <w:placeholder>
          <w:docPart w:val="GBC22222222222222222222222222222"/>
        </w:placeholder>
      </w:sdtPr>
      <w:sdtEndPr/>
      <w:sdtContent>
        <w:p w:rsidR="00597370" w:rsidRDefault="003C2EEE">
          <w:pPr>
            <w:ind w:rightChars="20" w:right="42"/>
            <w:rPr>
              <w:color w:val="000000" w:themeColor="text1"/>
            </w:rPr>
          </w:pPr>
          <w:r>
            <w:rPr>
              <w:rFonts w:hint="eastAsia"/>
              <w:color w:val="000000" w:themeColor="text1"/>
            </w:rPr>
            <w:t>无</w:t>
          </w:r>
        </w:p>
      </w:sdtContent>
    </w:sdt>
    <w:bookmarkEnd w:id="178"/>
    <w:p w:rsidR="00597370" w:rsidRDefault="003C2EEE">
      <w:pPr>
        <w:pStyle w:val="Style110"/>
        <w:numPr>
          <w:ilvl w:val="3"/>
          <w:numId w:val="48"/>
        </w:numPr>
        <w:ind w:left="426" w:hanging="426"/>
        <w:rPr>
          <w:color w:val="000000" w:themeColor="text1"/>
        </w:rPr>
      </w:pPr>
      <w:r>
        <w:rPr>
          <w:rFonts w:hint="eastAsia"/>
          <w:color w:val="000000" w:themeColor="text1"/>
        </w:rPr>
        <w:t>本期实际核销的应收账款情况</w:t>
      </w:r>
    </w:p>
    <w:sdt>
      <w:sdtPr>
        <w:rPr>
          <w:color w:val="000000" w:themeColor="text1"/>
        </w:rPr>
        <w:alias w:val="是否适用：本期实际核销的应收账款情况[双击切换]"/>
        <w:tag w:val="_GBC_240341a3455747bb87ecabf420d94ec5"/>
        <w:id w:val="-139874617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本报告期实际核销的应收款项情况"/>
          <w:tag w:val="_GBC_97f637feeea84b2a8c01321339a44c9e"/>
          <w:id w:val="16900223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本报告期实际核销的应收款项情况"/>
          <w:tag w:val="_GBC_1e69e5173e614c0f8dd12c7f988c2a4e"/>
          <w:id w:val="13910022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4657"/>
      </w:tblGrid>
      <w:tr w:rsidR="00597370">
        <w:sdt>
          <w:sdtPr>
            <w:rPr>
              <w:color w:val="000000" w:themeColor="text1"/>
            </w:rPr>
            <w:tag w:val="_PLD_a3731fe405bb4134af7ad46e8ca83d7e"/>
            <w:id w:val="1365334265"/>
          </w:sdtPr>
          <w:sdtEndPr/>
          <w:sdtContent>
            <w:tc>
              <w:tcPr>
                <w:tcW w:w="2361" w:type="pct"/>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1256a8b0b19c4d908f33771c40d2df26"/>
            <w:id w:val="-1364357189"/>
          </w:sdtPr>
          <w:sdtEndPr/>
          <w:sdtContent>
            <w:tc>
              <w:tcPr>
                <w:tcW w:w="2639" w:type="pct"/>
              </w:tcPr>
              <w:p w:rsidR="00597370" w:rsidRDefault="003C2EEE">
                <w:pPr>
                  <w:jc w:val="center"/>
                  <w:rPr>
                    <w:color w:val="000000" w:themeColor="text1"/>
                  </w:rPr>
                </w:pPr>
                <w:r>
                  <w:rPr>
                    <w:rFonts w:hint="eastAsia"/>
                    <w:color w:val="000000" w:themeColor="text1"/>
                  </w:rPr>
                  <w:t>核销金额</w:t>
                </w:r>
              </w:p>
            </w:tc>
          </w:sdtContent>
        </w:sdt>
      </w:tr>
      <w:tr w:rsidR="00597370">
        <w:tc>
          <w:tcPr>
            <w:tcW w:w="2361" w:type="pct"/>
          </w:tcPr>
          <w:p w:rsidR="00597370" w:rsidRDefault="003C2EEE">
            <w:pPr>
              <w:rPr>
                <w:color w:val="000000" w:themeColor="text1"/>
              </w:rPr>
            </w:pPr>
            <w:r>
              <w:rPr>
                <w:rFonts w:hint="eastAsia"/>
                <w:color w:val="000000" w:themeColor="text1"/>
              </w:rPr>
              <w:t>实际核销的应收账款</w:t>
            </w:r>
          </w:p>
        </w:tc>
        <w:tc>
          <w:tcPr>
            <w:tcW w:w="2639" w:type="pct"/>
            <w:vAlign w:val="center"/>
          </w:tcPr>
          <w:p w:rsidR="00597370" w:rsidRDefault="003C2EEE">
            <w:pPr>
              <w:jc w:val="center"/>
            </w:pPr>
            <w:r>
              <w:t>85,711.00</w:t>
            </w: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其中重要的应收账款核销情况</w:t>
      </w:r>
    </w:p>
    <w:sdt>
      <w:sdtPr>
        <w:rPr>
          <w:color w:val="000000" w:themeColor="text1"/>
        </w:rPr>
        <w:alias w:val="是否适用：其中重要的应收账款核销情况[双击切换]"/>
        <w:tag w:val="_GBC_8a44f02ff52343a08b5e1e48c8b2cb3d"/>
        <w:id w:val="164230415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应收账款核销说明：</w:t>
      </w:r>
    </w:p>
    <w:sdt>
      <w:sdtPr>
        <w:rPr>
          <w:color w:val="000000" w:themeColor="text1"/>
        </w:rPr>
        <w:alias w:val="是否适用：应收账款核销说明[双击切换]"/>
        <w:tag w:val="_GBC_69824b683b7348d5abc31b2f2e813757"/>
        <w:id w:val="1894233706"/>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8"/>
        </w:numPr>
        <w:ind w:left="426" w:hanging="426"/>
        <w:rPr>
          <w:color w:val="000000" w:themeColor="text1"/>
        </w:rPr>
      </w:pPr>
      <w:bookmarkStart w:id="179" w:name="_Hlk167885578"/>
      <w:r>
        <w:rPr>
          <w:rFonts w:hint="eastAsia"/>
          <w:color w:val="000000" w:themeColor="text1"/>
        </w:rPr>
        <w:t>按欠款方归集的期末余额前五名的应收账款和合同资产情况</w:t>
      </w:r>
    </w:p>
    <w:sdt>
      <w:sdtPr>
        <w:rPr>
          <w:rFonts w:hint="eastAsia"/>
          <w:color w:val="000000" w:themeColor="text1"/>
        </w:rPr>
        <w:alias w:val="是否适用：按欠款方归集的期末余额前五名的应收账款情况[双击切换]"/>
        <w:tag w:val="_GBC_23de179fe67e4dae836713363b228dc1"/>
        <w:id w:val="1740591546"/>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√适用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jc w:val="right"/>
        <w:rPr>
          <w:color w:val="000000" w:themeColor="text1"/>
        </w:rPr>
      </w:pPr>
      <w:r>
        <w:rPr>
          <w:rFonts w:hint="eastAsia"/>
          <w:color w:val="000000" w:themeColor="text1"/>
        </w:rPr>
        <w:t>单位：</w:t>
      </w:r>
      <w:sdt>
        <w:sdtPr>
          <w:rPr>
            <w:color w:val="000000" w:themeColor="text1"/>
          </w:rPr>
          <w:alias w:val="单位：财务附注：应收账款前五名欠款情况"/>
          <w:tag w:val="_GBC_7b83c21a9ac04b3f9556af0eefbf91af"/>
          <w:id w:val="-152023103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应收账款前五名欠款情况"/>
          <w:tag w:val="_GBC_aeac0acd27084bbe8582a2bdb9097b96"/>
          <w:id w:val="18933856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760"/>
        <w:gridCol w:w="1265"/>
        <w:gridCol w:w="1686"/>
        <w:gridCol w:w="1265"/>
        <w:gridCol w:w="1581"/>
      </w:tblGrid>
      <w:tr w:rsidR="00597370">
        <w:trPr>
          <w:cantSplit/>
        </w:trPr>
        <w:sdt>
          <w:sdtPr>
            <w:rPr>
              <w:rFonts w:asciiTheme="minorEastAsia" w:eastAsiaTheme="minorEastAsia" w:hAnsiTheme="minorEastAsia" w:hint="eastAsia"/>
              <w:color w:val="000000" w:themeColor="text1"/>
            </w:rPr>
            <w:tag w:val="_PLD_f9c6798381a549c8be592d88dde64345"/>
            <w:id w:val="1536383626"/>
          </w:sdtPr>
          <w:sdtEndPr/>
          <w:sdtContent>
            <w:tc>
              <w:tcPr>
                <w:tcW w:w="717" w:type="pct"/>
                <w:vAlign w:val="center"/>
              </w:tcPr>
              <w:p w:rsidR="00597370" w:rsidRDefault="003C2EEE">
                <w:pPr>
                  <w:ind w:right="105"/>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单位名称</w:t>
                </w:r>
              </w:p>
            </w:tc>
          </w:sdtContent>
        </w:sdt>
        <w:sdt>
          <w:sdtPr>
            <w:rPr>
              <w:rFonts w:asciiTheme="minorEastAsia" w:eastAsiaTheme="minorEastAsia" w:hAnsiTheme="minorEastAsia" w:hint="eastAsia"/>
              <w:color w:val="000000" w:themeColor="text1"/>
            </w:rPr>
            <w:tag w:val="_PLD_cb3675ff5adc4fc5a9134c43edda944a"/>
            <w:id w:val="-1503960918"/>
          </w:sdtPr>
          <w:sdtEndPr/>
          <w:sdtContent>
            <w:tc>
              <w:tcPr>
                <w:tcW w:w="997" w:type="pct"/>
                <w:vAlign w:val="center"/>
              </w:tcPr>
              <w:p w:rsidR="00597370" w:rsidRDefault="003C2EEE">
                <w:pPr>
                  <w:ind w:right="73"/>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应收账款期末余额</w:t>
                </w:r>
              </w:p>
            </w:tc>
          </w:sdtContent>
        </w:sdt>
        <w:sdt>
          <w:sdtPr>
            <w:rPr>
              <w:rFonts w:asciiTheme="minorEastAsia" w:eastAsiaTheme="minorEastAsia" w:hAnsiTheme="minorEastAsia" w:hint="eastAsia"/>
              <w:color w:val="000000" w:themeColor="text1"/>
            </w:rPr>
            <w:tag w:val="_PLD_ef22e7c0e8d749caad8859816f6d3d6d"/>
            <w:id w:val="-1105350124"/>
          </w:sdtPr>
          <w:sdtEndPr/>
          <w:sdtContent>
            <w:tc>
              <w:tcPr>
                <w:tcW w:w="717"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合同资产期末余额</w:t>
                </w:r>
              </w:p>
            </w:tc>
          </w:sdtContent>
        </w:sdt>
        <w:sdt>
          <w:sdtPr>
            <w:rPr>
              <w:rFonts w:asciiTheme="minorEastAsia" w:eastAsiaTheme="minorEastAsia" w:hAnsiTheme="minorEastAsia" w:hint="eastAsia"/>
              <w:color w:val="000000" w:themeColor="text1"/>
            </w:rPr>
            <w:tag w:val="_PLD_d4247a30e2224be4b066f9eb3e8b3980"/>
            <w:id w:val="508265039"/>
          </w:sdtPr>
          <w:sdtEndPr/>
          <w:sdtContent>
            <w:tc>
              <w:tcPr>
                <w:tcW w:w="955"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应收账款和合同资产期末余额</w:t>
                </w:r>
              </w:p>
            </w:tc>
          </w:sdtContent>
        </w:sdt>
        <w:sdt>
          <w:sdtPr>
            <w:rPr>
              <w:rFonts w:asciiTheme="minorEastAsia" w:eastAsiaTheme="minorEastAsia" w:hAnsiTheme="minorEastAsia" w:hint="eastAsia"/>
              <w:color w:val="000000" w:themeColor="text1"/>
            </w:rPr>
            <w:tag w:val="_PLD_973a396aab204cf2abdf2f7f405b9071"/>
            <w:id w:val="1879198019"/>
          </w:sdtPr>
          <w:sdtEndPr/>
          <w:sdtContent>
            <w:tc>
              <w:tcPr>
                <w:tcW w:w="717"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占应收账款和合同资产期末余额合计数的比例（%）</w:t>
                </w:r>
              </w:p>
            </w:tc>
          </w:sdtContent>
        </w:sdt>
        <w:sdt>
          <w:sdtPr>
            <w:rPr>
              <w:rFonts w:asciiTheme="minorEastAsia" w:eastAsiaTheme="minorEastAsia" w:hAnsiTheme="minorEastAsia" w:hint="eastAsia"/>
              <w:color w:val="000000" w:themeColor="text1"/>
            </w:rPr>
            <w:tag w:val="_PLD_839fe6b484114addbcaeef57270c8a21"/>
            <w:id w:val="-376393476"/>
          </w:sdtPr>
          <w:sdtEndPr/>
          <w:sdtContent>
            <w:tc>
              <w:tcPr>
                <w:tcW w:w="896"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坏账准备期末余额</w:t>
                </w:r>
              </w:p>
            </w:tc>
          </w:sdtContent>
        </w:sdt>
      </w:tr>
      <w:tr w:rsidR="00597370">
        <w:trPr>
          <w:cantSplit/>
        </w:trPr>
        <w:tc>
          <w:tcPr>
            <w:tcW w:w="717" w:type="pct"/>
          </w:tcPr>
          <w:p w:rsidR="00597370" w:rsidRDefault="003C2EEE">
            <w:pPr>
              <w:ind w:right="105"/>
              <w:rPr>
                <w:rFonts w:asciiTheme="minorEastAsia" w:eastAsiaTheme="minorEastAsia" w:hAnsiTheme="minorEastAsia"/>
              </w:rPr>
            </w:pPr>
            <w:r>
              <w:rPr>
                <w:rFonts w:asciiTheme="minorEastAsia" w:eastAsiaTheme="minorEastAsia" w:hAnsiTheme="minorEastAsia"/>
              </w:rPr>
              <w:lastRenderedPageBreak/>
              <w:t>应收账款余额前五名单位1</w:t>
            </w:r>
          </w:p>
        </w:tc>
        <w:tc>
          <w:tcPr>
            <w:tcW w:w="997" w:type="pct"/>
            <w:vAlign w:val="center"/>
          </w:tcPr>
          <w:p w:rsidR="00597370" w:rsidRDefault="003C2EEE">
            <w:pPr>
              <w:ind w:right="73"/>
              <w:jc w:val="right"/>
              <w:rPr>
                <w:rFonts w:asciiTheme="minorEastAsia" w:eastAsiaTheme="minorEastAsia" w:hAnsiTheme="minorEastAsia"/>
              </w:rPr>
            </w:pPr>
            <w:r>
              <w:rPr>
                <w:rFonts w:asciiTheme="minorEastAsia" w:eastAsiaTheme="minorEastAsia" w:hAnsiTheme="minorEastAsia" w:cs="Arial"/>
                <w:color w:val="000000"/>
              </w:rPr>
              <w:t xml:space="preserve"> 31,151,026.67 </w:t>
            </w:r>
          </w:p>
        </w:tc>
        <w:tc>
          <w:tcPr>
            <w:tcW w:w="717" w:type="pct"/>
            <w:vAlign w:val="center"/>
          </w:tcPr>
          <w:p w:rsidR="00597370" w:rsidRDefault="00597370">
            <w:pPr>
              <w:jc w:val="right"/>
              <w:rPr>
                <w:rFonts w:asciiTheme="minorEastAsia" w:eastAsiaTheme="minorEastAsia" w:hAnsiTheme="minorEastAsia"/>
              </w:rPr>
            </w:pPr>
          </w:p>
        </w:tc>
        <w:tc>
          <w:tcPr>
            <w:tcW w:w="95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31,151,026.67 </w:t>
            </w:r>
          </w:p>
        </w:tc>
        <w:tc>
          <w:tcPr>
            <w:tcW w:w="717"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1.79 </w:t>
            </w:r>
          </w:p>
        </w:tc>
        <w:tc>
          <w:tcPr>
            <w:tcW w:w="896"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3,822,205.33 </w:t>
            </w:r>
          </w:p>
        </w:tc>
      </w:tr>
      <w:tr w:rsidR="00597370">
        <w:trPr>
          <w:cantSplit/>
        </w:trPr>
        <w:tc>
          <w:tcPr>
            <w:tcW w:w="717" w:type="pct"/>
          </w:tcPr>
          <w:p w:rsidR="00597370" w:rsidRDefault="003C2EEE">
            <w:pPr>
              <w:ind w:right="105"/>
              <w:rPr>
                <w:rFonts w:asciiTheme="minorEastAsia" w:eastAsiaTheme="minorEastAsia" w:hAnsiTheme="minorEastAsia"/>
              </w:rPr>
            </w:pPr>
            <w:r>
              <w:rPr>
                <w:rFonts w:asciiTheme="minorEastAsia" w:eastAsiaTheme="minorEastAsia" w:hAnsiTheme="minorEastAsia"/>
              </w:rPr>
              <w:t>应收账款余额前五名单位2</w:t>
            </w:r>
          </w:p>
        </w:tc>
        <w:tc>
          <w:tcPr>
            <w:tcW w:w="997" w:type="pct"/>
            <w:vAlign w:val="center"/>
          </w:tcPr>
          <w:p w:rsidR="00597370" w:rsidRDefault="003C2EEE">
            <w:pPr>
              <w:ind w:right="73"/>
              <w:jc w:val="right"/>
              <w:rPr>
                <w:rFonts w:asciiTheme="minorEastAsia" w:eastAsiaTheme="minorEastAsia" w:hAnsiTheme="minorEastAsia"/>
              </w:rPr>
            </w:pPr>
            <w:r>
              <w:rPr>
                <w:rFonts w:asciiTheme="minorEastAsia" w:eastAsiaTheme="minorEastAsia" w:hAnsiTheme="minorEastAsia" w:cs="Arial"/>
                <w:color w:val="000000"/>
              </w:rPr>
              <w:t xml:space="preserve"> 27,018,525.59 </w:t>
            </w:r>
          </w:p>
        </w:tc>
        <w:tc>
          <w:tcPr>
            <w:tcW w:w="717" w:type="pct"/>
            <w:vAlign w:val="center"/>
          </w:tcPr>
          <w:p w:rsidR="00597370" w:rsidRDefault="00597370">
            <w:pPr>
              <w:jc w:val="right"/>
              <w:rPr>
                <w:rFonts w:asciiTheme="minorEastAsia" w:eastAsiaTheme="minorEastAsia" w:hAnsiTheme="minorEastAsia"/>
              </w:rPr>
            </w:pPr>
          </w:p>
        </w:tc>
        <w:tc>
          <w:tcPr>
            <w:tcW w:w="95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27,018,525.59 </w:t>
            </w:r>
          </w:p>
        </w:tc>
        <w:tc>
          <w:tcPr>
            <w:tcW w:w="717"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1.55 </w:t>
            </w:r>
          </w:p>
        </w:tc>
        <w:tc>
          <w:tcPr>
            <w:tcW w:w="896"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3,172,138.50 </w:t>
            </w:r>
          </w:p>
        </w:tc>
      </w:tr>
      <w:tr w:rsidR="00597370">
        <w:trPr>
          <w:cantSplit/>
        </w:trPr>
        <w:tc>
          <w:tcPr>
            <w:tcW w:w="717" w:type="pct"/>
          </w:tcPr>
          <w:p w:rsidR="00597370" w:rsidRDefault="003C2EEE">
            <w:pPr>
              <w:ind w:right="105"/>
              <w:rPr>
                <w:rFonts w:asciiTheme="minorEastAsia" w:eastAsiaTheme="minorEastAsia" w:hAnsiTheme="minorEastAsia"/>
              </w:rPr>
            </w:pPr>
            <w:r>
              <w:rPr>
                <w:rFonts w:asciiTheme="minorEastAsia" w:eastAsiaTheme="minorEastAsia" w:hAnsiTheme="minorEastAsia"/>
              </w:rPr>
              <w:t>应收账款余额前五名单位3</w:t>
            </w:r>
          </w:p>
        </w:tc>
        <w:tc>
          <w:tcPr>
            <w:tcW w:w="997" w:type="pct"/>
            <w:vAlign w:val="center"/>
          </w:tcPr>
          <w:p w:rsidR="00597370" w:rsidRDefault="003C2EEE">
            <w:pPr>
              <w:ind w:right="73"/>
              <w:jc w:val="right"/>
              <w:rPr>
                <w:rFonts w:asciiTheme="minorEastAsia" w:eastAsiaTheme="minorEastAsia" w:hAnsiTheme="minorEastAsia"/>
              </w:rPr>
            </w:pPr>
            <w:r>
              <w:rPr>
                <w:rFonts w:asciiTheme="minorEastAsia" w:eastAsiaTheme="minorEastAsia" w:hAnsiTheme="minorEastAsia" w:cs="Arial"/>
                <w:color w:val="000000"/>
              </w:rPr>
              <w:t xml:space="preserve"> 25,999,543.24 </w:t>
            </w:r>
          </w:p>
        </w:tc>
        <w:tc>
          <w:tcPr>
            <w:tcW w:w="717" w:type="pct"/>
            <w:vAlign w:val="center"/>
          </w:tcPr>
          <w:p w:rsidR="00597370" w:rsidRDefault="00597370">
            <w:pPr>
              <w:jc w:val="right"/>
              <w:rPr>
                <w:rFonts w:asciiTheme="minorEastAsia" w:eastAsiaTheme="minorEastAsia" w:hAnsiTheme="minorEastAsia"/>
              </w:rPr>
            </w:pPr>
          </w:p>
        </w:tc>
        <w:tc>
          <w:tcPr>
            <w:tcW w:w="95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25,999,543.24 </w:t>
            </w:r>
          </w:p>
        </w:tc>
        <w:tc>
          <w:tcPr>
            <w:tcW w:w="717"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1.49 </w:t>
            </w:r>
          </w:p>
        </w:tc>
        <w:tc>
          <w:tcPr>
            <w:tcW w:w="896"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1,718,187.92 </w:t>
            </w:r>
          </w:p>
        </w:tc>
      </w:tr>
      <w:tr w:rsidR="00597370">
        <w:trPr>
          <w:cantSplit/>
        </w:trPr>
        <w:tc>
          <w:tcPr>
            <w:tcW w:w="717" w:type="pct"/>
          </w:tcPr>
          <w:p w:rsidR="00597370" w:rsidRDefault="003C2EEE">
            <w:pPr>
              <w:ind w:right="105"/>
              <w:rPr>
                <w:rFonts w:asciiTheme="minorEastAsia" w:eastAsiaTheme="minorEastAsia" w:hAnsiTheme="minorEastAsia"/>
              </w:rPr>
            </w:pPr>
            <w:r>
              <w:rPr>
                <w:rFonts w:asciiTheme="minorEastAsia" w:eastAsiaTheme="minorEastAsia" w:hAnsiTheme="minorEastAsia"/>
              </w:rPr>
              <w:t>应收账款余额前五名单位4</w:t>
            </w:r>
          </w:p>
        </w:tc>
        <w:tc>
          <w:tcPr>
            <w:tcW w:w="997" w:type="pct"/>
            <w:vAlign w:val="center"/>
          </w:tcPr>
          <w:p w:rsidR="00597370" w:rsidRDefault="003C2EEE">
            <w:pPr>
              <w:ind w:right="73"/>
              <w:jc w:val="right"/>
              <w:rPr>
                <w:rFonts w:asciiTheme="minorEastAsia" w:eastAsiaTheme="minorEastAsia" w:hAnsiTheme="minorEastAsia"/>
              </w:rPr>
            </w:pPr>
            <w:r>
              <w:rPr>
                <w:rFonts w:asciiTheme="minorEastAsia" w:eastAsiaTheme="minorEastAsia" w:hAnsiTheme="minorEastAsia" w:cs="Arial"/>
                <w:color w:val="000000"/>
              </w:rPr>
              <w:t xml:space="preserve"> 24,600,213.00 </w:t>
            </w:r>
          </w:p>
        </w:tc>
        <w:tc>
          <w:tcPr>
            <w:tcW w:w="717" w:type="pct"/>
            <w:vAlign w:val="center"/>
          </w:tcPr>
          <w:p w:rsidR="00597370" w:rsidRDefault="00597370">
            <w:pPr>
              <w:jc w:val="right"/>
              <w:rPr>
                <w:rFonts w:asciiTheme="minorEastAsia" w:eastAsiaTheme="minorEastAsia" w:hAnsiTheme="minorEastAsia"/>
              </w:rPr>
            </w:pPr>
          </w:p>
        </w:tc>
        <w:tc>
          <w:tcPr>
            <w:tcW w:w="95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24,600,213.00 </w:t>
            </w:r>
          </w:p>
        </w:tc>
        <w:tc>
          <w:tcPr>
            <w:tcW w:w="717"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1.41 </w:t>
            </w:r>
          </w:p>
        </w:tc>
        <w:tc>
          <w:tcPr>
            <w:tcW w:w="896"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1,230,010.65 </w:t>
            </w:r>
          </w:p>
        </w:tc>
      </w:tr>
      <w:tr w:rsidR="00597370">
        <w:trPr>
          <w:cantSplit/>
        </w:trPr>
        <w:tc>
          <w:tcPr>
            <w:tcW w:w="717" w:type="pct"/>
          </w:tcPr>
          <w:p w:rsidR="00597370" w:rsidRDefault="003C2EEE">
            <w:pPr>
              <w:ind w:right="105"/>
              <w:rPr>
                <w:rFonts w:asciiTheme="minorEastAsia" w:eastAsiaTheme="minorEastAsia" w:hAnsiTheme="minorEastAsia"/>
              </w:rPr>
            </w:pPr>
            <w:r>
              <w:rPr>
                <w:rFonts w:asciiTheme="minorEastAsia" w:eastAsiaTheme="minorEastAsia" w:hAnsiTheme="minorEastAsia"/>
              </w:rPr>
              <w:t>应收账款余额前五名单位5</w:t>
            </w:r>
          </w:p>
        </w:tc>
        <w:tc>
          <w:tcPr>
            <w:tcW w:w="997" w:type="pct"/>
            <w:vAlign w:val="center"/>
          </w:tcPr>
          <w:p w:rsidR="00597370" w:rsidRDefault="003C2EEE">
            <w:pPr>
              <w:ind w:right="73"/>
              <w:jc w:val="right"/>
              <w:rPr>
                <w:rFonts w:asciiTheme="minorEastAsia" w:eastAsiaTheme="minorEastAsia" w:hAnsiTheme="minorEastAsia"/>
              </w:rPr>
            </w:pPr>
            <w:r>
              <w:rPr>
                <w:rFonts w:asciiTheme="minorEastAsia" w:eastAsiaTheme="minorEastAsia" w:hAnsiTheme="minorEastAsia" w:cs="Arial"/>
                <w:color w:val="000000"/>
              </w:rPr>
              <w:t xml:space="preserve"> 23,980,000.00 </w:t>
            </w:r>
          </w:p>
        </w:tc>
        <w:tc>
          <w:tcPr>
            <w:tcW w:w="717" w:type="pct"/>
            <w:vAlign w:val="center"/>
          </w:tcPr>
          <w:p w:rsidR="00597370" w:rsidRDefault="00597370">
            <w:pPr>
              <w:jc w:val="right"/>
              <w:rPr>
                <w:rFonts w:asciiTheme="minorEastAsia" w:eastAsiaTheme="minorEastAsia" w:hAnsiTheme="minorEastAsia"/>
              </w:rPr>
            </w:pPr>
          </w:p>
        </w:tc>
        <w:tc>
          <w:tcPr>
            <w:tcW w:w="95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23,980,000.00 </w:t>
            </w:r>
          </w:p>
        </w:tc>
        <w:tc>
          <w:tcPr>
            <w:tcW w:w="717"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1.38 </w:t>
            </w:r>
          </w:p>
        </w:tc>
        <w:tc>
          <w:tcPr>
            <w:tcW w:w="896"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s="Arial"/>
                <w:color w:val="000000"/>
              </w:rPr>
              <w:t xml:space="preserve"> 1,274,700.00 </w:t>
            </w:r>
          </w:p>
        </w:tc>
      </w:tr>
      <w:tr w:rsidR="00597370">
        <w:trPr>
          <w:cantSplit/>
        </w:trPr>
        <w:tc>
          <w:tcPr>
            <w:tcW w:w="717" w:type="pct"/>
          </w:tcPr>
          <w:p w:rsidR="00597370" w:rsidRDefault="003C2EEE">
            <w:pPr>
              <w:ind w:right="105"/>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tc>
          <w:tcPr>
            <w:tcW w:w="997" w:type="pct"/>
            <w:vAlign w:val="center"/>
          </w:tcPr>
          <w:p w:rsidR="00597370" w:rsidRDefault="003C2EEE">
            <w:pPr>
              <w:ind w:right="73"/>
              <w:jc w:val="center"/>
              <w:rPr>
                <w:rFonts w:asciiTheme="minorEastAsia" w:eastAsiaTheme="minorEastAsia" w:hAnsiTheme="minorEastAsia"/>
              </w:rPr>
            </w:pPr>
            <w:r>
              <w:rPr>
                <w:rFonts w:asciiTheme="minorEastAsia" w:eastAsiaTheme="minorEastAsia" w:hAnsiTheme="minorEastAsia" w:cs="Arial"/>
                <w:color w:val="000000"/>
              </w:rPr>
              <w:t>132,749,308.50</w:t>
            </w:r>
          </w:p>
        </w:tc>
        <w:tc>
          <w:tcPr>
            <w:tcW w:w="717" w:type="pct"/>
            <w:vAlign w:val="center"/>
          </w:tcPr>
          <w:p w:rsidR="00597370" w:rsidRDefault="003C2EEE">
            <w:pPr>
              <w:jc w:val="center"/>
              <w:rPr>
                <w:rFonts w:asciiTheme="minorEastAsia" w:eastAsiaTheme="minorEastAsia" w:hAnsiTheme="minorEastAsia"/>
              </w:rPr>
            </w:pPr>
            <w:r>
              <w:rPr>
                <w:rFonts w:asciiTheme="minorEastAsia" w:eastAsiaTheme="minorEastAsia" w:hAnsiTheme="minorEastAsia" w:cs="Arial"/>
                <w:color w:val="000000"/>
              </w:rPr>
              <w:t>-</w:t>
            </w:r>
          </w:p>
        </w:tc>
        <w:tc>
          <w:tcPr>
            <w:tcW w:w="955" w:type="pct"/>
            <w:vAlign w:val="center"/>
          </w:tcPr>
          <w:p w:rsidR="00597370" w:rsidRDefault="003C2EEE">
            <w:pPr>
              <w:jc w:val="center"/>
              <w:rPr>
                <w:rFonts w:asciiTheme="minorEastAsia" w:eastAsiaTheme="minorEastAsia" w:hAnsiTheme="minorEastAsia"/>
              </w:rPr>
            </w:pPr>
            <w:r>
              <w:rPr>
                <w:rFonts w:asciiTheme="minorEastAsia" w:eastAsiaTheme="minorEastAsia" w:hAnsiTheme="minorEastAsia" w:cs="Arial"/>
                <w:color w:val="000000"/>
              </w:rPr>
              <w:t>132,749,308.50</w:t>
            </w:r>
          </w:p>
        </w:tc>
        <w:tc>
          <w:tcPr>
            <w:tcW w:w="717" w:type="pct"/>
            <w:vAlign w:val="center"/>
          </w:tcPr>
          <w:p w:rsidR="00597370" w:rsidRDefault="003C2EEE">
            <w:pPr>
              <w:jc w:val="center"/>
              <w:rPr>
                <w:rFonts w:asciiTheme="minorEastAsia" w:eastAsiaTheme="minorEastAsia" w:hAnsiTheme="minorEastAsia"/>
              </w:rPr>
            </w:pPr>
            <w:r>
              <w:rPr>
                <w:rFonts w:asciiTheme="minorEastAsia" w:eastAsiaTheme="minorEastAsia" w:hAnsiTheme="minorEastAsia" w:cs="Arial"/>
                <w:color w:val="000000"/>
              </w:rPr>
              <w:t>7.63</w:t>
            </w:r>
          </w:p>
        </w:tc>
        <w:tc>
          <w:tcPr>
            <w:tcW w:w="896" w:type="pct"/>
            <w:vAlign w:val="center"/>
          </w:tcPr>
          <w:p w:rsidR="00597370" w:rsidRDefault="003C2EEE">
            <w:pPr>
              <w:jc w:val="center"/>
              <w:rPr>
                <w:rFonts w:asciiTheme="minorEastAsia" w:eastAsiaTheme="minorEastAsia" w:hAnsiTheme="minorEastAsia"/>
              </w:rPr>
            </w:pPr>
            <w:r>
              <w:rPr>
                <w:rFonts w:asciiTheme="minorEastAsia" w:eastAsiaTheme="minorEastAsia" w:hAnsiTheme="minorEastAsia" w:cs="Arial"/>
                <w:color w:val="000000"/>
              </w:rPr>
              <w:t>11,217,242.41</w:t>
            </w:r>
          </w:p>
        </w:tc>
      </w:tr>
    </w:tbl>
    <w:p w:rsidR="00597370" w:rsidRDefault="00597370"/>
    <w:p w:rsidR="00597370" w:rsidRDefault="003C2EEE">
      <w:pPr>
        <w:snapToGrid w:val="0"/>
        <w:spacing w:line="240" w:lineRule="atLeast"/>
        <w:rPr>
          <w:color w:val="000000" w:themeColor="text1"/>
        </w:rPr>
      </w:pPr>
      <w:r>
        <w:rPr>
          <w:rFonts w:hint="eastAsia"/>
          <w:color w:val="000000" w:themeColor="text1"/>
        </w:rPr>
        <w:t>其他说明</w:t>
      </w:r>
    </w:p>
    <w:sdt>
      <w:sdtPr>
        <w:rPr>
          <w:color w:val="000000" w:themeColor="text1"/>
        </w:rPr>
        <w:alias w:val="按欠款方归集的期末余额前五名的应收账款情况的说明"/>
        <w:tag w:val="_GBC_5c27d22f220747b1ae5c245364a28655"/>
        <w:id w:val="105774244"/>
        <w:placeholder>
          <w:docPart w:val="GBC22222222222222222222222222222"/>
        </w:placeholder>
      </w:sdtPr>
      <w:sdtEndPr/>
      <w:sdtContent>
        <w:p w:rsidR="00597370" w:rsidRDefault="003C2EEE">
          <w:pPr>
            <w:snapToGrid w:val="0"/>
            <w:spacing w:line="240" w:lineRule="atLeast"/>
            <w:rPr>
              <w:color w:val="000000" w:themeColor="text1"/>
            </w:rPr>
          </w:pPr>
          <w:r>
            <w:rPr>
              <w:rFonts w:hint="eastAsia"/>
              <w:color w:val="000000" w:themeColor="text1"/>
            </w:rPr>
            <w:t>无</w:t>
          </w:r>
        </w:p>
      </w:sdtContent>
    </w:sdt>
    <w:bookmarkEnd w:id="179"/>
    <w:p w:rsidR="00597370" w:rsidRDefault="003C2EEE">
      <w:pPr>
        <w:snapToGrid w:val="0"/>
        <w:spacing w:line="240" w:lineRule="atLeast"/>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应收账款其他说明[双击切换]"/>
        <w:tag w:val="_GBC_c06434ba43c5400a80d620a65b730fd9"/>
        <w:id w:val="-1959947424"/>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ind w:left="450" w:hanging="450"/>
        <w:rPr>
          <w:rFonts w:ascii="宋体" w:hAnsi="宋体"/>
          <w:color w:val="000000" w:themeColor="text1"/>
        </w:rPr>
      </w:pPr>
      <w:bookmarkStart w:id="180" w:name="_Hlk10470760"/>
      <w:r>
        <w:rPr>
          <w:rFonts w:ascii="宋体" w:hAnsi="宋体" w:hint="eastAsia"/>
          <w:color w:val="000000" w:themeColor="text1"/>
        </w:rPr>
        <w:t>合同资产</w:t>
      </w:r>
    </w:p>
    <w:p w:rsidR="00597370" w:rsidRDefault="003C2EEE">
      <w:pPr>
        <w:pStyle w:val="Style110"/>
        <w:numPr>
          <w:ilvl w:val="3"/>
          <w:numId w:val="49"/>
        </w:numPr>
        <w:ind w:left="426" w:hanging="426"/>
        <w:rPr>
          <w:rFonts w:ascii="宋体" w:hAnsi="宋体"/>
          <w:color w:val="000000" w:themeColor="text1"/>
        </w:rPr>
      </w:pPr>
      <w:r>
        <w:rPr>
          <w:rFonts w:ascii="宋体" w:hAnsi="宋体" w:hint="eastAsia"/>
          <w:color w:val="000000" w:themeColor="text1"/>
        </w:rPr>
        <w:t>合同资产情况</w:t>
      </w:r>
    </w:p>
    <w:sdt>
      <w:sdtPr>
        <w:rPr>
          <w:color w:val="000000" w:themeColor="text1"/>
        </w:rPr>
        <w:alias w:val="是否适用：合同资产情况[双击切换]"/>
        <w:tag w:val="_GBC_d77156d135184e21a21238cac863494c"/>
        <w:id w:val="61949909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9"/>
        </w:numPr>
        <w:ind w:left="426" w:hanging="426"/>
        <w:rPr>
          <w:rFonts w:ascii="宋体" w:hAnsi="宋体"/>
          <w:color w:val="000000" w:themeColor="text1"/>
        </w:rPr>
      </w:pPr>
      <w:bookmarkStart w:id="181" w:name="_Hlk10470932"/>
      <w:bookmarkStart w:id="182" w:name="_Hlk10470942"/>
      <w:bookmarkEnd w:id="180"/>
      <w:r>
        <w:rPr>
          <w:rFonts w:ascii="宋体" w:hAnsi="宋体" w:hint="eastAsia"/>
          <w:color w:val="000000" w:themeColor="text1"/>
        </w:rPr>
        <w:t>报告期内账面价值发生重大变动的金额和原因</w:t>
      </w:r>
      <w:bookmarkEnd w:id="181"/>
    </w:p>
    <w:sdt>
      <w:sdtPr>
        <w:rPr>
          <w:color w:val="000000" w:themeColor="text1"/>
        </w:rPr>
        <w:alias w:val="是否适用：合同资产账面价值发生重大变动[双击切换]"/>
        <w:tag w:val="_GBC_4cdeacc1c4f24682b8d7fe35b510e9c1"/>
        <w:id w:val="54418710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9"/>
        </w:numPr>
        <w:ind w:left="426" w:hanging="426"/>
        <w:rPr>
          <w:rFonts w:ascii="宋体" w:hAnsi="宋体"/>
          <w:color w:val="000000" w:themeColor="text1"/>
        </w:rPr>
      </w:pPr>
      <w:bookmarkStart w:id="183" w:name="_Hlk153378989"/>
      <w:bookmarkStart w:id="184" w:name="_Hlk167887721"/>
      <w:bookmarkEnd w:id="182"/>
      <w:r>
        <w:rPr>
          <w:rFonts w:ascii="宋体" w:hAnsi="宋体" w:hint="eastAsia"/>
          <w:color w:val="000000" w:themeColor="text1"/>
        </w:rPr>
        <w:t>按坏账计提方法分类披露</w:t>
      </w:r>
    </w:p>
    <w:sdt>
      <w:sdtPr>
        <w:rPr>
          <w:color w:val="000000" w:themeColor="text1"/>
        </w:rPr>
        <w:alias w:val="是否适用：按坏账计提方法分类披露[双击切换]"/>
        <w:tag w:val="_GBC_2da6ba8f38a7432c80d6aa0ccacbb195"/>
        <w:id w:val="-17090249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c0b8b61f599949688a3e43c3f6163421"/>
        <w:id w:val="-196310532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027a4c6e526b4492855a75bfb12d58be"/>
        <w:id w:val="-106016740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ascii="Calibri" w:hAnsi="Calibri" w:cs="Times New Roman"/>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color w:val="000000" w:themeColor="text1"/>
          <w:szCs w:val="22"/>
        </w:rPr>
        <w:alias w:val="是否适用：按组合计提坏账准备的详细情况[双击切换]"/>
        <w:tag w:val="_GBC_059f7dfd74cd41d4b2b8918cfc3d067f"/>
        <w:id w:val="-2043274130"/>
        <w:placeholder>
          <w:docPart w:val="GBC22222222222222222222222222222"/>
        </w:placeholder>
      </w:sdtPr>
      <w:sdtEndPr/>
      <w:sdtContent>
        <w:p w:rsidR="00597370" w:rsidRDefault="003C2EEE">
          <w:pPr>
            <w:rPr>
              <w:color w:val="000000" w:themeColor="text1"/>
            </w:rPr>
          </w:pPr>
          <w:r>
            <w:rPr>
              <w:rFonts w:cs="Times New Roman"/>
              <w:color w:val="000000" w:themeColor="text1"/>
              <w:szCs w:val="22"/>
            </w:rPr>
            <w:fldChar w:fldCharType="begin"/>
          </w:r>
          <w:r>
            <w:rPr>
              <w:rFonts w:cs="Times New Roman"/>
              <w:color w:val="000000" w:themeColor="text1"/>
              <w:szCs w:val="22"/>
            </w:rPr>
            <w:instrText xml:space="preserve"> MACROBUTTON  SnrToggleCheckbox □适用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√不适用 </w:instrText>
          </w:r>
          <w:r>
            <w:rPr>
              <w:rFonts w:cs="Times New Roman"/>
              <w:color w:val="000000" w:themeColor="text1"/>
              <w:szCs w:val="22"/>
            </w:rPr>
            <w:fldChar w:fldCharType="end"/>
          </w:r>
        </w:p>
      </w:sdtContent>
    </w:sdt>
    <w:p w:rsidR="00597370" w:rsidRDefault="003C2EEE">
      <w:pPr>
        <w:rPr>
          <w:rFonts w:cstheme="minorBidi"/>
          <w:color w:val="000000" w:themeColor="text1"/>
          <w:szCs w:val="22"/>
        </w:rPr>
      </w:pPr>
      <w:bookmarkStart w:id="185" w:name="_Hlk154135145"/>
      <w:bookmarkStart w:id="186" w:name="_Hlk153379126"/>
      <w:bookmarkEnd w:id="183"/>
      <w:r>
        <w:rPr>
          <w:rFonts w:cstheme="minorBidi" w:hint="eastAsia"/>
          <w:color w:val="000000" w:themeColor="text1"/>
          <w:szCs w:val="22"/>
        </w:rPr>
        <w:t>按预期信用损失一般模型计提坏账准备</w:t>
      </w:r>
    </w:p>
    <w:sdt>
      <w:sdtPr>
        <w:rPr>
          <w:rFonts w:cstheme="minorBidi"/>
          <w:color w:val="000000" w:themeColor="text1"/>
          <w:szCs w:val="22"/>
        </w:rPr>
        <w:alias w:val="是否适用：按预期信用损失一般模型计提坏账准备[双击切换]"/>
        <w:tag w:val="_GBC_9ccc97f60d514bd1ad20e654db46063f"/>
        <w:id w:val="-92859020"/>
        <w:placeholder>
          <w:docPart w:val="GBC22222222222222222222222222222"/>
        </w:placeholder>
      </w:sdtPr>
      <w:sdtEndPr/>
      <w:sdtContent>
        <w:p w:rsidR="00597370" w:rsidRDefault="003C2EEE">
          <w:pPr>
            <w:rPr>
              <w:rFonts w:cstheme="minorBidi"/>
              <w:color w:val="000000" w:themeColor="text1"/>
              <w:szCs w:val="22"/>
            </w:rPr>
          </w:pPr>
          <w:r>
            <w:rPr>
              <w:rFonts w:cstheme="minorBidi"/>
              <w:color w:val="000000" w:themeColor="text1"/>
              <w:szCs w:val="22"/>
            </w:rPr>
            <w:fldChar w:fldCharType="begin"/>
          </w:r>
          <w:r>
            <w:rPr>
              <w:rFonts w:cstheme="minorBidi"/>
              <w:color w:val="000000" w:themeColor="text1"/>
              <w:szCs w:val="22"/>
            </w:rPr>
            <w:instrText xml:space="preserve"> MACROBUTTON  SnrToggleCheckbox □适用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color w:val="000000" w:themeColor="text1"/>
              <w:szCs w:val="22"/>
            </w:rPr>
            <w:fldChar w:fldCharType="end"/>
          </w:r>
        </w:p>
      </w:sdtContent>
    </w:sdt>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各阶段划分依据和坏账准备计提比例"/>
        <w:tag w:val="_GBC_27f65e0b0d264d76ba6ef36044133df3"/>
        <w:id w:val="1114096525"/>
        <w:placeholder>
          <w:docPart w:val="GBC22222222222222222222222222222"/>
        </w:placeholder>
      </w:sdtPr>
      <w:sdtEndPr/>
      <w:sdtContent>
        <w:p w:rsidR="00597370" w:rsidRDefault="003C2EEE">
          <w:pPr>
            <w:rPr>
              <w:rFonts w:cs="Times New Roman"/>
              <w:color w:val="000000" w:themeColor="text1"/>
              <w:szCs w:val="22"/>
            </w:rPr>
          </w:pPr>
          <w:r>
            <w:rPr>
              <w:rFonts w:cs="Times New Roman" w:hint="eastAsia"/>
              <w:color w:val="000000" w:themeColor="text1"/>
              <w:szCs w:val="22"/>
            </w:rPr>
            <w:t>无</w:t>
          </w:r>
        </w:p>
      </w:sdtContent>
    </w:sdt>
    <w:p w:rsidR="00597370" w:rsidRDefault="003C2EEE">
      <w:pPr>
        <w:pStyle w:val="Style151"/>
        <w:rPr>
          <w:color w:val="000000" w:themeColor="text1"/>
        </w:rPr>
      </w:pPr>
      <w:r>
        <w:rPr>
          <w:rFonts w:hint="eastAsia"/>
          <w:color w:val="000000" w:themeColor="text1"/>
        </w:rPr>
        <w:t>对本期发生损失准备变动的合同资产账面余额显著变动的情况说明：</w:t>
      </w:r>
    </w:p>
    <w:sdt>
      <w:sdtPr>
        <w:rPr>
          <w:color w:val="000000" w:themeColor="text1"/>
        </w:rPr>
        <w:alias w:val="是否适用：对本期发生损失准备变动的账面余额显著变动的情况说明[双击切换]"/>
        <w:tag w:val="_GBC_52ea8710f03d45c5bdb89559e11daa51"/>
        <w:id w:val="1836251597"/>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49"/>
        </w:numPr>
        <w:ind w:left="426" w:hanging="426"/>
        <w:rPr>
          <w:rFonts w:ascii="宋体" w:hAnsi="宋体"/>
          <w:color w:val="000000" w:themeColor="text1"/>
        </w:rPr>
      </w:pPr>
      <w:bookmarkStart w:id="187" w:name="_Hlk10470956"/>
      <w:bookmarkStart w:id="188" w:name="_Hlk10470966"/>
      <w:bookmarkEnd w:id="184"/>
      <w:bookmarkEnd w:id="185"/>
      <w:bookmarkEnd w:id="186"/>
      <w:r>
        <w:rPr>
          <w:rFonts w:ascii="宋体" w:hAnsi="宋体" w:hint="eastAsia"/>
          <w:color w:val="000000" w:themeColor="text1"/>
        </w:rPr>
        <w:t>本期合同资产计提坏账准备情况</w:t>
      </w:r>
      <w:bookmarkEnd w:id="187"/>
    </w:p>
    <w:sdt>
      <w:sdtPr>
        <w:rPr>
          <w:color w:val="000000" w:themeColor="text1"/>
        </w:rPr>
        <w:alias w:val="是否适用：合同资产减值准备[双击切换]"/>
        <w:tag w:val="_GBC_47f239b7a5d442b0a0a358017de09567"/>
        <w:id w:val="-1395425281"/>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189" w:name="_Hlk167888739"/>
      <w:bookmarkEnd w:id="188"/>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5a496695d0eb4d6eaee4f7f7f7615f95"/>
        <w:id w:val="-14093788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坏账准备情况的说明"/>
        <w:tag w:val="_GBC_1e07c21bc8844634b0354dd2ff775cf3"/>
        <w:id w:val="231285253"/>
        <w:placeholder>
          <w:docPart w:val="GBC22222222222222222222222222222"/>
        </w:placeholder>
      </w:sdtPr>
      <w:sdtEndPr/>
      <w:sdtContent>
        <w:p w:rsidR="00597370" w:rsidRDefault="003C2EEE">
          <w:pPr>
            <w:ind w:rightChars="20" w:right="42"/>
            <w:rPr>
              <w:color w:val="000000" w:themeColor="text1"/>
            </w:rPr>
          </w:pPr>
          <w:r>
            <w:rPr>
              <w:rFonts w:hint="eastAsia"/>
              <w:color w:val="000000" w:themeColor="text1"/>
            </w:rPr>
            <w:t>无</w:t>
          </w:r>
        </w:p>
      </w:sdtContent>
    </w:sdt>
    <w:p w:rsidR="00597370" w:rsidRDefault="003C2EEE">
      <w:pPr>
        <w:pStyle w:val="Style110"/>
        <w:numPr>
          <w:ilvl w:val="3"/>
          <w:numId w:val="49"/>
        </w:numPr>
        <w:ind w:left="426" w:hanging="426"/>
        <w:rPr>
          <w:rFonts w:ascii="宋体" w:hAnsi="宋体"/>
          <w:color w:val="000000" w:themeColor="text1"/>
        </w:rPr>
      </w:pPr>
      <w:bookmarkStart w:id="190" w:name="_Hlk167888904"/>
      <w:bookmarkStart w:id="191" w:name="_Hlk153379426"/>
      <w:bookmarkEnd w:id="189"/>
      <w:r>
        <w:rPr>
          <w:rFonts w:ascii="宋体" w:hAnsi="宋体" w:hint="eastAsia"/>
          <w:color w:val="000000" w:themeColor="text1"/>
        </w:rPr>
        <w:t>本期实际核销的合同资产情况</w:t>
      </w:r>
    </w:p>
    <w:sdt>
      <w:sdtPr>
        <w:rPr>
          <w:color w:val="000000" w:themeColor="text1"/>
        </w:rPr>
        <w:alias w:val="是否适用：实际核销的情况[双击切换]"/>
        <w:tag w:val="_GBC_a2fe224348004dacb76f7686b01b39be"/>
        <w:id w:val="15229734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lastRenderedPageBreak/>
        <w:t>其中重要的合同资产核销情况</w:t>
      </w:r>
    </w:p>
    <w:sdt>
      <w:sdtPr>
        <w:rPr>
          <w:rFonts w:hint="eastAsia"/>
          <w:color w:val="000000" w:themeColor="text1"/>
        </w:rPr>
        <w:alias w:val="是否适用：重要的核销情况[双击切换]"/>
        <w:tag w:val="_GBC_6bcd1c712b36426ab4d08b134810344a"/>
        <w:id w:val="19328270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合同资产核销说明：</w:t>
      </w:r>
    </w:p>
    <w:sdt>
      <w:sdtPr>
        <w:rPr>
          <w:color w:val="000000" w:themeColor="text1"/>
        </w:rPr>
        <w:alias w:val="是否适用：核销说明[双击切换]"/>
        <w:tag w:val="_GBC_63a73902686f443c9c4dcd3cd18e6da4"/>
        <w:id w:val="261432049"/>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192" w:name="_Hlk10471002"/>
      <w:bookmarkStart w:id="193" w:name="_Hlk10471011"/>
      <w:bookmarkEnd w:id="190"/>
      <w:bookmarkEnd w:id="191"/>
      <w:r>
        <w:rPr>
          <w:rFonts w:hint="eastAsia"/>
          <w:color w:val="000000" w:themeColor="text1"/>
        </w:rPr>
        <w:t>其他说明：</w:t>
      </w:r>
      <w:bookmarkEnd w:id="192"/>
    </w:p>
    <w:sdt>
      <w:sdtPr>
        <w:rPr>
          <w:color w:val="000000" w:themeColor="text1"/>
        </w:rPr>
        <w:alias w:val="是否适用：合同资产其他说明[双击切换]"/>
        <w:tag w:val="_GBC_06cd3c0f93454d76bd0c7e20322e8a49"/>
        <w:id w:val="-76940122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ind w:left="450" w:hanging="450"/>
        <w:rPr>
          <w:rFonts w:ascii="宋体" w:hAnsi="宋体" w:cs="宋体"/>
          <w:color w:val="000000" w:themeColor="text1"/>
          <w:kern w:val="0"/>
          <w:szCs w:val="24"/>
        </w:rPr>
      </w:pPr>
      <w:bookmarkStart w:id="194" w:name="_Hlk24102175"/>
      <w:bookmarkStart w:id="195" w:name="_Hlk167889313"/>
      <w:bookmarkEnd w:id="193"/>
      <w:r>
        <w:rPr>
          <w:rFonts w:ascii="宋体" w:hAnsi="宋体" w:cs="宋体" w:hint="eastAsia"/>
          <w:color w:val="000000" w:themeColor="text1"/>
          <w:kern w:val="0"/>
          <w:szCs w:val="24"/>
        </w:rPr>
        <w:t>应收款项融资</w:t>
      </w:r>
    </w:p>
    <w:p w:rsidR="00597370" w:rsidRDefault="003C2EEE">
      <w:pPr>
        <w:pStyle w:val="Style110"/>
        <w:numPr>
          <w:ilvl w:val="0"/>
          <w:numId w:val="50"/>
        </w:numPr>
        <w:tabs>
          <w:tab w:val="left" w:pos="360"/>
        </w:tabs>
        <w:ind w:left="0" w:firstLine="0"/>
        <w:rPr>
          <w:color w:val="000000" w:themeColor="text1"/>
        </w:rPr>
      </w:pPr>
      <w:r>
        <w:rPr>
          <w:rFonts w:hint="eastAsia"/>
          <w:color w:val="000000" w:themeColor="text1"/>
        </w:rPr>
        <w:t>应收款项融资分类列示</w:t>
      </w:r>
    </w:p>
    <w:sdt>
      <w:sdtPr>
        <w:rPr>
          <w:color w:val="000000" w:themeColor="text1"/>
        </w:rPr>
        <w:alias w:val="是否适用：应收款项融资[双击切换]"/>
        <w:tag w:val="_GBC_ef490af2ae9646548061648e78d3873a"/>
        <w:id w:val="141874701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left="420" w:right="-98"/>
        <w:jc w:val="right"/>
        <w:rPr>
          <w:color w:val="000000" w:themeColor="text1"/>
        </w:rPr>
      </w:pPr>
      <w:r>
        <w:rPr>
          <w:rFonts w:hint="eastAsia"/>
          <w:color w:val="000000" w:themeColor="text1"/>
        </w:rPr>
        <w:t xml:space="preserve">  单位：</w:t>
      </w:r>
      <w:sdt>
        <w:sdtPr>
          <w:rPr>
            <w:rFonts w:hint="eastAsia"/>
            <w:color w:val="000000" w:themeColor="text1"/>
          </w:rPr>
          <w:alias w:val="单位：应收款项融资"/>
          <w:tag w:val="_GBC_7cda8ff350bd4c7eba83f28198343ec1"/>
          <w:id w:val="-111605198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应收款项融资"/>
          <w:tag w:val="_GBC_a63c9a5583bd46debcf8ddc8f5c8b5c5"/>
          <w:id w:val="13529278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3164"/>
        <w:gridCol w:w="2825"/>
        <w:gridCol w:w="2834"/>
      </w:tblGrid>
      <w:tr w:rsidR="00597370">
        <w:trPr>
          <w:trHeight w:val="397"/>
          <w:jc w:val="center"/>
        </w:trPr>
        <w:bookmarkStart w:id="196" w:name="_Hlk13057555" w:displacedByCustomXml="next"/>
        <w:bookmarkStart w:id="197" w:name="_Hlk12969247" w:displacedByCustomXml="next"/>
        <w:sdt>
          <w:sdtPr>
            <w:rPr>
              <w:color w:val="000000" w:themeColor="text1"/>
            </w:rPr>
            <w:tag w:val="_PLD_17a5cb5b46ad4341aab7ca7400bbb71f"/>
            <w:id w:val="1521733599"/>
          </w:sdtPr>
          <w:sdtEndPr/>
          <w:sdtContent>
            <w:tc>
              <w:tcPr>
                <w:tcW w:w="1793"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22382bb64684420586d7f6150fc2ba41"/>
            <w:id w:val="379914442"/>
          </w:sdtPr>
          <w:sdtEndPr/>
          <w:sdtContent>
            <w:tc>
              <w:tcPr>
                <w:tcW w:w="1601" w:type="pct"/>
                <w:shd w:val="clear" w:color="auto" w:fill="auto"/>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rPr>
              <w:color w:val="000000" w:themeColor="text1"/>
            </w:rPr>
            <w:tag w:val="_PLD_ea864dd29d6649ad84845cfd97103d69"/>
            <w:id w:val="2068147383"/>
          </w:sdtPr>
          <w:sdtEndPr/>
          <w:sdtContent>
            <w:tc>
              <w:tcPr>
                <w:tcW w:w="1606" w:type="pct"/>
                <w:shd w:val="clear" w:color="auto" w:fill="auto"/>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597370">
        <w:trPr>
          <w:trHeight w:val="397"/>
          <w:jc w:val="center"/>
        </w:trPr>
        <w:tc>
          <w:tcPr>
            <w:tcW w:w="1793" w:type="pct"/>
            <w:shd w:val="clear" w:color="auto" w:fill="auto"/>
            <w:vAlign w:val="center"/>
          </w:tcPr>
          <w:p w:rsidR="00597370" w:rsidRDefault="003C2EEE">
            <w:pPr>
              <w:autoSpaceDE w:val="0"/>
              <w:autoSpaceDN w:val="0"/>
              <w:adjustRightInd w:val="0"/>
              <w:jc w:val="center"/>
            </w:pPr>
            <w:r>
              <w:rPr>
                <w:rFonts w:hint="eastAsia"/>
              </w:rPr>
              <w:t>应收票据</w:t>
            </w:r>
          </w:p>
        </w:tc>
        <w:tc>
          <w:tcPr>
            <w:tcW w:w="1601" w:type="pct"/>
            <w:shd w:val="clear" w:color="auto" w:fill="auto"/>
            <w:vAlign w:val="center"/>
          </w:tcPr>
          <w:p w:rsidR="00597370" w:rsidRDefault="003C2EEE">
            <w:pPr>
              <w:jc w:val="right"/>
            </w:pPr>
            <w:r>
              <w:t>24,798,376.60</w:t>
            </w:r>
          </w:p>
        </w:tc>
        <w:tc>
          <w:tcPr>
            <w:tcW w:w="1606" w:type="pct"/>
            <w:shd w:val="clear" w:color="auto" w:fill="auto"/>
            <w:vAlign w:val="center"/>
          </w:tcPr>
          <w:p w:rsidR="00597370" w:rsidRDefault="003C2EEE">
            <w:pPr>
              <w:jc w:val="right"/>
            </w:pPr>
            <w:r>
              <w:t>12,244,653.97</w:t>
            </w:r>
          </w:p>
        </w:tc>
      </w:tr>
      <w:tr w:rsidR="00597370">
        <w:trPr>
          <w:trHeight w:val="397"/>
          <w:jc w:val="center"/>
        </w:trPr>
        <w:tc>
          <w:tcPr>
            <w:tcW w:w="1793" w:type="pct"/>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1601" w:type="pct"/>
            <w:shd w:val="clear" w:color="auto" w:fill="auto"/>
            <w:vAlign w:val="center"/>
          </w:tcPr>
          <w:p w:rsidR="00597370" w:rsidRDefault="003C2EEE">
            <w:pPr>
              <w:jc w:val="right"/>
            </w:pPr>
            <w:r>
              <w:t>24,798,376.60</w:t>
            </w:r>
          </w:p>
        </w:tc>
        <w:tc>
          <w:tcPr>
            <w:tcW w:w="1606" w:type="pct"/>
            <w:shd w:val="clear" w:color="auto" w:fill="auto"/>
            <w:vAlign w:val="center"/>
          </w:tcPr>
          <w:p w:rsidR="00597370" w:rsidRDefault="003C2EEE">
            <w:pPr>
              <w:jc w:val="right"/>
            </w:pPr>
            <w:r>
              <w:t>12,244,653.97</w:t>
            </w:r>
          </w:p>
        </w:tc>
      </w:tr>
    </w:tbl>
    <w:p w:rsidR="00597370" w:rsidRDefault="00597370">
      <w:pPr>
        <w:rPr>
          <w:color w:val="000000" w:themeColor="text1"/>
        </w:rPr>
      </w:pPr>
    </w:p>
    <w:p w:rsidR="00597370" w:rsidRDefault="003C2EEE">
      <w:pPr>
        <w:pStyle w:val="Style110"/>
        <w:numPr>
          <w:ilvl w:val="0"/>
          <w:numId w:val="50"/>
        </w:numPr>
        <w:tabs>
          <w:tab w:val="left" w:pos="360"/>
        </w:tabs>
        <w:ind w:left="0" w:firstLine="0"/>
        <w:rPr>
          <w:color w:val="000000" w:themeColor="text1"/>
        </w:rPr>
      </w:pPr>
      <w:r>
        <w:rPr>
          <w:rFonts w:hint="eastAsia"/>
          <w:color w:val="000000" w:themeColor="text1"/>
        </w:rPr>
        <w:t>期末公司已质押的应收款项融资</w:t>
      </w:r>
    </w:p>
    <w:sdt>
      <w:sdtPr>
        <w:rPr>
          <w:color w:val="000000" w:themeColor="text1"/>
        </w:rPr>
        <w:alias w:val="是否适用：期末公司已质押的应收款项融资[双击切换]"/>
        <w:tag w:val="_GBC_be6effae9a0c46449ee5beec6506abc0"/>
        <w:id w:val="-10634726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3C2EEE">
      <w:pPr>
        <w:pStyle w:val="Style110"/>
        <w:numPr>
          <w:ilvl w:val="0"/>
          <w:numId w:val="50"/>
        </w:numPr>
        <w:tabs>
          <w:tab w:val="left" w:pos="360"/>
        </w:tabs>
        <w:ind w:left="0" w:firstLine="0"/>
        <w:rPr>
          <w:color w:val="000000" w:themeColor="text1"/>
        </w:rPr>
      </w:pPr>
      <w:r>
        <w:rPr>
          <w:rFonts w:hint="eastAsia"/>
          <w:color w:val="000000" w:themeColor="text1"/>
        </w:rPr>
        <w:t>期末公司已背书或贴现且在资产负债表日尚未到期的应收款项融资</w:t>
      </w:r>
    </w:p>
    <w:sdt>
      <w:sdtPr>
        <w:rPr>
          <w:color w:val="000000" w:themeColor="text1"/>
        </w:rPr>
        <w:alias w:val="是否适用：期末公司已背书或贴现且在资产负债表日尚未到期的应收款项融资[双击切换]"/>
        <w:tag w:val="_GBC_5aba7034811c436e8fdb090306fae25a"/>
        <w:id w:val="-12498049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期末公司已背书或贴现且在资产负债表日尚未到期的应收款项融资"/>
          <w:tag w:val="_GBC_5629d3c7de2b430d964f79cd2922bbdd"/>
          <w:id w:val="-15969681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期末公司已背书或贴现且在资产负债表日尚未到期的应收款项融资"/>
          <w:tag w:val="_GBC_842647628955436292dcb5dbd82fc82a"/>
          <w:id w:val="4535253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805"/>
        <w:gridCol w:w="2974"/>
        <w:gridCol w:w="3044"/>
      </w:tblGrid>
      <w:tr w:rsidR="00597370">
        <w:trPr>
          <w:trHeight w:val="397"/>
          <w:jc w:val="center"/>
        </w:trPr>
        <w:sdt>
          <w:sdtPr>
            <w:rPr>
              <w:rFonts w:hint="eastAsia"/>
              <w:color w:val="000000" w:themeColor="text1"/>
            </w:rPr>
            <w:tag w:val="_PLD_61ee0c7055824e0a8c4e9342c43c1998"/>
            <w:id w:val="1554659272"/>
          </w:sdtPr>
          <w:sdtEndPr/>
          <w:sdtContent>
            <w:tc>
              <w:tcPr>
                <w:tcW w:w="2877" w:type="dxa"/>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rFonts w:hint="eastAsia"/>
              <w:color w:val="000000" w:themeColor="text1"/>
            </w:rPr>
            <w:tag w:val="_PLD_ee215b5b595d4f9087594da41584b53d"/>
            <w:id w:val="934874648"/>
          </w:sdtPr>
          <w:sdtEndPr/>
          <w:sdtContent>
            <w:tc>
              <w:tcPr>
                <w:tcW w:w="3050" w:type="dxa"/>
                <w:shd w:val="clear" w:color="auto" w:fill="auto"/>
                <w:vAlign w:val="center"/>
              </w:tcPr>
              <w:p w:rsidR="00597370" w:rsidRDefault="003C2EEE">
                <w:pPr>
                  <w:jc w:val="center"/>
                  <w:rPr>
                    <w:color w:val="000000" w:themeColor="text1"/>
                  </w:rPr>
                </w:pPr>
                <w:r>
                  <w:rPr>
                    <w:rFonts w:hint="eastAsia"/>
                    <w:color w:val="000000" w:themeColor="text1"/>
                  </w:rPr>
                  <w:t>期末终止确认金额</w:t>
                </w:r>
              </w:p>
            </w:tc>
          </w:sdtContent>
        </w:sdt>
        <w:sdt>
          <w:sdtPr>
            <w:rPr>
              <w:rFonts w:hint="eastAsia"/>
              <w:color w:val="000000" w:themeColor="text1"/>
            </w:rPr>
            <w:tag w:val="_PLD_a58273833d134754b8f63be5a98d3b7b"/>
            <w:id w:val="-338617964"/>
          </w:sdtPr>
          <w:sdtEndPr/>
          <w:sdtContent>
            <w:tc>
              <w:tcPr>
                <w:tcW w:w="3122" w:type="dxa"/>
                <w:shd w:val="clear" w:color="auto" w:fill="auto"/>
                <w:vAlign w:val="center"/>
              </w:tcPr>
              <w:p w:rsidR="00597370" w:rsidRDefault="003C2EEE">
                <w:pPr>
                  <w:jc w:val="center"/>
                  <w:rPr>
                    <w:color w:val="000000" w:themeColor="text1"/>
                  </w:rPr>
                </w:pPr>
                <w:r>
                  <w:rPr>
                    <w:rFonts w:hint="eastAsia"/>
                    <w:color w:val="000000" w:themeColor="text1"/>
                  </w:rPr>
                  <w:t>期末未终止确认金额</w:t>
                </w:r>
              </w:p>
            </w:tc>
          </w:sdtContent>
        </w:sdt>
      </w:tr>
      <w:tr w:rsidR="00597370">
        <w:trPr>
          <w:trHeight w:val="397"/>
          <w:jc w:val="center"/>
        </w:trPr>
        <w:tc>
          <w:tcPr>
            <w:tcW w:w="2877" w:type="dxa"/>
            <w:shd w:val="clear" w:color="auto" w:fill="auto"/>
            <w:vAlign w:val="center"/>
          </w:tcPr>
          <w:p w:rsidR="00597370" w:rsidRDefault="003C2EEE">
            <w:pPr>
              <w:pStyle w:val="Style106"/>
              <w:jc w:val="center"/>
            </w:pPr>
            <w:r>
              <w:rPr>
                <w:rFonts w:hint="eastAsia"/>
              </w:rPr>
              <w:t>应收票据</w:t>
            </w:r>
          </w:p>
        </w:tc>
        <w:tc>
          <w:tcPr>
            <w:tcW w:w="3050" w:type="dxa"/>
            <w:shd w:val="clear" w:color="auto" w:fill="auto"/>
            <w:vAlign w:val="center"/>
          </w:tcPr>
          <w:p w:rsidR="00597370" w:rsidRDefault="003C2EEE">
            <w:pPr>
              <w:jc w:val="right"/>
            </w:pPr>
            <w:r>
              <w:t>163,147,861.18</w:t>
            </w:r>
          </w:p>
        </w:tc>
        <w:tc>
          <w:tcPr>
            <w:tcW w:w="3122" w:type="dxa"/>
            <w:shd w:val="clear" w:color="auto" w:fill="auto"/>
            <w:vAlign w:val="center"/>
          </w:tcPr>
          <w:p w:rsidR="00597370" w:rsidRDefault="00597370">
            <w:pPr>
              <w:jc w:val="right"/>
            </w:pPr>
          </w:p>
        </w:tc>
      </w:tr>
      <w:tr w:rsidR="00597370">
        <w:trPr>
          <w:trHeight w:val="397"/>
          <w:jc w:val="center"/>
        </w:trPr>
        <w:tc>
          <w:tcPr>
            <w:tcW w:w="2877" w:type="dxa"/>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3050" w:type="dxa"/>
            <w:shd w:val="clear" w:color="auto" w:fill="auto"/>
            <w:vAlign w:val="center"/>
          </w:tcPr>
          <w:p w:rsidR="00597370" w:rsidRDefault="003C2EEE">
            <w:pPr>
              <w:jc w:val="right"/>
            </w:pPr>
            <w:r>
              <w:t>163,147,861.18</w:t>
            </w:r>
          </w:p>
        </w:tc>
        <w:tc>
          <w:tcPr>
            <w:tcW w:w="3122" w:type="dxa"/>
            <w:shd w:val="clear" w:color="auto" w:fill="auto"/>
            <w:vAlign w:val="center"/>
          </w:tcPr>
          <w:p w:rsidR="00597370" w:rsidRDefault="00597370">
            <w:pPr>
              <w:jc w:val="right"/>
            </w:pPr>
          </w:p>
        </w:tc>
      </w:tr>
    </w:tbl>
    <w:p w:rsidR="00597370" w:rsidRDefault="00597370">
      <w:pPr>
        <w:rPr>
          <w:color w:val="000000" w:themeColor="text1"/>
        </w:rPr>
      </w:pPr>
    </w:p>
    <w:p w:rsidR="00597370" w:rsidRDefault="003C2EEE">
      <w:pPr>
        <w:pStyle w:val="Style110"/>
        <w:numPr>
          <w:ilvl w:val="0"/>
          <w:numId w:val="50"/>
        </w:numPr>
        <w:tabs>
          <w:tab w:val="left" w:pos="360"/>
        </w:tabs>
        <w:ind w:left="0" w:firstLine="0"/>
        <w:rPr>
          <w:color w:val="000000" w:themeColor="text1"/>
        </w:rPr>
      </w:pPr>
      <w:r>
        <w:rPr>
          <w:rFonts w:hint="eastAsia"/>
          <w:color w:val="000000" w:themeColor="text1"/>
        </w:rPr>
        <w:t>按坏账计提方法分类披露</w:t>
      </w:r>
    </w:p>
    <w:sdt>
      <w:sdtPr>
        <w:rPr>
          <w:color w:val="000000" w:themeColor="text1"/>
        </w:rPr>
        <w:alias w:val="是否适用：按坏账计提方法分类披露[双击切换]"/>
        <w:tag w:val="_GBC_405ca68f760443499c1bd1a1fa1e9e7d"/>
        <w:id w:val="-214241571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autoSpaceDE w:val="0"/>
        <w:autoSpaceDN w:val="0"/>
        <w:adjustRightInd w:val="0"/>
        <w:ind w:left="425" w:right="10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按坏账计提方法分类披露"/>
          <w:tag w:val="_GBC_9f69d0c8249e4b2c8278a4e70e780347"/>
          <w:id w:val="-15669278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按坏账计提方法分类披露"/>
          <w:tag w:val="_GBC_fe7cf8f65c4a417fa30d2a0b1bda0867"/>
          <w:id w:val="9010205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1107"/>
        <w:gridCol w:w="627"/>
        <w:gridCol w:w="901"/>
        <w:gridCol w:w="490"/>
        <w:gridCol w:w="1107"/>
        <w:gridCol w:w="1107"/>
        <w:gridCol w:w="627"/>
        <w:gridCol w:w="901"/>
        <w:gridCol w:w="490"/>
        <w:gridCol w:w="1107"/>
      </w:tblGrid>
      <w:tr w:rsidR="00597370">
        <w:trPr>
          <w:cantSplit/>
          <w:trHeight w:val="259"/>
        </w:trPr>
        <w:sdt>
          <w:sdtPr>
            <w:rPr>
              <w:rFonts w:hint="eastAsia"/>
              <w:color w:val="000000" w:themeColor="text1"/>
            </w:rPr>
            <w:tag w:val="_PLD_afc6122750c74a4a8117ff067542864d"/>
            <w:id w:val="395629537"/>
          </w:sdtPr>
          <w:sdtEndPr/>
          <w:sdtContent>
            <w:tc>
              <w:tcPr>
                <w:tcW w:w="197"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类别</w:t>
                </w:r>
              </w:p>
            </w:tc>
          </w:sdtContent>
        </w:sdt>
        <w:sdt>
          <w:sdtPr>
            <w:rPr>
              <w:rFonts w:hint="eastAsia"/>
              <w:color w:val="000000" w:themeColor="text1"/>
            </w:rPr>
            <w:tag w:val="_PLD_8d348d82b79742e3a1beed09474847b8"/>
            <w:id w:val="-709417169"/>
          </w:sdtPr>
          <w:sdtEndPr/>
          <w:sdtContent>
            <w:tc>
              <w:tcPr>
                <w:tcW w:w="2401" w:type="pct"/>
                <w:gridSpan w:val="5"/>
                <w:tcBorders>
                  <w:top w:val="single" w:sz="4" w:space="0" w:color="auto"/>
                  <w:left w:val="single" w:sz="4" w:space="0" w:color="auto"/>
                  <w:right w:val="single" w:sz="4" w:space="0" w:color="auto"/>
                </w:tcBorders>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rPr>
              <w:rFonts w:hint="eastAsia"/>
              <w:color w:val="000000" w:themeColor="text1"/>
            </w:rPr>
            <w:tag w:val="_PLD_5a7985e7bb214c1382175298b409ab82"/>
            <w:id w:val="2003931148"/>
          </w:sdtPr>
          <w:sdtEndPr/>
          <w:sdtContent>
            <w:tc>
              <w:tcPr>
                <w:tcW w:w="2401" w:type="pct"/>
                <w:gridSpan w:val="5"/>
                <w:tcBorders>
                  <w:top w:val="single" w:sz="4" w:space="0" w:color="auto"/>
                  <w:left w:val="single" w:sz="4" w:space="0" w:color="auto"/>
                  <w:right w:val="single" w:sz="4" w:space="0" w:color="auto"/>
                </w:tcBorders>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597370">
        <w:trPr>
          <w:cantSplit/>
          <w:trHeight w:val="227"/>
        </w:trPr>
        <w:tc>
          <w:tcPr>
            <w:tcW w:w="197" w:type="pct"/>
            <w:vMerge/>
            <w:tcBorders>
              <w:left w:val="single" w:sz="4" w:space="0" w:color="auto"/>
              <w:right w:val="single" w:sz="4" w:space="0" w:color="auto"/>
            </w:tcBorders>
            <w:vAlign w:val="center"/>
          </w:tcPr>
          <w:p w:rsidR="00597370" w:rsidRDefault="00597370">
            <w:pPr>
              <w:jc w:val="center"/>
              <w:rPr>
                <w:color w:val="000000" w:themeColor="text1"/>
              </w:rPr>
            </w:pPr>
          </w:p>
        </w:tc>
        <w:sdt>
          <w:sdtPr>
            <w:rPr>
              <w:rFonts w:hint="eastAsia"/>
              <w:color w:val="000000" w:themeColor="text1"/>
            </w:rPr>
            <w:tag w:val="_PLD_33957afafd6e4c78935ecdc01c6fd4a3"/>
            <w:id w:val="-2074652030"/>
          </w:sdtPr>
          <w:sdtEndPr/>
          <w:sdtContent>
            <w:tc>
              <w:tcPr>
                <w:tcW w:w="984"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账面余额</w:t>
                </w:r>
              </w:p>
            </w:tc>
          </w:sdtContent>
        </w:sdt>
        <w:sdt>
          <w:sdtPr>
            <w:rPr>
              <w:rFonts w:hint="eastAsia"/>
              <w:color w:val="000000" w:themeColor="text1"/>
            </w:rPr>
            <w:tag w:val="_PLD_02b8d4e96b1e4b86b23c730ac1de8231"/>
            <w:id w:val="-1514293524"/>
          </w:sdtPr>
          <w:sdtEndPr/>
          <w:sdtContent>
            <w:tc>
              <w:tcPr>
                <w:tcW w:w="787"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坏账准备</w:t>
                </w:r>
              </w:p>
            </w:tc>
          </w:sdtContent>
        </w:sdt>
        <w:sdt>
          <w:sdtPr>
            <w:rPr>
              <w:rFonts w:hint="eastAsia"/>
              <w:color w:val="000000" w:themeColor="text1"/>
            </w:rPr>
            <w:tag w:val="_PLD_4c4d5f8d41874515a185b16534d14f49"/>
            <w:id w:val="-447166720"/>
          </w:sdtPr>
          <w:sdtEndPr/>
          <w:sdtContent>
            <w:tc>
              <w:tcPr>
                <w:tcW w:w="629"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w:t>
                </w:r>
              </w:p>
              <w:p w:rsidR="00597370" w:rsidRDefault="003C2EEE">
                <w:pPr>
                  <w:jc w:val="center"/>
                  <w:rPr>
                    <w:color w:val="000000" w:themeColor="text1"/>
                  </w:rPr>
                </w:pPr>
                <w:r>
                  <w:rPr>
                    <w:rFonts w:hint="eastAsia"/>
                    <w:color w:val="000000" w:themeColor="text1"/>
                  </w:rPr>
                  <w:t>价值</w:t>
                </w:r>
              </w:p>
            </w:tc>
          </w:sdtContent>
        </w:sdt>
        <w:sdt>
          <w:sdtPr>
            <w:rPr>
              <w:rFonts w:hint="eastAsia"/>
              <w:color w:val="000000" w:themeColor="text1"/>
            </w:rPr>
            <w:tag w:val="_PLD_3ec60523afa948cba0ceb8404106dbc7"/>
            <w:id w:val="-1102563683"/>
          </w:sdtPr>
          <w:sdtEndPr/>
          <w:sdtContent>
            <w:tc>
              <w:tcPr>
                <w:tcW w:w="984" w:type="pct"/>
                <w:gridSpan w:val="2"/>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账面余额</w:t>
                </w:r>
              </w:p>
            </w:tc>
          </w:sdtContent>
        </w:sdt>
        <w:sdt>
          <w:sdtPr>
            <w:rPr>
              <w:rFonts w:hint="eastAsia"/>
              <w:color w:val="000000" w:themeColor="text1"/>
            </w:rPr>
            <w:tag w:val="_PLD_730fcc4fa8de48cfa2ce9d1237a39e4b"/>
            <w:id w:val="1858228643"/>
          </w:sdtPr>
          <w:sdtEndPr/>
          <w:sdtContent>
            <w:tc>
              <w:tcPr>
                <w:tcW w:w="787" w:type="pct"/>
                <w:gridSpan w:val="2"/>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坏账准备</w:t>
                </w:r>
              </w:p>
            </w:tc>
          </w:sdtContent>
        </w:sdt>
        <w:sdt>
          <w:sdtPr>
            <w:rPr>
              <w:rFonts w:hint="eastAsia"/>
              <w:color w:val="000000" w:themeColor="text1"/>
            </w:rPr>
            <w:tag w:val="_PLD_c09c2414dd8946b58d2ac98b4f54fcba"/>
            <w:id w:val="1042015743"/>
          </w:sdtPr>
          <w:sdtEndPr/>
          <w:sdtContent>
            <w:tc>
              <w:tcPr>
                <w:tcW w:w="629"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w:t>
                </w:r>
              </w:p>
              <w:p w:rsidR="00597370" w:rsidRDefault="003C2EEE">
                <w:pPr>
                  <w:jc w:val="center"/>
                  <w:rPr>
                    <w:color w:val="000000" w:themeColor="text1"/>
                  </w:rPr>
                </w:pPr>
                <w:r>
                  <w:rPr>
                    <w:rFonts w:hint="eastAsia"/>
                    <w:color w:val="000000" w:themeColor="text1"/>
                  </w:rPr>
                  <w:t>价值</w:t>
                </w:r>
              </w:p>
            </w:tc>
          </w:sdtContent>
        </w:sdt>
      </w:tr>
      <w:tr w:rsidR="00597370">
        <w:trPr>
          <w:cantSplit/>
          <w:trHeight w:val="375"/>
        </w:trPr>
        <w:tc>
          <w:tcPr>
            <w:tcW w:w="197" w:type="pct"/>
            <w:vMerge/>
            <w:tcBorders>
              <w:left w:val="single" w:sz="4" w:space="0" w:color="auto"/>
              <w:bottom w:val="single" w:sz="4" w:space="0" w:color="auto"/>
              <w:right w:val="single" w:sz="4" w:space="0" w:color="auto"/>
            </w:tcBorders>
            <w:vAlign w:val="center"/>
          </w:tcPr>
          <w:p w:rsidR="00597370" w:rsidRDefault="00597370">
            <w:pPr>
              <w:rPr>
                <w:color w:val="000000" w:themeColor="text1"/>
              </w:rPr>
            </w:pPr>
          </w:p>
        </w:tc>
        <w:sdt>
          <w:sdtPr>
            <w:rPr>
              <w:rFonts w:hint="eastAsia"/>
              <w:color w:val="000000" w:themeColor="text1"/>
            </w:rPr>
            <w:tag w:val="_PLD_cf02385b9edd4f9092c58b53397050ca"/>
            <w:id w:val="-519230446"/>
          </w:sdtPr>
          <w:sdtEndPr/>
          <w:sdtContent>
            <w:tc>
              <w:tcPr>
                <w:tcW w:w="629"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金额</w:t>
                </w:r>
              </w:p>
            </w:tc>
          </w:sdtContent>
        </w:sdt>
        <w:sdt>
          <w:sdtPr>
            <w:rPr>
              <w:rFonts w:hint="eastAsia"/>
              <w:color w:val="000000" w:themeColor="text1"/>
            </w:rPr>
            <w:tag w:val="_PLD_69e455e411e4404d95e7d6ca4ad66fc0"/>
            <w:id w:val="-320963810"/>
          </w:sdtPr>
          <w:sdtEndPr>
            <w:rPr>
              <w:rFonts w:hint="default"/>
            </w:rPr>
          </w:sdtEndPr>
          <w:sdtContent>
            <w:tc>
              <w:tcPr>
                <w:tcW w:w="354"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比例</w:t>
                </w:r>
                <w:r>
                  <w:rPr>
                    <w:color w:val="000000" w:themeColor="text1"/>
                  </w:rPr>
                  <w:t>(%)</w:t>
                </w:r>
              </w:p>
            </w:tc>
          </w:sdtContent>
        </w:sdt>
        <w:sdt>
          <w:sdtPr>
            <w:rPr>
              <w:rFonts w:hint="eastAsia"/>
              <w:color w:val="000000" w:themeColor="text1"/>
            </w:rPr>
            <w:tag w:val="_PLD_9c94fe32a1b24e3696cf5acf8740e42d"/>
            <w:id w:val="2130516834"/>
          </w:sdtPr>
          <w:sdtEndPr/>
          <w:sdtContent>
            <w:tc>
              <w:tcPr>
                <w:tcW w:w="511"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金额</w:t>
                </w:r>
              </w:p>
            </w:tc>
          </w:sdtContent>
        </w:sdt>
        <w:sdt>
          <w:sdtPr>
            <w:rPr>
              <w:rFonts w:hint="eastAsia"/>
              <w:color w:val="000000" w:themeColor="text1"/>
            </w:rPr>
            <w:tag w:val="_PLD_b8b01992765645ed98274f40b2920d16"/>
            <w:id w:val="-669406487"/>
          </w:sdtPr>
          <w:sdtEndPr>
            <w:rPr>
              <w:rFonts w:hint="default"/>
            </w:rPr>
          </w:sdtEndPr>
          <w:sdtContent>
            <w:tc>
              <w:tcPr>
                <w:tcW w:w="276"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计提比例</w:t>
                </w:r>
                <w:r>
                  <w:rPr>
                    <w:color w:val="000000" w:themeColor="text1"/>
                  </w:rPr>
                  <w:t>(%)</w:t>
                </w:r>
              </w:p>
            </w:tc>
          </w:sdtContent>
        </w:sdt>
        <w:tc>
          <w:tcPr>
            <w:tcW w:w="629" w:type="pct"/>
            <w:vMerge/>
            <w:tcBorders>
              <w:left w:val="single" w:sz="4" w:space="0" w:color="auto"/>
              <w:bottom w:val="single" w:sz="4" w:space="0" w:color="auto"/>
              <w:right w:val="single" w:sz="4" w:space="0" w:color="auto"/>
            </w:tcBorders>
            <w:vAlign w:val="center"/>
          </w:tcPr>
          <w:p w:rsidR="00597370" w:rsidRDefault="00597370">
            <w:pPr>
              <w:jc w:val="center"/>
              <w:rPr>
                <w:color w:val="000000" w:themeColor="text1"/>
              </w:rPr>
            </w:pPr>
          </w:p>
        </w:tc>
        <w:sdt>
          <w:sdtPr>
            <w:rPr>
              <w:rFonts w:hint="eastAsia"/>
              <w:color w:val="000000" w:themeColor="text1"/>
            </w:rPr>
            <w:tag w:val="_PLD_2780b50fec7f4a369e2e2c5559b5df81"/>
            <w:id w:val="-37127483"/>
          </w:sdtPr>
          <w:sdtEndPr/>
          <w:sdtContent>
            <w:tc>
              <w:tcPr>
                <w:tcW w:w="629"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金额</w:t>
                </w:r>
              </w:p>
            </w:tc>
          </w:sdtContent>
        </w:sdt>
        <w:sdt>
          <w:sdtPr>
            <w:rPr>
              <w:rFonts w:hint="eastAsia"/>
              <w:color w:val="000000" w:themeColor="text1"/>
            </w:rPr>
            <w:tag w:val="_PLD_1d1994b5339b478e89c5a437bc3cdacc"/>
            <w:id w:val="974253621"/>
          </w:sdtPr>
          <w:sdtEndPr>
            <w:rPr>
              <w:rFonts w:hint="default"/>
            </w:rPr>
          </w:sdtEndPr>
          <w:sdtContent>
            <w:tc>
              <w:tcPr>
                <w:tcW w:w="354"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比例</w:t>
                </w:r>
                <w:r>
                  <w:rPr>
                    <w:color w:val="000000" w:themeColor="text1"/>
                  </w:rPr>
                  <w:t>(%)</w:t>
                </w:r>
              </w:p>
            </w:tc>
          </w:sdtContent>
        </w:sdt>
        <w:sdt>
          <w:sdtPr>
            <w:rPr>
              <w:rFonts w:hint="eastAsia"/>
              <w:color w:val="000000" w:themeColor="text1"/>
            </w:rPr>
            <w:tag w:val="_PLD_c75ffe4e6f2f483ba18a1afb2bfc443c"/>
            <w:id w:val="-756370437"/>
          </w:sdtPr>
          <w:sdtEndPr/>
          <w:sdtContent>
            <w:tc>
              <w:tcPr>
                <w:tcW w:w="511"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金额</w:t>
                </w:r>
              </w:p>
            </w:tc>
          </w:sdtContent>
        </w:sdt>
        <w:sdt>
          <w:sdtPr>
            <w:rPr>
              <w:rFonts w:hint="eastAsia"/>
              <w:color w:val="000000" w:themeColor="text1"/>
            </w:rPr>
            <w:tag w:val="_PLD_91788d5458b04774af651219e9dcc425"/>
            <w:id w:val="33710683"/>
          </w:sdtPr>
          <w:sdtEndPr>
            <w:rPr>
              <w:rFonts w:hint="default"/>
            </w:rPr>
          </w:sdtEndPr>
          <w:sdtContent>
            <w:tc>
              <w:tcPr>
                <w:tcW w:w="276"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计提比例</w:t>
                </w:r>
                <w:r>
                  <w:rPr>
                    <w:color w:val="000000" w:themeColor="text1"/>
                  </w:rPr>
                  <w:t>(%)</w:t>
                </w:r>
              </w:p>
            </w:tc>
          </w:sdtContent>
        </w:sdt>
        <w:tc>
          <w:tcPr>
            <w:tcW w:w="629" w:type="pct"/>
            <w:vMerge/>
            <w:tcBorders>
              <w:left w:val="single" w:sz="4" w:space="0" w:color="auto"/>
              <w:bottom w:val="single" w:sz="4" w:space="0" w:color="auto"/>
              <w:right w:val="single" w:sz="4" w:space="0" w:color="auto"/>
            </w:tcBorders>
          </w:tcPr>
          <w:p w:rsidR="00597370" w:rsidRDefault="00597370">
            <w:pPr>
              <w:jc w:val="center"/>
              <w:rPr>
                <w:color w:val="000000" w:themeColor="text1"/>
              </w:rPr>
            </w:pPr>
          </w:p>
        </w:tc>
      </w:tr>
      <w:tr w:rsidR="00597370">
        <w:trPr>
          <w:cantSplit/>
        </w:trPr>
        <w:tc>
          <w:tcPr>
            <w:tcW w:w="197"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按单项计提坏账准备</w:t>
            </w: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54"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511" w:type="pct"/>
            <w:tcBorders>
              <w:top w:val="single" w:sz="4" w:space="0" w:color="auto"/>
              <w:left w:val="single" w:sz="4" w:space="0" w:color="auto"/>
              <w:bottom w:val="single" w:sz="4" w:space="0" w:color="auto"/>
              <w:right w:val="single" w:sz="4" w:space="0" w:color="auto"/>
            </w:tcBorders>
          </w:tcPr>
          <w:p w:rsidR="00597370" w:rsidRDefault="00597370">
            <w:pPr>
              <w:pStyle w:val="Style106"/>
            </w:pPr>
          </w:p>
        </w:tc>
        <w:tc>
          <w:tcPr>
            <w:tcW w:w="27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54"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51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7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5000" w:type="pct"/>
            <w:gridSpan w:val="11"/>
            <w:tcBorders>
              <w:top w:val="single" w:sz="4" w:space="0" w:color="auto"/>
              <w:left w:val="single" w:sz="4" w:space="0" w:color="auto"/>
              <w:bottom w:val="single" w:sz="4" w:space="0" w:color="auto"/>
              <w:right w:val="single" w:sz="4" w:space="0" w:color="auto"/>
            </w:tcBorders>
          </w:tcPr>
          <w:sdt>
            <w:sdtPr>
              <w:rPr>
                <w:rFonts w:hint="eastAsia"/>
                <w:color w:val="000000" w:themeColor="text1"/>
              </w:rPr>
              <w:tag w:val="_PLD_002d76a794bc48ae9520df0feebbb6ac"/>
              <w:id w:val="-1950456065"/>
            </w:sdtPr>
            <w:sdtEndPr/>
            <w:sdtContent>
              <w:p w:rsidR="00597370" w:rsidRDefault="003C2EEE">
                <w:pPr>
                  <w:rPr>
                    <w:color w:val="000000" w:themeColor="text1"/>
                  </w:rPr>
                </w:pPr>
                <w:r>
                  <w:rPr>
                    <w:rFonts w:hint="eastAsia"/>
                    <w:color w:val="000000" w:themeColor="text1"/>
                  </w:rPr>
                  <w:t>其中：</w:t>
                </w:r>
              </w:p>
            </w:sdtContent>
          </w:sdt>
        </w:tc>
      </w:tr>
      <w:tr w:rsidR="00597370">
        <w:trPr>
          <w:cantSplit/>
        </w:trPr>
        <w:tc>
          <w:tcPr>
            <w:tcW w:w="197" w:type="pct"/>
            <w:tcBorders>
              <w:top w:val="single" w:sz="4" w:space="0" w:color="auto"/>
              <w:left w:val="single" w:sz="4" w:space="0" w:color="auto"/>
              <w:bottom w:val="single" w:sz="4" w:space="0" w:color="auto"/>
              <w:right w:val="single" w:sz="4" w:space="0" w:color="auto"/>
            </w:tcBorders>
          </w:tcPr>
          <w:p w:rsidR="00597370" w:rsidRDefault="00597370">
            <w:pPr>
              <w:jc w:val="both"/>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54"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51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7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54"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51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7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197" w:type="pct"/>
            <w:tcBorders>
              <w:top w:val="single" w:sz="4" w:space="0" w:color="auto"/>
              <w:left w:val="single" w:sz="4" w:space="0" w:color="auto"/>
              <w:bottom w:val="single" w:sz="4" w:space="0" w:color="auto"/>
              <w:right w:val="single" w:sz="4" w:space="0" w:color="auto"/>
            </w:tcBorders>
          </w:tcPr>
          <w:p w:rsidR="00597370" w:rsidRDefault="00597370">
            <w:pPr>
              <w:jc w:val="both"/>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54"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51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7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54"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51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7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197"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按组合计提坏账准备</w:t>
            </w:r>
          </w:p>
        </w:tc>
        <w:tc>
          <w:tcPr>
            <w:tcW w:w="62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color w:val="000000"/>
                <w:sz w:val="20"/>
                <w:szCs w:val="20"/>
              </w:rPr>
              <w:t xml:space="preserve">25,422,493.50 </w:t>
            </w:r>
          </w:p>
        </w:tc>
        <w:tc>
          <w:tcPr>
            <w:tcW w:w="35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color w:val="000000"/>
                <w:sz w:val="20"/>
                <w:szCs w:val="20"/>
              </w:rPr>
              <w:t xml:space="preserve">100.00 </w:t>
            </w:r>
          </w:p>
        </w:tc>
        <w:tc>
          <w:tcPr>
            <w:tcW w:w="51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color w:val="000000"/>
                <w:sz w:val="20"/>
                <w:szCs w:val="20"/>
              </w:rPr>
              <w:t xml:space="preserve">624,116.90 </w:t>
            </w:r>
          </w:p>
        </w:tc>
        <w:tc>
          <w:tcPr>
            <w:tcW w:w="27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color w:val="000000"/>
                <w:sz w:val="20"/>
                <w:szCs w:val="20"/>
              </w:rPr>
              <w:t xml:space="preserve">2.45 </w:t>
            </w:r>
          </w:p>
        </w:tc>
        <w:tc>
          <w:tcPr>
            <w:tcW w:w="62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color w:val="000000"/>
                <w:sz w:val="20"/>
                <w:szCs w:val="20"/>
              </w:rPr>
              <w:t xml:space="preserve">24,798,376.60 </w:t>
            </w:r>
          </w:p>
        </w:tc>
        <w:tc>
          <w:tcPr>
            <w:tcW w:w="62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sz w:val="20"/>
                <w:szCs w:val="20"/>
              </w:rPr>
              <w:t>12,524,975.32</w:t>
            </w:r>
          </w:p>
        </w:tc>
        <w:tc>
          <w:tcPr>
            <w:tcW w:w="35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sz w:val="20"/>
                <w:szCs w:val="20"/>
              </w:rPr>
              <w:t>100.00</w:t>
            </w:r>
          </w:p>
        </w:tc>
        <w:tc>
          <w:tcPr>
            <w:tcW w:w="51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sz w:val="20"/>
                <w:szCs w:val="20"/>
              </w:rPr>
              <w:t>280,321.35</w:t>
            </w:r>
          </w:p>
        </w:tc>
        <w:tc>
          <w:tcPr>
            <w:tcW w:w="27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sz w:val="20"/>
                <w:szCs w:val="20"/>
              </w:rPr>
              <w:t>2.24</w:t>
            </w:r>
          </w:p>
        </w:tc>
        <w:tc>
          <w:tcPr>
            <w:tcW w:w="62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sz w:val="20"/>
                <w:szCs w:val="20"/>
              </w:rPr>
              <w:t>12,244,653.97</w:t>
            </w:r>
          </w:p>
        </w:tc>
      </w:tr>
      <w:tr w:rsidR="00597370">
        <w:trPr>
          <w:cantSplit/>
        </w:trPr>
        <w:tc>
          <w:tcPr>
            <w:tcW w:w="5000" w:type="pct"/>
            <w:gridSpan w:val="11"/>
            <w:tcBorders>
              <w:top w:val="single" w:sz="4" w:space="0" w:color="auto"/>
              <w:left w:val="single" w:sz="4" w:space="0" w:color="auto"/>
              <w:bottom w:val="single" w:sz="4" w:space="0" w:color="auto"/>
              <w:right w:val="single" w:sz="4" w:space="0" w:color="auto"/>
            </w:tcBorders>
          </w:tcPr>
          <w:sdt>
            <w:sdtPr>
              <w:rPr>
                <w:rFonts w:hint="eastAsia"/>
                <w:color w:val="000000" w:themeColor="text1"/>
              </w:rPr>
              <w:tag w:val="_PLD_99254941c87b4aef96d5280757eecac3"/>
              <w:id w:val="-1387335248"/>
            </w:sdtPr>
            <w:sdtEndPr/>
            <w:sdtContent>
              <w:p w:rsidR="00597370" w:rsidRDefault="003C2EEE">
                <w:pPr>
                  <w:rPr>
                    <w:color w:val="000000" w:themeColor="text1"/>
                  </w:rPr>
                </w:pPr>
                <w:r>
                  <w:rPr>
                    <w:rFonts w:hint="eastAsia"/>
                    <w:color w:val="000000" w:themeColor="text1"/>
                  </w:rPr>
                  <w:t>其中：</w:t>
                </w:r>
              </w:p>
            </w:sdtContent>
          </w:sdt>
        </w:tc>
      </w:tr>
      <w:tr w:rsidR="00597370">
        <w:trPr>
          <w:cantSplit/>
        </w:trPr>
        <w:sdt>
          <w:sdtPr>
            <w:rPr>
              <w:color w:val="000000" w:themeColor="text1"/>
            </w:rPr>
            <w:alias w:val="按组合计提坏账准备的明细-类别"/>
            <w:tag w:val="_GBC_e4caba41e5e342bb871455bd3a15bb2f"/>
            <w:id w:val="1685404668"/>
            <w:showingPlcHdr/>
          </w:sdtPr>
          <w:sdtEndPr/>
          <w:sdtContent>
            <w:tc>
              <w:tcPr>
                <w:tcW w:w="197" w:type="pct"/>
                <w:tcBorders>
                  <w:top w:val="single" w:sz="4" w:space="0" w:color="auto"/>
                  <w:left w:val="single" w:sz="4" w:space="0" w:color="auto"/>
                  <w:bottom w:val="single" w:sz="4" w:space="0" w:color="auto"/>
                  <w:right w:val="single" w:sz="4" w:space="0" w:color="auto"/>
                </w:tcBorders>
              </w:tcPr>
              <w:p w:rsidR="00597370" w:rsidRDefault="003C2EEE">
                <w:pPr>
                  <w:jc w:val="both"/>
                  <w:rPr>
                    <w:color w:val="000000" w:themeColor="text1"/>
                  </w:rPr>
                </w:pPr>
                <w:r>
                  <w:rPr>
                    <w:rFonts w:hint="eastAsia"/>
                    <w:color w:val="000000" w:themeColor="text1"/>
                  </w:rPr>
                  <w:t xml:space="preserve">　</w:t>
                </w:r>
              </w:p>
            </w:tc>
          </w:sdtContent>
        </w:sdt>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54"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51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7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54"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51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27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629"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19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合计</w:t>
            </w:r>
          </w:p>
        </w:tc>
        <w:tc>
          <w:tcPr>
            <w:tcW w:w="62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color w:val="000000"/>
                <w:sz w:val="20"/>
                <w:szCs w:val="20"/>
              </w:rPr>
              <w:t>25,422,493.50</w:t>
            </w:r>
          </w:p>
        </w:tc>
        <w:tc>
          <w:tcPr>
            <w:tcW w:w="35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color w:val="000000" w:themeColor="text1"/>
                <w:sz w:val="20"/>
                <w:szCs w:val="20"/>
              </w:rPr>
            </w:pPr>
            <w:r>
              <w:rPr>
                <w:color w:val="000000"/>
                <w:sz w:val="20"/>
                <w:szCs w:val="20"/>
              </w:rPr>
              <w:t>100.00</w:t>
            </w:r>
          </w:p>
        </w:tc>
        <w:tc>
          <w:tcPr>
            <w:tcW w:w="51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color w:val="000000"/>
                <w:sz w:val="20"/>
                <w:szCs w:val="20"/>
              </w:rPr>
              <w:t>624,116.90</w:t>
            </w:r>
          </w:p>
        </w:tc>
        <w:tc>
          <w:tcPr>
            <w:tcW w:w="27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color w:val="000000" w:themeColor="text1"/>
                <w:sz w:val="20"/>
                <w:szCs w:val="20"/>
              </w:rPr>
            </w:pPr>
            <w:r>
              <w:rPr>
                <w:color w:val="000000"/>
                <w:sz w:val="20"/>
                <w:szCs w:val="20"/>
              </w:rPr>
              <w:t>2.45</w:t>
            </w:r>
          </w:p>
        </w:tc>
        <w:tc>
          <w:tcPr>
            <w:tcW w:w="62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color w:val="000000"/>
                <w:sz w:val="20"/>
                <w:szCs w:val="20"/>
              </w:rPr>
              <w:t>24,798,376.60</w:t>
            </w:r>
          </w:p>
        </w:tc>
        <w:tc>
          <w:tcPr>
            <w:tcW w:w="62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sz w:val="20"/>
                <w:szCs w:val="20"/>
              </w:rPr>
              <w:t>12,524,975.32</w:t>
            </w:r>
          </w:p>
        </w:tc>
        <w:tc>
          <w:tcPr>
            <w:tcW w:w="35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color w:val="000000" w:themeColor="text1"/>
                <w:sz w:val="20"/>
                <w:szCs w:val="20"/>
              </w:rPr>
            </w:pPr>
            <w:r>
              <w:rPr>
                <w:sz w:val="20"/>
                <w:szCs w:val="20"/>
              </w:rPr>
              <w:t>100.00</w:t>
            </w:r>
          </w:p>
        </w:tc>
        <w:tc>
          <w:tcPr>
            <w:tcW w:w="51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sz w:val="20"/>
                <w:szCs w:val="20"/>
              </w:rPr>
              <w:t>280,321.35</w:t>
            </w:r>
          </w:p>
        </w:tc>
        <w:tc>
          <w:tcPr>
            <w:tcW w:w="27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color w:val="000000" w:themeColor="text1"/>
                <w:sz w:val="20"/>
                <w:szCs w:val="20"/>
              </w:rPr>
            </w:pPr>
            <w:r>
              <w:rPr>
                <w:sz w:val="20"/>
                <w:szCs w:val="20"/>
              </w:rPr>
              <w:t>2.24</w:t>
            </w:r>
          </w:p>
        </w:tc>
        <w:tc>
          <w:tcPr>
            <w:tcW w:w="62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sz w:val="20"/>
                <w:szCs w:val="20"/>
              </w:rPr>
            </w:pPr>
            <w:r>
              <w:rPr>
                <w:sz w:val="20"/>
                <w:szCs w:val="20"/>
              </w:rPr>
              <w:t>12,244,653.97</w:t>
            </w: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70906d84159d4210b15e17fb2293500d"/>
        <w:id w:val="199490683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f71cdd4ebdc046418cd6f9214346df97"/>
        <w:id w:val="-16470826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ascii="Calibri" w:hAnsi="Calibri" w:cs="Times New Roman"/>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color w:val="000000" w:themeColor="text1"/>
          <w:szCs w:val="22"/>
        </w:rPr>
        <w:alias w:val="是否适用：按组合计提坏账准备的详细情况[双击切换]"/>
        <w:tag w:val="_GBC_02191f78423f4f4ca97cd31179bf21d5"/>
        <w:id w:val="-233084400"/>
        <w:placeholder>
          <w:docPart w:val="GBC22222222222222222222222222222"/>
        </w:placeholder>
      </w:sdtPr>
      <w:sdtEndPr/>
      <w:sdtContent>
        <w:p w:rsidR="00597370" w:rsidRDefault="003C2EEE">
          <w:pPr>
            <w:rPr>
              <w:color w:val="000000" w:themeColor="text1"/>
            </w:rPr>
          </w:pPr>
          <w:r>
            <w:rPr>
              <w:rFonts w:cs="Times New Roman"/>
              <w:color w:val="000000" w:themeColor="text1"/>
              <w:szCs w:val="22"/>
            </w:rPr>
            <w:fldChar w:fldCharType="begin"/>
          </w:r>
          <w:r>
            <w:rPr>
              <w:rFonts w:cs="Times New Roman"/>
              <w:color w:val="000000" w:themeColor="text1"/>
              <w:szCs w:val="22"/>
            </w:rPr>
            <w:instrText xml:space="preserve"> MACROBUTTON  SnrToggleCheckbox □适用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√不适用 </w:instrText>
          </w:r>
          <w:r>
            <w:rPr>
              <w:rFonts w:cs="Times New Roman"/>
              <w:color w:val="000000" w:themeColor="text1"/>
              <w:szCs w:val="22"/>
            </w:rPr>
            <w:fldChar w:fldCharType="end"/>
          </w:r>
        </w:p>
      </w:sdtContent>
    </w:sdt>
    <w:p w:rsidR="00597370" w:rsidRDefault="003C2EEE">
      <w:pPr>
        <w:rPr>
          <w:rFonts w:cstheme="minorBidi"/>
          <w:color w:val="000000" w:themeColor="text1"/>
          <w:szCs w:val="22"/>
        </w:rPr>
      </w:pPr>
      <w:bookmarkStart w:id="198" w:name="_Hlk153372713"/>
      <w:bookmarkStart w:id="199" w:name="_Hlk154134692"/>
      <w:r>
        <w:rPr>
          <w:rFonts w:cstheme="minorBidi" w:hint="eastAsia"/>
          <w:color w:val="000000" w:themeColor="text1"/>
          <w:szCs w:val="22"/>
        </w:rPr>
        <w:t>按预期信用损失一般模型计提坏账准备</w:t>
      </w:r>
    </w:p>
    <w:sdt>
      <w:sdtPr>
        <w:rPr>
          <w:rFonts w:cstheme="minorBidi"/>
          <w:color w:val="000000" w:themeColor="text1"/>
          <w:szCs w:val="22"/>
        </w:rPr>
        <w:alias w:val="是否适用：按预期信用损失一般模型计提坏账准备[双击切换]"/>
        <w:tag w:val="_GBC_205986a144f344f78129e3fba39b34ca"/>
        <w:id w:val="834032578"/>
        <w:placeholder>
          <w:docPart w:val="GBC22222222222222222222222222222"/>
        </w:placeholder>
      </w:sdtPr>
      <w:sdtEndPr/>
      <w:sdtContent>
        <w:p w:rsidR="00597370" w:rsidRDefault="003C2EEE">
          <w:pPr>
            <w:rPr>
              <w:rFonts w:cstheme="minorBidi"/>
              <w:color w:val="000000" w:themeColor="text1"/>
              <w:szCs w:val="22"/>
            </w:rPr>
          </w:pPr>
          <w:r>
            <w:rPr>
              <w:rFonts w:cstheme="minorBidi"/>
              <w:color w:val="000000" w:themeColor="text1"/>
              <w:szCs w:val="22"/>
            </w:rPr>
            <w:fldChar w:fldCharType="begin"/>
          </w:r>
          <w:r>
            <w:rPr>
              <w:rFonts w:cstheme="minorBidi"/>
              <w:color w:val="000000" w:themeColor="text1"/>
              <w:szCs w:val="22"/>
            </w:rPr>
            <w:instrText xml:space="preserve"> MACROBUTTON  SnrToggleCheckbox □适用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color w:val="000000" w:themeColor="text1"/>
              <w:szCs w:val="22"/>
            </w:rPr>
            <w:fldChar w:fldCharType="end"/>
          </w:r>
        </w:p>
      </w:sdtContent>
    </w:sdt>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各阶段划分依据和坏账准备计提比例"/>
        <w:tag w:val="_GBC_ad44af7652e14ebaa2475a018590c7f5"/>
        <w:id w:val="2134058349"/>
        <w:placeholder>
          <w:docPart w:val="GBC22222222222222222222222222222"/>
        </w:placeholder>
      </w:sdtPr>
      <w:sdtEndPr/>
      <w:sdtContent>
        <w:p w:rsidR="00597370" w:rsidRDefault="003C2EEE">
          <w:pPr>
            <w:rPr>
              <w:rFonts w:cs="Times New Roman"/>
              <w:color w:val="000000" w:themeColor="text1"/>
              <w:szCs w:val="22"/>
            </w:rPr>
          </w:pPr>
          <w:r>
            <w:rPr>
              <w:rFonts w:cs="Times New Roman" w:hint="eastAsia"/>
              <w:color w:val="000000" w:themeColor="text1"/>
              <w:szCs w:val="22"/>
            </w:rPr>
            <w:t>无</w:t>
          </w:r>
        </w:p>
      </w:sdtContent>
    </w:sdt>
    <w:p w:rsidR="00597370" w:rsidRDefault="003C2EEE">
      <w:pPr>
        <w:pStyle w:val="Style151"/>
        <w:rPr>
          <w:color w:val="000000" w:themeColor="text1"/>
        </w:rPr>
      </w:pPr>
      <w:r>
        <w:rPr>
          <w:rFonts w:hint="eastAsia"/>
          <w:color w:val="000000" w:themeColor="text1"/>
        </w:rPr>
        <w:t>对本期发生损失准备变动的应收款项融资账面余额显著变动的情况说明：</w:t>
      </w:r>
    </w:p>
    <w:sdt>
      <w:sdtPr>
        <w:rPr>
          <w:color w:val="000000" w:themeColor="text1"/>
        </w:rPr>
        <w:alias w:val="是否适用：对本期发生损失准备变动的账面余额显著变动的情况说明[双击切换]"/>
        <w:tag w:val="_GBC_ae382171e73840ef92b5fb34fa844e9f"/>
        <w:id w:val="382220964"/>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98"/>
    <w:bookmarkEnd w:id="199"/>
    <w:p w:rsidR="00597370" w:rsidRDefault="003C2EEE">
      <w:pPr>
        <w:pStyle w:val="Style110"/>
        <w:numPr>
          <w:ilvl w:val="0"/>
          <w:numId w:val="50"/>
        </w:numPr>
        <w:tabs>
          <w:tab w:val="left" w:pos="360"/>
        </w:tabs>
        <w:ind w:left="0" w:firstLine="0"/>
        <w:rPr>
          <w:color w:val="000000" w:themeColor="text1"/>
        </w:rPr>
      </w:pPr>
      <w:r>
        <w:rPr>
          <w:rFonts w:hint="eastAsia"/>
          <w:color w:val="000000" w:themeColor="text1"/>
        </w:rPr>
        <w:t>坏账准备的情况</w:t>
      </w:r>
    </w:p>
    <w:sdt>
      <w:sdtPr>
        <w:rPr>
          <w:color w:val="000000" w:themeColor="text1"/>
        </w:rPr>
        <w:alias w:val="是否适用：坏账准备情况[双击切换]"/>
        <w:tag w:val="_GBC_808e84ec9b034cfdb05b2cba07546530"/>
        <w:id w:val="11811575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snapToGrid w:val="0"/>
        <w:spacing w:line="240" w:lineRule="atLeast"/>
        <w:ind w:left="42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坏账准备情况"/>
          <w:tag w:val="_GBC_84bfb6ea47b24edb97b66eb6e5b63748"/>
          <w:id w:val="213914226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坏账准备情况"/>
          <w:tag w:val="_GBC_de61a6c4267f43538fa404aa6715a962"/>
          <w:id w:val="-15347275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395"/>
        <w:gridCol w:w="1276"/>
        <w:gridCol w:w="1266"/>
        <w:gridCol w:w="1164"/>
        <w:gridCol w:w="1170"/>
        <w:gridCol w:w="1276"/>
        <w:gridCol w:w="1276"/>
      </w:tblGrid>
      <w:tr w:rsidR="00597370">
        <w:sdt>
          <w:sdtPr>
            <w:rPr>
              <w:color w:val="000000" w:themeColor="text1"/>
            </w:rPr>
            <w:tag w:val="_PLD_edd395b8b3e845f1a313e276338c64fc"/>
            <w:id w:val="-674485948"/>
          </w:sdtPr>
          <w:sdtEndPr/>
          <w:sdtContent>
            <w:tc>
              <w:tcPr>
                <w:tcW w:w="803" w:type="pct"/>
                <w:vMerge w:val="restart"/>
                <w:shd w:val="clear" w:color="auto" w:fill="FFFFFF"/>
                <w:vAlign w:val="center"/>
              </w:tcPr>
              <w:p w:rsidR="00597370" w:rsidRDefault="003C2EEE">
                <w:pPr>
                  <w:widowControl w:val="0"/>
                  <w:jc w:val="center"/>
                  <w:rPr>
                    <w:color w:val="000000" w:themeColor="text1"/>
                  </w:rPr>
                </w:pPr>
                <w:r>
                  <w:rPr>
                    <w:color w:val="000000" w:themeColor="text1"/>
                  </w:rPr>
                  <w:t>类别</w:t>
                </w:r>
              </w:p>
            </w:tc>
          </w:sdtContent>
        </w:sdt>
        <w:sdt>
          <w:sdtPr>
            <w:rPr>
              <w:color w:val="000000" w:themeColor="text1"/>
            </w:rPr>
            <w:tag w:val="_PLD_8fb8986f0f8948c88eb62e367aa7d589"/>
            <w:id w:val="1829163353"/>
          </w:sdtPr>
          <w:sdtEndPr/>
          <w:sdtContent>
            <w:tc>
              <w:tcPr>
                <w:tcW w:w="723" w:type="pct"/>
                <w:vMerge w:val="restart"/>
                <w:shd w:val="clear" w:color="auto" w:fill="FFFFFF"/>
                <w:vAlign w:val="center"/>
              </w:tcPr>
              <w:p w:rsidR="00597370" w:rsidRDefault="003C2EEE">
                <w:pPr>
                  <w:widowControl w:val="0"/>
                  <w:jc w:val="center"/>
                  <w:rPr>
                    <w:color w:val="000000" w:themeColor="text1"/>
                  </w:rPr>
                </w:pPr>
                <w:r>
                  <w:rPr>
                    <w:color w:val="000000" w:themeColor="text1"/>
                  </w:rPr>
                  <w:t>期初余额</w:t>
                </w:r>
              </w:p>
            </w:tc>
          </w:sdtContent>
        </w:sdt>
        <w:sdt>
          <w:sdtPr>
            <w:rPr>
              <w:rFonts w:hint="eastAsia"/>
              <w:color w:val="000000" w:themeColor="text1"/>
            </w:rPr>
            <w:tag w:val="_PLD_6f7dbdca626947c79b628fe45b693422"/>
            <w:id w:val="-1550529318"/>
          </w:sdtPr>
          <w:sdtEndPr>
            <w:rPr>
              <w:rFonts w:hint="default"/>
            </w:rPr>
          </w:sdtEndPr>
          <w:sdtContent>
            <w:tc>
              <w:tcPr>
                <w:tcW w:w="2750" w:type="pct"/>
                <w:gridSpan w:val="4"/>
                <w:shd w:val="clear" w:color="auto" w:fill="FFFFFF"/>
                <w:vAlign w:val="center"/>
              </w:tcPr>
              <w:p w:rsidR="00597370" w:rsidRDefault="003C2EEE">
                <w:pPr>
                  <w:widowControl w:val="0"/>
                  <w:jc w:val="center"/>
                  <w:rPr>
                    <w:color w:val="000000" w:themeColor="text1"/>
                  </w:rPr>
                </w:pPr>
                <w:r>
                  <w:rPr>
                    <w:rFonts w:hint="eastAsia"/>
                    <w:color w:val="000000" w:themeColor="text1"/>
                  </w:rPr>
                  <w:t>本期变动</w:t>
                </w:r>
                <w:r>
                  <w:rPr>
                    <w:color w:val="000000" w:themeColor="text1"/>
                  </w:rPr>
                  <w:t>金额</w:t>
                </w:r>
              </w:p>
            </w:tc>
          </w:sdtContent>
        </w:sdt>
        <w:tc>
          <w:tcPr>
            <w:tcW w:w="723" w:type="pct"/>
            <w:vMerge w:val="restart"/>
            <w:shd w:val="clear" w:color="auto" w:fill="FFFFFF"/>
            <w:vAlign w:val="center"/>
          </w:tcPr>
          <w:sdt>
            <w:sdtPr>
              <w:rPr>
                <w:color w:val="000000" w:themeColor="text1"/>
              </w:rPr>
              <w:tag w:val="_PLD_c531cf45aa6447038dbb320044841d53"/>
              <w:id w:val="1057284077"/>
            </w:sdtPr>
            <w:sdtEndPr/>
            <w:sdtContent>
              <w:p w:rsidR="00597370" w:rsidRDefault="003C2EEE">
                <w:pPr>
                  <w:widowControl w:val="0"/>
                  <w:jc w:val="center"/>
                  <w:rPr>
                    <w:color w:val="000000" w:themeColor="text1"/>
                  </w:rPr>
                </w:pPr>
                <w:r>
                  <w:rPr>
                    <w:color w:val="000000" w:themeColor="text1"/>
                  </w:rPr>
                  <w:t>期末余额</w:t>
                </w:r>
              </w:p>
            </w:sdtContent>
          </w:sdt>
        </w:tc>
      </w:tr>
      <w:tr w:rsidR="00597370">
        <w:tc>
          <w:tcPr>
            <w:tcW w:w="803" w:type="pct"/>
            <w:vMerge/>
            <w:shd w:val="clear" w:color="auto" w:fill="FFFFFF"/>
          </w:tcPr>
          <w:p w:rsidR="00597370" w:rsidRDefault="00597370">
            <w:pPr>
              <w:widowControl w:val="0"/>
              <w:jc w:val="center"/>
              <w:rPr>
                <w:color w:val="000000" w:themeColor="text1"/>
              </w:rPr>
            </w:pPr>
          </w:p>
        </w:tc>
        <w:tc>
          <w:tcPr>
            <w:tcW w:w="723" w:type="pct"/>
            <w:vMerge/>
            <w:shd w:val="clear" w:color="auto" w:fill="FFFFFF"/>
          </w:tcPr>
          <w:p w:rsidR="00597370" w:rsidRDefault="00597370">
            <w:pPr>
              <w:widowControl w:val="0"/>
              <w:jc w:val="center"/>
              <w:rPr>
                <w:color w:val="000000" w:themeColor="text1"/>
              </w:rPr>
            </w:pPr>
          </w:p>
        </w:tc>
        <w:sdt>
          <w:sdtPr>
            <w:rPr>
              <w:color w:val="000000" w:themeColor="text1"/>
            </w:rPr>
            <w:tag w:val="_PLD_865b3bdae8bd4443b7b4c12eb3ce1b17"/>
            <w:id w:val="-451946913"/>
          </w:sdtPr>
          <w:sdtEndPr/>
          <w:sdtContent>
            <w:tc>
              <w:tcPr>
                <w:tcW w:w="730" w:type="pct"/>
                <w:shd w:val="clear" w:color="auto" w:fill="FFFFFF"/>
                <w:vAlign w:val="center"/>
              </w:tcPr>
              <w:p w:rsidR="00597370" w:rsidRDefault="003C2EEE">
                <w:pPr>
                  <w:widowControl w:val="0"/>
                  <w:jc w:val="center"/>
                  <w:rPr>
                    <w:color w:val="000000" w:themeColor="text1"/>
                  </w:rPr>
                </w:pPr>
                <w:r>
                  <w:rPr>
                    <w:color w:val="000000" w:themeColor="text1"/>
                  </w:rPr>
                  <w:t>计提</w:t>
                </w:r>
              </w:p>
            </w:tc>
          </w:sdtContent>
        </w:sdt>
        <w:sdt>
          <w:sdtPr>
            <w:rPr>
              <w:rFonts w:hint="eastAsia"/>
              <w:color w:val="000000" w:themeColor="text1"/>
            </w:rPr>
            <w:tag w:val="_PLD_08f916e8d73040dca77181904184dfd3"/>
            <w:id w:val="1792927858"/>
          </w:sdtPr>
          <w:sdtEndPr/>
          <w:sdtContent>
            <w:tc>
              <w:tcPr>
                <w:tcW w:w="672" w:type="pct"/>
                <w:shd w:val="clear" w:color="auto" w:fill="FFFFFF"/>
                <w:vAlign w:val="center"/>
              </w:tcPr>
              <w:p w:rsidR="00597370" w:rsidRDefault="003C2EEE">
                <w:pPr>
                  <w:widowControl w:val="0"/>
                  <w:jc w:val="center"/>
                  <w:rPr>
                    <w:color w:val="000000" w:themeColor="text1"/>
                  </w:rPr>
                </w:pPr>
                <w:r>
                  <w:rPr>
                    <w:rFonts w:hint="eastAsia"/>
                    <w:color w:val="000000" w:themeColor="text1"/>
                  </w:rPr>
                  <w:t>收回或转回</w:t>
                </w:r>
              </w:p>
            </w:tc>
          </w:sdtContent>
        </w:sdt>
        <w:sdt>
          <w:sdtPr>
            <w:rPr>
              <w:rFonts w:hint="eastAsia"/>
              <w:color w:val="000000" w:themeColor="text1"/>
            </w:rPr>
            <w:tag w:val="_PLD_1a5551cddb1a46e08fe893dc39daeaba"/>
            <w:id w:val="-615603146"/>
          </w:sdtPr>
          <w:sdtEndPr/>
          <w:sdtContent>
            <w:tc>
              <w:tcPr>
                <w:tcW w:w="675" w:type="pct"/>
                <w:shd w:val="clear" w:color="auto" w:fill="FFFFFF"/>
                <w:vAlign w:val="center"/>
              </w:tcPr>
              <w:p w:rsidR="00597370" w:rsidRDefault="003C2EEE">
                <w:pPr>
                  <w:widowControl w:val="0"/>
                  <w:jc w:val="center"/>
                  <w:rPr>
                    <w:color w:val="000000" w:themeColor="text1"/>
                  </w:rPr>
                </w:pPr>
                <w:r>
                  <w:rPr>
                    <w:rFonts w:hint="eastAsia"/>
                    <w:color w:val="000000" w:themeColor="text1"/>
                  </w:rPr>
                  <w:t>转销或核销</w:t>
                </w:r>
              </w:p>
            </w:tc>
          </w:sdtContent>
        </w:sdt>
        <w:sdt>
          <w:sdtPr>
            <w:rPr>
              <w:rFonts w:hint="eastAsia"/>
              <w:color w:val="000000" w:themeColor="text1"/>
            </w:rPr>
            <w:tag w:val="_PLD_2a508871130d45279687a5d871df27f3"/>
            <w:id w:val="631061218"/>
          </w:sdtPr>
          <w:sdtEndPr/>
          <w:sdtContent>
            <w:tc>
              <w:tcPr>
                <w:tcW w:w="672" w:type="pct"/>
                <w:shd w:val="clear" w:color="auto" w:fill="FFFFFF"/>
                <w:vAlign w:val="center"/>
              </w:tcPr>
              <w:p w:rsidR="00597370" w:rsidRDefault="003C2EEE">
                <w:pPr>
                  <w:widowControl w:val="0"/>
                  <w:jc w:val="center"/>
                  <w:rPr>
                    <w:color w:val="000000" w:themeColor="text1"/>
                  </w:rPr>
                </w:pPr>
                <w:r>
                  <w:rPr>
                    <w:rFonts w:hint="eastAsia"/>
                    <w:color w:val="000000" w:themeColor="text1"/>
                  </w:rPr>
                  <w:t>合并范围增加</w:t>
                </w:r>
              </w:p>
            </w:tc>
          </w:sdtContent>
        </w:sdt>
        <w:tc>
          <w:tcPr>
            <w:tcW w:w="723" w:type="pct"/>
            <w:vMerge/>
            <w:shd w:val="clear" w:color="auto" w:fill="FFFFFF"/>
          </w:tcPr>
          <w:p w:rsidR="00597370" w:rsidRDefault="00597370">
            <w:pPr>
              <w:widowControl w:val="0"/>
              <w:jc w:val="right"/>
              <w:rPr>
                <w:color w:val="000000" w:themeColor="text1"/>
              </w:rPr>
            </w:pPr>
          </w:p>
        </w:tc>
      </w:tr>
      <w:tr w:rsidR="00597370">
        <w:tc>
          <w:tcPr>
            <w:tcW w:w="803" w:type="pct"/>
            <w:shd w:val="clear" w:color="auto" w:fill="auto"/>
          </w:tcPr>
          <w:p w:rsidR="00597370" w:rsidRDefault="003C2EEE">
            <w:pPr>
              <w:widowControl w:val="0"/>
            </w:pPr>
            <w:r>
              <w:rPr>
                <w:rFonts w:hint="eastAsia"/>
              </w:rPr>
              <w:t>按组合计提坏账准备</w:t>
            </w:r>
          </w:p>
        </w:tc>
        <w:tc>
          <w:tcPr>
            <w:tcW w:w="723" w:type="pct"/>
            <w:shd w:val="clear" w:color="auto" w:fill="auto"/>
            <w:vAlign w:val="center"/>
          </w:tcPr>
          <w:p w:rsidR="00597370" w:rsidRDefault="003C2EEE">
            <w:pPr>
              <w:widowControl w:val="0"/>
              <w:jc w:val="right"/>
            </w:pPr>
            <w:r>
              <w:t>280,321.35</w:t>
            </w:r>
          </w:p>
        </w:tc>
        <w:tc>
          <w:tcPr>
            <w:tcW w:w="730" w:type="pct"/>
            <w:shd w:val="clear" w:color="auto" w:fill="auto"/>
            <w:vAlign w:val="center"/>
          </w:tcPr>
          <w:p w:rsidR="00597370" w:rsidRDefault="003C2EEE">
            <w:pPr>
              <w:widowControl w:val="0"/>
              <w:jc w:val="right"/>
            </w:pPr>
            <w:r>
              <w:t>43,795.55</w:t>
            </w:r>
          </w:p>
        </w:tc>
        <w:tc>
          <w:tcPr>
            <w:tcW w:w="672" w:type="pct"/>
            <w:shd w:val="clear" w:color="auto" w:fill="auto"/>
            <w:vAlign w:val="center"/>
          </w:tcPr>
          <w:p w:rsidR="00597370" w:rsidRDefault="00597370">
            <w:pPr>
              <w:widowControl w:val="0"/>
              <w:jc w:val="right"/>
            </w:pPr>
          </w:p>
        </w:tc>
        <w:tc>
          <w:tcPr>
            <w:tcW w:w="675" w:type="pct"/>
            <w:vAlign w:val="center"/>
          </w:tcPr>
          <w:p w:rsidR="00597370" w:rsidRDefault="00597370">
            <w:pPr>
              <w:widowControl w:val="0"/>
              <w:jc w:val="right"/>
            </w:pPr>
          </w:p>
        </w:tc>
        <w:tc>
          <w:tcPr>
            <w:tcW w:w="672" w:type="pct"/>
            <w:vAlign w:val="center"/>
          </w:tcPr>
          <w:p w:rsidR="00597370" w:rsidRDefault="003C2EEE">
            <w:pPr>
              <w:widowControl w:val="0"/>
              <w:jc w:val="right"/>
            </w:pPr>
            <w:r>
              <w:t>300,000.00</w:t>
            </w:r>
          </w:p>
        </w:tc>
        <w:tc>
          <w:tcPr>
            <w:tcW w:w="723" w:type="pct"/>
            <w:shd w:val="clear" w:color="auto" w:fill="auto"/>
            <w:vAlign w:val="center"/>
          </w:tcPr>
          <w:p w:rsidR="00597370" w:rsidRDefault="003C2EEE">
            <w:pPr>
              <w:widowControl w:val="0"/>
              <w:jc w:val="right"/>
            </w:pPr>
            <w:r>
              <w:t>624,116.90</w:t>
            </w:r>
          </w:p>
        </w:tc>
      </w:tr>
      <w:tr w:rsidR="00597370">
        <w:tc>
          <w:tcPr>
            <w:tcW w:w="803" w:type="pct"/>
            <w:shd w:val="clear" w:color="auto" w:fill="auto"/>
          </w:tcPr>
          <w:p w:rsidR="00597370" w:rsidRDefault="003C2EEE">
            <w:pPr>
              <w:widowControl w:val="0"/>
              <w:jc w:val="center"/>
              <w:rPr>
                <w:color w:val="000000" w:themeColor="text1"/>
              </w:rPr>
            </w:pPr>
            <w:r>
              <w:rPr>
                <w:rFonts w:hint="eastAsia"/>
                <w:color w:val="000000" w:themeColor="text1"/>
              </w:rPr>
              <w:t>合计</w:t>
            </w:r>
          </w:p>
        </w:tc>
        <w:tc>
          <w:tcPr>
            <w:tcW w:w="723" w:type="pct"/>
            <w:shd w:val="clear" w:color="auto" w:fill="auto"/>
            <w:vAlign w:val="center"/>
          </w:tcPr>
          <w:p w:rsidR="00597370" w:rsidRDefault="003C2EEE">
            <w:pPr>
              <w:widowControl w:val="0"/>
              <w:jc w:val="right"/>
            </w:pPr>
            <w:r>
              <w:t>280,321.35</w:t>
            </w:r>
          </w:p>
        </w:tc>
        <w:tc>
          <w:tcPr>
            <w:tcW w:w="730" w:type="pct"/>
            <w:shd w:val="clear" w:color="auto" w:fill="auto"/>
            <w:vAlign w:val="center"/>
          </w:tcPr>
          <w:p w:rsidR="00597370" w:rsidRDefault="003C2EEE">
            <w:pPr>
              <w:widowControl w:val="0"/>
              <w:jc w:val="right"/>
            </w:pPr>
            <w:r>
              <w:t>43,795.55</w:t>
            </w:r>
          </w:p>
        </w:tc>
        <w:tc>
          <w:tcPr>
            <w:tcW w:w="672" w:type="pct"/>
            <w:shd w:val="clear" w:color="auto" w:fill="auto"/>
            <w:vAlign w:val="center"/>
          </w:tcPr>
          <w:p w:rsidR="00597370" w:rsidRDefault="00597370">
            <w:pPr>
              <w:widowControl w:val="0"/>
              <w:jc w:val="right"/>
            </w:pPr>
          </w:p>
        </w:tc>
        <w:tc>
          <w:tcPr>
            <w:tcW w:w="675" w:type="pct"/>
            <w:vAlign w:val="center"/>
          </w:tcPr>
          <w:p w:rsidR="00597370" w:rsidRDefault="00597370">
            <w:pPr>
              <w:widowControl w:val="0"/>
              <w:jc w:val="right"/>
            </w:pPr>
          </w:p>
        </w:tc>
        <w:tc>
          <w:tcPr>
            <w:tcW w:w="672" w:type="pct"/>
            <w:vAlign w:val="center"/>
          </w:tcPr>
          <w:p w:rsidR="00597370" w:rsidRDefault="003C2EEE">
            <w:pPr>
              <w:widowControl w:val="0"/>
              <w:jc w:val="right"/>
            </w:pPr>
            <w:r>
              <w:t>300,000.00</w:t>
            </w:r>
          </w:p>
        </w:tc>
        <w:tc>
          <w:tcPr>
            <w:tcW w:w="723" w:type="pct"/>
            <w:shd w:val="clear" w:color="auto" w:fill="auto"/>
            <w:vAlign w:val="center"/>
          </w:tcPr>
          <w:p w:rsidR="00597370" w:rsidRDefault="003C2EEE">
            <w:pPr>
              <w:widowControl w:val="0"/>
              <w:jc w:val="right"/>
            </w:pPr>
            <w:r>
              <w:t>624,116.90</w:t>
            </w:r>
          </w:p>
        </w:tc>
      </w:tr>
    </w:tbl>
    <w:p w:rsidR="00597370" w:rsidRDefault="00597370">
      <w:pPr>
        <w:pStyle w:val="Style151"/>
        <w:rPr>
          <w:color w:val="000000" w:themeColor="text1"/>
        </w:rPr>
      </w:pPr>
    </w:p>
    <w:p w:rsidR="00597370" w:rsidRDefault="003C2EEE">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382a7c63c3664661a21baa08f6ba86a8"/>
        <w:id w:val="96539366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坏账准备情况的说明"/>
        <w:tag w:val="_GBC_61ca0a7cb2a147fba52fe081c3ffe8b1"/>
        <w:id w:val="-541975019"/>
        <w:placeholder>
          <w:docPart w:val="GBC22222222222222222222222222222"/>
        </w:placeholder>
      </w:sdtPr>
      <w:sdtEndPr/>
      <w:sdtContent>
        <w:p w:rsidR="00597370" w:rsidRDefault="003C2EEE">
          <w:pPr>
            <w:ind w:rightChars="20" w:right="42"/>
            <w:rPr>
              <w:color w:val="000000" w:themeColor="text1"/>
            </w:rPr>
          </w:pPr>
          <w:r>
            <w:rPr>
              <w:rFonts w:hint="eastAsia"/>
              <w:color w:val="000000" w:themeColor="text1"/>
            </w:rPr>
            <w:t>无</w:t>
          </w:r>
        </w:p>
      </w:sdtContent>
    </w:sdt>
    <w:p w:rsidR="00597370" w:rsidRDefault="003C2EEE">
      <w:pPr>
        <w:pStyle w:val="Style110"/>
        <w:numPr>
          <w:ilvl w:val="0"/>
          <w:numId w:val="50"/>
        </w:numPr>
        <w:tabs>
          <w:tab w:val="left" w:pos="360"/>
        </w:tabs>
        <w:ind w:left="0" w:firstLine="0"/>
        <w:rPr>
          <w:color w:val="000000" w:themeColor="text1"/>
        </w:rPr>
      </w:pPr>
      <w:r>
        <w:rPr>
          <w:rFonts w:hint="eastAsia"/>
          <w:color w:val="000000" w:themeColor="text1"/>
        </w:rPr>
        <w:t>本期实际核销的应收款项融资情况</w:t>
      </w:r>
    </w:p>
    <w:sdt>
      <w:sdtPr>
        <w:rPr>
          <w:color w:val="000000" w:themeColor="text1"/>
        </w:rPr>
        <w:alias w:val="是否适用：实际核销的情况[双击切换]"/>
        <w:tag w:val="_GBC_a2d69dfc601543db9955bbac18a0162c"/>
        <w:id w:val="159296622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其中重要的应收款项融资核销情况</w:t>
      </w:r>
    </w:p>
    <w:sdt>
      <w:sdtPr>
        <w:rPr>
          <w:rFonts w:hint="eastAsia"/>
          <w:color w:val="000000" w:themeColor="text1"/>
        </w:rPr>
        <w:alias w:val="是否适用：重要的核销情况[双击切换]"/>
        <w:tag w:val="_GBC_1b7bee0edc57444896650801ca80ffe4"/>
        <w:id w:val="67507652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488ea774dd4f4c1d882f56da574ad29c"/>
        <w:id w:val="-1736392044"/>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50"/>
        </w:numPr>
        <w:tabs>
          <w:tab w:val="left" w:pos="360"/>
        </w:tabs>
        <w:ind w:left="0" w:firstLine="0"/>
        <w:rPr>
          <w:color w:val="000000" w:themeColor="text1"/>
        </w:rPr>
      </w:pPr>
      <w:r>
        <w:rPr>
          <w:rFonts w:hint="eastAsia"/>
          <w:color w:val="000000" w:themeColor="text1"/>
        </w:rPr>
        <w:lastRenderedPageBreak/>
        <w:t>应收款项融资本期增减变动及公允价值变动情况：</w:t>
      </w:r>
    </w:p>
    <w:sdt>
      <w:sdtPr>
        <w:rPr>
          <w:rFonts w:hint="eastAsia"/>
          <w:color w:val="000000" w:themeColor="text1"/>
        </w:rPr>
        <w:alias w:val="是否适用：应收款项融资本期增减变动及公允价值变动情况[双击切换]"/>
        <w:tag w:val="_GBC_229d012533ea43b7b63c184aa0b161d0"/>
        <w:id w:val="-360577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94"/>
    <w:bookmarkEnd w:id="197"/>
    <w:bookmarkEnd w:id="196"/>
    <w:p w:rsidR="00597370" w:rsidRDefault="003C2EEE">
      <w:pPr>
        <w:pStyle w:val="Style110"/>
        <w:numPr>
          <w:ilvl w:val="0"/>
          <w:numId w:val="50"/>
        </w:numPr>
        <w:tabs>
          <w:tab w:val="left" w:pos="360"/>
        </w:tabs>
        <w:ind w:left="0" w:firstLine="0"/>
        <w:rPr>
          <w:color w:val="000000" w:themeColor="text1"/>
        </w:rPr>
      </w:pPr>
      <w:r>
        <w:rPr>
          <w:rFonts w:hint="eastAsia"/>
          <w:color w:val="000000" w:themeColor="text1"/>
        </w:rPr>
        <w:t>其他说明：</w:t>
      </w:r>
    </w:p>
    <w:bookmarkStart w:id="200" w:name="_Hlk13057390" w:displacedByCustomXml="next"/>
    <w:sdt>
      <w:sdtPr>
        <w:rPr>
          <w:rFonts w:hint="eastAsia"/>
          <w:color w:val="000000" w:themeColor="text1"/>
        </w:rPr>
        <w:alias w:val="是否适用：应收款项融资其他说明[双击切换]"/>
        <w:tag w:val="_GBC_f2fd5be9d56145ea8eaacde595a4b245"/>
        <w:id w:val="-63509827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195"/>
    <w:bookmarkEnd w:id="200"/>
    <w:p w:rsidR="00597370" w:rsidRDefault="003C2EEE">
      <w:pPr>
        <w:pStyle w:val="Style109"/>
        <w:numPr>
          <w:ilvl w:val="0"/>
          <w:numId w:val="46"/>
        </w:numPr>
        <w:rPr>
          <w:rFonts w:ascii="宋体" w:hAnsi="宋体"/>
          <w:color w:val="000000" w:themeColor="text1"/>
        </w:rPr>
      </w:pPr>
      <w:r>
        <w:rPr>
          <w:rFonts w:ascii="宋体" w:hAnsi="宋体" w:hint="eastAsia"/>
          <w:color w:val="000000" w:themeColor="text1"/>
        </w:rPr>
        <w:t>预付款项</w:t>
      </w:r>
    </w:p>
    <w:p w:rsidR="00597370" w:rsidRDefault="003C2EEE">
      <w:pPr>
        <w:pStyle w:val="Style110"/>
        <w:numPr>
          <w:ilvl w:val="0"/>
          <w:numId w:val="51"/>
        </w:numPr>
        <w:tabs>
          <w:tab w:val="left" w:pos="616"/>
        </w:tabs>
        <w:rPr>
          <w:rFonts w:ascii="宋体" w:hAnsi="宋体"/>
          <w:color w:val="000000" w:themeColor="text1"/>
        </w:rPr>
      </w:pPr>
      <w:r>
        <w:rPr>
          <w:rFonts w:ascii="宋体" w:hAnsi="宋体" w:hint="eastAsia"/>
          <w:color w:val="000000" w:themeColor="text1"/>
        </w:rPr>
        <w:t>预付</w:t>
      </w:r>
      <w:proofErr w:type="gramStart"/>
      <w:r>
        <w:rPr>
          <w:rFonts w:ascii="宋体" w:hAnsi="宋体" w:hint="eastAsia"/>
          <w:color w:val="000000" w:themeColor="text1"/>
        </w:rPr>
        <w:t>款项按账龄</w:t>
      </w:r>
      <w:proofErr w:type="gramEnd"/>
      <w:r>
        <w:rPr>
          <w:rFonts w:ascii="宋体" w:hAnsi="宋体" w:hint="eastAsia"/>
          <w:color w:val="000000" w:themeColor="text1"/>
        </w:rPr>
        <w:t>列示</w:t>
      </w:r>
    </w:p>
    <w:sdt>
      <w:sdtPr>
        <w:rPr>
          <w:color w:val="000000" w:themeColor="text1"/>
        </w:rPr>
        <w:alias w:val="是否适用：预付款项按账龄列示[双击切换]"/>
        <w:tag w:val="_GBC_af3b3e24767e48f7a70a5cfa609407a2"/>
        <w:id w:val="-123846968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b/>
          <w:color w:val="000000" w:themeColor="text1"/>
        </w:rPr>
      </w:pPr>
      <w:r>
        <w:rPr>
          <w:rFonts w:hint="eastAsia"/>
          <w:color w:val="000000" w:themeColor="text1"/>
        </w:rPr>
        <w:t>单位：</w:t>
      </w:r>
      <w:sdt>
        <w:sdtPr>
          <w:rPr>
            <w:rFonts w:hint="eastAsia"/>
            <w:color w:val="000000" w:themeColor="text1"/>
          </w:rPr>
          <w:alias w:val="单位：财务附注：预付账款账龄"/>
          <w:tag w:val="_GBC_9eb28bbf7d374cdf965c7e133b610fb3"/>
          <w:id w:val="-9681239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预付账款账龄"/>
          <w:tag w:val="_GBC_d491347f74764df5af3312ad7a0a92e5"/>
          <w:id w:val="17550851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349"/>
        <w:gridCol w:w="1876"/>
        <w:gridCol w:w="1862"/>
        <w:gridCol w:w="1860"/>
        <w:gridCol w:w="1876"/>
      </w:tblGrid>
      <w:tr w:rsidR="00597370">
        <w:trPr>
          <w:cantSplit/>
          <w:trHeight w:val="237"/>
        </w:trPr>
        <w:sdt>
          <w:sdtPr>
            <w:rPr>
              <w:rFonts w:asciiTheme="minorEastAsia" w:eastAsiaTheme="minorEastAsia" w:hAnsiTheme="minorEastAsia"/>
              <w:color w:val="000000" w:themeColor="text1"/>
            </w:rPr>
            <w:tag w:val="_PLD_159a64f22a4a4b1ab31846b4d6034c4c"/>
            <w:id w:val="-1659454362"/>
          </w:sdtPr>
          <w:sdtEndPr/>
          <w:sdtContent>
            <w:tc>
              <w:tcPr>
                <w:tcW w:w="764" w:type="pct"/>
                <w:vMerge w:val="restar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color w:val="000000" w:themeColor="text1"/>
            </w:rPr>
            <w:tag w:val="_PLD_6ca82cba92a649d08c6ceb86dd951ef3"/>
            <w:id w:val="-123001726"/>
          </w:sdtPr>
          <w:sdtEndPr/>
          <w:sdtContent>
            <w:tc>
              <w:tcPr>
                <w:tcW w:w="2118" w:type="pct"/>
                <w:gridSpan w:val="2"/>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color w:val="000000" w:themeColor="text1"/>
            </w:rPr>
            <w:tag w:val="_PLD_365dab2f8fd246d79543ed0d2e6dcab7"/>
            <w:id w:val="-847946699"/>
          </w:sdtPr>
          <w:sdtEndPr/>
          <w:sdtContent>
            <w:tc>
              <w:tcPr>
                <w:tcW w:w="2117" w:type="pct"/>
                <w:gridSpan w:val="2"/>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期初余额</w:t>
                </w:r>
              </w:p>
            </w:tc>
          </w:sdtContent>
        </w:sdt>
      </w:tr>
      <w:tr w:rsidR="00597370">
        <w:trPr>
          <w:cantSplit/>
        </w:trPr>
        <w:tc>
          <w:tcPr>
            <w:tcW w:w="764" w:type="pct"/>
            <w:vMerge/>
          </w:tcPr>
          <w:p w:rsidR="00597370" w:rsidRDefault="00597370">
            <w:pPr>
              <w:rPr>
                <w:rFonts w:asciiTheme="minorEastAsia" w:eastAsiaTheme="minorEastAsia" w:hAnsiTheme="minorEastAsia"/>
                <w:color w:val="000000" w:themeColor="text1"/>
              </w:rPr>
            </w:pPr>
          </w:p>
        </w:tc>
        <w:sdt>
          <w:sdtPr>
            <w:rPr>
              <w:rFonts w:asciiTheme="minorEastAsia" w:eastAsiaTheme="minorEastAsia" w:hAnsiTheme="minorEastAsia"/>
              <w:color w:val="000000" w:themeColor="text1"/>
            </w:rPr>
            <w:tag w:val="_PLD_a9d7b721cfa446e9ae31149380da5970"/>
            <w:id w:val="-1319100060"/>
          </w:sdtPr>
          <w:sdtEndPr/>
          <w:sdtContent>
            <w:tc>
              <w:tcPr>
                <w:tcW w:w="1063"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金额</w:t>
                </w:r>
              </w:p>
            </w:tc>
          </w:sdtContent>
        </w:sdt>
        <w:sdt>
          <w:sdtPr>
            <w:rPr>
              <w:rFonts w:asciiTheme="minorEastAsia" w:eastAsiaTheme="minorEastAsia" w:hAnsiTheme="minorEastAsia"/>
              <w:color w:val="000000" w:themeColor="text1"/>
            </w:rPr>
            <w:tag w:val="_PLD_2d8b8f523dcd4c95815b7c8fd528129d"/>
            <w:id w:val="1296800778"/>
          </w:sdtPr>
          <w:sdtEndPr/>
          <w:sdtContent>
            <w:tc>
              <w:tcPr>
                <w:tcW w:w="1055"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比例</w:t>
                </w:r>
                <w:r>
                  <w:rPr>
                    <w:rFonts w:asciiTheme="minorEastAsia" w:eastAsiaTheme="minorEastAsia" w:hAnsiTheme="minorEastAsia"/>
                    <w:color w:val="000000" w:themeColor="text1"/>
                  </w:rPr>
                  <w:t>(%)</w:t>
                </w:r>
              </w:p>
            </w:tc>
          </w:sdtContent>
        </w:sdt>
        <w:sdt>
          <w:sdtPr>
            <w:rPr>
              <w:rFonts w:asciiTheme="minorEastAsia" w:eastAsiaTheme="minorEastAsia" w:hAnsiTheme="minorEastAsia"/>
              <w:color w:val="000000" w:themeColor="text1"/>
            </w:rPr>
            <w:tag w:val="_PLD_f01816a56b3f4ec1a7d603d3ac318eb1"/>
            <w:id w:val="-2110955054"/>
          </w:sdtPr>
          <w:sdtEndPr/>
          <w:sdtContent>
            <w:tc>
              <w:tcPr>
                <w:tcW w:w="1054"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金额</w:t>
                </w:r>
              </w:p>
            </w:tc>
          </w:sdtContent>
        </w:sdt>
        <w:sdt>
          <w:sdtPr>
            <w:rPr>
              <w:rFonts w:asciiTheme="minorEastAsia" w:eastAsiaTheme="minorEastAsia" w:hAnsiTheme="minorEastAsia"/>
              <w:color w:val="000000" w:themeColor="text1"/>
            </w:rPr>
            <w:tag w:val="_PLD_55adcab5f9be4d24b3d0faaf5403e89a"/>
            <w:id w:val="312840907"/>
          </w:sdtPr>
          <w:sdtEndPr/>
          <w:sdtContent>
            <w:tc>
              <w:tcPr>
                <w:tcW w:w="1063"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比例</w:t>
                </w:r>
                <w:r>
                  <w:rPr>
                    <w:rFonts w:asciiTheme="minorEastAsia" w:eastAsiaTheme="minorEastAsia" w:hAnsiTheme="minorEastAsia"/>
                    <w:color w:val="000000" w:themeColor="text1"/>
                  </w:rPr>
                  <w:t>(%)</w:t>
                </w:r>
              </w:p>
            </w:tc>
          </w:sdtContent>
        </w:sdt>
      </w:tr>
      <w:tr w:rsidR="00597370">
        <w:trPr>
          <w:cantSplit/>
        </w:trPr>
        <w:tc>
          <w:tcPr>
            <w:tcW w:w="764" w:type="pct"/>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1年以内</w:t>
            </w:r>
          </w:p>
        </w:tc>
        <w:tc>
          <w:tcPr>
            <w:tcW w:w="1063"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136,235,945.96</w:t>
            </w:r>
          </w:p>
        </w:tc>
        <w:tc>
          <w:tcPr>
            <w:tcW w:w="1055"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98.90</w:t>
            </w:r>
          </w:p>
        </w:tc>
        <w:tc>
          <w:tcPr>
            <w:tcW w:w="1054" w:type="pct"/>
          </w:tcPr>
          <w:p w:rsidR="00597370" w:rsidRDefault="003C2EEE">
            <w:pPr>
              <w:jc w:val="right"/>
              <w:rPr>
                <w:rFonts w:asciiTheme="minorEastAsia" w:eastAsiaTheme="minorEastAsia" w:hAnsiTheme="minorEastAsia"/>
              </w:rPr>
            </w:pPr>
            <w:r>
              <w:rPr>
                <w:rFonts w:asciiTheme="minorEastAsia" w:eastAsiaTheme="minorEastAsia" w:hAnsiTheme="minorEastAsia"/>
              </w:rPr>
              <w:t>57,662,492.99</w:t>
            </w:r>
          </w:p>
        </w:tc>
        <w:tc>
          <w:tcPr>
            <w:tcW w:w="1063" w:type="pct"/>
          </w:tcPr>
          <w:p w:rsidR="00597370" w:rsidRDefault="003C2EEE">
            <w:pPr>
              <w:jc w:val="right"/>
              <w:rPr>
                <w:rFonts w:asciiTheme="minorEastAsia" w:eastAsiaTheme="minorEastAsia" w:hAnsiTheme="minorEastAsia"/>
              </w:rPr>
            </w:pPr>
            <w:r>
              <w:rPr>
                <w:rFonts w:asciiTheme="minorEastAsia" w:eastAsiaTheme="minorEastAsia" w:hAnsiTheme="minorEastAsia"/>
              </w:rPr>
              <w:t>99.74</w:t>
            </w:r>
          </w:p>
        </w:tc>
      </w:tr>
      <w:tr w:rsidR="00597370">
        <w:trPr>
          <w:cantSplit/>
        </w:trPr>
        <w:tc>
          <w:tcPr>
            <w:tcW w:w="764" w:type="pct"/>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1至2年</w:t>
            </w:r>
          </w:p>
        </w:tc>
        <w:tc>
          <w:tcPr>
            <w:tcW w:w="1063"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129,815.02</w:t>
            </w:r>
          </w:p>
        </w:tc>
        <w:tc>
          <w:tcPr>
            <w:tcW w:w="1055"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0.10</w:t>
            </w:r>
          </w:p>
        </w:tc>
        <w:tc>
          <w:tcPr>
            <w:tcW w:w="1054" w:type="pct"/>
          </w:tcPr>
          <w:p w:rsidR="00597370" w:rsidRDefault="003C2EEE">
            <w:pPr>
              <w:jc w:val="right"/>
              <w:rPr>
                <w:rFonts w:asciiTheme="minorEastAsia" w:eastAsiaTheme="minorEastAsia" w:hAnsiTheme="minorEastAsia"/>
              </w:rPr>
            </w:pPr>
            <w:r>
              <w:rPr>
                <w:rFonts w:asciiTheme="minorEastAsia" w:eastAsiaTheme="minorEastAsia" w:hAnsiTheme="minorEastAsia"/>
              </w:rPr>
              <w:t>150,342.45</w:t>
            </w:r>
          </w:p>
        </w:tc>
        <w:tc>
          <w:tcPr>
            <w:tcW w:w="1063" w:type="pct"/>
          </w:tcPr>
          <w:p w:rsidR="00597370" w:rsidRDefault="003C2EEE">
            <w:pPr>
              <w:jc w:val="right"/>
              <w:rPr>
                <w:rFonts w:asciiTheme="minorEastAsia" w:eastAsiaTheme="minorEastAsia" w:hAnsiTheme="minorEastAsia"/>
              </w:rPr>
            </w:pPr>
            <w:r>
              <w:rPr>
                <w:rFonts w:asciiTheme="minorEastAsia" w:eastAsiaTheme="minorEastAsia" w:hAnsiTheme="minorEastAsia"/>
              </w:rPr>
              <w:t>0.26</w:t>
            </w:r>
          </w:p>
        </w:tc>
      </w:tr>
      <w:tr w:rsidR="00597370">
        <w:trPr>
          <w:cantSplit/>
        </w:trPr>
        <w:tc>
          <w:tcPr>
            <w:tcW w:w="764" w:type="pct"/>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2至3年</w:t>
            </w:r>
          </w:p>
        </w:tc>
        <w:tc>
          <w:tcPr>
            <w:tcW w:w="1063"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128,670.00</w:t>
            </w:r>
          </w:p>
        </w:tc>
        <w:tc>
          <w:tcPr>
            <w:tcW w:w="1055"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0.09</w:t>
            </w:r>
          </w:p>
        </w:tc>
        <w:tc>
          <w:tcPr>
            <w:tcW w:w="1054" w:type="pct"/>
          </w:tcPr>
          <w:p w:rsidR="00597370" w:rsidRDefault="00597370">
            <w:pPr>
              <w:jc w:val="right"/>
              <w:rPr>
                <w:rFonts w:asciiTheme="minorEastAsia" w:eastAsiaTheme="minorEastAsia" w:hAnsiTheme="minorEastAsia"/>
              </w:rPr>
            </w:pPr>
          </w:p>
        </w:tc>
        <w:tc>
          <w:tcPr>
            <w:tcW w:w="1063" w:type="pct"/>
          </w:tcPr>
          <w:p w:rsidR="00597370" w:rsidRDefault="00597370">
            <w:pPr>
              <w:jc w:val="right"/>
              <w:rPr>
                <w:rFonts w:asciiTheme="minorEastAsia" w:eastAsiaTheme="minorEastAsia" w:hAnsiTheme="minorEastAsia"/>
              </w:rPr>
            </w:pPr>
          </w:p>
        </w:tc>
      </w:tr>
      <w:tr w:rsidR="00597370">
        <w:trPr>
          <w:cantSplit/>
        </w:trPr>
        <w:tc>
          <w:tcPr>
            <w:tcW w:w="764" w:type="pct"/>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3年以上</w:t>
            </w:r>
          </w:p>
        </w:tc>
        <w:tc>
          <w:tcPr>
            <w:tcW w:w="1063"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1,253,284.35</w:t>
            </w:r>
          </w:p>
        </w:tc>
        <w:tc>
          <w:tcPr>
            <w:tcW w:w="1055"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0.91</w:t>
            </w:r>
          </w:p>
        </w:tc>
        <w:tc>
          <w:tcPr>
            <w:tcW w:w="1054" w:type="pct"/>
          </w:tcPr>
          <w:p w:rsidR="00597370" w:rsidRDefault="00597370">
            <w:pPr>
              <w:jc w:val="right"/>
              <w:rPr>
                <w:rFonts w:asciiTheme="minorEastAsia" w:eastAsiaTheme="minorEastAsia" w:hAnsiTheme="minorEastAsia"/>
              </w:rPr>
            </w:pPr>
          </w:p>
        </w:tc>
        <w:tc>
          <w:tcPr>
            <w:tcW w:w="1063" w:type="pct"/>
          </w:tcPr>
          <w:p w:rsidR="00597370" w:rsidRDefault="00597370">
            <w:pPr>
              <w:jc w:val="right"/>
              <w:rPr>
                <w:rFonts w:asciiTheme="minorEastAsia" w:eastAsiaTheme="minorEastAsia" w:hAnsiTheme="minorEastAsia"/>
              </w:rPr>
            </w:pPr>
          </w:p>
        </w:tc>
      </w:tr>
      <w:tr w:rsidR="00597370">
        <w:trPr>
          <w:cantSplit/>
        </w:trPr>
        <w:tc>
          <w:tcPr>
            <w:tcW w:w="764" w:type="pct"/>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tc>
          <w:tcPr>
            <w:tcW w:w="1063"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137,747,715.33</w:t>
            </w:r>
          </w:p>
        </w:tc>
        <w:tc>
          <w:tcPr>
            <w:tcW w:w="1055" w:type="pct"/>
          </w:tcPr>
          <w:p w:rsidR="00597370" w:rsidRDefault="003C2EEE">
            <w:pPr>
              <w:jc w:val="right"/>
              <w:textAlignment w:val="center"/>
              <w:rPr>
                <w:rFonts w:asciiTheme="minorEastAsia" w:eastAsiaTheme="minorEastAsia" w:hAnsiTheme="minorEastAsia"/>
              </w:rPr>
            </w:pPr>
            <w:r>
              <w:rPr>
                <w:rFonts w:asciiTheme="minorEastAsia" w:eastAsiaTheme="minorEastAsia" w:hAnsiTheme="minorEastAsia"/>
              </w:rPr>
              <w:t>100.00</w:t>
            </w:r>
          </w:p>
        </w:tc>
        <w:tc>
          <w:tcPr>
            <w:tcW w:w="1054" w:type="pct"/>
          </w:tcPr>
          <w:p w:rsidR="00597370" w:rsidRDefault="003C2EEE">
            <w:pPr>
              <w:jc w:val="right"/>
              <w:rPr>
                <w:rFonts w:asciiTheme="minorEastAsia" w:eastAsiaTheme="minorEastAsia" w:hAnsiTheme="minorEastAsia"/>
              </w:rPr>
            </w:pPr>
            <w:r>
              <w:rPr>
                <w:rFonts w:asciiTheme="minorEastAsia" w:eastAsiaTheme="minorEastAsia" w:hAnsiTheme="minorEastAsia"/>
              </w:rPr>
              <w:t>57,812,835.44</w:t>
            </w:r>
          </w:p>
        </w:tc>
        <w:tc>
          <w:tcPr>
            <w:tcW w:w="1063" w:type="pct"/>
          </w:tcPr>
          <w:p w:rsidR="00597370" w:rsidRDefault="003C2EEE">
            <w:pPr>
              <w:jc w:val="right"/>
              <w:rPr>
                <w:rFonts w:asciiTheme="minorEastAsia" w:eastAsiaTheme="minorEastAsia" w:hAnsiTheme="minorEastAsia"/>
              </w:rPr>
            </w:pPr>
            <w:r>
              <w:rPr>
                <w:rFonts w:asciiTheme="minorEastAsia" w:eastAsiaTheme="minorEastAsia" w:hAnsiTheme="minorEastAsia"/>
              </w:rPr>
              <w:t>100.00</w:t>
            </w:r>
          </w:p>
        </w:tc>
      </w:tr>
    </w:tbl>
    <w:p w:rsidR="00597370" w:rsidRDefault="003C2EEE">
      <w:pPr>
        <w:rPr>
          <w:color w:val="000000" w:themeColor="text1"/>
        </w:rPr>
      </w:pPr>
      <w:r>
        <w:rPr>
          <w:rFonts w:hint="eastAsia"/>
          <w:color w:val="000000" w:themeColor="text1"/>
        </w:rPr>
        <w:t>账龄超过1年且金额重要的预付款项未及时结算原因</w:t>
      </w:r>
      <w:r>
        <w:rPr>
          <w:color w:val="000000" w:themeColor="text1"/>
        </w:rPr>
        <w:t>的说明：</w:t>
      </w:r>
    </w:p>
    <w:sdt>
      <w:sdtPr>
        <w:rPr>
          <w:color w:val="000000" w:themeColor="text1"/>
        </w:rPr>
        <w:alias w:val="账龄超过1年且金额重要的预付款项未及时结算原因的说明"/>
        <w:tag w:val="_GBC_174a9654172e49e09cdbf18d854fdd51"/>
        <w:id w:val="-1035261653"/>
        <w:placeholder>
          <w:docPart w:val="GBC22222222222222222222222222222"/>
        </w:placeholder>
      </w:sdtPr>
      <w:sdtEndPr/>
      <w:sdtContent>
        <w:p w:rsidR="00597370" w:rsidRDefault="003C2EEE">
          <w:pPr>
            <w:snapToGrid w:val="0"/>
            <w:spacing w:line="240" w:lineRule="atLeast"/>
            <w:rPr>
              <w:color w:val="000000" w:themeColor="text1"/>
            </w:rPr>
          </w:pPr>
          <w:r>
            <w:rPr>
              <w:rFonts w:hint="eastAsia"/>
              <w:color w:val="000000" w:themeColor="text1"/>
            </w:rPr>
            <w:t>无</w:t>
          </w:r>
        </w:p>
      </w:sdtContent>
    </w:sdt>
    <w:p w:rsidR="00597370" w:rsidRDefault="003C2EEE">
      <w:pPr>
        <w:pStyle w:val="Style110"/>
        <w:numPr>
          <w:ilvl w:val="0"/>
          <w:numId w:val="51"/>
        </w:numPr>
        <w:tabs>
          <w:tab w:val="left" w:pos="616"/>
        </w:tabs>
        <w:rPr>
          <w:rFonts w:ascii="宋体" w:hAnsi="宋体"/>
          <w:color w:val="000000" w:themeColor="text1"/>
        </w:rPr>
      </w:pPr>
      <w:r>
        <w:rPr>
          <w:rFonts w:ascii="宋体" w:hAnsi="宋体" w:hint="eastAsia"/>
          <w:color w:val="000000" w:themeColor="text1"/>
        </w:rPr>
        <w:t>按预付对象归集的期末余额前五名的预付款情况</w:t>
      </w:r>
    </w:p>
    <w:sdt>
      <w:sdtPr>
        <w:rPr>
          <w:rFonts w:hint="eastAsia"/>
          <w:color w:val="000000" w:themeColor="text1"/>
        </w:rPr>
        <w:alias w:val="是否适用：按预付对象归集的期末余额前五名的预付款情况[双击切换]"/>
        <w:tag w:val="_GBC_a1864f04af6d49bdb434d74a7f29f8c3"/>
        <w:id w:val="-1634629658"/>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按预付对象归集的期末余额前五名的预付款情况的说明"/>
        <w:tag w:val="_GBC_e2f1aa285f174786838e4fcd54656fec"/>
        <w:id w:val="-766317169"/>
        <w:placeholder>
          <w:docPart w:val="GBC22222222222222222222222222222"/>
        </w:placeholder>
      </w:sdtPr>
      <w:sdtEndPr>
        <w:rPr>
          <w:rFonts w:asciiTheme="minorEastAsia" w:eastAsiaTheme="minorEastAsia" w:hAnsiTheme="minorEastAsia"/>
          <w:color w:val="auto"/>
        </w:rPr>
      </w:sdtEndPr>
      <w:sdtContent>
        <w:p w:rsidR="00597370" w:rsidRDefault="003C2EEE">
          <w:pPr>
            <w:snapToGrid w:val="0"/>
            <w:spacing w:line="240" w:lineRule="atLeast"/>
            <w:rPr>
              <w:color w:val="000000" w:themeColor="text1"/>
            </w:rPr>
          </w:pPr>
          <w:r>
            <w:rPr>
              <w:color w:val="000000" w:themeColor="text1"/>
            </w:rPr>
            <w:t xml:space="preserve">                                                                </w:t>
          </w:r>
          <w:r>
            <w:rPr>
              <w:rFonts w:hint="eastAsia"/>
              <w:color w:val="000000" w:themeColor="text1"/>
            </w:rPr>
            <w:t>单位：元</w:t>
          </w:r>
        </w:p>
        <w:tbl>
          <w:tblPr>
            <w:tblStyle w:val="g3"/>
            <w:tblW w:w="5002" w:type="pct"/>
            <w:jc w:val="center"/>
            <w:tblLayout w:type="fixed"/>
            <w:tblCellMar>
              <w:left w:w="0" w:type="dxa"/>
              <w:right w:w="28" w:type="dxa"/>
            </w:tblCellMar>
            <w:tblLook w:val="04A0" w:firstRow="1" w:lastRow="0" w:firstColumn="1" w:lastColumn="0" w:noHBand="0" w:noVBand="1"/>
          </w:tblPr>
          <w:tblGrid>
            <w:gridCol w:w="2943"/>
            <w:gridCol w:w="2942"/>
            <w:gridCol w:w="2942"/>
          </w:tblGrid>
          <w:tr w:rsidR="00597370">
            <w:trPr>
              <w:trHeight w:val="397"/>
              <w:jc w:val="center"/>
            </w:trPr>
            <w:tc>
              <w:tcPr>
                <w:tcW w:w="2955" w:type="dxa"/>
                <w:vAlign w:val="center"/>
              </w:tcPr>
              <w:p w:rsidR="00597370" w:rsidRDefault="003C2EEE">
                <w:pPr>
                  <w:snapToGrid w:val="0"/>
                  <w:spacing w:line="240" w:lineRule="atLeast"/>
                  <w:jc w:val="center"/>
                  <w:rPr>
                    <w:rFonts w:asciiTheme="minorEastAsia" w:eastAsiaTheme="minorEastAsia" w:hAnsiTheme="minorEastAsia"/>
                    <w:color w:val="000000" w:themeColor="text1"/>
                  </w:rPr>
                </w:pPr>
                <w:r>
                  <w:rPr>
                    <w:rFonts w:asciiTheme="minorEastAsia" w:eastAsiaTheme="minorEastAsia" w:hAnsiTheme="minorEastAsia" w:hint="eastAsia"/>
                  </w:rPr>
                  <w:t>单位名称</w:t>
                </w:r>
              </w:p>
            </w:tc>
            <w:tc>
              <w:tcPr>
                <w:tcW w:w="2955" w:type="dxa"/>
                <w:vAlign w:val="center"/>
              </w:tcPr>
              <w:p w:rsidR="00597370" w:rsidRDefault="003C2EEE">
                <w:pPr>
                  <w:snapToGrid w:val="0"/>
                  <w:spacing w:line="240" w:lineRule="atLeast"/>
                  <w:jc w:val="center"/>
                  <w:rPr>
                    <w:rFonts w:asciiTheme="minorEastAsia" w:eastAsiaTheme="minorEastAsia" w:hAnsiTheme="minorEastAsia"/>
                    <w:color w:val="000000" w:themeColor="text1"/>
                  </w:rPr>
                </w:pPr>
                <w:r>
                  <w:rPr>
                    <w:rFonts w:asciiTheme="minorEastAsia" w:eastAsiaTheme="minorEastAsia" w:hAnsiTheme="minorEastAsia" w:hint="eastAsia"/>
                  </w:rPr>
                  <w:t>期末余额</w:t>
                </w:r>
              </w:p>
            </w:tc>
            <w:tc>
              <w:tcPr>
                <w:tcW w:w="2955" w:type="dxa"/>
                <w:vAlign w:val="center"/>
              </w:tcPr>
              <w:p w:rsidR="00597370" w:rsidRDefault="003C2EEE">
                <w:pPr>
                  <w:snapToGrid w:val="0"/>
                  <w:spacing w:line="240" w:lineRule="atLeast"/>
                  <w:jc w:val="center"/>
                  <w:rPr>
                    <w:rFonts w:asciiTheme="minorEastAsia" w:eastAsiaTheme="minorEastAsia" w:hAnsiTheme="minorEastAsia"/>
                    <w:color w:val="000000" w:themeColor="text1"/>
                  </w:rPr>
                </w:pPr>
                <w:r>
                  <w:rPr>
                    <w:rFonts w:asciiTheme="minorEastAsia" w:eastAsiaTheme="minorEastAsia" w:hAnsiTheme="minorEastAsia" w:hint="eastAsia"/>
                  </w:rPr>
                  <w:t>占预付款项期末余额合计数的比例(</w:t>
                </w:r>
                <w:r>
                  <w:rPr>
                    <w:rFonts w:asciiTheme="minorEastAsia" w:eastAsiaTheme="minorEastAsia" w:hAnsiTheme="minorEastAsia"/>
                  </w:rPr>
                  <w:t>%)</w:t>
                </w:r>
              </w:p>
            </w:tc>
          </w:tr>
          <w:tr w:rsidR="00597370">
            <w:trPr>
              <w:trHeight w:val="397"/>
              <w:jc w:val="center"/>
            </w:trPr>
            <w:tc>
              <w:tcPr>
                <w:tcW w:w="2955" w:type="dxa"/>
                <w:vAlign w:val="center"/>
              </w:tcPr>
              <w:p w:rsidR="00597370" w:rsidRDefault="003C2EEE">
                <w:pPr>
                  <w:snapToGrid w:val="0"/>
                  <w:spacing w:line="240" w:lineRule="atLeas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预付账款前五单位1</w:t>
                </w:r>
              </w:p>
            </w:tc>
            <w:tc>
              <w:tcPr>
                <w:tcW w:w="2955" w:type="dxa"/>
                <w:vAlign w:val="center"/>
              </w:tcPr>
              <w:p w:rsidR="00597370" w:rsidRDefault="003C2EEE">
                <w:pPr>
                  <w:widowControl/>
                  <w:jc w:val="right"/>
                  <w:textAlignment w:val="center"/>
                  <w:rPr>
                    <w:rFonts w:asciiTheme="minorEastAsia" w:eastAsiaTheme="minorEastAsia" w:hAnsiTheme="minorEastAsia"/>
                  </w:rPr>
                </w:pPr>
                <w:r>
                  <w:rPr>
                    <w:rFonts w:hint="eastAsia"/>
                    <w:color w:val="000000"/>
                    <w:lang w:bidi="ar"/>
                  </w:rPr>
                  <w:t xml:space="preserve"> 106,452,798.72 </w:t>
                </w:r>
              </w:p>
            </w:tc>
            <w:tc>
              <w:tcPr>
                <w:tcW w:w="2955" w:type="dxa"/>
                <w:vAlign w:val="bottom"/>
              </w:tcPr>
              <w:p w:rsidR="00597370" w:rsidRDefault="003C2EEE">
                <w:pPr>
                  <w:widowControl/>
                  <w:jc w:val="right"/>
                  <w:textAlignment w:val="bottom"/>
                </w:pPr>
                <w:r>
                  <w:rPr>
                    <w:color w:val="000000"/>
                    <w:lang w:bidi="ar"/>
                  </w:rPr>
                  <w:t xml:space="preserve"> 77.28 </w:t>
                </w:r>
              </w:p>
            </w:tc>
          </w:tr>
          <w:tr w:rsidR="00597370">
            <w:trPr>
              <w:trHeight w:val="397"/>
              <w:jc w:val="center"/>
            </w:trPr>
            <w:tc>
              <w:tcPr>
                <w:tcW w:w="2955" w:type="dxa"/>
                <w:vAlign w:val="center"/>
              </w:tcPr>
              <w:p w:rsidR="00597370" w:rsidRDefault="003C2EEE">
                <w:pPr>
                  <w:snapToGrid w:val="0"/>
                  <w:spacing w:line="240" w:lineRule="atLeas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预付账款前五单位</w:t>
                </w:r>
                <w:r>
                  <w:rPr>
                    <w:rFonts w:asciiTheme="minorEastAsia" w:eastAsiaTheme="minorEastAsia" w:hAnsiTheme="minorEastAsia"/>
                    <w:color w:val="000000" w:themeColor="text1"/>
                  </w:rPr>
                  <w:t>2</w:t>
                </w:r>
              </w:p>
            </w:tc>
            <w:tc>
              <w:tcPr>
                <w:tcW w:w="2955" w:type="dxa"/>
                <w:vAlign w:val="center"/>
              </w:tcPr>
              <w:p w:rsidR="00597370" w:rsidRDefault="003C2EEE">
                <w:pPr>
                  <w:widowControl/>
                  <w:jc w:val="right"/>
                  <w:textAlignment w:val="center"/>
                  <w:rPr>
                    <w:rFonts w:asciiTheme="minorEastAsia" w:eastAsiaTheme="minorEastAsia" w:hAnsiTheme="minorEastAsia"/>
                  </w:rPr>
                </w:pPr>
                <w:r>
                  <w:rPr>
                    <w:rFonts w:hint="eastAsia"/>
                    <w:color w:val="000000"/>
                    <w:lang w:bidi="ar"/>
                  </w:rPr>
                  <w:t xml:space="preserve"> 15,762,192.23 </w:t>
                </w:r>
              </w:p>
            </w:tc>
            <w:tc>
              <w:tcPr>
                <w:tcW w:w="2955" w:type="dxa"/>
                <w:vAlign w:val="bottom"/>
              </w:tcPr>
              <w:p w:rsidR="00597370" w:rsidRDefault="003C2EEE">
                <w:pPr>
                  <w:widowControl/>
                  <w:jc w:val="right"/>
                  <w:textAlignment w:val="bottom"/>
                </w:pPr>
                <w:r>
                  <w:rPr>
                    <w:color w:val="000000"/>
                    <w:lang w:bidi="ar"/>
                  </w:rPr>
                  <w:t xml:space="preserve"> 11.44 </w:t>
                </w:r>
              </w:p>
            </w:tc>
          </w:tr>
          <w:tr w:rsidR="00597370">
            <w:trPr>
              <w:trHeight w:val="397"/>
              <w:jc w:val="center"/>
            </w:trPr>
            <w:tc>
              <w:tcPr>
                <w:tcW w:w="2955" w:type="dxa"/>
                <w:vAlign w:val="center"/>
              </w:tcPr>
              <w:p w:rsidR="00597370" w:rsidRDefault="003C2EEE">
                <w:pPr>
                  <w:snapToGrid w:val="0"/>
                  <w:spacing w:line="240" w:lineRule="atLeas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预付账款前五单位</w:t>
                </w:r>
                <w:r>
                  <w:rPr>
                    <w:rFonts w:asciiTheme="minorEastAsia" w:eastAsiaTheme="minorEastAsia" w:hAnsiTheme="minorEastAsia"/>
                    <w:color w:val="000000" w:themeColor="text1"/>
                  </w:rPr>
                  <w:t>3</w:t>
                </w:r>
              </w:p>
            </w:tc>
            <w:tc>
              <w:tcPr>
                <w:tcW w:w="2955" w:type="dxa"/>
                <w:vAlign w:val="center"/>
              </w:tcPr>
              <w:p w:rsidR="00597370" w:rsidRDefault="003C2EEE">
                <w:pPr>
                  <w:widowControl/>
                  <w:jc w:val="right"/>
                  <w:textAlignment w:val="center"/>
                  <w:rPr>
                    <w:rFonts w:asciiTheme="minorEastAsia" w:eastAsiaTheme="minorEastAsia" w:hAnsiTheme="minorEastAsia"/>
                  </w:rPr>
                </w:pPr>
                <w:r>
                  <w:rPr>
                    <w:rFonts w:hint="eastAsia"/>
                    <w:color w:val="000000"/>
                    <w:lang w:bidi="ar"/>
                  </w:rPr>
                  <w:t xml:space="preserve"> 2,032,674.57 </w:t>
                </w:r>
              </w:p>
            </w:tc>
            <w:tc>
              <w:tcPr>
                <w:tcW w:w="2955" w:type="dxa"/>
                <w:vAlign w:val="center"/>
              </w:tcPr>
              <w:p w:rsidR="00597370" w:rsidRDefault="003C2EEE">
                <w:pPr>
                  <w:widowControl/>
                  <w:jc w:val="right"/>
                  <w:textAlignment w:val="center"/>
                </w:pPr>
                <w:r>
                  <w:rPr>
                    <w:rFonts w:hint="eastAsia"/>
                    <w:color w:val="000000"/>
                    <w:lang w:bidi="ar"/>
                  </w:rPr>
                  <w:t xml:space="preserve"> 1.48 </w:t>
                </w:r>
              </w:p>
            </w:tc>
          </w:tr>
          <w:tr w:rsidR="00597370">
            <w:trPr>
              <w:trHeight w:val="397"/>
              <w:jc w:val="center"/>
            </w:trPr>
            <w:tc>
              <w:tcPr>
                <w:tcW w:w="2955" w:type="dxa"/>
                <w:vAlign w:val="center"/>
              </w:tcPr>
              <w:p w:rsidR="00597370" w:rsidRDefault="003C2EEE">
                <w:pPr>
                  <w:snapToGrid w:val="0"/>
                  <w:spacing w:line="240" w:lineRule="atLeas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预付账款前五单位</w:t>
                </w:r>
                <w:r>
                  <w:rPr>
                    <w:rFonts w:asciiTheme="minorEastAsia" w:eastAsiaTheme="minorEastAsia" w:hAnsiTheme="minorEastAsia"/>
                    <w:color w:val="000000" w:themeColor="text1"/>
                  </w:rPr>
                  <w:t>4</w:t>
                </w:r>
              </w:p>
            </w:tc>
            <w:tc>
              <w:tcPr>
                <w:tcW w:w="2955" w:type="dxa"/>
                <w:vAlign w:val="center"/>
              </w:tcPr>
              <w:p w:rsidR="00597370" w:rsidRDefault="003C2EEE">
                <w:pPr>
                  <w:widowControl/>
                  <w:jc w:val="right"/>
                  <w:textAlignment w:val="center"/>
                  <w:rPr>
                    <w:rFonts w:asciiTheme="minorEastAsia" w:eastAsiaTheme="minorEastAsia" w:hAnsiTheme="minorEastAsia"/>
                  </w:rPr>
                </w:pPr>
                <w:r>
                  <w:rPr>
                    <w:rFonts w:hint="eastAsia"/>
                    <w:color w:val="000000"/>
                    <w:lang w:bidi="ar"/>
                  </w:rPr>
                  <w:t xml:space="preserve"> 1,362,976.56 </w:t>
                </w:r>
              </w:p>
            </w:tc>
            <w:tc>
              <w:tcPr>
                <w:tcW w:w="2955" w:type="dxa"/>
                <w:vAlign w:val="center"/>
              </w:tcPr>
              <w:p w:rsidR="00597370" w:rsidRDefault="003C2EEE">
                <w:pPr>
                  <w:widowControl/>
                  <w:jc w:val="right"/>
                  <w:textAlignment w:val="center"/>
                </w:pPr>
                <w:r>
                  <w:rPr>
                    <w:color w:val="000000"/>
                    <w:lang w:bidi="ar"/>
                  </w:rPr>
                  <w:t xml:space="preserve">0.99 </w:t>
                </w:r>
              </w:p>
            </w:tc>
          </w:tr>
          <w:tr w:rsidR="00597370">
            <w:trPr>
              <w:trHeight w:val="397"/>
              <w:jc w:val="center"/>
            </w:trPr>
            <w:tc>
              <w:tcPr>
                <w:tcW w:w="2955" w:type="dxa"/>
                <w:vAlign w:val="center"/>
              </w:tcPr>
              <w:p w:rsidR="00597370" w:rsidRDefault="003C2EEE">
                <w:pPr>
                  <w:snapToGrid w:val="0"/>
                  <w:spacing w:line="240" w:lineRule="atLeas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预付账款前五单位</w:t>
                </w:r>
                <w:r>
                  <w:rPr>
                    <w:rFonts w:asciiTheme="minorEastAsia" w:eastAsiaTheme="minorEastAsia" w:hAnsiTheme="minorEastAsia"/>
                    <w:color w:val="000000" w:themeColor="text1"/>
                  </w:rPr>
                  <w:t>5</w:t>
                </w:r>
              </w:p>
            </w:tc>
            <w:tc>
              <w:tcPr>
                <w:tcW w:w="2955" w:type="dxa"/>
                <w:vAlign w:val="center"/>
              </w:tcPr>
              <w:p w:rsidR="00597370" w:rsidRDefault="003C2EEE">
                <w:pPr>
                  <w:widowControl/>
                  <w:jc w:val="right"/>
                  <w:textAlignment w:val="center"/>
                  <w:rPr>
                    <w:rFonts w:asciiTheme="minorEastAsia" w:eastAsiaTheme="minorEastAsia" w:hAnsiTheme="minorEastAsia"/>
                  </w:rPr>
                </w:pPr>
                <w:r>
                  <w:rPr>
                    <w:rFonts w:hint="eastAsia"/>
                    <w:color w:val="000000"/>
                    <w:lang w:bidi="ar"/>
                  </w:rPr>
                  <w:t xml:space="preserve"> 724,267.48 </w:t>
                </w:r>
              </w:p>
            </w:tc>
            <w:tc>
              <w:tcPr>
                <w:tcW w:w="2955" w:type="dxa"/>
                <w:vAlign w:val="center"/>
              </w:tcPr>
              <w:p w:rsidR="00597370" w:rsidRDefault="003C2EEE">
                <w:pPr>
                  <w:widowControl/>
                  <w:jc w:val="right"/>
                  <w:textAlignment w:val="center"/>
                </w:pPr>
                <w:r>
                  <w:rPr>
                    <w:rFonts w:hint="eastAsia"/>
                    <w:color w:val="000000"/>
                    <w:lang w:bidi="ar"/>
                  </w:rPr>
                  <w:t xml:space="preserve"> 0.53 </w:t>
                </w:r>
              </w:p>
            </w:tc>
          </w:tr>
          <w:tr w:rsidR="00597370">
            <w:trPr>
              <w:trHeight w:val="397"/>
              <w:jc w:val="center"/>
            </w:trPr>
            <w:tc>
              <w:tcPr>
                <w:tcW w:w="2955" w:type="dxa"/>
                <w:vAlign w:val="center"/>
              </w:tcPr>
              <w:p w:rsidR="00597370" w:rsidRDefault="003C2EEE">
                <w:pPr>
                  <w:snapToGrid w:val="0"/>
                  <w:spacing w:line="240" w:lineRule="atLeas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tc>
              <w:tcPr>
                <w:tcW w:w="2955" w:type="dxa"/>
                <w:vAlign w:val="center"/>
              </w:tcPr>
              <w:p w:rsidR="00597370" w:rsidRDefault="003C2EEE">
                <w:pPr>
                  <w:widowControl/>
                  <w:jc w:val="right"/>
                  <w:textAlignment w:val="center"/>
                  <w:rPr>
                    <w:rFonts w:asciiTheme="minorEastAsia" w:eastAsiaTheme="minorEastAsia" w:hAnsiTheme="minorEastAsia"/>
                  </w:rPr>
                </w:pPr>
                <w:r>
                  <w:rPr>
                    <w:rFonts w:hint="eastAsia"/>
                    <w:color w:val="000000"/>
                    <w:lang w:bidi="ar"/>
                  </w:rPr>
                  <w:t xml:space="preserve"> 126,334,909.56 </w:t>
                </w:r>
              </w:p>
            </w:tc>
            <w:tc>
              <w:tcPr>
                <w:tcW w:w="2955" w:type="dxa"/>
                <w:shd w:val="clear" w:color="auto" w:fill="auto"/>
                <w:vAlign w:val="bottom"/>
              </w:tcPr>
              <w:p w:rsidR="00597370" w:rsidRDefault="003C2EEE">
                <w:pPr>
                  <w:widowControl/>
                  <w:jc w:val="right"/>
                  <w:textAlignment w:val="bottom"/>
                  <w:rPr>
                    <w:color w:val="000000"/>
                  </w:rPr>
                </w:pPr>
                <w:r>
                  <w:rPr>
                    <w:color w:val="000000"/>
                    <w:lang w:bidi="ar"/>
                  </w:rPr>
                  <w:t xml:space="preserve"> 91.71 </w:t>
                </w:r>
              </w:p>
            </w:tc>
          </w:tr>
        </w:tbl>
        <w:p w:rsidR="00597370" w:rsidRDefault="006840ED">
          <w:pPr>
            <w:rPr>
              <w:rFonts w:asciiTheme="minorEastAsia" w:eastAsiaTheme="minorEastAsia" w:hAnsiTheme="minorEastAsia"/>
            </w:rPr>
          </w:pP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预付帐款的说明[双击切换]"/>
        <w:tag w:val="_GBC_c712ee6483d44c77b1f563e552689c6d"/>
        <w:id w:val="-26623436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预付帐款的说明"/>
        <w:tag w:val="_GBC_9cd4dbf3da3b458c92ffc167d6c097d5"/>
        <w:id w:val="1510635881"/>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rPr>
          <w:rFonts w:ascii="宋体" w:hAnsi="宋体"/>
          <w:color w:val="000000" w:themeColor="text1"/>
        </w:rPr>
      </w:pPr>
      <w:r>
        <w:rPr>
          <w:rFonts w:ascii="宋体" w:hAnsi="宋体" w:hint="eastAsia"/>
          <w:color w:val="000000" w:themeColor="text1"/>
        </w:rPr>
        <w:t>其他应收款</w:t>
      </w:r>
    </w:p>
    <w:p w:rsidR="00597370" w:rsidRDefault="003C2EEE">
      <w:pPr>
        <w:pStyle w:val="Style110"/>
        <w:rPr>
          <w:rFonts w:ascii="宋体" w:hAnsi="宋体"/>
          <w:color w:val="000000" w:themeColor="text1"/>
        </w:rPr>
      </w:pPr>
      <w:bookmarkStart w:id="201" w:name="_Hlk10467611"/>
      <w:r>
        <w:rPr>
          <w:rFonts w:ascii="宋体" w:hAnsi="宋体" w:hint="eastAsia"/>
          <w:color w:val="000000" w:themeColor="text1"/>
        </w:rPr>
        <w:t>项目列示</w:t>
      </w:r>
    </w:p>
    <w:sdt>
      <w:sdtPr>
        <w:rPr>
          <w:color w:val="000000" w:themeColor="text1"/>
        </w:rPr>
        <w:alias w:val="是否适用：其他应收款分类列示[双击切换]"/>
        <w:tag w:val="_GBC_23e3e9ad53624abaaa00fc7f7c24842a"/>
        <w:id w:val="32440685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其他应收款分类列示"/>
          <w:tag w:val="_GBC_b73f89c776a341249ed520fe726b4db9"/>
          <w:id w:val="2379932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其他应收款分类列示"/>
          <w:tag w:val="_GBC_a23554f2403346ea97b8fb1ef551ebe4"/>
          <w:id w:val="1812517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3115"/>
        <w:gridCol w:w="2862"/>
        <w:gridCol w:w="2846"/>
      </w:tblGrid>
      <w:tr w:rsidR="00597370">
        <w:trPr>
          <w:cantSplit/>
          <w:trHeight w:val="397"/>
          <w:jc w:val="center"/>
        </w:trPr>
        <w:sdt>
          <w:sdtPr>
            <w:rPr>
              <w:color w:val="000000" w:themeColor="text1"/>
            </w:rPr>
            <w:tag w:val="_PLD_3b049b9a7f344665a70a23c402afbda5"/>
            <w:id w:val="-876387804"/>
          </w:sdtPr>
          <w:sdtEndPr/>
          <w:sdtContent>
            <w:tc>
              <w:tcPr>
                <w:tcW w:w="1765" w:type="pct"/>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550a4ba0fb444ea69297bd36780a7618"/>
            <w:id w:val="1367865842"/>
          </w:sdtPr>
          <w:sdtEndPr/>
          <w:sdtContent>
            <w:tc>
              <w:tcPr>
                <w:tcW w:w="1622" w:type="pct"/>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d58c3f70487c440b99a9f440a2d57d1e"/>
            <w:id w:val="955068071"/>
          </w:sdtPr>
          <w:sdtEndPr/>
          <w:sdtContent>
            <w:tc>
              <w:tcPr>
                <w:tcW w:w="1613" w:type="pct"/>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cantSplit/>
          <w:trHeight w:val="397"/>
          <w:jc w:val="center"/>
        </w:trPr>
        <w:tc>
          <w:tcPr>
            <w:tcW w:w="1765" w:type="pct"/>
            <w:vAlign w:val="center"/>
          </w:tcPr>
          <w:p w:rsidR="00597370" w:rsidRDefault="003C2EEE">
            <w:pPr>
              <w:ind w:right="5"/>
              <w:jc w:val="center"/>
              <w:rPr>
                <w:color w:val="000000" w:themeColor="text1"/>
              </w:rPr>
            </w:pPr>
            <w:r>
              <w:rPr>
                <w:rFonts w:hint="eastAsia"/>
                <w:color w:val="000000" w:themeColor="text1"/>
              </w:rPr>
              <w:t>其他应收款</w:t>
            </w:r>
          </w:p>
        </w:tc>
        <w:tc>
          <w:tcPr>
            <w:tcW w:w="1622" w:type="pct"/>
            <w:vAlign w:val="center"/>
          </w:tcPr>
          <w:p w:rsidR="00597370" w:rsidRDefault="003C2EEE">
            <w:pPr>
              <w:ind w:right="5"/>
              <w:jc w:val="right"/>
              <w:rPr>
                <w:highlight w:val="yellow"/>
              </w:rPr>
            </w:pPr>
            <w:r>
              <w:t>157,284,122.89</w:t>
            </w:r>
          </w:p>
        </w:tc>
        <w:tc>
          <w:tcPr>
            <w:tcW w:w="1613" w:type="pct"/>
            <w:vAlign w:val="center"/>
          </w:tcPr>
          <w:p w:rsidR="00597370" w:rsidRDefault="003C2EEE">
            <w:pPr>
              <w:ind w:right="5"/>
              <w:jc w:val="right"/>
            </w:pPr>
            <w:r>
              <w:t>12,412,973.60</w:t>
            </w:r>
          </w:p>
        </w:tc>
      </w:tr>
      <w:tr w:rsidR="00597370">
        <w:trPr>
          <w:cantSplit/>
          <w:trHeight w:val="397"/>
          <w:jc w:val="center"/>
        </w:trPr>
        <w:tc>
          <w:tcPr>
            <w:tcW w:w="1765" w:type="pct"/>
            <w:vAlign w:val="center"/>
          </w:tcPr>
          <w:p w:rsidR="00597370" w:rsidRDefault="003C2EEE">
            <w:pPr>
              <w:autoSpaceDE w:val="0"/>
              <w:autoSpaceDN w:val="0"/>
              <w:adjustRightInd w:val="0"/>
              <w:jc w:val="center"/>
              <w:rPr>
                <w:color w:val="000000" w:themeColor="text1"/>
              </w:rPr>
            </w:pPr>
            <w:r>
              <w:rPr>
                <w:rFonts w:hint="eastAsia"/>
                <w:color w:val="000000" w:themeColor="text1"/>
              </w:rPr>
              <w:t>合计</w:t>
            </w:r>
          </w:p>
        </w:tc>
        <w:tc>
          <w:tcPr>
            <w:tcW w:w="1622" w:type="pct"/>
            <w:vAlign w:val="center"/>
          </w:tcPr>
          <w:p w:rsidR="00597370" w:rsidRDefault="003C2EEE">
            <w:pPr>
              <w:jc w:val="right"/>
              <w:rPr>
                <w:highlight w:val="yellow"/>
              </w:rPr>
            </w:pPr>
            <w:r>
              <w:t>157,284,122.89</w:t>
            </w:r>
          </w:p>
        </w:tc>
        <w:tc>
          <w:tcPr>
            <w:tcW w:w="1613" w:type="pct"/>
            <w:vAlign w:val="center"/>
          </w:tcPr>
          <w:p w:rsidR="00597370" w:rsidRDefault="003C2EEE">
            <w:pPr>
              <w:jc w:val="right"/>
            </w:pPr>
            <w:r>
              <w:t>12,412,973.60</w:t>
            </w:r>
          </w:p>
        </w:tc>
      </w:tr>
    </w:tbl>
    <w:p w:rsidR="00597370" w:rsidRDefault="003C2EEE">
      <w:pPr>
        <w:rPr>
          <w:color w:val="000000" w:themeColor="text1"/>
        </w:rPr>
      </w:pPr>
      <w:bookmarkStart w:id="202" w:name="_Hlk532906097"/>
      <w:r>
        <w:rPr>
          <w:rFonts w:hint="eastAsia"/>
          <w:color w:val="000000" w:themeColor="text1"/>
        </w:rPr>
        <w:t>其他说明：</w:t>
      </w:r>
      <w:bookmarkEnd w:id="202"/>
    </w:p>
    <w:sdt>
      <w:sdtPr>
        <w:rPr>
          <w:color w:val="000000" w:themeColor="text1"/>
        </w:rPr>
        <w:alias w:val="是否适用：其他应收款分类列示其他说明[双击切换]"/>
        <w:tag w:val="_GBC_73a4089b33094d13b0ea7c9bf8cfb58f"/>
        <w:id w:val="283023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01"/>
    <w:p w:rsidR="00597370" w:rsidRDefault="003C2EEE">
      <w:pPr>
        <w:pStyle w:val="Style110"/>
        <w:tabs>
          <w:tab w:val="left" w:pos="546"/>
        </w:tabs>
        <w:rPr>
          <w:rFonts w:ascii="宋体" w:hAnsi="宋体"/>
          <w:color w:val="000000" w:themeColor="text1"/>
        </w:rPr>
      </w:pPr>
      <w:r>
        <w:rPr>
          <w:rFonts w:ascii="宋体" w:hAnsi="宋体" w:cs="宋体" w:hint="eastAsia"/>
          <w:color w:val="000000" w:themeColor="text1"/>
          <w:kern w:val="0"/>
          <w:szCs w:val="22"/>
        </w:rPr>
        <w:lastRenderedPageBreak/>
        <w:t>应收利息</w:t>
      </w:r>
    </w:p>
    <w:p w:rsidR="00597370" w:rsidRDefault="003C2EEE">
      <w:pPr>
        <w:pStyle w:val="Style110"/>
        <w:numPr>
          <w:ilvl w:val="3"/>
          <w:numId w:val="52"/>
        </w:numPr>
        <w:tabs>
          <w:tab w:val="left" w:pos="546"/>
        </w:tabs>
        <w:rPr>
          <w:rFonts w:ascii="宋体" w:hAnsi="宋体"/>
          <w:color w:val="000000" w:themeColor="text1"/>
        </w:rPr>
      </w:pPr>
      <w:r>
        <w:rPr>
          <w:rFonts w:ascii="宋体" w:hAnsi="宋体" w:hint="eastAsia"/>
          <w:color w:val="000000" w:themeColor="text1"/>
        </w:rPr>
        <w:t>应收利息分类</w:t>
      </w:r>
    </w:p>
    <w:sdt>
      <w:sdtPr>
        <w:rPr>
          <w:color w:val="000000" w:themeColor="text1"/>
        </w:rPr>
        <w:alias w:val="是否适用：应收利息分类[双击切换]"/>
        <w:tag w:val="_GBC_86f9e9a81d7d4e07ae6873a88ddf6cc7"/>
        <w:id w:val="27768899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2"/>
        </w:numPr>
        <w:tabs>
          <w:tab w:val="left" w:pos="546"/>
        </w:tabs>
        <w:rPr>
          <w:rFonts w:ascii="宋体" w:hAnsi="宋体"/>
          <w:color w:val="000000" w:themeColor="text1"/>
        </w:rPr>
      </w:pPr>
      <w:r>
        <w:rPr>
          <w:rFonts w:ascii="宋体" w:hAnsi="宋体" w:hint="eastAsia"/>
          <w:color w:val="000000" w:themeColor="text1"/>
        </w:rPr>
        <w:t>重要逾期利息</w:t>
      </w:r>
    </w:p>
    <w:sdt>
      <w:sdtPr>
        <w:rPr>
          <w:color w:val="000000" w:themeColor="text1"/>
        </w:rPr>
        <w:alias w:val="是否适用：重要逾期利息[双击切换]"/>
        <w:tag w:val="_GBC_4554f307ef2241a583829b74df8ef0c3"/>
        <w:id w:val="139931864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2"/>
        </w:numPr>
        <w:tabs>
          <w:tab w:val="left" w:pos="546"/>
        </w:tabs>
        <w:rPr>
          <w:rFonts w:ascii="宋体" w:hAnsi="宋体" w:cs="宋体"/>
          <w:color w:val="000000" w:themeColor="text1"/>
          <w:kern w:val="0"/>
          <w:szCs w:val="24"/>
        </w:rPr>
      </w:pPr>
      <w:bookmarkStart w:id="203" w:name="_Hlk167889561"/>
      <w:bookmarkStart w:id="204" w:name="_Hlk153374831"/>
      <w:r>
        <w:rPr>
          <w:rFonts w:ascii="宋体" w:hAnsi="宋体" w:cs="宋体" w:hint="eastAsia"/>
          <w:color w:val="000000" w:themeColor="text1"/>
          <w:kern w:val="0"/>
          <w:szCs w:val="24"/>
        </w:rPr>
        <w:t>按</w:t>
      </w:r>
      <w:r>
        <w:rPr>
          <w:rFonts w:ascii="宋体" w:hAnsi="宋体" w:cs="宋体"/>
          <w:color w:val="000000" w:themeColor="text1"/>
          <w:kern w:val="0"/>
          <w:szCs w:val="24"/>
        </w:rPr>
        <w:t>坏账计提方法分类披露</w:t>
      </w:r>
    </w:p>
    <w:sdt>
      <w:sdtPr>
        <w:rPr>
          <w:color w:val="000000" w:themeColor="text1"/>
        </w:rPr>
        <w:alias w:val="是否适用：按坏账计提方法分类披露[双击切换]"/>
        <w:tag w:val="_GBC_e7c7032e67f14d5baddb2d7b0cdebf38"/>
        <w:id w:val="13183879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07ebcd379e854ad8bd9de0d3ef457583"/>
        <w:id w:val="-51114327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5e47d50d50fc4b3095057ac3908e407b"/>
        <w:id w:val="-18860194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ascii="Calibri" w:hAnsi="Calibri" w:cs="Times New Roman"/>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color w:val="000000" w:themeColor="text1"/>
          <w:szCs w:val="22"/>
        </w:rPr>
        <w:alias w:val="是否适用：按组合计提坏账准备的详细情况[双击切换]"/>
        <w:tag w:val="_GBC_0dc49505e0b44d56bf15079c4ea20a9a"/>
        <w:id w:val="-1423407004"/>
        <w:placeholder>
          <w:docPart w:val="GBC22222222222222222222222222222"/>
        </w:placeholder>
      </w:sdtPr>
      <w:sdtEndPr/>
      <w:sdtContent>
        <w:p w:rsidR="00597370" w:rsidRDefault="003C2EEE">
          <w:pPr>
            <w:rPr>
              <w:color w:val="000000" w:themeColor="text1"/>
            </w:rPr>
          </w:pPr>
          <w:r>
            <w:rPr>
              <w:rFonts w:cs="Times New Roman"/>
              <w:color w:val="000000" w:themeColor="text1"/>
              <w:szCs w:val="22"/>
            </w:rPr>
            <w:fldChar w:fldCharType="begin"/>
          </w:r>
          <w:r>
            <w:rPr>
              <w:rFonts w:cs="Times New Roman"/>
              <w:color w:val="000000" w:themeColor="text1"/>
              <w:szCs w:val="22"/>
            </w:rPr>
            <w:instrText xml:space="preserve"> MACROBUTTON  SnrToggleCheckbox □适用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√不适用 </w:instrText>
          </w:r>
          <w:r>
            <w:rPr>
              <w:rFonts w:cs="Times New Roman"/>
              <w:color w:val="000000" w:themeColor="text1"/>
              <w:szCs w:val="22"/>
            </w:rPr>
            <w:fldChar w:fldCharType="end"/>
          </w:r>
        </w:p>
      </w:sdtContent>
    </w:sdt>
    <w:p w:rsidR="00597370" w:rsidRDefault="003C2EEE">
      <w:pPr>
        <w:pStyle w:val="Style110"/>
        <w:numPr>
          <w:ilvl w:val="3"/>
          <w:numId w:val="52"/>
        </w:numPr>
        <w:tabs>
          <w:tab w:val="left" w:pos="546"/>
        </w:tabs>
        <w:rPr>
          <w:rFonts w:ascii="宋体" w:hAnsi="宋体"/>
          <w:color w:val="000000" w:themeColor="text1"/>
          <w:szCs w:val="21"/>
        </w:rPr>
      </w:pPr>
      <w:bookmarkStart w:id="205" w:name="_Hlk10468247"/>
      <w:bookmarkEnd w:id="203"/>
      <w:bookmarkEnd w:id="204"/>
      <w:r>
        <w:rPr>
          <w:rFonts w:ascii="宋体" w:hAnsi="宋体" w:hint="eastAsia"/>
          <w:color w:val="000000" w:themeColor="text1"/>
          <w:szCs w:val="21"/>
        </w:rPr>
        <w:t>按预期信用损失一般模型计提坏账准备</w:t>
      </w:r>
    </w:p>
    <w:sdt>
      <w:sdtPr>
        <w:rPr>
          <w:color w:val="000000" w:themeColor="text1"/>
        </w:rPr>
        <w:alias w:val="是否适用：应收利息坏账准备调节表[双击切换]"/>
        <w:tag w:val="_GBC_2081adab30854417bcfae25caae8c9f9"/>
        <w:id w:val="-125366427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2"/>
        </w:numPr>
        <w:tabs>
          <w:tab w:val="left" w:pos="546"/>
        </w:tabs>
        <w:rPr>
          <w:rFonts w:ascii="宋体" w:hAnsi="宋体" w:cs="宋体"/>
          <w:color w:val="000000" w:themeColor="text1"/>
          <w:kern w:val="0"/>
          <w:szCs w:val="21"/>
        </w:rPr>
      </w:pPr>
      <w:bookmarkStart w:id="206" w:name="_Hlk167889778"/>
      <w:bookmarkStart w:id="207" w:name="_Hlk153375041"/>
      <w:bookmarkEnd w:id="205"/>
      <w:r>
        <w:rPr>
          <w:rFonts w:ascii="宋体" w:hAnsi="宋体" w:cs="宋体" w:hint="eastAsia"/>
          <w:color w:val="000000" w:themeColor="text1"/>
          <w:kern w:val="0"/>
          <w:szCs w:val="21"/>
        </w:rPr>
        <w:t>坏账准备的情况</w:t>
      </w:r>
    </w:p>
    <w:sdt>
      <w:sdtPr>
        <w:rPr>
          <w:color w:val="000000" w:themeColor="text1"/>
        </w:rPr>
        <w:alias w:val="是否适用：坏账准备情况[双击切换]"/>
        <w:tag w:val="_GBC_4a551e6f1c064b2d9170d6f608a5d12b"/>
        <w:id w:val="-38989125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5092fe8f9b7d425eb163b84fd07f53f0"/>
        <w:id w:val="-90614643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坏账准备情况的说明"/>
        <w:tag w:val="_GBC_456f6a2707124917aced7af3ec2980f6"/>
        <w:id w:val="-169419602"/>
        <w:placeholder>
          <w:docPart w:val="GBC22222222222222222222222222222"/>
        </w:placeholder>
      </w:sdtPr>
      <w:sdtEndPr/>
      <w:sdtContent>
        <w:p w:rsidR="00597370" w:rsidRDefault="003C2EEE">
          <w:pPr>
            <w:ind w:rightChars="20" w:right="42"/>
            <w:rPr>
              <w:color w:val="000000" w:themeColor="text1"/>
            </w:rPr>
          </w:pPr>
          <w:r>
            <w:rPr>
              <w:rFonts w:hint="eastAsia"/>
              <w:color w:val="000000" w:themeColor="text1"/>
            </w:rPr>
            <w:t>无</w:t>
          </w:r>
        </w:p>
      </w:sdtContent>
    </w:sdt>
    <w:p w:rsidR="00597370" w:rsidRDefault="003C2EEE">
      <w:pPr>
        <w:pStyle w:val="Style110"/>
        <w:numPr>
          <w:ilvl w:val="3"/>
          <w:numId w:val="52"/>
        </w:numPr>
        <w:tabs>
          <w:tab w:val="left" w:pos="546"/>
        </w:tabs>
        <w:rPr>
          <w:rFonts w:ascii="宋体" w:hAnsi="宋体" w:cs="宋体"/>
          <w:color w:val="000000" w:themeColor="text1"/>
          <w:kern w:val="0"/>
          <w:szCs w:val="21"/>
        </w:rPr>
      </w:pPr>
      <w:r>
        <w:rPr>
          <w:rFonts w:ascii="宋体" w:hAnsi="宋体" w:cs="宋体"/>
          <w:color w:val="000000" w:themeColor="text1"/>
          <w:kern w:val="0"/>
          <w:szCs w:val="21"/>
        </w:rPr>
        <w:t>本期实际核销的应收</w:t>
      </w:r>
      <w:r>
        <w:rPr>
          <w:rFonts w:ascii="宋体" w:hAnsi="宋体" w:cs="宋体" w:hint="eastAsia"/>
          <w:color w:val="000000" w:themeColor="text1"/>
          <w:kern w:val="0"/>
          <w:szCs w:val="21"/>
        </w:rPr>
        <w:t>利息</w:t>
      </w:r>
      <w:r>
        <w:rPr>
          <w:rFonts w:ascii="宋体" w:hAnsi="宋体" w:cs="宋体"/>
          <w:color w:val="000000" w:themeColor="text1"/>
          <w:kern w:val="0"/>
          <w:szCs w:val="21"/>
        </w:rPr>
        <w:t>情况</w:t>
      </w:r>
    </w:p>
    <w:sdt>
      <w:sdtPr>
        <w:rPr>
          <w:color w:val="000000" w:themeColor="text1"/>
        </w:rPr>
        <w:alias w:val="是否适用：实际核销的情况[双击切换]"/>
        <w:tag w:val="_GBC_4b850c38d1264ec6b7921671d08b78eb"/>
        <w:id w:val="178168461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其中重要的应收利息核销情况</w:t>
      </w:r>
    </w:p>
    <w:sdt>
      <w:sdtPr>
        <w:rPr>
          <w:rFonts w:hint="eastAsia"/>
          <w:color w:val="000000" w:themeColor="text1"/>
        </w:rPr>
        <w:alias w:val="是否适用：重要的核销情况[双击切换]"/>
        <w:tag w:val="_GBC_01d7a4e15dbb43749e9afdba26e20527"/>
        <w:id w:val="16776117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fa943be869f247e4945a7336e3ce2e1f"/>
        <w:id w:val="972481155"/>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06"/>
    <w:bookmarkEnd w:id="207"/>
    <w:p w:rsidR="00597370" w:rsidRDefault="003C2EEE">
      <w:pPr>
        <w:rPr>
          <w:color w:val="000000" w:themeColor="text1"/>
        </w:rPr>
      </w:pPr>
      <w:r>
        <w:rPr>
          <w:rFonts w:hint="eastAsia"/>
          <w:color w:val="000000" w:themeColor="text1"/>
        </w:rPr>
        <w:t>其他说明：</w:t>
      </w:r>
    </w:p>
    <w:sdt>
      <w:sdtPr>
        <w:rPr>
          <w:color w:val="000000" w:themeColor="text1"/>
        </w:rPr>
        <w:alias w:val="是否适用：应收利息的说明[双击切换]"/>
        <w:tag w:val="_GBC_9fcbab94f58048baace4761ca17ae925"/>
        <w:id w:val="42207304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rPr>
          <w:rFonts w:ascii="宋体" w:hAnsi="宋体"/>
          <w:color w:val="000000" w:themeColor="text1"/>
        </w:rPr>
      </w:pPr>
      <w:r>
        <w:rPr>
          <w:rFonts w:ascii="宋体" w:hAnsi="宋体" w:hint="eastAsia"/>
          <w:color w:val="000000" w:themeColor="text1"/>
        </w:rPr>
        <w:t>应收股利</w:t>
      </w:r>
    </w:p>
    <w:p w:rsidR="00597370" w:rsidRDefault="003C2EEE">
      <w:pPr>
        <w:pStyle w:val="Style110"/>
        <w:numPr>
          <w:ilvl w:val="3"/>
          <w:numId w:val="53"/>
        </w:numPr>
        <w:tabs>
          <w:tab w:val="left" w:pos="560"/>
        </w:tabs>
        <w:rPr>
          <w:rFonts w:ascii="宋体" w:hAnsi="宋体"/>
          <w:color w:val="000000" w:themeColor="text1"/>
        </w:rPr>
      </w:pPr>
      <w:r>
        <w:rPr>
          <w:rFonts w:ascii="宋体" w:hAnsi="宋体" w:hint="eastAsia"/>
          <w:color w:val="000000" w:themeColor="text1"/>
        </w:rPr>
        <w:t>应收股利</w:t>
      </w:r>
    </w:p>
    <w:sdt>
      <w:sdtPr>
        <w:rPr>
          <w:color w:val="000000" w:themeColor="text1"/>
        </w:rPr>
        <w:alias w:val="是否适用：应收股利[双击切换]"/>
        <w:tag w:val="_GBC_002b8ba295db406eb34a179aa27a4801"/>
        <w:id w:val="159050666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3"/>
        </w:numPr>
        <w:tabs>
          <w:tab w:val="left" w:pos="560"/>
        </w:tabs>
        <w:rPr>
          <w:rFonts w:ascii="宋体" w:hAnsi="宋体"/>
          <w:color w:val="000000" w:themeColor="text1"/>
        </w:rPr>
      </w:pPr>
      <w:r>
        <w:rPr>
          <w:rFonts w:ascii="宋体" w:hAnsi="宋体" w:hint="eastAsia"/>
          <w:color w:val="000000" w:themeColor="text1"/>
        </w:rPr>
        <w:t>重要的账龄超过1年的应收股利</w:t>
      </w:r>
    </w:p>
    <w:p w:rsidR="00597370" w:rsidRDefault="006840ED">
      <w:pPr>
        <w:rPr>
          <w:color w:val="000000" w:themeColor="text1"/>
        </w:rPr>
      </w:pPr>
      <w:sdt>
        <w:sdtPr>
          <w:rPr>
            <w:rFonts w:hint="eastAsia"/>
            <w:color w:val="000000" w:themeColor="text1"/>
          </w:rPr>
          <w:alias w:val="是否适用：重要的账龄超过1年的应收股利[双击切换]"/>
          <w:tag w:val="_GBC_9aa7ef4a3c0c40638901a5b7f6224231"/>
          <w:id w:val="-719360889"/>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pStyle w:val="Style110"/>
        <w:numPr>
          <w:ilvl w:val="3"/>
          <w:numId w:val="53"/>
        </w:numPr>
        <w:tabs>
          <w:tab w:val="left" w:pos="560"/>
        </w:tabs>
        <w:rPr>
          <w:rFonts w:ascii="宋体" w:hAnsi="宋体" w:cstheme="minorBidi"/>
          <w:color w:val="000000" w:themeColor="text1"/>
          <w:kern w:val="0"/>
          <w:szCs w:val="22"/>
        </w:rPr>
      </w:pPr>
      <w:bookmarkStart w:id="208" w:name="_Hlk167889908"/>
      <w:bookmarkStart w:id="209" w:name="_Hlk153377225"/>
      <w:r>
        <w:rPr>
          <w:rFonts w:ascii="宋体" w:hAnsi="宋体" w:cstheme="minorBidi" w:hint="eastAsia"/>
          <w:color w:val="000000" w:themeColor="text1"/>
          <w:kern w:val="0"/>
          <w:szCs w:val="22"/>
        </w:rPr>
        <w:t>按</w:t>
      </w:r>
      <w:r>
        <w:rPr>
          <w:rFonts w:ascii="宋体" w:hAnsi="宋体" w:cstheme="minorBidi"/>
          <w:color w:val="000000" w:themeColor="text1"/>
          <w:kern w:val="0"/>
          <w:szCs w:val="22"/>
        </w:rPr>
        <w:t>坏账计提方法分类披露</w:t>
      </w:r>
    </w:p>
    <w:sdt>
      <w:sdtPr>
        <w:rPr>
          <w:color w:val="000000" w:themeColor="text1"/>
        </w:rPr>
        <w:alias w:val="是否适用：按坏账计提方法分类披露[双击切换]"/>
        <w:tag w:val="_GBC_8b70ad2470ad4f7fa9d5783df04c53e3"/>
        <w:id w:val="-11107411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483991b4a15b41e5972cf3114089a5f0"/>
        <w:id w:val="70506630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d7afb2e278434689a41c386c91ae5fd8"/>
        <w:id w:val="-121364397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ascii="Calibri" w:hAnsi="Calibri" w:cs="Times New Roman"/>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color w:val="000000" w:themeColor="text1"/>
          <w:szCs w:val="22"/>
        </w:rPr>
        <w:alias w:val="是否适用：按组合计提坏账准备的详细情况[双击切换]"/>
        <w:tag w:val="_GBC_37434366d06a4e49b22522b1d88358dd"/>
        <w:id w:val="750775882"/>
        <w:placeholder>
          <w:docPart w:val="GBC22222222222222222222222222222"/>
        </w:placeholder>
      </w:sdtPr>
      <w:sdtEndPr/>
      <w:sdtContent>
        <w:p w:rsidR="00597370" w:rsidRDefault="003C2EEE">
          <w:pPr>
            <w:rPr>
              <w:color w:val="000000" w:themeColor="text1"/>
            </w:rPr>
          </w:pPr>
          <w:r>
            <w:rPr>
              <w:rFonts w:cs="Times New Roman"/>
              <w:color w:val="000000" w:themeColor="text1"/>
              <w:szCs w:val="22"/>
            </w:rPr>
            <w:fldChar w:fldCharType="begin"/>
          </w:r>
          <w:r>
            <w:rPr>
              <w:rFonts w:cs="Times New Roman"/>
              <w:color w:val="000000" w:themeColor="text1"/>
              <w:szCs w:val="22"/>
            </w:rPr>
            <w:instrText xml:space="preserve"> MACROBUTTON  SnrToggleCheckbox □适用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√不适用 </w:instrText>
          </w:r>
          <w:r>
            <w:rPr>
              <w:rFonts w:cs="Times New Roman"/>
              <w:color w:val="000000" w:themeColor="text1"/>
              <w:szCs w:val="22"/>
            </w:rPr>
            <w:fldChar w:fldCharType="end"/>
          </w:r>
        </w:p>
      </w:sdtContent>
    </w:sdt>
    <w:p w:rsidR="00597370" w:rsidRDefault="003C2EEE">
      <w:pPr>
        <w:pStyle w:val="Style110"/>
        <w:numPr>
          <w:ilvl w:val="3"/>
          <w:numId w:val="53"/>
        </w:numPr>
        <w:tabs>
          <w:tab w:val="left" w:pos="560"/>
        </w:tabs>
        <w:rPr>
          <w:rFonts w:ascii="宋体" w:hAnsi="宋体"/>
          <w:color w:val="000000" w:themeColor="text1"/>
        </w:rPr>
      </w:pPr>
      <w:bookmarkStart w:id="210" w:name="_Hlk10468610"/>
      <w:bookmarkEnd w:id="208"/>
      <w:bookmarkEnd w:id="209"/>
      <w:r>
        <w:rPr>
          <w:rFonts w:ascii="宋体" w:hAnsi="宋体" w:hint="eastAsia"/>
          <w:color w:val="000000" w:themeColor="text1"/>
        </w:rPr>
        <w:t>按预期信用损失一般模型计提坏账准备</w:t>
      </w:r>
    </w:p>
    <w:sdt>
      <w:sdtPr>
        <w:rPr>
          <w:color w:val="000000" w:themeColor="text1"/>
        </w:rPr>
        <w:alias w:val="是否适用：应收股利坏账准备调节表[双击切换]"/>
        <w:tag w:val="_GBC_5a51eb2bfb0643eb8b9c73cdd0dbec60"/>
        <w:id w:val="-15808735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3"/>
        </w:numPr>
        <w:tabs>
          <w:tab w:val="left" w:pos="560"/>
        </w:tabs>
        <w:rPr>
          <w:rFonts w:ascii="宋体" w:hAnsi="宋体" w:cs="宋体"/>
          <w:color w:val="000000" w:themeColor="text1"/>
          <w:kern w:val="0"/>
          <w:szCs w:val="24"/>
        </w:rPr>
      </w:pPr>
      <w:bookmarkStart w:id="211" w:name="_Hlk167890094"/>
      <w:bookmarkStart w:id="212" w:name="_Hlk153377452"/>
      <w:bookmarkEnd w:id="210"/>
      <w:r>
        <w:rPr>
          <w:rFonts w:ascii="宋体" w:hAnsi="宋体" w:cs="宋体" w:hint="eastAsia"/>
          <w:color w:val="000000" w:themeColor="text1"/>
          <w:kern w:val="0"/>
          <w:szCs w:val="24"/>
        </w:rPr>
        <w:lastRenderedPageBreak/>
        <w:t>坏账准备的情况</w:t>
      </w:r>
    </w:p>
    <w:sdt>
      <w:sdtPr>
        <w:rPr>
          <w:color w:val="000000" w:themeColor="text1"/>
        </w:rPr>
        <w:alias w:val="是否适用：坏账准备情况[双击切换]"/>
        <w:tag w:val="_GBC_27a4f54f16d145c384ec77d7ec602dbc"/>
        <w:id w:val="80396522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e4fd140c18e841efba2e4cb5bf308654"/>
        <w:id w:val="-113510516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坏账准备情况的说明"/>
        <w:tag w:val="_GBC_414c7640b0394cf3a868f0350c981765"/>
        <w:id w:val="2036080098"/>
        <w:placeholder>
          <w:docPart w:val="GBC22222222222222222222222222222"/>
        </w:placeholder>
      </w:sdtPr>
      <w:sdtEndPr/>
      <w:sdtContent>
        <w:p w:rsidR="00597370" w:rsidRDefault="003C2EEE">
          <w:pPr>
            <w:ind w:rightChars="20" w:right="42"/>
            <w:rPr>
              <w:color w:val="000000" w:themeColor="text1"/>
            </w:rPr>
          </w:pPr>
          <w:r>
            <w:rPr>
              <w:rFonts w:hint="eastAsia"/>
              <w:color w:val="000000" w:themeColor="text1"/>
            </w:rPr>
            <w:t>无</w:t>
          </w:r>
        </w:p>
      </w:sdtContent>
    </w:sdt>
    <w:p w:rsidR="00597370" w:rsidRDefault="003C2EEE">
      <w:pPr>
        <w:pStyle w:val="Style110"/>
        <w:numPr>
          <w:ilvl w:val="3"/>
          <w:numId w:val="53"/>
        </w:numPr>
        <w:tabs>
          <w:tab w:val="left" w:pos="560"/>
        </w:tabs>
        <w:rPr>
          <w:rFonts w:ascii="宋体" w:hAnsi="宋体" w:cs="宋体"/>
          <w:color w:val="000000" w:themeColor="text1"/>
          <w:kern w:val="0"/>
          <w:szCs w:val="24"/>
        </w:rPr>
      </w:pPr>
      <w:r>
        <w:rPr>
          <w:rFonts w:ascii="宋体" w:hAnsi="宋体" w:cs="宋体"/>
          <w:color w:val="000000" w:themeColor="text1"/>
          <w:kern w:val="0"/>
          <w:szCs w:val="24"/>
        </w:rPr>
        <w:t>本期实际核销的应收</w:t>
      </w:r>
      <w:r>
        <w:rPr>
          <w:rFonts w:ascii="宋体" w:hAnsi="宋体" w:cs="宋体" w:hint="eastAsia"/>
          <w:color w:val="000000" w:themeColor="text1"/>
          <w:kern w:val="0"/>
          <w:szCs w:val="24"/>
        </w:rPr>
        <w:t>股利</w:t>
      </w:r>
      <w:r>
        <w:rPr>
          <w:rFonts w:ascii="宋体" w:hAnsi="宋体" w:cs="宋体"/>
          <w:color w:val="000000" w:themeColor="text1"/>
          <w:kern w:val="0"/>
          <w:szCs w:val="24"/>
        </w:rPr>
        <w:t>情况</w:t>
      </w:r>
    </w:p>
    <w:sdt>
      <w:sdtPr>
        <w:rPr>
          <w:color w:val="000000" w:themeColor="text1"/>
        </w:rPr>
        <w:alias w:val="是否适用：实际核销的情况[双击切换]"/>
        <w:tag w:val="_GBC_9eaf5a867a514dab9094fbf8401be69b"/>
        <w:id w:val="-117255845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其中重要的应收股利核销情况</w:t>
      </w:r>
    </w:p>
    <w:sdt>
      <w:sdtPr>
        <w:rPr>
          <w:rFonts w:hint="eastAsia"/>
          <w:color w:val="000000" w:themeColor="text1"/>
        </w:rPr>
        <w:alias w:val="是否适用：重要的核销情况[双击切换]"/>
        <w:tag w:val="_GBC_5cf96e8ce96146ed94b21417af438fca"/>
        <w:id w:val="-130238230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cdab003e34144d27a769732520f8f54a"/>
        <w:id w:val="2114163986"/>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11"/>
    <w:bookmarkEnd w:id="212"/>
    <w:p w:rsidR="00597370" w:rsidRDefault="003C2EEE">
      <w:pPr>
        <w:rPr>
          <w:color w:val="000000" w:themeColor="text1"/>
        </w:rPr>
      </w:pPr>
      <w:r>
        <w:rPr>
          <w:rFonts w:hint="eastAsia"/>
          <w:color w:val="000000" w:themeColor="text1"/>
        </w:rPr>
        <w:t>其他说明：</w:t>
      </w:r>
    </w:p>
    <w:sdt>
      <w:sdtPr>
        <w:rPr>
          <w:color w:val="000000" w:themeColor="text1"/>
        </w:rPr>
        <w:alias w:val="是否适用：应收股利的说明[双击切换]"/>
        <w:tag w:val="_GBC_108dd924d7ca4fa78961046db5cd354e"/>
        <w:id w:val="64278435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rPr>
          <w:rFonts w:ascii="宋体" w:hAnsi="宋体"/>
          <w:color w:val="000000" w:themeColor="text1"/>
        </w:rPr>
      </w:pPr>
      <w:r>
        <w:rPr>
          <w:rFonts w:ascii="宋体" w:hAnsi="宋体" w:hint="eastAsia"/>
          <w:color w:val="000000" w:themeColor="text1"/>
        </w:rPr>
        <w:t>其他应收款</w:t>
      </w:r>
    </w:p>
    <w:p w:rsidR="00597370" w:rsidRDefault="003C2EEE">
      <w:pPr>
        <w:pStyle w:val="Style110"/>
        <w:numPr>
          <w:ilvl w:val="3"/>
          <w:numId w:val="54"/>
        </w:numPr>
        <w:tabs>
          <w:tab w:val="left" w:pos="560"/>
        </w:tabs>
        <w:rPr>
          <w:rFonts w:ascii="宋体" w:hAnsi="宋体" w:cs="宋体"/>
          <w:color w:val="000000" w:themeColor="text1"/>
          <w:kern w:val="0"/>
          <w:szCs w:val="24"/>
        </w:rPr>
      </w:pPr>
      <w:bookmarkStart w:id="213" w:name="_Hlk533421204"/>
      <w:bookmarkStart w:id="214" w:name="_Hlk167890330"/>
      <w:proofErr w:type="gramStart"/>
      <w:r>
        <w:rPr>
          <w:rFonts w:ascii="宋体" w:hAnsi="宋体" w:cs="宋体" w:hint="eastAsia"/>
          <w:color w:val="000000" w:themeColor="text1"/>
          <w:kern w:val="0"/>
          <w:szCs w:val="24"/>
        </w:rPr>
        <w:t>按账龄</w:t>
      </w:r>
      <w:proofErr w:type="gramEnd"/>
      <w:r>
        <w:rPr>
          <w:rFonts w:ascii="宋体" w:hAnsi="宋体" w:cs="宋体" w:hint="eastAsia"/>
          <w:color w:val="000000" w:themeColor="text1"/>
          <w:kern w:val="0"/>
          <w:szCs w:val="24"/>
        </w:rPr>
        <w:t>披露</w:t>
      </w:r>
      <w:bookmarkEnd w:id="213"/>
    </w:p>
    <w:sdt>
      <w:sdtPr>
        <w:rPr>
          <w:rFonts w:hint="eastAsia"/>
          <w:color w:val="000000" w:themeColor="text1"/>
        </w:rPr>
        <w:alias w:val="是否适用：组合中，按账龄分析法计提坏账准备的其他应收账款[双击切换]"/>
        <w:tag w:val="_GBC_2dc7496d7daf42fabc670f597f99f9a3"/>
        <w:id w:val="21436966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单项金额不重大但按信用风险特征组合后该组合的风险较大的其他应收账款"/>
          <w:tag w:val="_GBC_cdb739275e9048aba4230ed9bd146a45"/>
          <w:id w:val="-5665011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单项金额不重大但按信用风险特征组合后该组合的风险较大的其他应收账款"/>
          <w:tag w:val="_GBC_3fef54d9cee94f85a0131be89bc468aa"/>
          <w:id w:val="-6192184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3"/>
        <w:gridCol w:w="2915"/>
        <w:gridCol w:w="2915"/>
      </w:tblGrid>
      <w:tr w:rsidR="00597370">
        <w:trPr>
          <w:cantSplit/>
        </w:trPr>
        <w:sdt>
          <w:sdtPr>
            <w:rPr>
              <w:color w:val="000000" w:themeColor="text1"/>
            </w:rPr>
            <w:tag w:val="_PLD_b6e27a2b2e82491eabe1f7ae934a9024"/>
            <w:id w:val="-334237828"/>
          </w:sdtPr>
          <w:sdtEndPr/>
          <w:sdtContent>
            <w:tc>
              <w:tcPr>
                <w:tcW w:w="1696"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账龄</w:t>
                </w:r>
              </w:p>
            </w:tc>
          </w:sdtContent>
        </w:sdt>
        <w:sdt>
          <w:sdtPr>
            <w:rPr>
              <w:color w:val="000000" w:themeColor="text1"/>
            </w:rPr>
            <w:tag w:val="_PLD_1ec6a999d56e428c86b4b1d15e441db3"/>
            <w:id w:val="-564800707"/>
          </w:sdtPr>
          <w:sdtEndPr/>
          <w:sdtContent>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rPr>
                <w:rFonts w:hint="eastAsia"/>
                <w:color w:val="000000" w:themeColor="text1"/>
              </w:rPr>
              <w:tag w:val="_PLD_7e4dd2ab04c74f9b948d19d48ec6182e"/>
              <w:id w:val="1164205315"/>
            </w:sdtPr>
            <w:sdtEndPr/>
            <w:sdtContent>
              <w:p w:rsidR="00597370" w:rsidRDefault="003C2EEE">
                <w:pPr>
                  <w:jc w:val="center"/>
                  <w:rPr>
                    <w:color w:val="000000" w:themeColor="text1"/>
                  </w:rPr>
                </w:pPr>
                <w:r>
                  <w:rPr>
                    <w:rFonts w:hint="eastAsia"/>
                    <w:color w:val="000000" w:themeColor="text1"/>
                  </w:rPr>
                  <w:t>期初账面余额</w:t>
                </w:r>
              </w:p>
            </w:sdtContent>
          </w:sdt>
        </w:tc>
      </w:tr>
      <w:tr w:rsidR="00597370">
        <w:trPr>
          <w:cantSplit/>
        </w:trPr>
        <w:sdt>
          <w:sdtPr>
            <w:rPr>
              <w:color w:val="000000" w:themeColor="text1"/>
            </w:rPr>
            <w:tag w:val="_PLD_3f8fab58905040cd95df1aa7dc0d2e48"/>
            <w:id w:val="-1741782597"/>
          </w:sdtPr>
          <w:sdtEndPr/>
          <w:sdtContent>
            <w:tc>
              <w:tcPr>
                <w:tcW w:w="5000" w:type="pct"/>
                <w:gridSpan w:val="3"/>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proofErr w:type="gramStart"/>
                <w:r>
                  <w:rPr>
                    <w:rFonts w:hint="eastAsia"/>
                    <w:color w:val="000000" w:themeColor="text1"/>
                  </w:rPr>
                  <w:t>1年以内</w:t>
                </w:r>
                <w:proofErr w:type="gramEnd"/>
              </w:p>
            </w:tc>
          </w:sdtContent>
        </w:sdt>
      </w:tr>
      <w:tr w:rsidR="00597370">
        <w:trPr>
          <w:cantSplit/>
        </w:trPr>
        <w:sdt>
          <w:sdtPr>
            <w:rPr>
              <w:color w:val="000000" w:themeColor="text1"/>
            </w:rPr>
            <w:tag w:val="_PLD_3b23f2554c3a45d2ba4989cc2c31489b"/>
            <w:id w:val="1263335118"/>
          </w:sdtPr>
          <w:sdtEndPr/>
          <w:sdtContent>
            <w:tc>
              <w:tcPr>
                <w:tcW w:w="5000" w:type="pct"/>
                <w:gridSpan w:val="3"/>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其中：1年以内分项</w:t>
                </w:r>
              </w:p>
            </w:tc>
          </w:sdtContent>
        </w:sdt>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pStyle w:val="Style106"/>
            </w:pPr>
            <w:r>
              <w:rPr>
                <w:rFonts w:hint="eastAsia"/>
              </w:rPr>
              <w:t>1年以内</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51,395,360.18</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9,126,280.78</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1年以内小计</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51,395,360.18</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9,126,280.78</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1至2年</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129,599,773.04</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2,364,422.54</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2至3年</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797,107.96</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801,363.70</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3年以上</w:t>
            </w:r>
          </w:p>
        </w:tc>
        <w:tc>
          <w:tcPr>
            <w:tcW w:w="165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652"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3至4年</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759,980.12</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675,132.92</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4至5年</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993,785.15</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1,003,885.15</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5年以上</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566,619.00</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330,000.00</w:t>
            </w:r>
          </w:p>
        </w:tc>
      </w:tr>
      <w:tr w:rsidR="00597370">
        <w:trPr>
          <w:cantSplit/>
        </w:trPr>
        <w:tc>
          <w:tcPr>
            <w:tcW w:w="1696"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合计</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184,112,625.45</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14,301,085.09</w:t>
            </w:r>
          </w:p>
        </w:tc>
      </w:tr>
    </w:tbl>
    <w:p w:rsidR="00597370" w:rsidRDefault="00597370">
      <w:pPr>
        <w:rPr>
          <w:color w:val="000000" w:themeColor="text1"/>
        </w:rPr>
      </w:pPr>
    </w:p>
    <w:bookmarkEnd w:id="214"/>
    <w:p w:rsidR="00597370" w:rsidRDefault="003C2EEE">
      <w:pPr>
        <w:pStyle w:val="Style110"/>
        <w:numPr>
          <w:ilvl w:val="3"/>
          <w:numId w:val="54"/>
        </w:numPr>
        <w:tabs>
          <w:tab w:val="left" w:pos="560"/>
        </w:tabs>
        <w:rPr>
          <w:rFonts w:ascii="宋体" w:hAnsi="宋体"/>
          <w:color w:val="000000" w:themeColor="text1"/>
        </w:rPr>
      </w:pPr>
      <w:r>
        <w:rPr>
          <w:rFonts w:ascii="宋体" w:hAnsi="宋体" w:hint="eastAsia"/>
          <w:color w:val="000000" w:themeColor="text1"/>
        </w:rPr>
        <w:t>按款项性质分类情况</w:t>
      </w:r>
    </w:p>
    <w:sdt>
      <w:sdtPr>
        <w:rPr>
          <w:color w:val="000000" w:themeColor="text1"/>
        </w:rPr>
        <w:alias w:val="是否适用：其他应收款按款项性质分类情况[双击切换]"/>
        <w:tag w:val="_GBC_43f55a27297f4f93b1b4f668134ac6be"/>
        <w:id w:val="-14077612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其他应收款按款项性质分类情况"/>
          <w:tag w:val="_GBC_9a3af1171f5640cd83ea2c41e0145167"/>
          <w:id w:val="-9394478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其他应收款按款项性质分类情况"/>
          <w:tag w:val="_GBC_0d096e7260294092a6e9a8405d01bc70"/>
          <w:id w:val="10102623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906"/>
        <w:gridCol w:w="2917"/>
      </w:tblGrid>
      <w:tr w:rsidR="00597370">
        <w:sdt>
          <w:sdtPr>
            <w:rPr>
              <w:color w:val="000000" w:themeColor="text1"/>
            </w:rPr>
            <w:tag w:val="_PLD_1e66a0098cd34ad6a335156852121360"/>
            <w:id w:val="-1851405774"/>
          </w:sdtPr>
          <w:sdtEndPr/>
          <w:sdtContent>
            <w:tc>
              <w:tcPr>
                <w:tcW w:w="1700" w:type="pct"/>
                <w:shd w:val="clear" w:color="auto" w:fill="auto"/>
                <w:vAlign w:val="center"/>
              </w:tcPr>
              <w:p w:rsidR="00597370" w:rsidRDefault="003C2EEE">
                <w:pPr>
                  <w:jc w:val="center"/>
                  <w:rPr>
                    <w:color w:val="000000" w:themeColor="text1"/>
                  </w:rPr>
                </w:pPr>
                <w:r>
                  <w:rPr>
                    <w:rFonts w:hint="eastAsia"/>
                    <w:color w:val="000000" w:themeColor="text1"/>
                  </w:rPr>
                  <w:t>款项性质</w:t>
                </w:r>
              </w:p>
            </w:tc>
          </w:sdtContent>
        </w:sdt>
        <w:sdt>
          <w:sdtPr>
            <w:rPr>
              <w:color w:val="000000" w:themeColor="text1"/>
            </w:rPr>
            <w:tag w:val="_PLD_51fee06f6d3944a9bbc7bac249ed63b6"/>
            <w:id w:val="1299193024"/>
          </w:sdtPr>
          <w:sdtEndPr/>
          <w:sdtContent>
            <w:tc>
              <w:tcPr>
                <w:tcW w:w="1647" w:type="pct"/>
                <w:shd w:val="clear" w:color="auto" w:fill="auto"/>
                <w:vAlign w:val="center"/>
              </w:tcPr>
              <w:p w:rsidR="00597370" w:rsidRDefault="003C2EEE">
                <w:pPr>
                  <w:jc w:val="center"/>
                  <w:rPr>
                    <w:color w:val="000000" w:themeColor="text1"/>
                  </w:rPr>
                </w:pPr>
                <w:r>
                  <w:rPr>
                    <w:rFonts w:hint="eastAsia"/>
                    <w:color w:val="000000" w:themeColor="text1"/>
                  </w:rPr>
                  <w:t>期末账面余额</w:t>
                </w:r>
              </w:p>
            </w:tc>
          </w:sdtContent>
        </w:sdt>
        <w:sdt>
          <w:sdtPr>
            <w:rPr>
              <w:color w:val="000000" w:themeColor="text1"/>
            </w:rPr>
            <w:tag w:val="_PLD_0297dadecff24ff8926a98d0267a917b"/>
            <w:id w:val="1218787814"/>
          </w:sdtPr>
          <w:sdtEndPr/>
          <w:sdtContent>
            <w:tc>
              <w:tcPr>
                <w:tcW w:w="1653" w:type="pct"/>
                <w:shd w:val="clear" w:color="auto" w:fill="auto"/>
                <w:vAlign w:val="center"/>
              </w:tcPr>
              <w:p w:rsidR="00597370" w:rsidRDefault="003C2EEE">
                <w:pPr>
                  <w:jc w:val="center"/>
                  <w:rPr>
                    <w:color w:val="000000" w:themeColor="text1"/>
                  </w:rPr>
                </w:pPr>
                <w:r>
                  <w:rPr>
                    <w:rFonts w:hint="eastAsia"/>
                    <w:color w:val="000000" w:themeColor="text1"/>
                  </w:rPr>
                  <w:t>期初账面余额</w:t>
                </w:r>
              </w:p>
            </w:tc>
          </w:sdtContent>
        </w:sdt>
      </w:tr>
      <w:tr w:rsidR="00597370">
        <w:tc>
          <w:tcPr>
            <w:tcW w:w="1700" w:type="pct"/>
            <w:shd w:val="clear" w:color="auto" w:fill="auto"/>
          </w:tcPr>
          <w:p w:rsidR="00597370" w:rsidRDefault="003C2EEE">
            <w:pPr>
              <w:pStyle w:val="Style106"/>
            </w:pPr>
            <w:r>
              <w:t>往来及其他</w:t>
            </w:r>
          </w:p>
        </w:tc>
        <w:tc>
          <w:tcPr>
            <w:tcW w:w="1647" w:type="pct"/>
            <w:shd w:val="clear" w:color="auto" w:fill="auto"/>
          </w:tcPr>
          <w:p w:rsidR="00597370" w:rsidRDefault="003C2EEE">
            <w:pPr>
              <w:jc w:val="right"/>
              <w:rPr>
                <w:color w:val="000000"/>
              </w:rPr>
            </w:pPr>
            <w:r>
              <w:rPr>
                <w:rFonts w:hint="eastAsia"/>
                <w:color w:val="000000"/>
              </w:rPr>
              <w:t>172,081,928.81</w:t>
            </w:r>
          </w:p>
        </w:tc>
        <w:tc>
          <w:tcPr>
            <w:tcW w:w="1653" w:type="pct"/>
            <w:shd w:val="clear" w:color="auto" w:fill="auto"/>
            <w:vAlign w:val="center"/>
          </w:tcPr>
          <w:p w:rsidR="00597370" w:rsidRDefault="003C2EEE">
            <w:pPr>
              <w:jc w:val="right"/>
            </w:pPr>
            <w:r>
              <w:t>3,231,590.85</w:t>
            </w:r>
          </w:p>
        </w:tc>
      </w:tr>
      <w:tr w:rsidR="00597370">
        <w:tc>
          <w:tcPr>
            <w:tcW w:w="1700" w:type="pct"/>
            <w:shd w:val="clear" w:color="auto" w:fill="auto"/>
          </w:tcPr>
          <w:p w:rsidR="00597370" w:rsidRDefault="003C2EEE">
            <w:pPr>
              <w:pStyle w:val="Style106"/>
            </w:pPr>
            <w:r>
              <w:t>保证金、押金</w:t>
            </w:r>
          </w:p>
        </w:tc>
        <w:tc>
          <w:tcPr>
            <w:tcW w:w="1647" w:type="pct"/>
            <w:shd w:val="clear" w:color="auto" w:fill="auto"/>
          </w:tcPr>
          <w:p w:rsidR="00597370" w:rsidRDefault="003C2EEE">
            <w:pPr>
              <w:jc w:val="right"/>
            </w:pPr>
            <w:r>
              <w:rPr>
                <w:rFonts w:hint="eastAsia"/>
                <w:color w:val="000000"/>
              </w:rPr>
              <w:t>12,030,696.64</w:t>
            </w:r>
          </w:p>
        </w:tc>
        <w:tc>
          <w:tcPr>
            <w:tcW w:w="1653" w:type="pct"/>
            <w:shd w:val="clear" w:color="auto" w:fill="auto"/>
            <w:vAlign w:val="center"/>
          </w:tcPr>
          <w:p w:rsidR="00597370" w:rsidRDefault="003C2EEE">
            <w:pPr>
              <w:jc w:val="right"/>
            </w:pPr>
            <w:r>
              <w:t>11,069,494.24</w:t>
            </w:r>
          </w:p>
        </w:tc>
      </w:tr>
      <w:tr w:rsidR="00597370">
        <w:tc>
          <w:tcPr>
            <w:tcW w:w="1700" w:type="pct"/>
            <w:shd w:val="clear" w:color="auto" w:fill="auto"/>
          </w:tcPr>
          <w:p w:rsidR="00597370" w:rsidRDefault="003C2EEE">
            <w:pPr>
              <w:jc w:val="center"/>
              <w:rPr>
                <w:color w:val="000000" w:themeColor="text1"/>
              </w:rPr>
            </w:pPr>
            <w:r>
              <w:rPr>
                <w:color w:val="000000" w:themeColor="text1"/>
              </w:rPr>
              <w:t>合计</w:t>
            </w:r>
          </w:p>
        </w:tc>
        <w:tc>
          <w:tcPr>
            <w:tcW w:w="1647" w:type="pct"/>
            <w:shd w:val="clear" w:color="auto" w:fill="auto"/>
          </w:tcPr>
          <w:p w:rsidR="00597370" w:rsidRDefault="003C2EEE">
            <w:pPr>
              <w:jc w:val="right"/>
            </w:pPr>
            <w:r>
              <w:rPr>
                <w:rFonts w:hint="eastAsia"/>
                <w:color w:val="000000"/>
              </w:rPr>
              <w:t>184,112,625.45</w:t>
            </w:r>
          </w:p>
        </w:tc>
        <w:tc>
          <w:tcPr>
            <w:tcW w:w="1653" w:type="pct"/>
            <w:shd w:val="clear" w:color="auto" w:fill="auto"/>
            <w:vAlign w:val="center"/>
          </w:tcPr>
          <w:p w:rsidR="00597370" w:rsidRDefault="003C2EEE">
            <w:pPr>
              <w:jc w:val="right"/>
            </w:pPr>
            <w:r>
              <w:t>14,301,085.09</w:t>
            </w:r>
          </w:p>
        </w:tc>
      </w:tr>
    </w:tbl>
    <w:p w:rsidR="00597370" w:rsidRDefault="00597370">
      <w:pPr>
        <w:rPr>
          <w:color w:val="000000" w:themeColor="text1"/>
        </w:rPr>
      </w:pPr>
    </w:p>
    <w:p w:rsidR="00597370" w:rsidRDefault="003C2EEE">
      <w:pPr>
        <w:pStyle w:val="Style110"/>
        <w:numPr>
          <w:ilvl w:val="3"/>
          <w:numId w:val="54"/>
        </w:numPr>
        <w:tabs>
          <w:tab w:val="left" w:pos="560"/>
        </w:tabs>
        <w:rPr>
          <w:rFonts w:ascii="宋体" w:hAnsi="宋体"/>
          <w:color w:val="000000" w:themeColor="text1"/>
        </w:rPr>
      </w:pPr>
      <w:bookmarkStart w:id="215" w:name="_Hlk10469799"/>
      <w:r>
        <w:rPr>
          <w:rFonts w:ascii="宋体" w:hAnsi="宋体" w:hint="eastAsia"/>
          <w:color w:val="000000" w:themeColor="text1"/>
        </w:rPr>
        <w:t>坏账准备计提情况</w:t>
      </w:r>
    </w:p>
    <w:sdt>
      <w:sdtPr>
        <w:rPr>
          <w:color w:val="000000" w:themeColor="text1"/>
        </w:rPr>
        <w:alias w:val="是否适用：其他应收款坏账准备调节表[双击切换]"/>
        <w:tag w:val="_GBC_29d0c5a1588a4f6589b1f8148c9ef180"/>
        <w:id w:val="211971531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ind w:rightChars="50" w:right="105"/>
        <w:jc w:val="right"/>
        <w:rPr>
          <w:color w:val="000000" w:themeColor="text1"/>
        </w:rPr>
      </w:pPr>
      <w:r>
        <w:rPr>
          <w:rFonts w:hint="eastAsia"/>
          <w:color w:val="000000" w:themeColor="text1"/>
        </w:rPr>
        <w:t>单位：</w:t>
      </w:r>
      <w:sdt>
        <w:sdtPr>
          <w:rPr>
            <w:rFonts w:hint="eastAsia"/>
            <w:color w:val="000000" w:themeColor="text1"/>
          </w:rPr>
          <w:alias w:val="单位：其他应收款坏账准备调节表"/>
          <w:tag w:val="_GBC_c65b82e3cfaf4fde8d75eac8c9a6e9f9"/>
          <w:id w:val="-11253896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其他应收款坏账准备调节表"/>
          <w:tag w:val="_GBC_08cd78a434cc441cbfff10030c5a8719"/>
          <w:id w:val="-2750992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678"/>
        <w:gridCol w:w="1879"/>
        <w:gridCol w:w="1881"/>
        <w:gridCol w:w="1676"/>
      </w:tblGrid>
      <w:tr w:rsidR="00597370">
        <w:sdt>
          <w:sdtPr>
            <w:rPr>
              <w:rFonts w:ascii="宋体" w:eastAsia="宋体" w:hAnsi="宋体"/>
              <w:color w:val="000000" w:themeColor="text1"/>
            </w:rPr>
            <w:tag w:val="_PLD_0df16deeb9614db49d9aa88a31229d9a"/>
            <w:id w:val="-1258279722"/>
          </w:sdtPr>
          <w:sdtEndPr/>
          <w:sdtContent>
            <w:tc>
              <w:tcPr>
                <w:tcW w:w="968" w:type="pct"/>
                <w:vMerge w:val="restar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坏账准备</w:t>
                </w:r>
              </w:p>
            </w:tc>
          </w:sdtContent>
        </w:sdt>
        <w:sdt>
          <w:sdtPr>
            <w:rPr>
              <w:rFonts w:ascii="宋体" w:eastAsia="宋体" w:hAnsi="宋体"/>
              <w:color w:val="000000" w:themeColor="text1"/>
            </w:rPr>
            <w:tag w:val="_PLD_f47baed0f5d14c0486b4530b2aa1cb4c"/>
            <w:id w:val="1802964202"/>
          </w:sdtPr>
          <w:sdtEndPr/>
          <w:sdtContent>
            <w:tc>
              <w:tcPr>
                <w:tcW w:w="951" w:type="pc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第一阶段</w:t>
                </w:r>
              </w:p>
            </w:tc>
          </w:sdtContent>
        </w:sdt>
        <w:sdt>
          <w:sdtPr>
            <w:rPr>
              <w:rFonts w:ascii="宋体" w:eastAsia="宋体" w:hAnsi="宋体"/>
              <w:color w:val="000000" w:themeColor="text1"/>
            </w:rPr>
            <w:tag w:val="_PLD_a29dd4725bec4eb78b246b92252a24df"/>
            <w:id w:val="-1301455366"/>
          </w:sdtPr>
          <w:sdtEndPr/>
          <w:sdtContent>
            <w:tc>
              <w:tcPr>
                <w:tcW w:w="1065" w:type="pc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第二阶段</w:t>
                </w:r>
              </w:p>
            </w:tc>
          </w:sdtContent>
        </w:sdt>
        <w:sdt>
          <w:sdtPr>
            <w:rPr>
              <w:rFonts w:ascii="宋体" w:eastAsia="宋体" w:hAnsi="宋体"/>
              <w:color w:val="000000" w:themeColor="text1"/>
            </w:rPr>
            <w:tag w:val="_PLD_c495a5d3c56f4cb9a0bd5cc9cc9b5410"/>
            <w:id w:val="-1810777273"/>
          </w:sdtPr>
          <w:sdtEndPr/>
          <w:sdtContent>
            <w:tc>
              <w:tcPr>
                <w:tcW w:w="1066" w:type="pc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第三阶段</w:t>
                </w:r>
              </w:p>
            </w:tc>
          </w:sdtContent>
        </w:sdt>
        <w:sdt>
          <w:sdtPr>
            <w:rPr>
              <w:rFonts w:ascii="宋体" w:eastAsia="宋体" w:hAnsi="宋体"/>
              <w:color w:val="000000" w:themeColor="text1"/>
            </w:rPr>
            <w:tag w:val="_PLD_0dc8bab0b7424c1295b83fcc97ca7554"/>
            <w:id w:val="-386957800"/>
          </w:sdtPr>
          <w:sdtEndPr/>
          <w:sdtContent>
            <w:tc>
              <w:tcPr>
                <w:tcW w:w="950" w:type="pct"/>
                <w:vMerge w:val="restar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合计</w:t>
                </w:r>
              </w:p>
            </w:tc>
          </w:sdtContent>
        </w:sdt>
      </w:tr>
      <w:tr w:rsidR="00597370">
        <w:tc>
          <w:tcPr>
            <w:tcW w:w="968" w:type="pct"/>
            <w:vMerge/>
            <w:vAlign w:val="center"/>
          </w:tcPr>
          <w:p w:rsidR="00597370" w:rsidRDefault="00597370">
            <w:pPr>
              <w:jc w:val="center"/>
              <w:rPr>
                <w:color w:val="000000" w:themeColor="text1"/>
              </w:rPr>
            </w:pPr>
          </w:p>
        </w:tc>
        <w:sdt>
          <w:sdtPr>
            <w:rPr>
              <w:rFonts w:ascii="宋体" w:eastAsia="宋体" w:hAnsi="宋体"/>
              <w:color w:val="000000" w:themeColor="text1"/>
            </w:rPr>
            <w:tag w:val="_PLD_08f8b6a1fd974f0d8ae0c04f27849740"/>
            <w:id w:val="-839380172"/>
          </w:sdtPr>
          <w:sdtEndPr/>
          <w:sdtContent>
            <w:tc>
              <w:tcPr>
                <w:tcW w:w="951" w:type="pc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未来</w:t>
                </w:r>
                <w:r>
                  <w:rPr>
                    <w:rFonts w:ascii="宋体" w:eastAsia="宋体" w:hAnsi="宋体" w:cs="宋体"/>
                    <w:color w:val="000000" w:themeColor="text1"/>
                    <w:sz w:val="21"/>
                    <w:szCs w:val="21"/>
                    <w:lang w:eastAsia="zh-CN"/>
                  </w:rPr>
                  <w:t>12个月预期信用损失</w:t>
                </w:r>
              </w:p>
            </w:tc>
          </w:sdtContent>
        </w:sdt>
        <w:sdt>
          <w:sdtPr>
            <w:rPr>
              <w:rFonts w:ascii="宋体" w:eastAsia="宋体" w:hAnsi="宋体"/>
              <w:color w:val="000000" w:themeColor="text1"/>
            </w:rPr>
            <w:tag w:val="_PLD_c85cfe8f6d6a4ab0af13d30e76cd7800"/>
            <w:id w:val="-206946174"/>
          </w:sdtPr>
          <w:sdtEndPr/>
          <w:sdtContent>
            <w:tc>
              <w:tcPr>
                <w:tcW w:w="1065" w:type="pc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w:t>
                </w:r>
                <w:r>
                  <w:rPr>
                    <w:rFonts w:ascii="宋体" w:eastAsia="宋体" w:hAnsi="宋体" w:cs="宋体"/>
                    <w:color w:val="000000" w:themeColor="text1"/>
                    <w:sz w:val="21"/>
                    <w:szCs w:val="21"/>
                    <w:lang w:eastAsia="zh-CN"/>
                  </w:rPr>
                  <w:t>(未发生信用减值)</w:t>
                </w:r>
              </w:p>
            </w:tc>
          </w:sdtContent>
        </w:sdt>
        <w:sdt>
          <w:sdtPr>
            <w:rPr>
              <w:rFonts w:ascii="宋体" w:eastAsia="宋体" w:hAnsi="宋体"/>
              <w:color w:val="000000" w:themeColor="text1"/>
            </w:rPr>
            <w:tag w:val="_PLD_2df6c7466f224906aa04a411975e6f79"/>
            <w:id w:val="486297519"/>
          </w:sdtPr>
          <w:sdtEndPr/>
          <w:sdtContent>
            <w:tc>
              <w:tcPr>
                <w:tcW w:w="1066" w:type="pc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w:t>
                </w:r>
                <w:r>
                  <w:rPr>
                    <w:rFonts w:ascii="宋体" w:eastAsia="宋体" w:hAnsi="宋体" w:cs="宋体"/>
                    <w:color w:val="000000" w:themeColor="text1"/>
                    <w:sz w:val="21"/>
                    <w:szCs w:val="21"/>
                    <w:lang w:eastAsia="zh-CN"/>
                  </w:rPr>
                  <w:t>(已发生信用减值)</w:t>
                </w:r>
              </w:p>
            </w:tc>
          </w:sdtContent>
        </w:sdt>
        <w:tc>
          <w:tcPr>
            <w:tcW w:w="950" w:type="pct"/>
            <w:vMerge/>
          </w:tcPr>
          <w:p w:rsidR="00597370" w:rsidRDefault="00597370">
            <w:pPr>
              <w:jc w:val="center"/>
              <w:rPr>
                <w:color w:val="000000" w:themeColor="text1"/>
              </w:rPr>
            </w:pP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2024年1月1日余</w:t>
            </w:r>
            <w:r>
              <w:rPr>
                <w:rFonts w:ascii="宋体" w:eastAsia="宋体" w:hAnsi="宋体" w:cs="宋体"/>
                <w:color w:val="000000" w:themeColor="text1"/>
                <w:sz w:val="21"/>
                <w:szCs w:val="21"/>
                <w:lang w:eastAsia="zh-CN"/>
              </w:rPr>
              <w:lastRenderedPageBreak/>
              <w:t>额</w:t>
            </w:r>
          </w:p>
        </w:tc>
        <w:tc>
          <w:tcPr>
            <w:tcW w:w="951" w:type="pct"/>
            <w:vAlign w:val="center"/>
          </w:tcPr>
          <w:p w:rsidR="00597370" w:rsidRDefault="003C2EEE">
            <w:pPr>
              <w:jc w:val="right"/>
            </w:pPr>
            <w:r>
              <w:lastRenderedPageBreak/>
              <w:t>959,529.04</w:t>
            </w:r>
          </w:p>
        </w:tc>
        <w:tc>
          <w:tcPr>
            <w:tcW w:w="1065" w:type="pct"/>
            <w:vAlign w:val="center"/>
          </w:tcPr>
          <w:p w:rsidR="00597370" w:rsidRDefault="003C2EEE">
            <w:pPr>
              <w:jc w:val="right"/>
            </w:pPr>
            <w:r>
              <w:t>628,582.45</w:t>
            </w:r>
          </w:p>
        </w:tc>
        <w:tc>
          <w:tcPr>
            <w:tcW w:w="1066" w:type="pct"/>
            <w:vAlign w:val="center"/>
          </w:tcPr>
          <w:p w:rsidR="00597370" w:rsidRDefault="003C2EEE">
            <w:pPr>
              <w:jc w:val="right"/>
            </w:pPr>
            <w:r>
              <w:t>300,000.00</w:t>
            </w:r>
          </w:p>
        </w:tc>
        <w:tc>
          <w:tcPr>
            <w:tcW w:w="950" w:type="pct"/>
            <w:vAlign w:val="center"/>
          </w:tcPr>
          <w:p w:rsidR="00597370" w:rsidRDefault="003C2EEE">
            <w:pPr>
              <w:jc w:val="right"/>
            </w:pPr>
            <w:r>
              <w:t>1,888,111.49</w:t>
            </w: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2024年1月1日余额在本期</w:t>
            </w:r>
          </w:p>
        </w:tc>
        <w:tc>
          <w:tcPr>
            <w:tcW w:w="951" w:type="pct"/>
            <w:vAlign w:val="center"/>
          </w:tcPr>
          <w:p w:rsidR="00597370" w:rsidRDefault="00597370">
            <w:pPr>
              <w:jc w:val="right"/>
            </w:pPr>
          </w:p>
        </w:tc>
        <w:tc>
          <w:tcPr>
            <w:tcW w:w="1065" w:type="pct"/>
            <w:vAlign w:val="center"/>
          </w:tcPr>
          <w:p w:rsidR="00597370" w:rsidRDefault="00597370">
            <w:pPr>
              <w:jc w:val="right"/>
            </w:pPr>
          </w:p>
        </w:tc>
        <w:tc>
          <w:tcPr>
            <w:tcW w:w="1066" w:type="pct"/>
            <w:vAlign w:val="center"/>
          </w:tcPr>
          <w:p w:rsidR="00597370" w:rsidRDefault="00597370">
            <w:pPr>
              <w:jc w:val="right"/>
            </w:pPr>
          </w:p>
        </w:tc>
        <w:tc>
          <w:tcPr>
            <w:tcW w:w="950" w:type="pct"/>
            <w:vAlign w:val="center"/>
          </w:tcPr>
          <w:p w:rsidR="00597370" w:rsidRDefault="00597370">
            <w:pPr>
              <w:jc w:val="right"/>
            </w:pP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--转入第二阶段</w:t>
            </w:r>
          </w:p>
        </w:tc>
        <w:tc>
          <w:tcPr>
            <w:tcW w:w="951" w:type="pct"/>
            <w:vAlign w:val="center"/>
          </w:tcPr>
          <w:p w:rsidR="00597370" w:rsidRDefault="00597370">
            <w:pPr>
              <w:jc w:val="right"/>
            </w:pPr>
          </w:p>
        </w:tc>
        <w:tc>
          <w:tcPr>
            <w:tcW w:w="1065" w:type="pct"/>
            <w:vAlign w:val="center"/>
          </w:tcPr>
          <w:p w:rsidR="00597370" w:rsidRDefault="00597370">
            <w:pPr>
              <w:jc w:val="right"/>
            </w:pPr>
          </w:p>
        </w:tc>
        <w:tc>
          <w:tcPr>
            <w:tcW w:w="1066" w:type="pct"/>
            <w:vAlign w:val="center"/>
          </w:tcPr>
          <w:p w:rsidR="00597370" w:rsidRDefault="00597370">
            <w:pPr>
              <w:jc w:val="right"/>
            </w:pPr>
          </w:p>
        </w:tc>
        <w:tc>
          <w:tcPr>
            <w:tcW w:w="950" w:type="pct"/>
            <w:vAlign w:val="center"/>
          </w:tcPr>
          <w:p w:rsidR="00597370" w:rsidRDefault="00597370">
            <w:pPr>
              <w:jc w:val="right"/>
            </w:pP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--转入第三阶段</w:t>
            </w:r>
          </w:p>
        </w:tc>
        <w:tc>
          <w:tcPr>
            <w:tcW w:w="951" w:type="pct"/>
            <w:vAlign w:val="center"/>
          </w:tcPr>
          <w:p w:rsidR="00597370" w:rsidRDefault="00597370">
            <w:pPr>
              <w:jc w:val="right"/>
            </w:pPr>
          </w:p>
        </w:tc>
        <w:tc>
          <w:tcPr>
            <w:tcW w:w="1065" w:type="pct"/>
            <w:vAlign w:val="center"/>
          </w:tcPr>
          <w:p w:rsidR="00597370" w:rsidRDefault="00597370">
            <w:pPr>
              <w:jc w:val="right"/>
            </w:pPr>
          </w:p>
        </w:tc>
        <w:tc>
          <w:tcPr>
            <w:tcW w:w="1066" w:type="pct"/>
            <w:vAlign w:val="center"/>
          </w:tcPr>
          <w:p w:rsidR="00597370" w:rsidRDefault="00597370">
            <w:pPr>
              <w:jc w:val="right"/>
            </w:pPr>
          </w:p>
        </w:tc>
        <w:tc>
          <w:tcPr>
            <w:tcW w:w="950" w:type="pct"/>
            <w:vAlign w:val="center"/>
          </w:tcPr>
          <w:p w:rsidR="00597370" w:rsidRDefault="00597370">
            <w:pPr>
              <w:jc w:val="right"/>
            </w:pP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--转回第二阶段</w:t>
            </w:r>
          </w:p>
        </w:tc>
        <w:tc>
          <w:tcPr>
            <w:tcW w:w="951" w:type="pct"/>
            <w:vAlign w:val="center"/>
          </w:tcPr>
          <w:p w:rsidR="00597370" w:rsidRDefault="00597370">
            <w:pPr>
              <w:jc w:val="right"/>
            </w:pPr>
          </w:p>
        </w:tc>
        <w:tc>
          <w:tcPr>
            <w:tcW w:w="1065" w:type="pct"/>
            <w:vAlign w:val="center"/>
          </w:tcPr>
          <w:p w:rsidR="00597370" w:rsidRDefault="00597370">
            <w:pPr>
              <w:jc w:val="right"/>
            </w:pPr>
          </w:p>
        </w:tc>
        <w:tc>
          <w:tcPr>
            <w:tcW w:w="1066" w:type="pct"/>
            <w:vAlign w:val="center"/>
          </w:tcPr>
          <w:p w:rsidR="00597370" w:rsidRDefault="00597370">
            <w:pPr>
              <w:jc w:val="right"/>
            </w:pPr>
          </w:p>
        </w:tc>
        <w:tc>
          <w:tcPr>
            <w:tcW w:w="950" w:type="pct"/>
            <w:vAlign w:val="center"/>
          </w:tcPr>
          <w:p w:rsidR="00597370" w:rsidRDefault="00597370">
            <w:pPr>
              <w:jc w:val="right"/>
            </w:pP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--转回第一阶段</w:t>
            </w:r>
          </w:p>
        </w:tc>
        <w:tc>
          <w:tcPr>
            <w:tcW w:w="951" w:type="pct"/>
            <w:vAlign w:val="center"/>
          </w:tcPr>
          <w:p w:rsidR="00597370" w:rsidRDefault="00597370">
            <w:pPr>
              <w:jc w:val="right"/>
            </w:pPr>
          </w:p>
        </w:tc>
        <w:tc>
          <w:tcPr>
            <w:tcW w:w="1065" w:type="pct"/>
            <w:vAlign w:val="center"/>
          </w:tcPr>
          <w:p w:rsidR="00597370" w:rsidRDefault="00597370">
            <w:pPr>
              <w:jc w:val="right"/>
            </w:pPr>
          </w:p>
        </w:tc>
        <w:tc>
          <w:tcPr>
            <w:tcW w:w="1066" w:type="pct"/>
            <w:vAlign w:val="center"/>
          </w:tcPr>
          <w:p w:rsidR="00597370" w:rsidRDefault="00597370">
            <w:pPr>
              <w:jc w:val="right"/>
            </w:pPr>
          </w:p>
        </w:tc>
        <w:tc>
          <w:tcPr>
            <w:tcW w:w="950" w:type="pct"/>
            <w:vAlign w:val="center"/>
          </w:tcPr>
          <w:p w:rsidR="00597370" w:rsidRDefault="00597370">
            <w:pPr>
              <w:jc w:val="right"/>
            </w:pP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本期计提</w:t>
            </w:r>
          </w:p>
        </w:tc>
        <w:tc>
          <w:tcPr>
            <w:tcW w:w="951" w:type="pct"/>
            <w:vAlign w:val="center"/>
          </w:tcPr>
          <w:p w:rsidR="00597370" w:rsidRDefault="003C2EEE">
            <w:pPr>
              <w:jc w:val="right"/>
            </w:pPr>
            <w:r>
              <w:rPr>
                <w:color w:val="000000"/>
              </w:rPr>
              <w:t xml:space="preserve"> 996,608.68 </w:t>
            </w:r>
          </w:p>
        </w:tc>
        <w:tc>
          <w:tcPr>
            <w:tcW w:w="1065" w:type="pct"/>
            <w:vAlign w:val="center"/>
          </w:tcPr>
          <w:p w:rsidR="00597370" w:rsidRDefault="00597370">
            <w:pPr>
              <w:jc w:val="right"/>
            </w:pPr>
          </w:p>
        </w:tc>
        <w:tc>
          <w:tcPr>
            <w:tcW w:w="1066" w:type="pct"/>
            <w:vAlign w:val="center"/>
          </w:tcPr>
          <w:p w:rsidR="00597370" w:rsidRDefault="003C2EEE">
            <w:pPr>
              <w:jc w:val="right"/>
            </w:pPr>
            <w:r>
              <w:rPr>
                <w:color w:val="000000"/>
              </w:rPr>
              <w:t xml:space="preserve"> 6,000.00 </w:t>
            </w:r>
          </w:p>
        </w:tc>
        <w:tc>
          <w:tcPr>
            <w:tcW w:w="950" w:type="pct"/>
            <w:vAlign w:val="center"/>
          </w:tcPr>
          <w:p w:rsidR="00597370" w:rsidRDefault="003C2EEE">
            <w:pPr>
              <w:jc w:val="right"/>
            </w:pPr>
            <w:r>
              <w:rPr>
                <w:color w:val="000000"/>
              </w:rPr>
              <w:t xml:space="preserve"> 1,002,608.68 </w:t>
            </w:r>
          </w:p>
        </w:tc>
      </w:tr>
      <w:tr w:rsidR="00597370">
        <w:tc>
          <w:tcPr>
            <w:tcW w:w="968" w:type="pct"/>
            <w:vAlign w:val="center"/>
          </w:tcPr>
          <w:p w:rsidR="00597370" w:rsidRDefault="003C2EEE">
            <w:pPr>
              <w:pStyle w:val="Style161"/>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本期转回</w:t>
            </w:r>
          </w:p>
        </w:tc>
        <w:tc>
          <w:tcPr>
            <w:tcW w:w="951" w:type="pct"/>
            <w:vAlign w:val="center"/>
          </w:tcPr>
          <w:p w:rsidR="00597370" w:rsidRDefault="00597370">
            <w:pPr>
              <w:jc w:val="right"/>
            </w:pPr>
          </w:p>
        </w:tc>
        <w:tc>
          <w:tcPr>
            <w:tcW w:w="1065" w:type="pct"/>
            <w:vAlign w:val="center"/>
          </w:tcPr>
          <w:p w:rsidR="00597370" w:rsidRDefault="003C2EEE">
            <w:pPr>
              <w:jc w:val="right"/>
            </w:pPr>
            <w:r>
              <w:rPr>
                <w:color w:val="000000"/>
              </w:rPr>
              <w:t xml:space="preserve"> 737,687.45 </w:t>
            </w:r>
          </w:p>
        </w:tc>
        <w:tc>
          <w:tcPr>
            <w:tcW w:w="1066" w:type="pct"/>
            <w:vAlign w:val="center"/>
          </w:tcPr>
          <w:p w:rsidR="00597370" w:rsidRDefault="00597370">
            <w:pPr>
              <w:jc w:val="right"/>
            </w:pPr>
          </w:p>
        </w:tc>
        <w:tc>
          <w:tcPr>
            <w:tcW w:w="950" w:type="pct"/>
            <w:vAlign w:val="center"/>
          </w:tcPr>
          <w:p w:rsidR="00597370" w:rsidRDefault="003C2EEE">
            <w:pPr>
              <w:jc w:val="right"/>
            </w:pPr>
            <w:r>
              <w:rPr>
                <w:color w:val="000000"/>
              </w:rPr>
              <w:t xml:space="preserve"> 737,687.45 </w:t>
            </w: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本期转销</w:t>
            </w:r>
          </w:p>
        </w:tc>
        <w:tc>
          <w:tcPr>
            <w:tcW w:w="951" w:type="pct"/>
            <w:vAlign w:val="center"/>
          </w:tcPr>
          <w:p w:rsidR="00597370" w:rsidRDefault="00597370">
            <w:pPr>
              <w:jc w:val="right"/>
            </w:pPr>
          </w:p>
        </w:tc>
        <w:tc>
          <w:tcPr>
            <w:tcW w:w="1065" w:type="pct"/>
            <w:vAlign w:val="center"/>
          </w:tcPr>
          <w:p w:rsidR="00597370" w:rsidRDefault="00597370">
            <w:pPr>
              <w:jc w:val="right"/>
            </w:pPr>
          </w:p>
        </w:tc>
        <w:tc>
          <w:tcPr>
            <w:tcW w:w="1066" w:type="pct"/>
            <w:vAlign w:val="center"/>
          </w:tcPr>
          <w:p w:rsidR="00597370" w:rsidRDefault="00597370">
            <w:pPr>
              <w:jc w:val="right"/>
            </w:pPr>
          </w:p>
        </w:tc>
        <w:tc>
          <w:tcPr>
            <w:tcW w:w="950" w:type="pct"/>
            <w:vAlign w:val="center"/>
          </w:tcPr>
          <w:p w:rsidR="00597370" w:rsidRDefault="00597370">
            <w:pPr>
              <w:jc w:val="right"/>
            </w:pPr>
          </w:p>
        </w:tc>
      </w:tr>
      <w:tr w:rsidR="00597370">
        <w:tc>
          <w:tcPr>
            <w:tcW w:w="968" w:type="pct"/>
            <w:vAlign w:val="center"/>
          </w:tcPr>
          <w:p w:rsidR="00597370" w:rsidRDefault="003C2EEE">
            <w:pPr>
              <w:pStyle w:val="Style161"/>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本期核销</w:t>
            </w:r>
          </w:p>
        </w:tc>
        <w:tc>
          <w:tcPr>
            <w:tcW w:w="951" w:type="pct"/>
            <w:vAlign w:val="center"/>
          </w:tcPr>
          <w:p w:rsidR="00597370" w:rsidRDefault="00597370">
            <w:pPr>
              <w:jc w:val="right"/>
            </w:pPr>
          </w:p>
        </w:tc>
        <w:tc>
          <w:tcPr>
            <w:tcW w:w="1065" w:type="pct"/>
            <w:vAlign w:val="center"/>
          </w:tcPr>
          <w:p w:rsidR="00597370" w:rsidRDefault="00597370">
            <w:pPr>
              <w:jc w:val="right"/>
            </w:pPr>
          </w:p>
        </w:tc>
        <w:tc>
          <w:tcPr>
            <w:tcW w:w="1066" w:type="pct"/>
            <w:vAlign w:val="center"/>
          </w:tcPr>
          <w:p w:rsidR="00597370" w:rsidRDefault="00597370">
            <w:pPr>
              <w:jc w:val="right"/>
            </w:pPr>
          </w:p>
        </w:tc>
        <w:tc>
          <w:tcPr>
            <w:tcW w:w="950" w:type="pct"/>
            <w:vAlign w:val="center"/>
          </w:tcPr>
          <w:p w:rsidR="00597370" w:rsidRDefault="00597370">
            <w:pPr>
              <w:jc w:val="right"/>
            </w:pPr>
          </w:p>
        </w:tc>
      </w:tr>
      <w:tr w:rsidR="00597370">
        <w:tc>
          <w:tcPr>
            <w:tcW w:w="968"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合并范围内增加</w:t>
            </w:r>
          </w:p>
        </w:tc>
        <w:tc>
          <w:tcPr>
            <w:tcW w:w="951" w:type="pct"/>
            <w:vAlign w:val="center"/>
          </w:tcPr>
          <w:p w:rsidR="00597370" w:rsidRDefault="003C2EEE">
            <w:pPr>
              <w:jc w:val="right"/>
            </w:pPr>
            <w:r>
              <w:rPr>
                <w:color w:val="000000"/>
              </w:rPr>
              <w:t xml:space="preserve"> 348,527.37 </w:t>
            </w:r>
          </w:p>
        </w:tc>
        <w:tc>
          <w:tcPr>
            <w:tcW w:w="1065" w:type="pct"/>
            <w:vAlign w:val="center"/>
          </w:tcPr>
          <w:p w:rsidR="00597370" w:rsidRDefault="003C2EEE">
            <w:pPr>
              <w:jc w:val="right"/>
            </w:pPr>
            <w:r>
              <w:rPr>
                <w:color w:val="000000"/>
              </w:rPr>
              <w:t xml:space="preserve"> 141,300.00 </w:t>
            </w:r>
          </w:p>
        </w:tc>
        <w:tc>
          <w:tcPr>
            <w:tcW w:w="1066" w:type="pct"/>
            <w:vAlign w:val="center"/>
          </w:tcPr>
          <w:p w:rsidR="00597370" w:rsidRDefault="003C2EEE">
            <w:pPr>
              <w:jc w:val="right"/>
            </w:pPr>
            <w:r>
              <w:rPr>
                <w:color w:val="000000"/>
              </w:rPr>
              <w:t xml:space="preserve"> 24,185,642.47</w:t>
            </w:r>
          </w:p>
        </w:tc>
        <w:tc>
          <w:tcPr>
            <w:tcW w:w="950" w:type="pct"/>
            <w:vAlign w:val="center"/>
          </w:tcPr>
          <w:p w:rsidR="00597370" w:rsidRDefault="003C2EEE">
            <w:pPr>
              <w:jc w:val="right"/>
            </w:pPr>
            <w:r>
              <w:rPr>
                <w:color w:val="000000"/>
              </w:rPr>
              <w:t xml:space="preserve">24,675,469.84 </w:t>
            </w:r>
          </w:p>
        </w:tc>
      </w:tr>
      <w:tr w:rsidR="00597370">
        <w:tc>
          <w:tcPr>
            <w:tcW w:w="968" w:type="pct"/>
            <w:vAlign w:val="center"/>
          </w:tcPr>
          <w:p w:rsidR="00597370" w:rsidRDefault="003C2EEE">
            <w:pPr>
              <w:pStyle w:val="Style161"/>
              <w:spacing w:after="0" w:line="240" w:lineRule="auto"/>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2024年6月30日</w:t>
            </w:r>
            <w:r>
              <w:rPr>
                <w:rFonts w:ascii="宋体" w:eastAsia="宋体" w:hAnsi="宋体" w:cs="宋体" w:hint="eastAsia"/>
                <w:color w:val="000000" w:themeColor="text1"/>
                <w:sz w:val="21"/>
                <w:szCs w:val="21"/>
                <w:lang w:eastAsia="zh-CN"/>
              </w:rPr>
              <w:t>余额</w:t>
            </w:r>
          </w:p>
        </w:tc>
        <w:tc>
          <w:tcPr>
            <w:tcW w:w="951" w:type="pct"/>
            <w:vAlign w:val="center"/>
          </w:tcPr>
          <w:p w:rsidR="00597370" w:rsidRDefault="003C2EEE">
            <w:pPr>
              <w:jc w:val="right"/>
            </w:pPr>
            <w:r>
              <w:rPr>
                <w:color w:val="000000"/>
              </w:rPr>
              <w:t xml:space="preserve"> 2,304,665.09 </w:t>
            </w:r>
          </w:p>
        </w:tc>
        <w:tc>
          <w:tcPr>
            <w:tcW w:w="1065" w:type="pct"/>
            <w:vAlign w:val="center"/>
          </w:tcPr>
          <w:p w:rsidR="00597370" w:rsidRDefault="003C2EEE">
            <w:pPr>
              <w:jc w:val="right"/>
            </w:pPr>
            <w:r>
              <w:rPr>
                <w:color w:val="000000"/>
              </w:rPr>
              <w:t xml:space="preserve"> 32,195.00 </w:t>
            </w:r>
          </w:p>
        </w:tc>
        <w:tc>
          <w:tcPr>
            <w:tcW w:w="1066" w:type="pct"/>
            <w:vAlign w:val="center"/>
          </w:tcPr>
          <w:p w:rsidR="00597370" w:rsidRDefault="003C2EEE">
            <w:pPr>
              <w:jc w:val="right"/>
            </w:pPr>
            <w:r>
              <w:rPr>
                <w:color w:val="000000"/>
              </w:rPr>
              <w:t xml:space="preserve"> 24,491,642.47 </w:t>
            </w:r>
          </w:p>
        </w:tc>
        <w:tc>
          <w:tcPr>
            <w:tcW w:w="950" w:type="pct"/>
            <w:vAlign w:val="center"/>
          </w:tcPr>
          <w:p w:rsidR="00597370" w:rsidRDefault="003C2EEE">
            <w:pPr>
              <w:jc w:val="right"/>
            </w:pPr>
            <w:r>
              <w:rPr>
                <w:color w:val="000000"/>
              </w:rPr>
              <w:t xml:space="preserve">26,828,502.56 </w:t>
            </w:r>
          </w:p>
        </w:tc>
      </w:tr>
    </w:tbl>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其他应收款各阶段划分依据和坏账准备计提比例"/>
        <w:tag w:val="_GBC_db1ccc25244541ad82774f0488b4825b"/>
        <w:id w:val="974879163"/>
        <w:placeholder>
          <w:docPart w:val="GBC22222222222222222222222222222"/>
        </w:placeholder>
      </w:sdtPr>
      <w:sdtEndPr/>
      <w:sdtContent>
        <w:p w:rsidR="00597370" w:rsidRDefault="003C2EEE">
          <w:pPr>
            <w:rPr>
              <w:rFonts w:cs="Times New Roman"/>
              <w:color w:val="000000" w:themeColor="text1"/>
              <w:szCs w:val="22"/>
            </w:rPr>
          </w:pPr>
          <w:r>
            <w:rPr>
              <w:rFonts w:cs="Times New Roman" w:hint="eastAsia"/>
              <w:color w:val="000000" w:themeColor="text1"/>
              <w:szCs w:val="22"/>
            </w:rPr>
            <w:t>无</w:t>
          </w:r>
        </w:p>
      </w:sdtContent>
    </w:sdt>
    <w:p w:rsidR="00597370" w:rsidRDefault="003C2EEE">
      <w:pPr>
        <w:pStyle w:val="Style151"/>
        <w:rPr>
          <w:color w:val="000000" w:themeColor="text1"/>
        </w:rPr>
      </w:pPr>
      <w:r>
        <w:rPr>
          <w:rFonts w:hint="eastAsia"/>
          <w:color w:val="000000" w:themeColor="text1"/>
        </w:rPr>
        <w:t>对本期发生损失准备变动的其他应收款账面余额显著变动的情况说明：</w:t>
      </w:r>
    </w:p>
    <w:sdt>
      <w:sdtPr>
        <w:rPr>
          <w:color w:val="000000" w:themeColor="text1"/>
        </w:rPr>
        <w:alias w:val="是否适用：其他应收款本期发生损失准备变动且账面余额显著变动的情况说明[双击切换]"/>
        <w:tag w:val="_GBC_32e9d68fc5194869baa30fe15720ff13"/>
        <w:id w:val="114717185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本期坏账准备计提金额以及评估金融工具的信用风险是否显著增加的采用依据：</w:t>
      </w:r>
    </w:p>
    <w:sdt>
      <w:sdtPr>
        <w:rPr>
          <w:color w:val="000000" w:themeColor="text1"/>
        </w:rPr>
        <w:alias w:val="是否适用：其他应收款本期坏账准备计提金额以及评估金融工具的信用风险显著增加的采用依据[双击切换]"/>
        <w:tag w:val="_GBC_dde26fcf385445edb7b0e96dab2a2b3e"/>
        <w:id w:val="-10337300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4"/>
        </w:numPr>
        <w:tabs>
          <w:tab w:val="left" w:pos="560"/>
        </w:tabs>
        <w:rPr>
          <w:rFonts w:ascii="宋体" w:hAnsi="宋体"/>
          <w:color w:val="000000" w:themeColor="text1"/>
        </w:rPr>
      </w:pPr>
      <w:bookmarkStart w:id="216" w:name="_Hlk10469877"/>
      <w:bookmarkEnd w:id="215"/>
      <w:r>
        <w:rPr>
          <w:rFonts w:ascii="宋体" w:hAnsi="宋体" w:hint="eastAsia"/>
          <w:color w:val="000000" w:themeColor="text1"/>
        </w:rPr>
        <w:t>坏账准备的情况</w:t>
      </w:r>
    </w:p>
    <w:sdt>
      <w:sdtPr>
        <w:rPr>
          <w:color w:val="000000" w:themeColor="text1"/>
        </w:rPr>
        <w:alias w:val="是否适用：其他应收款坏账准备[双击切换]"/>
        <w:tag w:val="_GBC_b3f4f88802a54b1da539ba2563000c5c"/>
        <w:id w:val="-12114906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snapToGrid w:val="0"/>
        <w:spacing w:line="240" w:lineRule="atLeast"/>
        <w:ind w:left="42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其他应收款坏账准备"/>
          <w:tag w:val="_GBC_1cb0ccc9627340bb9775e68ec1d11af7"/>
          <w:id w:val="5571376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其他应收款坏账准备"/>
          <w:tag w:val="_GBC_14d59c8ccaef434da24604201125f1f0"/>
          <w:id w:val="-5604852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3"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458"/>
        <w:gridCol w:w="1488"/>
        <w:gridCol w:w="1256"/>
        <w:gridCol w:w="1156"/>
        <w:gridCol w:w="736"/>
        <w:gridCol w:w="1495"/>
        <w:gridCol w:w="1239"/>
      </w:tblGrid>
      <w:tr w:rsidR="00597370">
        <w:trPr>
          <w:trHeight w:val="397"/>
          <w:jc w:val="center"/>
        </w:trPr>
        <w:sdt>
          <w:sdtPr>
            <w:rPr>
              <w:color w:val="000000" w:themeColor="text1"/>
            </w:rPr>
            <w:tag w:val="_PLD_31bfbbc8809c484e8788c004875b73f7"/>
            <w:id w:val="-560100188"/>
          </w:sdtPr>
          <w:sdtEndPr/>
          <w:sdtContent>
            <w:tc>
              <w:tcPr>
                <w:tcW w:w="825" w:type="pct"/>
                <w:vMerge w:val="restart"/>
                <w:shd w:val="clear" w:color="auto" w:fill="FFFFFF"/>
                <w:vAlign w:val="center"/>
              </w:tcPr>
              <w:p w:rsidR="00597370" w:rsidRDefault="003C2EEE">
                <w:pPr>
                  <w:widowControl w:val="0"/>
                  <w:jc w:val="center"/>
                  <w:rPr>
                    <w:color w:val="000000" w:themeColor="text1"/>
                  </w:rPr>
                </w:pPr>
                <w:r>
                  <w:rPr>
                    <w:color w:val="000000" w:themeColor="text1"/>
                  </w:rPr>
                  <w:t>类别</w:t>
                </w:r>
              </w:p>
            </w:tc>
          </w:sdtContent>
        </w:sdt>
        <w:sdt>
          <w:sdtPr>
            <w:rPr>
              <w:color w:val="000000" w:themeColor="text1"/>
            </w:rPr>
            <w:tag w:val="_PLD_8a84de1ffd5c434f9fdf644972838511"/>
            <w:id w:val="-959178133"/>
          </w:sdtPr>
          <w:sdtEndPr/>
          <w:sdtContent>
            <w:tc>
              <w:tcPr>
                <w:tcW w:w="841" w:type="pct"/>
                <w:vMerge w:val="restart"/>
                <w:shd w:val="clear" w:color="auto" w:fill="FFFFFF"/>
                <w:vAlign w:val="center"/>
              </w:tcPr>
              <w:p w:rsidR="00597370" w:rsidRDefault="003C2EEE">
                <w:pPr>
                  <w:widowControl w:val="0"/>
                  <w:jc w:val="center"/>
                  <w:rPr>
                    <w:color w:val="000000" w:themeColor="text1"/>
                  </w:rPr>
                </w:pPr>
                <w:r>
                  <w:rPr>
                    <w:color w:val="000000" w:themeColor="text1"/>
                  </w:rPr>
                  <w:t>期初余额</w:t>
                </w:r>
              </w:p>
            </w:tc>
          </w:sdtContent>
        </w:sdt>
        <w:sdt>
          <w:sdtPr>
            <w:rPr>
              <w:color w:val="000000" w:themeColor="text1"/>
            </w:rPr>
            <w:tag w:val="_PLD_98e8a6b913f14f6ca45be028ca7fe9b3"/>
            <w:id w:val="-1189831384"/>
          </w:sdtPr>
          <w:sdtEndPr/>
          <w:sdtContent>
            <w:tc>
              <w:tcPr>
                <w:tcW w:w="2629" w:type="pct"/>
                <w:gridSpan w:val="4"/>
                <w:shd w:val="clear" w:color="auto" w:fill="FFFFFF"/>
                <w:vAlign w:val="center"/>
              </w:tcPr>
              <w:p w:rsidR="00597370" w:rsidRDefault="003C2EEE">
                <w:pPr>
                  <w:widowControl w:val="0"/>
                  <w:jc w:val="center"/>
                  <w:rPr>
                    <w:color w:val="000000" w:themeColor="text1"/>
                  </w:rPr>
                </w:pPr>
                <w:r>
                  <w:rPr>
                    <w:rFonts w:hint="eastAsia"/>
                    <w:color w:val="000000" w:themeColor="text1"/>
                  </w:rPr>
                  <w:t>本期变动</w:t>
                </w:r>
                <w:r>
                  <w:rPr>
                    <w:color w:val="000000" w:themeColor="text1"/>
                  </w:rPr>
                  <w:t>金额</w:t>
                </w:r>
              </w:p>
            </w:tc>
          </w:sdtContent>
        </w:sdt>
        <w:sdt>
          <w:sdtPr>
            <w:rPr>
              <w:color w:val="000000" w:themeColor="text1"/>
            </w:rPr>
            <w:tag w:val="_PLD_79cbcdb53d6946aa8890a6614ae8fa7c"/>
            <w:id w:val="1677840738"/>
          </w:sdtPr>
          <w:sdtEndPr/>
          <w:sdtContent>
            <w:tc>
              <w:tcPr>
                <w:tcW w:w="702" w:type="pct"/>
                <w:vMerge w:val="restart"/>
                <w:shd w:val="clear" w:color="auto" w:fill="FFFFFF"/>
                <w:vAlign w:val="center"/>
              </w:tcPr>
              <w:p w:rsidR="00597370" w:rsidRDefault="003C2EEE">
                <w:pPr>
                  <w:widowControl w:val="0"/>
                  <w:jc w:val="center"/>
                  <w:rPr>
                    <w:color w:val="000000" w:themeColor="text1"/>
                  </w:rPr>
                </w:pPr>
                <w:r>
                  <w:rPr>
                    <w:color w:val="000000" w:themeColor="text1"/>
                  </w:rPr>
                  <w:t>期末余额</w:t>
                </w:r>
              </w:p>
            </w:tc>
          </w:sdtContent>
        </w:sdt>
      </w:tr>
      <w:tr w:rsidR="00597370">
        <w:trPr>
          <w:trHeight w:val="397"/>
          <w:jc w:val="center"/>
        </w:trPr>
        <w:tc>
          <w:tcPr>
            <w:tcW w:w="825" w:type="pct"/>
            <w:vMerge/>
            <w:shd w:val="clear" w:color="auto" w:fill="FFFFFF"/>
          </w:tcPr>
          <w:p w:rsidR="00597370" w:rsidRDefault="00597370">
            <w:pPr>
              <w:widowControl w:val="0"/>
              <w:jc w:val="center"/>
              <w:rPr>
                <w:color w:val="000000" w:themeColor="text1"/>
              </w:rPr>
            </w:pPr>
          </w:p>
        </w:tc>
        <w:tc>
          <w:tcPr>
            <w:tcW w:w="841" w:type="pct"/>
            <w:vMerge/>
            <w:shd w:val="clear" w:color="auto" w:fill="FFFFFF"/>
          </w:tcPr>
          <w:p w:rsidR="00597370" w:rsidRDefault="00597370">
            <w:pPr>
              <w:widowControl w:val="0"/>
              <w:jc w:val="center"/>
              <w:rPr>
                <w:color w:val="000000" w:themeColor="text1"/>
              </w:rPr>
            </w:pPr>
          </w:p>
        </w:tc>
        <w:sdt>
          <w:sdtPr>
            <w:rPr>
              <w:color w:val="000000" w:themeColor="text1"/>
            </w:rPr>
            <w:tag w:val="_PLD_e690235010e24ffc8796adbde1bb559c"/>
            <w:id w:val="72010703"/>
          </w:sdtPr>
          <w:sdtEndPr/>
          <w:sdtContent>
            <w:tc>
              <w:tcPr>
                <w:tcW w:w="711" w:type="pct"/>
                <w:shd w:val="clear" w:color="auto" w:fill="FFFFFF"/>
                <w:vAlign w:val="center"/>
              </w:tcPr>
              <w:p w:rsidR="00597370" w:rsidRDefault="003C2EEE">
                <w:pPr>
                  <w:widowControl w:val="0"/>
                  <w:jc w:val="center"/>
                  <w:rPr>
                    <w:color w:val="000000" w:themeColor="text1"/>
                  </w:rPr>
                </w:pPr>
                <w:r>
                  <w:rPr>
                    <w:color w:val="000000" w:themeColor="text1"/>
                  </w:rPr>
                  <w:t>计提</w:t>
                </w:r>
              </w:p>
            </w:tc>
          </w:sdtContent>
        </w:sdt>
        <w:sdt>
          <w:sdtPr>
            <w:rPr>
              <w:color w:val="000000" w:themeColor="text1"/>
            </w:rPr>
            <w:tag w:val="_PLD_d059ae406aed4a3a8f46c2d712ef508e"/>
            <w:id w:val="840203134"/>
          </w:sdtPr>
          <w:sdtEndPr/>
          <w:sdtContent>
            <w:tc>
              <w:tcPr>
                <w:tcW w:w="655" w:type="pct"/>
                <w:shd w:val="clear" w:color="auto" w:fill="FFFFFF"/>
                <w:vAlign w:val="center"/>
              </w:tcPr>
              <w:p w:rsidR="00597370" w:rsidRDefault="003C2EEE">
                <w:pPr>
                  <w:widowControl w:val="0"/>
                  <w:jc w:val="center"/>
                  <w:rPr>
                    <w:color w:val="000000" w:themeColor="text1"/>
                  </w:rPr>
                </w:pPr>
                <w:r>
                  <w:rPr>
                    <w:rFonts w:hint="eastAsia"/>
                    <w:color w:val="000000" w:themeColor="text1"/>
                  </w:rPr>
                  <w:t>收回或转回</w:t>
                </w:r>
              </w:p>
            </w:tc>
          </w:sdtContent>
        </w:sdt>
        <w:sdt>
          <w:sdtPr>
            <w:rPr>
              <w:color w:val="000000" w:themeColor="text1"/>
            </w:rPr>
            <w:tag w:val="_PLD_da780fd6da3646febcd85bf9dbd8b64e"/>
            <w:id w:val="-538204307"/>
          </w:sdtPr>
          <w:sdtEndPr/>
          <w:sdtContent>
            <w:tc>
              <w:tcPr>
                <w:tcW w:w="417" w:type="pct"/>
                <w:shd w:val="clear" w:color="auto" w:fill="FFFFFF"/>
                <w:vAlign w:val="center"/>
              </w:tcPr>
              <w:p w:rsidR="00597370" w:rsidRDefault="003C2EEE">
                <w:pPr>
                  <w:widowControl w:val="0"/>
                  <w:jc w:val="center"/>
                  <w:rPr>
                    <w:color w:val="000000" w:themeColor="text1"/>
                  </w:rPr>
                </w:pPr>
                <w:r>
                  <w:rPr>
                    <w:rFonts w:hint="eastAsia"/>
                    <w:color w:val="000000" w:themeColor="text1"/>
                  </w:rPr>
                  <w:t>转销或核销</w:t>
                </w:r>
              </w:p>
            </w:tc>
          </w:sdtContent>
        </w:sdt>
        <w:tc>
          <w:tcPr>
            <w:tcW w:w="845" w:type="pct"/>
            <w:shd w:val="clear" w:color="auto" w:fill="FFFFFF"/>
            <w:vAlign w:val="center"/>
          </w:tcPr>
          <w:sdt>
            <w:sdtPr>
              <w:rPr>
                <w:rFonts w:hint="eastAsia"/>
                <w:color w:val="000000" w:themeColor="text1"/>
              </w:rPr>
              <w:tag w:val="_PLD_d6a9b9888c1a49429189a2a72159c309"/>
              <w:id w:val="1656034323"/>
            </w:sdtPr>
            <w:sdtEndPr/>
            <w:sdtContent>
              <w:p w:rsidR="00597370" w:rsidRDefault="003C2EEE">
                <w:pPr>
                  <w:widowControl w:val="0"/>
                  <w:ind w:right="105"/>
                  <w:jc w:val="center"/>
                  <w:rPr>
                    <w:color w:val="000000" w:themeColor="text1"/>
                  </w:rPr>
                </w:pPr>
                <w:r>
                  <w:rPr>
                    <w:rFonts w:hint="eastAsia"/>
                    <w:color w:val="000000" w:themeColor="text1"/>
                  </w:rPr>
                  <w:t>合并范围内增加</w:t>
                </w:r>
              </w:p>
            </w:sdtContent>
          </w:sdt>
        </w:tc>
        <w:tc>
          <w:tcPr>
            <w:tcW w:w="702" w:type="pct"/>
            <w:vMerge/>
            <w:shd w:val="clear" w:color="auto" w:fill="FFFFFF"/>
          </w:tcPr>
          <w:p w:rsidR="00597370" w:rsidRDefault="00597370">
            <w:pPr>
              <w:widowControl w:val="0"/>
              <w:jc w:val="right"/>
              <w:rPr>
                <w:color w:val="000000" w:themeColor="text1"/>
              </w:rPr>
            </w:pPr>
          </w:p>
        </w:tc>
      </w:tr>
      <w:tr w:rsidR="00597370">
        <w:trPr>
          <w:trHeight w:val="397"/>
          <w:jc w:val="center"/>
        </w:trPr>
        <w:tc>
          <w:tcPr>
            <w:tcW w:w="825" w:type="pct"/>
            <w:shd w:val="clear" w:color="auto" w:fill="auto"/>
            <w:vAlign w:val="center"/>
          </w:tcPr>
          <w:p w:rsidR="00597370" w:rsidRDefault="003C2EEE">
            <w:pPr>
              <w:widowControl w:val="0"/>
            </w:pPr>
            <w:r>
              <w:t>单项计提坏账准备</w:t>
            </w:r>
          </w:p>
        </w:tc>
        <w:tc>
          <w:tcPr>
            <w:tcW w:w="841" w:type="pct"/>
            <w:shd w:val="clear" w:color="auto" w:fill="auto"/>
            <w:vAlign w:val="center"/>
          </w:tcPr>
          <w:p w:rsidR="00597370" w:rsidRDefault="003C2EEE">
            <w:pPr>
              <w:widowControl w:val="0"/>
              <w:jc w:val="right"/>
              <w:rPr>
                <w:sz w:val="18"/>
                <w:szCs w:val="18"/>
              </w:rPr>
            </w:pPr>
            <w:r>
              <w:rPr>
                <w:sz w:val="18"/>
                <w:szCs w:val="18"/>
              </w:rPr>
              <w:t>300,000.00</w:t>
            </w:r>
          </w:p>
        </w:tc>
        <w:tc>
          <w:tcPr>
            <w:tcW w:w="711" w:type="pct"/>
            <w:shd w:val="clear" w:color="auto" w:fill="auto"/>
            <w:vAlign w:val="center"/>
          </w:tcPr>
          <w:p w:rsidR="00597370" w:rsidRDefault="003C2EEE">
            <w:pPr>
              <w:widowControl w:val="0"/>
              <w:jc w:val="right"/>
              <w:rPr>
                <w:sz w:val="18"/>
                <w:szCs w:val="18"/>
              </w:rPr>
            </w:pPr>
            <w:r>
              <w:rPr>
                <w:color w:val="000000"/>
                <w:sz w:val="18"/>
                <w:szCs w:val="18"/>
              </w:rPr>
              <w:t xml:space="preserve"> 6,000.00 </w:t>
            </w:r>
          </w:p>
        </w:tc>
        <w:tc>
          <w:tcPr>
            <w:tcW w:w="655" w:type="pct"/>
            <w:shd w:val="clear" w:color="auto" w:fill="auto"/>
            <w:vAlign w:val="center"/>
          </w:tcPr>
          <w:p w:rsidR="00597370" w:rsidRDefault="00597370">
            <w:pPr>
              <w:widowControl w:val="0"/>
              <w:jc w:val="right"/>
              <w:rPr>
                <w:sz w:val="18"/>
                <w:szCs w:val="18"/>
              </w:rPr>
            </w:pPr>
          </w:p>
        </w:tc>
        <w:tc>
          <w:tcPr>
            <w:tcW w:w="417" w:type="pct"/>
            <w:vAlign w:val="center"/>
          </w:tcPr>
          <w:p w:rsidR="00597370" w:rsidRDefault="00597370">
            <w:pPr>
              <w:widowControl w:val="0"/>
              <w:jc w:val="right"/>
              <w:rPr>
                <w:sz w:val="18"/>
                <w:szCs w:val="18"/>
              </w:rPr>
            </w:pPr>
          </w:p>
        </w:tc>
        <w:tc>
          <w:tcPr>
            <w:tcW w:w="845" w:type="pct"/>
            <w:vAlign w:val="center"/>
          </w:tcPr>
          <w:p w:rsidR="00597370" w:rsidRDefault="003C2EEE">
            <w:pPr>
              <w:widowControl w:val="0"/>
              <w:jc w:val="right"/>
              <w:rPr>
                <w:sz w:val="18"/>
                <w:szCs w:val="18"/>
              </w:rPr>
            </w:pPr>
            <w:r>
              <w:rPr>
                <w:color w:val="000000"/>
                <w:sz w:val="18"/>
                <w:szCs w:val="18"/>
              </w:rPr>
              <w:t>24,185,642.47</w:t>
            </w:r>
          </w:p>
        </w:tc>
        <w:tc>
          <w:tcPr>
            <w:tcW w:w="702" w:type="pct"/>
            <w:shd w:val="clear" w:color="auto" w:fill="auto"/>
            <w:vAlign w:val="center"/>
          </w:tcPr>
          <w:p w:rsidR="00597370" w:rsidRDefault="003C2EEE">
            <w:pPr>
              <w:widowControl w:val="0"/>
              <w:jc w:val="right"/>
              <w:rPr>
                <w:sz w:val="18"/>
                <w:szCs w:val="18"/>
              </w:rPr>
            </w:pPr>
            <w:r>
              <w:rPr>
                <w:color w:val="000000"/>
                <w:sz w:val="18"/>
                <w:szCs w:val="18"/>
              </w:rPr>
              <w:t>24,491,642.47</w:t>
            </w:r>
          </w:p>
        </w:tc>
      </w:tr>
      <w:tr w:rsidR="00597370">
        <w:trPr>
          <w:trHeight w:val="397"/>
          <w:jc w:val="center"/>
        </w:trPr>
        <w:tc>
          <w:tcPr>
            <w:tcW w:w="825" w:type="pct"/>
            <w:shd w:val="clear" w:color="auto" w:fill="auto"/>
            <w:vAlign w:val="center"/>
          </w:tcPr>
          <w:p w:rsidR="00597370" w:rsidRDefault="003C2EEE">
            <w:pPr>
              <w:widowControl w:val="0"/>
            </w:pPr>
            <w:r>
              <w:t>按组合计提坏账准备</w:t>
            </w:r>
          </w:p>
        </w:tc>
        <w:tc>
          <w:tcPr>
            <w:tcW w:w="841" w:type="pct"/>
            <w:shd w:val="clear" w:color="auto" w:fill="auto"/>
            <w:vAlign w:val="center"/>
          </w:tcPr>
          <w:p w:rsidR="00597370" w:rsidRDefault="003C2EEE">
            <w:pPr>
              <w:widowControl w:val="0"/>
              <w:jc w:val="right"/>
              <w:rPr>
                <w:sz w:val="18"/>
                <w:szCs w:val="18"/>
              </w:rPr>
            </w:pPr>
            <w:r>
              <w:rPr>
                <w:sz w:val="18"/>
                <w:szCs w:val="18"/>
              </w:rPr>
              <w:t>1,588,111.49</w:t>
            </w:r>
          </w:p>
        </w:tc>
        <w:tc>
          <w:tcPr>
            <w:tcW w:w="711" w:type="pct"/>
            <w:shd w:val="clear" w:color="auto" w:fill="auto"/>
            <w:vAlign w:val="center"/>
          </w:tcPr>
          <w:p w:rsidR="00597370" w:rsidRDefault="003C2EEE">
            <w:pPr>
              <w:widowControl w:val="0"/>
              <w:jc w:val="right"/>
              <w:rPr>
                <w:sz w:val="18"/>
                <w:szCs w:val="18"/>
              </w:rPr>
            </w:pPr>
            <w:r>
              <w:rPr>
                <w:color w:val="000000"/>
                <w:sz w:val="18"/>
                <w:szCs w:val="18"/>
              </w:rPr>
              <w:t xml:space="preserve"> 996,608.68 </w:t>
            </w:r>
          </w:p>
        </w:tc>
        <w:tc>
          <w:tcPr>
            <w:tcW w:w="655" w:type="pct"/>
            <w:shd w:val="clear" w:color="auto" w:fill="auto"/>
            <w:vAlign w:val="center"/>
          </w:tcPr>
          <w:p w:rsidR="00597370" w:rsidRDefault="003C2EEE">
            <w:pPr>
              <w:widowControl w:val="0"/>
              <w:jc w:val="right"/>
              <w:rPr>
                <w:sz w:val="18"/>
                <w:szCs w:val="18"/>
              </w:rPr>
            </w:pPr>
            <w:r>
              <w:rPr>
                <w:color w:val="000000"/>
                <w:sz w:val="18"/>
                <w:szCs w:val="18"/>
              </w:rPr>
              <w:t xml:space="preserve"> 737,687.45 </w:t>
            </w:r>
          </w:p>
        </w:tc>
        <w:tc>
          <w:tcPr>
            <w:tcW w:w="417" w:type="pct"/>
            <w:vAlign w:val="center"/>
          </w:tcPr>
          <w:p w:rsidR="00597370" w:rsidRDefault="00597370">
            <w:pPr>
              <w:widowControl w:val="0"/>
              <w:jc w:val="right"/>
              <w:rPr>
                <w:sz w:val="18"/>
                <w:szCs w:val="18"/>
              </w:rPr>
            </w:pPr>
          </w:p>
        </w:tc>
        <w:tc>
          <w:tcPr>
            <w:tcW w:w="845" w:type="pct"/>
            <w:vAlign w:val="center"/>
          </w:tcPr>
          <w:p w:rsidR="00597370" w:rsidRDefault="003C2EEE">
            <w:pPr>
              <w:widowControl w:val="0"/>
              <w:jc w:val="right"/>
              <w:rPr>
                <w:sz w:val="18"/>
                <w:szCs w:val="18"/>
              </w:rPr>
            </w:pPr>
            <w:r>
              <w:rPr>
                <w:color w:val="000000"/>
                <w:sz w:val="18"/>
                <w:szCs w:val="18"/>
              </w:rPr>
              <w:t>489,827.37</w:t>
            </w:r>
          </w:p>
        </w:tc>
        <w:tc>
          <w:tcPr>
            <w:tcW w:w="702" w:type="pct"/>
            <w:shd w:val="clear" w:color="auto" w:fill="auto"/>
            <w:vAlign w:val="center"/>
          </w:tcPr>
          <w:p w:rsidR="00597370" w:rsidRDefault="003C2EEE">
            <w:pPr>
              <w:widowControl w:val="0"/>
              <w:jc w:val="right"/>
              <w:rPr>
                <w:sz w:val="18"/>
                <w:szCs w:val="18"/>
              </w:rPr>
            </w:pPr>
            <w:r>
              <w:rPr>
                <w:color w:val="000000"/>
                <w:sz w:val="18"/>
                <w:szCs w:val="18"/>
              </w:rPr>
              <w:t>2,336,860.09</w:t>
            </w:r>
          </w:p>
        </w:tc>
      </w:tr>
      <w:tr w:rsidR="00597370">
        <w:trPr>
          <w:trHeight w:val="397"/>
          <w:jc w:val="center"/>
        </w:trPr>
        <w:tc>
          <w:tcPr>
            <w:tcW w:w="825" w:type="pct"/>
            <w:shd w:val="clear" w:color="auto" w:fill="auto"/>
            <w:vAlign w:val="center"/>
          </w:tcPr>
          <w:p w:rsidR="00597370" w:rsidRDefault="003C2EEE">
            <w:pPr>
              <w:widowControl w:val="0"/>
              <w:rPr>
                <w:color w:val="000000" w:themeColor="text1"/>
              </w:rPr>
            </w:pPr>
            <w:r>
              <w:rPr>
                <w:rFonts w:hint="eastAsia"/>
                <w:color w:val="000000" w:themeColor="text1"/>
              </w:rPr>
              <w:t>合计</w:t>
            </w:r>
          </w:p>
        </w:tc>
        <w:tc>
          <w:tcPr>
            <w:tcW w:w="841" w:type="pct"/>
            <w:shd w:val="clear" w:color="auto" w:fill="auto"/>
            <w:vAlign w:val="center"/>
          </w:tcPr>
          <w:p w:rsidR="00597370" w:rsidRDefault="003C2EEE">
            <w:pPr>
              <w:widowControl w:val="0"/>
              <w:jc w:val="right"/>
              <w:rPr>
                <w:sz w:val="18"/>
                <w:szCs w:val="18"/>
              </w:rPr>
            </w:pPr>
            <w:r>
              <w:rPr>
                <w:sz w:val="18"/>
                <w:szCs w:val="18"/>
              </w:rPr>
              <w:t>1,888,111.49</w:t>
            </w:r>
          </w:p>
        </w:tc>
        <w:tc>
          <w:tcPr>
            <w:tcW w:w="711" w:type="pct"/>
            <w:shd w:val="clear" w:color="auto" w:fill="auto"/>
            <w:vAlign w:val="center"/>
          </w:tcPr>
          <w:p w:rsidR="00597370" w:rsidRDefault="003C2EEE">
            <w:pPr>
              <w:widowControl w:val="0"/>
              <w:jc w:val="right"/>
              <w:rPr>
                <w:sz w:val="18"/>
                <w:szCs w:val="18"/>
              </w:rPr>
            </w:pPr>
            <w:r>
              <w:rPr>
                <w:color w:val="000000"/>
                <w:sz w:val="18"/>
                <w:szCs w:val="18"/>
              </w:rPr>
              <w:t xml:space="preserve"> 1,002,608.68 </w:t>
            </w:r>
          </w:p>
        </w:tc>
        <w:tc>
          <w:tcPr>
            <w:tcW w:w="655" w:type="pct"/>
            <w:shd w:val="clear" w:color="auto" w:fill="auto"/>
            <w:vAlign w:val="center"/>
          </w:tcPr>
          <w:p w:rsidR="00597370" w:rsidRDefault="003C2EEE">
            <w:pPr>
              <w:widowControl w:val="0"/>
              <w:jc w:val="right"/>
              <w:rPr>
                <w:sz w:val="18"/>
                <w:szCs w:val="18"/>
              </w:rPr>
            </w:pPr>
            <w:r>
              <w:rPr>
                <w:color w:val="000000"/>
                <w:sz w:val="18"/>
                <w:szCs w:val="18"/>
              </w:rPr>
              <w:t xml:space="preserve"> 737,687.45 </w:t>
            </w:r>
          </w:p>
        </w:tc>
        <w:tc>
          <w:tcPr>
            <w:tcW w:w="417" w:type="pct"/>
            <w:vAlign w:val="center"/>
          </w:tcPr>
          <w:p w:rsidR="00597370" w:rsidRDefault="003C2EEE">
            <w:pPr>
              <w:widowControl w:val="0"/>
              <w:jc w:val="right"/>
              <w:rPr>
                <w:sz w:val="18"/>
                <w:szCs w:val="18"/>
              </w:rPr>
            </w:pPr>
            <w:r>
              <w:rPr>
                <w:color w:val="000000"/>
                <w:sz w:val="18"/>
                <w:szCs w:val="18"/>
              </w:rPr>
              <w:t xml:space="preserve">   </w:t>
            </w:r>
          </w:p>
        </w:tc>
        <w:tc>
          <w:tcPr>
            <w:tcW w:w="845" w:type="pct"/>
            <w:vAlign w:val="center"/>
          </w:tcPr>
          <w:p w:rsidR="00597370" w:rsidRDefault="003C2EEE">
            <w:pPr>
              <w:widowControl w:val="0"/>
              <w:jc w:val="right"/>
              <w:rPr>
                <w:sz w:val="18"/>
                <w:szCs w:val="18"/>
              </w:rPr>
            </w:pPr>
            <w:r>
              <w:rPr>
                <w:color w:val="000000"/>
                <w:sz w:val="18"/>
                <w:szCs w:val="18"/>
              </w:rPr>
              <w:t>24,675,469.84</w:t>
            </w:r>
          </w:p>
        </w:tc>
        <w:tc>
          <w:tcPr>
            <w:tcW w:w="702" w:type="pct"/>
            <w:shd w:val="clear" w:color="auto" w:fill="auto"/>
            <w:vAlign w:val="center"/>
          </w:tcPr>
          <w:p w:rsidR="00597370" w:rsidRDefault="003C2EEE">
            <w:pPr>
              <w:widowControl w:val="0"/>
              <w:jc w:val="right"/>
              <w:rPr>
                <w:sz w:val="18"/>
                <w:szCs w:val="18"/>
              </w:rPr>
            </w:pPr>
            <w:r>
              <w:rPr>
                <w:color w:val="000000"/>
                <w:sz w:val="18"/>
                <w:szCs w:val="18"/>
              </w:rPr>
              <w:t>26,828,502.56</w:t>
            </w:r>
          </w:p>
        </w:tc>
      </w:tr>
    </w:tbl>
    <w:p w:rsidR="00597370" w:rsidRDefault="00597370">
      <w:pPr>
        <w:rPr>
          <w:color w:val="000000" w:themeColor="text1"/>
        </w:rPr>
      </w:pPr>
    </w:p>
    <w:p w:rsidR="00597370" w:rsidRDefault="003C2EEE">
      <w:pPr>
        <w:rPr>
          <w:color w:val="000000" w:themeColor="text1"/>
        </w:rPr>
      </w:pPr>
      <w:bookmarkStart w:id="217" w:name="_Hlk167890685"/>
      <w:bookmarkStart w:id="218" w:name="_Hlk154157836"/>
      <w:r>
        <w:rPr>
          <w:rFonts w:hint="eastAsia"/>
          <w:color w:val="000000" w:themeColor="text1"/>
        </w:rPr>
        <w:t>其中本期坏账准备转回或收回金额重要的：</w:t>
      </w:r>
    </w:p>
    <w:sdt>
      <w:sdtPr>
        <w:rPr>
          <w:color w:val="000000" w:themeColor="text1"/>
        </w:rPr>
        <w:alias w:val="是否适用：其中本期其他应收账款坏账准备收回或转回金额重要的[双击切换]"/>
        <w:tag w:val="_GBC_eff381ff9a444ac19dde18c443ef3ff1"/>
        <w:id w:val="173558214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其他应收款坏账准备情况的说明"/>
        <w:tag w:val="_GBC_11748f5205eb4dda805c8e59fe7ff0df"/>
        <w:id w:val="1153331495"/>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bookmarkEnd w:id="216"/>
    <w:bookmarkEnd w:id="217"/>
    <w:bookmarkEnd w:id="218"/>
    <w:p w:rsidR="00597370" w:rsidRDefault="003C2EEE">
      <w:pPr>
        <w:pStyle w:val="Style110"/>
        <w:numPr>
          <w:ilvl w:val="3"/>
          <w:numId w:val="54"/>
        </w:numPr>
        <w:tabs>
          <w:tab w:val="left" w:pos="560"/>
        </w:tabs>
        <w:rPr>
          <w:rFonts w:ascii="宋体" w:hAnsi="宋体"/>
          <w:color w:val="000000" w:themeColor="text1"/>
        </w:rPr>
      </w:pPr>
      <w:r>
        <w:rPr>
          <w:rFonts w:ascii="宋体" w:hAnsi="宋体" w:hint="eastAsia"/>
          <w:color w:val="000000" w:themeColor="text1"/>
        </w:rPr>
        <w:t>本期实际核销的其他应收款情况</w:t>
      </w:r>
    </w:p>
    <w:sdt>
      <w:sdtPr>
        <w:rPr>
          <w:color w:val="000000" w:themeColor="text1"/>
        </w:rPr>
        <w:alias w:val="是否适用：本期实际核销的其他应收款情况[双击切换]"/>
        <w:tag w:val="_GBC_99c0ad513e2447ba8b2267c169be5583"/>
        <w:id w:val="126249866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其中重要的其他应收款核销情况：</w:t>
      </w:r>
    </w:p>
    <w:sdt>
      <w:sdtPr>
        <w:rPr>
          <w:color w:val="000000" w:themeColor="text1"/>
        </w:rPr>
        <w:alias w:val="是否适用：其中重要的其他应收款核销情况[双击切换]"/>
        <w:tag w:val="_GBC_18f34d9f47f24d07986c3f3568dd2c70"/>
        <w:id w:val="-33530361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其他应收款核销说明：</w:t>
      </w:r>
    </w:p>
    <w:sdt>
      <w:sdtPr>
        <w:rPr>
          <w:b/>
          <w:color w:val="000000" w:themeColor="text1"/>
        </w:rPr>
        <w:alias w:val="是否适用：其他应收款冲销坏帐明细的说明[双击切换]"/>
        <w:tag w:val="_GBC_04f9a50bf0244ec4a466448325e84289"/>
        <w:id w:val="-1220431884"/>
        <w:placeholder>
          <w:docPart w:val="GBC22222222222222222222222222222"/>
        </w:placeholder>
      </w:sdtPr>
      <w:sdtEndPr>
        <w:rPr>
          <w:b w:val="0"/>
        </w:r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4"/>
        </w:numPr>
        <w:tabs>
          <w:tab w:val="left" w:pos="560"/>
        </w:tabs>
        <w:rPr>
          <w:rFonts w:ascii="宋体" w:hAnsi="宋体"/>
          <w:color w:val="000000" w:themeColor="text1"/>
        </w:rPr>
      </w:pPr>
      <w:r>
        <w:rPr>
          <w:rFonts w:ascii="宋体" w:hAnsi="宋体" w:hint="eastAsia"/>
          <w:color w:val="000000" w:themeColor="text1"/>
        </w:rPr>
        <w:t>按欠款方归集的期末余额前五名的其他应收款情况</w:t>
      </w:r>
    </w:p>
    <w:sdt>
      <w:sdtPr>
        <w:rPr>
          <w:color w:val="000000" w:themeColor="text1"/>
        </w:rPr>
        <w:alias w:val="是否适用：按欠款方归集的期末余额前五名的其他应收款情况[双击切换]"/>
        <w:tag w:val="_GBC_1ad831584f90441b93cce7d9b7baa3c9"/>
        <w:id w:val="174120538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其他应收账款前五名欠款情况"/>
          <w:tag w:val="_GBC_1f85b3036b0644cbaf6c33311b7f159d"/>
          <w:id w:val="-18707548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其他应收账款前五名欠款情况"/>
          <w:tag w:val="_GBC_bc5cf48306144a92af62fef51b293c5a"/>
          <w:id w:val="-124887956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31" w:type="dxa"/>
        </w:tblCellMar>
        <w:tblLook w:val="04A0" w:firstRow="1" w:lastRow="0" w:firstColumn="1" w:lastColumn="0" w:noHBand="0" w:noVBand="1"/>
      </w:tblPr>
      <w:tblGrid>
        <w:gridCol w:w="1838"/>
        <w:gridCol w:w="1701"/>
        <w:gridCol w:w="1188"/>
        <w:gridCol w:w="1269"/>
        <w:gridCol w:w="1242"/>
        <w:gridCol w:w="1585"/>
      </w:tblGrid>
      <w:tr w:rsidR="00597370">
        <w:trPr>
          <w:cantSplit/>
          <w:trHeight w:val="397"/>
          <w:jc w:val="center"/>
        </w:trPr>
        <w:sdt>
          <w:sdtPr>
            <w:rPr>
              <w:color w:val="000000" w:themeColor="text1"/>
            </w:rPr>
            <w:tag w:val="_PLD_6d371f7abd044db6abe05c7f74810d89"/>
            <w:id w:val="1317070509"/>
          </w:sdtPr>
          <w:sdtEndPr/>
          <w:sdtContent>
            <w:tc>
              <w:tcPr>
                <w:tcW w:w="1042" w:type="pct"/>
                <w:vAlign w:val="center"/>
              </w:tcPr>
              <w:p w:rsidR="00597370" w:rsidRDefault="003C2EEE">
                <w:pPr>
                  <w:ind w:right="105"/>
                  <w:jc w:val="center"/>
                  <w:rPr>
                    <w:color w:val="000000" w:themeColor="text1"/>
                  </w:rPr>
                </w:pPr>
                <w:r>
                  <w:rPr>
                    <w:rFonts w:hint="eastAsia"/>
                    <w:color w:val="000000" w:themeColor="text1"/>
                  </w:rPr>
                  <w:t>单位名称</w:t>
                </w:r>
              </w:p>
            </w:tc>
          </w:sdtContent>
        </w:sdt>
        <w:sdt>
          <w:sdtPr>
            <w:rPr>
              <w:color w:val="000000" w:themeColor="text1"/>
            </w:rPr>
            <w:tag w:val="_PLD_9561b3d624ee40c28568fb322a981ebc"/>
            <w:id w:val="-477150444"/>
          </w:sdtPr>
          <w:sdtEndPr/>
          <w:sdtContent>
            <w:tc>
              <w:tcPr>
                <w:tcW w:w="964" w:type="pct"/>
                <w:vAlign w:val="center"/>
              </w:tcPr>
              <w:p w:rsidR="00597370" w:rsidRDefault="003C2EEE">
                <w:pPr>
                  <w:ind w:right="73"/>
                  <w:jc w:val="center"/>
                  <w:rPr>
                    <w:color w:val="000000" w:themeColor="text1"/>
                  </w:rPr>
                </w:pPr>
                <w:r>
                  <w:rPr>
                    <w:rFonts w:hint="eastAsia"/>
                    <w:color w:val="000000" w:themeColor="text1"/>
                  </w:rPr>
                  <w:t>期末余额</w:t>
                </w:r>
              </w:p>
            </w:tc>
          </w:sdtContent>
        </w:sdt>
        <w:sdt>
          <w:sdtPr>
            <w:rPr>
              <w:color w:val="000000" w:themeColor="text1"/>
            </w:rPr>
            <w:tag w:val="_PLD_e2774c827e314521821234a0e399c2c1"/>
            <w:id w:val="-1180897552"/>
          </w:sdtPr>
          <w:sdtEndPr/>
          <w:sdtContent>
            <w:tc>
              <w:tcPr>
                <w:tcW w:w="673" w:type="pct"/>
                <w:vAlign w:val="center"/>
              </w:tcPr>
              <w:p w:rsidR="00597370" w:rsidRDefault="003C2EEE">
                <w:pPr>
                  <w:jc w:val="center"/>
                  <w:rPr>
                    <w:color w:val="000000" w:themeColor="text1"/>
                  </w:rPr>
                </w:pPr>
                <w:r>
                  <w:rPr>
                    <w:rFonts w:hint="eastAsia"/>
                    <w:color w:val="000000" w:themeColor="text1"/>
                  </w:rPr>
                  <w:t>占其他应收款期末余额合计数的比例(</w:t>
                </w:r>
                <w:r>
                  <w:rPr>
                    <w:color w:val="000000" w:themeColor="text1"/>
                  </w:rPr>
                  <w:t>%)</w:t>
                </w:r>
              </w:p>
            </w:tc>
          </w:sdtContent>
        </w:sdt>
        <w:sdt>
          <w:sdtPr>
            <w:rPr>
              <w:color w:val="000000" w:themeColor="text1"/>
            </w:rPr>
            <w:tag w:val="_PLD_538171446ab849ca976672ecf5055c60"/>
            <w:id w:val="-1823036275"/>
          </w:sdtPr>
          <w:sdtEndPr/>
          <w:sdtContent>
            <w:tc>
              <w:tcPr>
                <w:tcW w:w="719" w:type="pct"/>
                <w:vAlign w:val="center"/>
              </w:tcPr>
              <w:p w:rsidR="00597370" w:rsidRDefault="003C2EEE">
                <w:pPr>
                  <w:ind w:right="73"/>
                  <w:jc w:val="center"/>
                  <w:rPr>
                    <w:color w:val="000000" w:themeColor="text1"/>
                  </w:rPr>
                </w:pPr>
                <w:r>
                  <w:rPr>
                    <w:rFonts w:hint="eastAsia"/>
                    <w:color w:val="000000" w:themeColor="text1"/>
                  </w:rPr>
                  <w:t>款项的性质</w:t>
                </w:r>
              </w:p>
            </w:tc>
          </w:sdtContent>
        </w:sdt>
        <w:sdt>
          <w:sdtPr>
            <w:rPr>
              <w:color w:val="000000" w:themeColor="text1"/>
            </w:rPr>
            <w:tag w:val="_PLD_a97392b37d5d4c709a23cfdece48161b"/>
            <w:id w:val="91667198"/>
          </w:sdtPr>
          <w:sdtEndPr/>
          <w:sdtContent>
            <w:tc>
              <w:tcPr>
                <w:tcW w:w="704" w:type="pct"/>
                <w:vAlign w:val="center"/>
              </w:tcPr>
              <w:p w:rsidR="00597370" w:rsidRDefault="003C2EEE">
                <w:pPr>
                  <w:ind w:right="73"/>
                  <w:jc w:val="center"/>
                  <w:rPr>
                    <w:color w:val="000000" w:themeColor="text1"/>
                  </w:rPr>
                </w:pPr>
                <w:r>
                  <w:rPr>
                    <w:rFonts w:hint="eastAsia"/>
                    <w:color w:val="000000" w:themeColor="text1"/>
                  </w:rPr>
                  <w:t>账龄</w:t>
                </w:r>
              </w:p>
            </w:tc>
          </w:sdtContent>
        </w:sdt>
        <w:sdt>
          <w:sdtPr>
            <w:rPr>
              <w:color w:val="000000" w:themeColor="text1"/>
            </w:rPr>
            <w:tag w:val="_PLD_ac7ac1a39d1a46eb9269fc6979d54f6f"/>
            <w:id w:val="203844324"/>
          </w:sdtPr>
          <w:sdtEndPr/>
          <w:sdtContent>
            <w:tc>
              <w:tcPr>
                <w:tcW w:w="898" w:type="pct"/>
                <w:vAlign w:val="center"/>
              </w:tcPr>
              <w:p w:rsidR="00597370" w:rsidRDefault="003C2EEE">
                <w:pPr>
                  <w:jc w:val="center"/>
                  <w:rPr>
                    <w:color w:val="000000" w:themeColor="text1"/>
                  </w:rPr>
                </w:pPr>
                <w:r>
                  <w:rPr>
                    <w:rFonts w:hint="eastAsia"/>
                    <w:color w:val="000000" w:themeColor="text1"/>
                  </w:rPr>
                  <w:t>坏账准备</w:t>
                </w:r>
              </w:p>
              <w:p w:rsidR="00597370" w:rsidRDefault="003C2EEE">
                <w:pPr>
                  <w:jc w:val="center"/>
                  <w:rPr>
                    <w:color w:val="000000" w:themeColor="text1"/>
                  </w:rPr>
                </w:pPr>
                <w:r>
                  <w:rPr>
                    <w:rFonts w:hint="eastAsia"/>
                    <w:color w:val="000000" w:themeColor="text1"/>
                  </w:rPr>
                  <w:t>期末余额</w:t>
                </w:r>
              </w:p>
            </w:tc>
          </w:sdtContent>
        </w:sdt>
      </w:tr>
      <w:tr w:rsidR="00597370">
        <w:trPr>
          <w:cantSplit/>
          <w:trHeight w:val="397"/>
          <w:jc w:val="center"/>
        </w:trPr>
        <w:tc>
          <w:tcPr>
            <w:tcW w:w="1042" w:type="pct"/>
            <w:vAlign w:val="center"/>
          </w:tcPr>
          <w:p w:rsidR="00597370" w:rsidRDefault="003C2EEE">
            <w:pPr>
              <w:ind w:right="105"/>
              <w:jc w:val="both"/>
            </w:pPr>
            <w:r>
              <w:rPr>
                <w:rFonts w:hint="eastAsia"/>
                <w:color w:val="000000"/>
              </w:rPr>
              <w:t xml:space="preserve"> 其他应收款款余额前五名单位1 </w:t>
            </w:r>
          </w:p>
        </w:tc>
        <w:tc>
          <w:tcPr>
            <w:tcW w:w="964" w:type="pct"/>
            <w:vAlign w:val="center"/>
          </w:tcPr>
          <w:p w:rsidR="00597370" w:rsidRDefault="003C2EEE">
            <w:pPr>
              <w:ind w:right="73"/>
              <w:jc w:val="right"/>
            </w:pPr>
            <w:r>
              <w:rPr>
                <w:rFonts w:hint="eastAsia"/>
                <w:color w:val="000000"/>
              </w:rPr>
              <w:t xml:space="preserve"> 128,226,000.00 </w:t>
            </w:r>
          </w:p>
        </w:tc>
        <w:tc>
          <w:tcPr>
            <w:tcW w:w="673" w:type="pct"/>
            <w:vAlign w:val="bottom"/>
          </w:tcPr>
          <w:p w:rsidR="00597370" w:rsidRDefault="003C2EEE">
            <w:pPr>
              <w:jc w:val="right"/>
            </w:pPr>
            <w:r>
              <w:rPr>
                <w:rFonts w:hint="eastAsia"/>
                <w:color w:val="000000"/>
              </w:rPr>
              <w:t xml:space="preserve"> 69.65 </w:t>
            </w:r>
          </w:p>
        </w:tc>
        <w:tc>
          <w:tcPr>
            <w:tcW w:w="719" w:type="pct"/>
            <w:vAlign w:val="center"/>
          </w:tcPr>
          <w:p w:rsidR="00597370" w:rsidRDefault="003C2EEE">
            <w:pPr>
              <w:ind w:right="73"/>
              <w:jc w:val="center"/>
            </w:pPr>
            <w:r>
              <w:rPr>
                <w:rFonts w:hint="eastAsia"/>
                <w:color w:val="000000"/>
              </w:rPr>
              <w:t>往来及其他</w:t>
            </w:r>
          </w:p>
        </w:tc>
        <w:tc>
          <w:tcPr>
            <w:tcW w:w="704" w:type="pct"/>
            <w:vAlign w:val="center"/>
          </w:tcPr>
          <w:p w:rsidR="00597370" w:rsidRDefault="003C2EEE">
            <w:pPr>
              <w:ind w:right="73"/>
            </w:pPr>
            <w:r>
              <w:rPr>
                <w:rFonts w:hint="eastAsia"/>
                <w:color w:val="000000"/>
              </w:rPr>
              <w:t>1-2年</w:t>
            </w:r>
          </w:p>
        </w:tc>
        <w:tc>
          <w:tcPr>
            <w:tcW w:w="898" w:type="pct"/>
            <w:vAlign w:val="center"/>
          </w:tcPr>
          <w:p w:rsidR="00597370" w:rsidRDefault="003C2EEE">
            <w:pPr>
              <w:jc w:val="right"/>
            </w:pPr>
            <w:r>
              <w:rPr>
                <w:rFonts w:hint="eastAsia"/>
                <w:color w:val="000000"/>
              </w:rPr>
              <w:t xml:space="preserve"> 24,185,642.47 </w:t>
            </w:r>
          </w:p>
        </w:tc>
      </w:tr>
      <w:tr w:rsidR="00597370">
        <w:trPr>
          <w:cantSplit/>
          <w:trHeight w:val="397"/>
          <w:jc w:val="center"/>
        </w:trPr>
        <w:tc>
          <w:tcPr>
            <w:tcW w:w="1042" w:type="pct"/>
            <w:vAlign w:val="center"/>
          </w:tcPr>
          <w:p w:rsidR="00597370" w:rsidRDefault="003C2EEE">
            <w:pPr>
              <w:ind w:right="105"/>
              <w:jc w:val="both"/>
              <w:rPr>
                <w:color w:val="000000"/>
              </w:rPr>
            </w:pPr>
            <w:r>
              <w:rPr>
                <w:rFonts w:hint="eastAsia"/>
                <w:color w:val="000000"/>
              </w:rPr>
              <w:t xml:space="preserve"> 其他应收款款余额前五名单位2 </w:t>
            </w:r>
          </w:p>
        </w:tc>
        <w:tc>
          <w:tcPr>
            <w:tcW w:w="964" w:type="pct"/>
            <w:vAlign w:val="center"/>
          </w:tcPr>
          <w:p w:rsidR="00597370" w:rsidRDefault="003C2EEE">
            <w:pPr>
              <w:ind w:right="73"/>
              <w:jc w:val="right"/>
              <w:rPr>
                <w:color w:val="000000"/>
              </w:rPr>
            </w:pPr>
            <w:r>
              <w:rPr>
                <w:rFonts w:hint="eastAsia"/>
                <w:color w:val="000000"/>
              </w:rPr>
              <w:t xml:space="preserve"> 28,033,885.78 </w:t>
            </w:r>
          </w:p>
        </w:tc>
        <w:tc>
          <w:tcPr>
            <w:tcW w:w="673" w:type="pct"/>
            <w:vAlign w:val="bottom"/>
          </w:tcPr>
          <w:p w:rsidR="00597370" w:rsidRDefault="003C2EEE">
            <w:pPr>
              <w:jc w:val="right"/>
              <w:rPr>
                <w:color w:val="000000"/>
              </w:rPr>
            </w:pPr>
            <w:r>
              <w:rPr>
                <w:rFonts w:hint="eastAsia"/>
                <w:color w:val="000000"/>
              </w:rPr>
              <w:t xml:space="preserve"> 15.23 </w:t>
            </w:r>
          </w:p>
        </w:tc>
        <w:tc>
          <w:tcPr>
            <w:tcW w:w="719" w:type="pct"/>
            <w:vAlign w:val="center"/>
          </w:tcPr>
          <w:p w:rsidR="00597370" w:rsidRDefault="003C2EEE">
            <w:pPr>
              <w:ind w:right="73"/>
              <w:jc w:val="center"/>
              <w:rPr>
                <w:color w:val="000000"/>
              </w:rPr>
            </w:pPr>
            <w:r>
              <w:rPr>
                <w:rFonts w:hint="eastAsia"/>
                <w:color w:val="000000"/>
              </w:rPr>
              <w:t>往来及其他</w:t>
            </w:r>
          </w:p>
        </w:tc>
        <w:tc>
          <w:tcPr>
            <w:tcW w:w="704" w:type="pct"/>
            <w:vAlign w:val="center"/>
          </w:tcPr>
          <w:p w:rsidR="00597370" w:rsidRDefault="003C2EEE">
            <w:pPr>
              <w:ind w:right="73"/>
              <w:rPr>
                <w:color w:val="000000"/>
              </w:rPr>
            </w:pPr>
            <w:r>
              <w:rPr>
                <w:rFonts w:hint="eastAsia"/>
                <w:color w:val="000000"/>
              </w:rPr>
              <w:t>1年以内</w:t>
            </w:r>
          </w:p>
        </w:tc>
        <w:tc>
          <w:tcPr>
            <w:tcW w:w="898" w:type="pct"/>
            <w:vAlign w:val="center"/>
          </w:tcPr>
          <w:p w:rsidR="00597370" w:rsidRDefault="00597370">
            <w:pPr>
              <w:jc w:val="right"/>
              <w:rPr>
                <w:color w:val="000000"/>
              </w:rPr>
            </w:pPr>
          </w:p>
        </w:tc>
      </w:tr>
      <w:tr w:rsidR="00597370">
        <w:trPr>
          <w:cantSplit/>
          <w:trHeight w:val="397"/>
          <w:jc w:val="center"/>
        </w:trPr>
        <w:tc>
          <w:tcPr>
            <w:tcW w:w="1042" w:type="pct"/>
            <w:vAlign w:val="center"/>
          </w:tcPr>
          <w:p w:rsidR="00597370" w:rsidRDefault="003C2EEE">
            <w:pPr>
              <w:ind w:right="105"/>
              <w:jc w:val="both"/>
            </w:pPr>
            <w:r>
              <w:rPr>
                <w:rFonts w:hint="eastAsia"/>
                <w:color w:val="000000"/>
              </w:rPr>
              <w:t xml:space="preserve"> 其他应收款款余额前五名单位3 </w:t>
            </w:r>
          </w:p>
        </w:tc>
        <w:tc>
          <w:tcPr>
            <w:tcW w:w="964" w:type="pct"/>
            <w:vAlign w:val="center"/>
          </w:tcPr>
          <w:p w:rsidR="00597370" w:rsidRDefault="003C2EEE">
            <w:pPr>
              <w:ind w:right="73"/>
              <w:jc w:val="right"/>
            </w:pPr>
            <w:r>
              <w:rPr>
                <w:rFonts w:hint="eastAsia"/>
                <w:color w:val="000000"/>
              </w:rPr>
              <w:t xml:space="preserve"> 1,805,099.49 </w:t>
            </w:r>
          </w:p>
        </w:tc>
        <w:tc>
          <w:tcPr>
            <w:tcW w:w="673" w:type="pct"/>
            <w:vAlign w:val="bottom"/>
          </w:tcPr>
          <w:p w:rsidR="00597370" w:rsidRDefault="003C2EEE">
            <w:pPr>
              <w:jc w:val="right"/>
            </w:pPr>
            <w:r>
              <w:rPr>
                <w:rFonts w:hint="eastAsia"/>
                <w:color w:val="000000"/>
              </w:rPr>
              <w:t xml:space="preserve"> 0.98 </w:t>
            </w:r>
          </w:p>
        </w:tc>
        <w:tc>
          <w:tcPr>
            <w:tcW w:w="719" w:type="pct"/>
            <w:vAlign w:val="center"/>
          </w:tcPr>
          <w:p w:rsidR="00597370" w:rsidRDefault="003C2EEE">
            <w:pPr>
              <w:ind w:right="73"/>
              <w:jc w:val="center"/>
            </w:pPr>
            <w:r>
              <w:rPr>
                <w:rFonts w:hint="eastAsia"/>
                <w:color w:val="000000"/>
              </w:rPr>
              <w:t>往来及其他</w:t>
            </w:r>
          </w:p>
        </w:tc>
        <w:tc>
          <w:tcPr>
            <w:tcW w:w="704" w:type="pct"/>
            <w:vAlign w:val="center"/>
          </w:tcPr>
          <w:p w:rsidR="00597370" w:rsidRDefault="003C2EEE">
            <w:pPr>
              <w:ind w:right="73"/>
            </w:pPr>
            <w:r>
              <w:rPr>
                <w:rFonts w:hint="eastAsia"/>
                <w:color w:val="000000"/>
              </w:rPr>
              <w:t>1年以内</w:t>
            </w:r>
          </w:p>
        </w:tc>
        <w:tc>
          <w:tcPr>
            <w:tcW w:w="898" w:type="pct"/>
            <w:vAlign w:val="center"/>
          </w:tcPr>
          <w:p w:rsidR="00597370" w:rsidRDefault="003C2EEE">
            <w:pPr>
              <w:jc w:val="right"/>
            </w:pPr>
            <w:r>
              <w:rPr>
                <w:rFonts w:hint="eastAsia"/>
                <w:color w:val="000000"/>
              </w:rPr>
              <w:t xml:space="preserve"> 90,254.97 </w:t>
            </w:r>
          </w:p>
        </w:tc>
      </w:tr>
      <w:tr w:rsidR="00597370">
        <w:trPr>
          <w:cantSplit/>
          <w:trHeight w:val="397"/>
          <w:jc w:val="center"/>
        </w:trPr>
        <w:tc>
          <w:tcPr>
            <w:tcW w:w="1042" w:type="pct"/>
            <w:vAlign w:val="center"/>
          </w:tcPr>
          <w:p w:rsidR="00597370" w:rsidRDefault="003C2EEE">
            <w:pPr>
              <w:ind w:right="105"/>
              <w:jc w:val="both"/>
            </w:pPr>
            <w:r>
              <w:rPr>
                <w:rFonts w:hint="eastAsia"/>
                <w:color w:val="000000"/>
              </w:rPr>
              <w:t xml:space="preserve"> 其他应收款款余额前五名单位4 </w:t>
            </w:r>
          </w:p>
        </w:tc>
        <w:tc>
          <w:tcPr>
            <w:tcW w:w="964" w:type="pct"/>
            <w:vAlign w:val="center"/>
          </w:tcPr>
          <w:p w:rsidR="00597370" w:rsidRDefault="003C2EEE">
            <w:pPr>
              <w:ind w:right="73"/>
              <w:jc w:val="right"/>
            </w:pPr>
            <w:r>
              <w:rPr>
                <w:rFonts w:hint="eastAsia"/>
                <w:color w:val="000000"/>
              </w:rPr>
              <w:t xml:space="preserve"> 1,600,000.00 </w:t>
            </w:r>
          </w:p>
        </w:tc>
        <w:tc>
          <w:tcPr>
            <w:tcW w:w="673" w:type="pct"/>
            <w:vAlign w:val="bottom"/>
          </w:tcPr>
          <w:p w:rsidR="00597370" w:rsidRDefault="003C2EEE">
            <w:pPr>
              <w:jc w:val="right"/>
            </w:pPr>
            <w:r>
              <w:rPr>
                <w:rFonts w:hint="eastAsia"/>
                <w:color w:val="000000"/>
              </w:rPr>
              <w:t xml:space="preserve"> 0.87 </w:t>
            </w:r>
          </w:p>
        </w:tc>
        <w:tc>
          <w:tcPr>
            <w:tcW w:w="719" w:type="pct"/>
            <w:vAlign w:val="center"/>
          </w:tcPr>
          <w:p w:rsidR="00597370" w:rsidRDefault="003C2EEE">
            <w:pPr>
              <w:ind w:right="73"/>
              <w:jc w:val="center"/>
            </w:pPr>
            <w:r>
              <w:rPr>
                <w:rFonts w:hint="eastAsia"/>
                <w:color w:val="000000"/>
              </w:rPr>
              <w:t>往来及其他</w:t>
            </w:r>
          </w:p>
        </w:tc>
        <w:tc>
          <w:tcPr>
            <w:tcW w:w="704" w:type="pct"/>
            <w:vAlign w:val="center"/>
          </w:tcPr>
          <w:p w:rsidR="00597370" w:rsidRDefault="003C2EEE">
            <w:pPr>
              <w:ind w:right="73"/>
            </w:pPr>
            <w:r>
              <w:rPr>
                <w:rFonts w:hint="eastAsia"/>
                <w:color w:val="000000"/>
              </w:rPr>
              <w:t>1年以内</w:t>
            </w:r>
          </w:p>
        </w:tc>
        <w:tc>
          <w:tcPr>
            <w:tcW w:w="898" w:type="pct"/>
            <w:vAlign w:val="center"/>
          </w:tcPr>
          <w:p w:rsidR="00597370" w:rsidRDefault="003C2EEE">
            <w:pPr>
              <w:jc w:val="right"/>
            </w:pPr>
            <w:r>
              <w:rPr>
                <w:rFonts w:hint="eastAsia"/>
                <w:color w:val="000000"/>
              </w:rPr>
              <w:t xml:space="preserve"> 80,000.00 </w:t>
            </w:r>
          </w:p>
        </w:tc>
      </w:tr>
      <w:tr w:rsidR="00597370">
        <w:trPr>
          <w:cantSplit/>
          <w:trHeight w:val="397"/>
          <w:jc w:val="center"/>
        </w:trPr>
        <w:tc>
          <w:tcPr>
            <w:tcW w:w="1042" w:type="pct"/>
            <w:vAlign w:val="center"/>
          </w:tcPr>
          <w:p w:rsidR="00597370" w:rsidRDefault="003C2EEE">
            <w:pPr>
              <w:ind w:right="105"/>
              <w:jc w:val="both"/>
            </w:pPr>
            <w:r>
              <w:rPr>
                <w:rFonts w:hint="eastAsia"/>
                <w:color w:val="000000"/>
              </w:rPr>
              <w:t xml:space="preserve"> 其他应收款款余额前五名单位5 </w:t>
            </w:r>
          </w:p>
        </w:tc>
        <w:tc>
          <w:tcPr>
            <w:tcW w:w="964" w:type="pct"/>
            <w:vAlign w:val="center"/>
          </w:tcPr>
          <w:p w:rsidR="00597370" w:rsidRDefault="003C2EEE">
            <w:pPr>
              <w:ind w:right="73"/>
              <w:jc w:val="right"/>
            </w:pPr>
            <w:r>
              <w:rPr>
                <w:rFonts w:hint="eastAsia"/>
                <w:color w:val="000000"/>
              </w:rPr>
              <w:t xml:space="preserve"> 1,570,175.00 </w:t>
            </w:r>
          </w:p>
        </w:tc>
        <w:tc>
          <w:tcPr>
            <w:tcW w:w="673" w:type="pct"/>
            <w:vAlign w:val="bottom"/>
          </w:tcPr>
          <w:p w:rsidR="00597370" w:rsidRDefault="003C2EEE">
            <w:pPr>
              <w:jc w:val="right"/>
            </w:pPr>
            <w:r>
              <w:rPr>
                <w:rFonts w:hint="eastAsia"/>
                <w:color w:val="000000"/>
              </w:rPr>
              <w:t xml:space="preserve"> 0.85 </w:t>
            </w:r>
          </w:p>
        </w:tc>
        <w:tc>
          <w:tcPr>
            <w:tcW w:w="719" w:type="pct"/>
            <w:vAlign w:val="center"/>
          </w:tcPr>
          <w:p w:rsidR="00597370" w:rsidRDefault="003C2EEE">
            <w:pPr>
              <w:ind w:right="73"/>
              <w:jc w:val="center"/>
            </w:pPr>
            <w:r>
              <w:rPr>
                <w:rFonts w:hint="eastAsia"/>
                <w:color w:val="000000"/>
              </w:rPr>
              <w:t>保证金、押金</w:t>
            </w:r>
          </w:p>
        </w:tc>
        <w:tc>
          <w:tcPr>
            <w:tcW w:w="704" w:type="pct"/>
            <w:vAlign w:val="center"/>
          </w:tcPr>
          <w:p w:rsidR="00597370" w:rsidRDefault="003C2EEE">
            <w:pPr>
              <w:ind w:right="73"/>
            </w:pPr>
            <w:r>
              <w:rPr>
                <w:rFonts w:hint="eastAsia"/>
                <w:color w:val="000000"/>
              </w:rPr>
              <w:t>1年以内</w:t>
            </w:r>
          </w:p>
        </w:tc>
        <w:tc>
          <w:tcPr>
            <w:tcW w:w="898" w:type="pct"/>
            <w:vAlign w:val="center"/>
          </w:tcPr>
          <w:p w:rsidR="00597370" w:rsidRDefault="003C2EEE">
            <w:pPr>
              <w:jc w:val="right"/>
            </w:pPr>
            <w:r>
              <w:rPr>
                <w:rFonts w:hint="eastAsia"/>
                <w:color w:val="000000"/>
              </w:rPr>
              <w:t xml:space="preserve"> 78,508.75 </w:t>
            </w:r>
          </w:p>
        </w:tc>
      </w:tr>
      <w:tr w:rsidR="00597370">
        <w:trPr>
          <w:cantSplit/>
          <w:trHeight w:val="397"/>
          <w:jc w:val="center"/>
        </w:trPr>
        <w:tc>
          <w:tcPr>
            <w:tcW w:w="1042" w:type="pct"/>
            <w:vAlign w:val="center"/>
          </w:tcPr>
          <w:p w:rsidR="00597370" w:rsidRDefault="003C2EEE">
            <w:pPr>
              <w:ind w:right="105"/>
              <w:jc w:val="both"/>
              <w:rPr>
                <w:color w:val="000000" w:themeColor="text1"/>
              </w:rPr>
            </w:pPr>
            <w:r>
              <w:rPr>
                <w:rFonts w:hint="eastAsia"/>
                <w:color w:val="000000"/>
              </w:rPr>
              <w:t>合计</w:t>
            </w:r>
          </w:p>
        </w:tc>
        <w:tc>
          <w:tcPr>
            <w:tcW w:w="964" w:type="pct"/>
            <w:vAlign w:val="center"/>
          </w:tcPr>
          <w:p w:rsidR="00597370" w:rsidRDefault="003C2EEE">
            <w:pPr>
              <w:ind w:right="73"/>
              <w:jc w:val="right"/>
            </w:pPr>
            <w:r>
              <w:rPr>
                <w:color w:val="000000"/>
              </w:rPr>
              <w:t>161,235,160.27</w:t>
            </w:r>
          </w:p>
        </w:tc>
        <w:tc>
          <w:tcPr>
            <w:tcW w:w="673" w:type="pct"/>
            <w:vAlign w:val="center"/>
          </w:tcPr>
          <w:p w:rsidR="00597370" w:rsidRDefault="003C2EEE">
            <w:pPr>
              <w:jc w:val="right"/>
            </w:pPr>
            <w:r>
              <w:rPr>
                <w:color w:val="000000"/>
              </w:rPr>
              <w:t>87.57</w:t>
            </w:r>
          </w:p>
        </w:tc>
        <w:tc>
          <w:tcPr>
            <w:tcW w:w="719" w:type="pct"/>
          </w:tcPr>
          <w:p w:rsidR="00597370" w:rsidRDefault="003C2EEE">
            <w:pPr>
              <w:ind w:right="73"/>
              <w:jc w:val="center"/>
              <w:rPr>
                <w:color w:val="000000" w:themeColor="text1"/>
              </w:rPr>
            </w:pPr>
            <w:r>
              <w:rPr>
                <w:rFonts w:hint="eastAsia"/>
                <w:color w:val="000000"/>
              </w:rPr>
              <w:t>/</w:t>
            </w:r>
          </w:p>
        </w:tc>
        <w:tc>
          <w:tcPr>
            <w:tcW w:w="704" w:type="pct"/>
          </w:tcPr>
          <w:p w:rsidR="00597370" w:rsidRDefault="003C2EEE">
            <w:pPr>
              <w:ind w:right="73"/>
              <w:jc w:val="center"/>
              <w:rPr>
                <w:color w:val="000000" w:themeColor="text1"/>
              </w:rPr>
            </w:pPr>
            <w:r>
              <w:rPr>
                <w:rFonts w:hint="eastAsia"/>
                <w:color w:val="000000"/>
              </w:rPr>
              <w:t>/</w:t>
            </w:r>
          </w:p>
        </w:tc>
        <w:tc>
          <w:tcPr>
            <w:tcW w:w="898" w:type="pct"/>
            <w:vAlign w:val="center"/>
          </w:tcPr>
          <w:p w:rsidR="00597370" w:rsidRDefault="003C2EEE">
            <w:pPr>
              <w:jc w:val="right"/>
            </w:pPr>
            <w:r>
              <w:rPr>
                <w:color w:val="000000"/>
              </w:rPr>
              <w:t>24,434,406.19</w:t>
            </w:r>
          </w:p>
        </w:tc>
      </w:tr>
    </w:tbl>
    <w:p w:rsidR="00597370" w:rsidRDefault="00597370">
      <w:pPr>
        <w:snapToGrid w:val="0"/>
        <w:spacing w:line="240" w:lineRule="atLeast"/>
        <w:rPr>
          <w:color w:val="000000" w:themeColor="text1"/>
        </w:rPr>
      </w:pPr>
    </w:p>
    <w:p w:rsidR="00597370" w:rsidRDefault="003C2EEE">
      <w:pPr>
        <w:pStyle w:val="Style110"/>
        <w:numPr>
          <w:ilvl w:val="3"/>
          <w:numId w:val="54"/>
        </w:numPr>
        <w:tabs>
          <w:tab w:val="left" w:pos="560"/>
        </w:tabs>
        <w:rPr>
          <w:rFonts w:ascii="宋体" w:hAnsi="宋体" w:cs="宋体"/>
          <w:color w:val="000000" w:themeColor="text1"/>
          <w:kern w:val="0"/>
          <w:szCs w:val="24"/>
        </w:rPr>
      </w:pPr>
      <w:bookmarkStart w:id="219" w:name="_Hlk167891115"/>
      <w:r>
        <w:rPr>
          <w:rFonts w:ascii="宋体" w:hAnsi="宋体" w:cs="宋体"/>
          <w:color w:val="000000" w:themeColor="text1"/>
          <w:kern w:val="0"/>
          <w:szCs w:val="24"/>
        </w:rPr>
        <w:t>因资金集中管理而列报于其他应收款</w:t>
      </w:r>
    </w:p>
    <w:sdt>
      <w:sdtPr>
        <w:rPr>
          <w:color w:val="000000" w:themeColor="text1"/>
        </w:rPr>
        <w:alias w:val="是否适用：因资金集中管理而列报于其他应收款[双击切换]"/>
        <w:tag w:val="_GBC_4dd617ad43cc44e08e5603fa324c6566"/>
        <w:id w:val="355017626"/>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19"/>
    <w:p w:rsidR="00597370" w:rsidRDefault="003C2EEE">
      <w:pPr>
        <w:rPr>
          <w:color w:val="000000" w:themeColor="text1"/>
        </w:rPr>
      </w:pPr>
      <w:r>
        <w:rPr>
          <w:rFonts w:hint="eastAsia"/>
          <w:color w:val="000000" w:themeColor="text1"/>
        </w:rPr>
        <w:t>其他</w:t>
      </w:r>
      <w:r>
        <w:rPr>
          <w:color w:val="000000" w:themeColor="text1"/>
        </w:rPr>
        <w:t>说明：</w:t>
      </w:r>
    </w:p>
    <w:sdt>
      <w:sdtPr>
        <w:rPr>
          <w:color w:val="000000" w:themeColor="text1"/>
        </w:rPr>
        <w:alias w:val="是否适用：其他应收款的其他说明[双击切换]"/>
        <w:tag w:val="_GBC_55d570440c184744bd13a4938ba488d1"/>
        <w:id w:val="41667086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s="宋体"/>
          <w:color w:val="000000" w:themeColor="text1"/>
          <w:kern w:val="0"/>
          <w:szCs w:val="24"/>
        </w:rPr>
      </w:pPr>
      <w:r>
        <w:rPr>
          <w:rFonts w:ascii="宋体" w:hAnsi="宋体" w:cs="宋体" w:hint="eastAsia"/>
          <w:color w:val="000000" w:themeColor="text1"/>
          <w:kern w:val="0"/>
          <w:szCs w:val="24"/>
        </w:rPr>
        <w:t>存货</w:t>
      </w:r>
    </w:p>
    <w:p w:rsidR="00597370" w:rsidRDefault="003C2EEE">
      <w:pPr>
        <w:pStyle w:val="Style110"/>
        <w:numPr>
          <w:ilvl w:val="0"/>
          <w:numId w:val="55"/>
        </w:numPr>
        <w:tabs>
          <w:tab w:val="left" w:pos="630"/>
        </w:tabs>
        <w:rPr>
          <w:rFonts w:ascii="宋体" w:hAnsi="宋体"/>
          <w:color w:val="000000" w:themeColor="text1"/>
        </w:rPr>
      </w:pPr>
      <w:bookmarkStart w:id="220" w:name="_Hlk10470159"/>
      <w:r>
        <w:rPr>
          <w:rFonts w:ascii="宋体" w:hAnsi="宋体" w:hint="eastAsia"/>
          <w:color w:val="000000" w:themeColor="text1"/>
        </w:rPr>
        <w:t>存货分类</w:t>
      </w:r>
    </w:p>
    <w:sdt>
      <w:sdtPr>
        <w:rPr>
          <w:color w:val="000000" w:themeColor="text1"/>
        </w:rPr>
        <w:alias w:val="是否适用：存货分类[双击切换]"/>
        <w:tag w:val="_GBC_06c46a03a226418fb8e5e84326c47750"/>
        <w:id w:val="-9818154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存货分类"/>
          <w:tag w:val="_GBC_cc6e1ec3be0141cbb25cf999a897b29b"/>
          <w:id w:val="-4009064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存货分类"/>
          <w:tag w:val="_GBC_d85b2ad6790d4fa2ace1d773934cd4b3"/>
          <w:id w:val="19320866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844"/>
        <w:gridCol w:w="1316"/>
        <w:gridCol w:w="1325"/>
        <w:gridCol w:w="1539"/>
        <w:gridCol w:w="1325"/>
        <w:gridCol w:w="1145"/>
        <w:gridCol w:w="1329"/>
      </w:tblGrid>
      <w:tr w:rsidR="00597370">
        <w:trPr>
          <w:cantSplit/>
          <w:trHeight w:val="397"/>
          <w:jc w:val="center"/>
        </w:trPr>
        <w:sdt>
          <w:sdtPr>
            <w:rPr>
              <w:color w:val="000000" w:themeColor="text1"/>
              <w:sz w:val="18"/>
              <w:szCs w:val="18"/>
            </w:rPr>
            <w:tag w:val="_PLD_48d855cd658044389f8d1cbe0016be78"/>
            <w:id w:val="455768621"/>
          </w:sdtPr>
          <w:sdtEndPr/>
          <w:sdtContent>
            <w:tc>
              <w:tcPr>
                <w:tcW w:w="478" w:type="pct"/>
                <w:vMerge w:val="restart"/>
                <w:vAlign w:val="center"/>
              </w:tcPr>
              <w:p w:rsidR="00597370" w:rsidRDefault="003C2EEE">
                <w:pPr>
                  <w:jc w:val="center"/>
                  <w:rPr>
                    <w:color w:val="000000" w:themeColor="text1"/>
                    <w:sz w:val="18"/>
                    <w:szCs w:val="18"/>
                  </w:rPr>
                </w:pPr>
                <w:r>
                  <w:rPr>
                    <w:rFonts w:hint="eastAsia"/>
                    <w:color w:val="000000" w:themeColor="text1"/>
                    <w:sz w:val="18"/>
                    <w:szCs w:val="18"/>
                  </w:rPr>
                  <w:t>项目</w:t>
                </w:r>
              </w:p>
            </w:tc>
          </w:sdtContent>
        </w:sdt>
        <w:sdt>
          <w:sdtPr>
            <w:rPr>
              <w:color w:val="000000" w:themeColor="text1"/>
              <w:sz w:val="18"/>
              <w:szCs w:val="18"/>
            </w:rPr>
            <w:tag w:val="_PLD_586606f595aa4fff8214f9b6209260b6"/>
            <w:id w:val="1973947712"/>
          </w:sdtPr>
          <w:sdtEndPr/>
          <w:sdtContent>
            <w:tc>
              <w:tcPr>
                <w:tcW w:w="2368" w:type="pct"/>
                <w:gridSpan w:val="3"/>
                <w:vAlign w:val="center"/>
              </w:tcPr>
              <w:p w:rsidR="00597370" w:rsidRDefault="003C2EEE">
                <w:pPr>
                  <w:jc w:val="center"/>
                  <w:rPr>
                    <w:color w:val="000000" w:themeColor="text1"/>
                    <w:sz w:val="18"/>
                    <w:szCs w:val="18"/>
                  </w:rPr>
                </w:pPr>
                <w:r>
                  <w:rPr>
                    <w:rFonts w:hint="eastAsia"/>
                    <w:color w:val="000000" w:themeColor="text1"/>
                    <w:sz w:val="18"/>
                    <w:szCs w:val="18"/>
                  </w:rPr>
                  <w:t>期末余额</w:t>
                </w:r>
              </w:p>
            </w:tc>
          </w:sdtContent>
        </w:sdt>
        <w:sdt>
          <w:sdtPr>
            <w:rPr>
              <w:color w:val="000000" w:themeColor="text1"/>
              <w:sz w:val="18"/>
              <w:szCs w:val="18"/>
            </w:rPr>
            <w:tag w:val="_PLD_a1bbc97888494137a790328386c2b9d8"/>
            <w:id w:val="-1576041128"/>
          </w:sdtPr>
          <w:sdtEndPr/>
          <w:sdtContent>
            <w:tc>
              <w:tcPr>
                <w:tcW w:w="2153" w:type="pct"/>
                <w:gridSpan w:val="3"/>
                <w:vAlign w:val="center"/>
              </w:tcPr>
              <w:p w:rsidR="00597370" w:rsidRDefault="003C2EEE">
                <w:pPr>
                  <w:jc w:val="center"/>
                  <w:rPr>
                    <w:color w:val="000000" w:themeColor="text1"/>
                    <w:sz w:val="18"/>
                    <w:szCs w:val="18"/>
                  </w:rPr>
                </w:pPr>
                <w:r>
                  <w:rPr>
                    <w:rFonts w:hint="eastAsia"/>
                    <w:color w:val="000000" w:themeColor="text1"/>
                    <w:sz w:val="18"/>
                    <w:szCs w:val="18"/>
                  </w:rPr>
                  <w:t>期初余额</w:t>
                </w:r>
              </w:p>
            </w:tc>
          </w:sdtContent>
        </w:sdt>
      </w:tr>
      <w:tr w:rsidR="00597370">
        <w:trPr>
          <w:cantSplit/>
          <w:trHeight w:val="397"/>
          <w:jc w:val="center"/>
        </w:trPr>
        <w:tc>
          <w:tcPr>
            <w:tcW w:w="478" w:type="pct"/>
            <w:vMerge/>
          </w:tcPr>
          <w:p w:rsidR="00597370" w:rsidRDefault="00597370">
            <w:pPr>
              <w:ind w:right="5"/>
              <w:jc w:val="center"/>
              <w:rPr>
                <w:color w:val="000000" w:themeColor="text1"/>
                <w:sz w:val="18"/>
                <w:szCs w:val="18"/>
              </w:rPr>
            </w:pPr>
          </w:p>
        </w:tc>
        <w:sdt>
          <w:sdtPr>
            <w:rPr>
              <w:color w:val="000000" w:themeColor="text1"/>
              <w:sz w:val="18"/>
              <w:szCs w:val="18"/>
            </w:rPr>
            <w:tag w:val="_PLD_60368d835c2843d99b5061f4c84f8d8e"/>
            <w:id w:val="-695388417"/>
          </w:sdtPr>
          <w:sdtEndPr/>
          <w:sdtContent>
            <w:tc>
              <w:tcPr>
                <w:tcW w:w="745" w:type="pct"/>
                <w:vAlign w:val="center"/>
              </w:tcPr>
              <w:p w:rsidR="00597370" w:rsidRDefault="003C2EEE">
                <w:pPr>
                  <w:ind w:right="5"/>
                  <w:jc w:val="center"/>
                  <w:rPr>
                    <w:color w:val="000000" w:themeColor="text1"/>
                    <w:sz w:val="18"/>
                    <w:szCs w:val="18"/>
                  </w:rPr>
                </w:pPr>
                <w:r>
                  <w:rPr>
                    <w:rFonts w:hint="eastAsia"/>
                    <w:color w:val="000000" w:themeColor="text1"/>
                    <w:sz w:val="18"/>
                    <w:szCs w:val="18"/>
                  </w:rPr>
                  <w:t>账面余额</w:t>
                </w:r>
              </w:p>
            </w:tc>
          </w:sdtContent>
        </w:sdt>
        <w:tc>
          <w:tcPr>
            <w:tcW w:w="751" w:type="pct"/>
            <w:vAlign w:val="center"/>
          </w:tcPr>
          <w:p w:rsidR="00597370" w:rsidRDefault="006840ED">
            <w:pPr>
              <w:ind w:right="5"/>
              <w:jc w:val="center"/>
              <w:rPr>
                <w:color w:val="000000" w:themeColor="text1"/>
                <w:sz w:val="18"/>
                <w:szCs w:val="18"/>
              </w:rPr>
            </w:pPr>
            <w:sdt>
              <w:sdtPr>
                <w:rPr>
                  <w:color w:val="000000" w:themeColor="text1"/>
                  <w:sz w:val="18"/>
                  <w:szCs w:val="18"/>
                </w:rPr>
                <w:tag w:val="_PLD_b5c53ce2a5004db988af9e72594f6b6a"/>
                <w:id w:val="768671858"/>
              </w:sdtPr>
              <w:sdtEndPr/>
              <w:sdtContent>
                <w:r w:rsidR="003C2EEE">
                  <w:rPr>
                    <w:rFonts w:hint="eastAsia"/>
                    <w:color w:val="000000" w:themeColor="text1"/>
                    <w:sz w:val="18"/>
                    <w:szCs w:val="18"/>
                  </w:rPr>
                  <w:t>存货跌价准备</w:t>
                </w:r>
                <w:r w:rsidR="003C2EEE">
                  <w:rPr>
                    <w:color w:val="000000" w:themeColor="text1"/>
                    <w:sz w:val="18"/>
                    <w:szCs w:val="18"/>
                  </w:rPr>
                  <w:t>/合同履约成本减值准备</w:t>
                </w:r>
              </w:sdtContent>
            </w:sdt>
          </w:p>
        </w:tc>
        <w:sdt>
          <w:sdtPr>
            <w:rPr>
              <w:color w:val="000000" w:themeColor="text1"/>
              <w:sz w:val="18"/>
              <w:szCs w:val="18"/>
            </w:rPr>
            <w:tag w:val="_PLD_f2691cf723784fbcbc9a900f61c6e250"/>
            <w:id w:val="1507790599"/>
          </w:sdtPr>
          <w:sdtEndPr/>
          <w:sdtContent>
            <w:tc>
              <w:tcPr>
                <w:tcW w:w="870" w:type="pct"/>
                <w:vAlign w:val="center"/>
              </w:tcPr>
              <w:p w:rsidR="00597370" w:rsidRDefault="003C2EEE">
                <w:pPr>
                  <w:ind w:right="5"/>
                  <w:jc w:val="center"/>
                  <w:rPr>
                    <w:color w:val="000000" w:themeColor="text1"/>
                    <w:sz w:val="18"/>
                    <w:szCs w:val="18"/>
                  </w:rPr>
                </w:pPr>
                <w:r>
                  <w:rPr>
                    <w:rFonts w:hint="eastAsia"/>
                    <w:color w:val="000000" w:themeColor="text1"/>
                    <w:sz w:val="18"/>
                    <w:szCs w:val="18"/>
                  </w:rPr>
                  <w:t>账面价值</w:t>
                </w:r>
              </w:p>
            </w:tc>
          </w:sdtContent>
        </w:sdt>
        <w:sdt>
          <w:sdtPr>
            <w:rPr>
              <w:color w:val="000000" w:themeColor="text1"/>
              <w:sz w:val="18"/>
              <w:szCs w:val="18"/>
            </w:rPr>
            <w:tag w:val="_PLD_df34ec94af0b441bab962cb42fe65b1a"/>
            <w:id w:val="-879392115"/>
          </w:sdtPr>
          <w:sdtEndPr/>
          <w:sdtContent>
            <w:tc>
              <w:tcPr>
                <w:tcW w:w="751" w:type="pct"/>
                <w:vAlign w:val="center"/>
              </w:tcPr>
              <w:p w:rsidR="00597370" w:rsidRDefault="003C2EEE">
                <w:pPr>
                  <w:ind w:right="5"/>
                  <w:jc w:val="center"/>
                  <w:rPr>
                    <w:color w:val="000000" w:themeColor="text1"/>
                    <w:sz w:val="18"/>
                    <w:szCs w:val="18"/>
                  </w:rPr>
                </w:pPr>
                <w:r>
                  <w:rPr>
                    <w:rFonts w:hint="eastAsia"/>
                    <w:color w:val="000000" w:themeColor="text1"/>
                    <w:sz w:val="18"/>
                    <w:szCs w:val="18"/>
                  </w:rPr>
                  <w:t>账面余额</w:t>
                </w:r>
              </w:p>
            </w:tc>
          </w:sdtContent>
        </w:sdt>
        <w:tc>
          <w:tcPr>
            <w:tcW w:w="649" w:type="pct"/>
            <w:vAlign w:val="center"/>
          </w:tcPr>
          <w:p w:rsidR="00597370" w:rsidRDefault="006840ED">
            <w:pPr>
              <w:ind w:right="5"/>
              <w:jc w:val="center"/>
              <w:rPr>
                <w:color w:val="000000" w:themeColor="text1"/>
                <w:sz w:val="18"/>
                <w:szCs w:val="18"/>
              </w:rPr>
            </w:pPr>
            <w:sdt>
              <w:sdtPr>
                <w:rPr>
                  <w:color w:val="000000" w:themeColor="text1"/>
                  <w:sz w:val="18"/>
                  <w:szCs w:val="18"/>
                </w:rPr>
                <w:tag w:val="_PLD_7a42c47b54924b47b9e161d8fd9fb840"/>
                <w:id w:val="-1553449988"/>
              </w:sdtPr>
              <w:sdtEndPr/>
              <w:sdtContent>
                <w:r w:rsidR="003C2EEE">
                  <w:rPr>
                    <w:rFonts w:hint="eastAsia"/>
                    <w:color w:val="000000" w:themeColor="text1"/>
                    <w:sz w:val="18"/>
                    <w:szCs w:val="18"/>
                  </w:rPr>
                  <w:t>存货跌价准备</w:t>
                </w:r>
                <w:r w:rsidR="003C2EEE">
                  <w:rPr>
                    <w:color w:val="000000" w:themeColor="text1"/>
                    <w:sz w:val="18"/>
                    <w:szCs w:val="18"/>
                  </w:rPr>
                  <w:t>/合同履约成本减值准备</w:t>
                </w:r>
              </w:sdtContent>
            </w:sdt>
          </w:p>
        </w:tc>
        <w:sdt>
          <w:sdtPr>
            <w:rPr>
              <w:color w:val="000000" w:themeColor="text1"/>
              <w:sz w:val="18"/>
              <w:szCs w:val="18"/>
            </w:rPr>
            <w:tag w:val="_PLD_0db3a7f82db34583bb111dc2a8e88f8c"/>
            <w:id w:val="-1889803135"/>
          </w:sdtPr>
          <w:sdtEndPr/>
          <w:sdtContent>
            <w:tc>
              <w:tcPr>
                <w:tcW w:w="752" w:type="pct"/>
                <w:vAlign w:val="center"/>
              </w:tcPr>
              <w:p w:rsidR="00597370" w:rsidRDefault="003C2EEE">
                <w:pPr>
                  <w:ind w:right="5"/>
                  <w:jc w:val="center"/>
                  <w:rPr>
                    <w:color w:val="000000" w:themeColor="text1"/>
                    <w:sz w:val="18"/>
                    <w:szCs w:val="18"/>
                  </w:rPr>
                </w:pPr>
                <w:r>
                  <w:rPr>
                    <w:rFonts w:hint="eastAsia"/>
                    <w:color w:val="000000" w:themeColor="text1"/>
                    <w:sz w:val="18"/>
                    <w:szCs w:val="18"/>
                  </w:rPr>
                  <w:t>账面价值</w:t>
                </w:r>
              </w:p>
            </w:tc>
          </w:sdtContent>
        </w:sdt>
      </w:tr>
      <w:tr w:rsidR="00597370">
        <w:trPr>
          <w:cantSplit/>
          <w:trHeight w:val="397"/>
          <w:jc w:val="center"/>
        </w:trPr>
        <w:tc>
          <w:tcPr>
            <w:tcW w:w="478" w:type="pct"/>
            <w:vAlign w:val="bottom"/>
          </w:tcPr>
          <w:p w:rsidR="00597370" w:rsidRDefault="003C2EEE">
            <w:pPr>
              <w:spacing w:line="276" w:lineRule="auto"/>
              <w:ind w:right="5"/>
              <w:jc w:val="both"/>
              <w:rPr>
                <w:color w:val="000000" w:themeColor="text1"/>
                <w:sz w:val="18"/>
                <w:szCs w:val="18"/>
              </w:rPr>
            </w:pPr>
            <w:r>
              <w:rPr>
                <w:rFonts w:hint="eastAsia"/>
                <w:sz w:val="18"/>
                <w:szCs w:val="18"/>
              </w:rPr>
              <w:t>原材料</w:t>
            </w:r>
          </w:p>
        </w:tc>
        <w:tc>
          <w:tcPr>
            <w:tcW w:w="745" w:type="pct"/>
            <w:vAlign w:val="bottom"/>
          </w:tcPr>
          <w:p w:rsidR="00597370" w:rsidRDefault="003C2EEE">
            <w:pPr>
              <w:spacing w:line="276" w:lineRule="auto"/>
              <w:ind w:right="5"/>
              <w:jc w:val="right"/>
              <w:rPr>
                <w:sz w:val="18"/>
                <w:szCs w:val="18"/>
              </w:rPr>
            </w:pPr>
            <w:r>
              <w:rPr>
                <w:sz w:val="18"/>
                <w:szCs w:val="18"/>
              </w:rPr>
              <w:t xml:space="preserve"> 191,669,089.40 </w:t>
            </w:r>
          </w:p>
        </w:tc>
        <w:tc>
          <w:tcPr>
            <w:tcW w:w="751" w:type="pct"/>
            <w:vAlign w:val="bottom"/>
          </w:tcPr>
          <w:p w:rsidR="00597370" w:rsidRDefault="003C2EEE">
            <w:pPr>
              <w:spacing w:line="276" w:lineRule="auto"/>
              <w:ind w:right="5"/>
              <w:jc w:val="right"/>
              <w:rPr>
                <w:sz w:val="18"/>
                <w:szCs w:val="18"/>
              </w:rPr>
            </w:pPr>
            <w:r>
              <w:rPr>
                <w:sz w:val="18"/>
                <w:szCs w:val="18"/>
              </w:rPr>
              <w:t xml:space="preserve"> 4,404,858.76 </w:t>
            </w:r>
          </w:p>
        </w:tc>
        <w:tc>
          <w:tcPr>
            <w:tcW w:w="870" w:type="pct"/>
            <w:vAlign w:val="bottom"/>
          </w:tcPr>
          <w:p w:rsidR="00597370" w:rsidRDefault="003C2EEE">
            <w:pPr>
              <w:spacing w:line="276" w:lineRule="auto"/>
              <w:ind w:right="5"/>
              <w:jc w:val="right"/>
              <w:rPr>
                <w:sz w:val="18"/>
                <w:szCs w:val="18"/>
              </w:rPr>
            </w:pPr>
            <w:r>
              <w:rPr>
                <w:sz w:val="18"/>
                <w:szCs w:val="18"/>
              </w:rPr>
              <w:t xml:space="preserve"> 187,264,230.64 </w:t>
            </w:r>
          </w:p>
        </w:tc>
        <w:tc>
          <w:tcPr>
            <w:tcW w:w="751" w:type="pct"/>
            <w:vAlign w:val="bottom"/>
          </w:tcPr>
          <w:p w:rsidR="00597370" w:rsidRDefault="003C2EEE">
            <w:pPr>
              <w:spacing w:line="276" w:lineRule="auto"/>
              <w:ind w:right="5"/>
              <w:jc w:val="right"/>
              <w:rPr>
                <w:sz w:val="18"/>
                <w:szCs w:val="18"/>
              </w:rPr>
            </w:pPr>
            <w:r>
              <w:rPr>
                <w:sz w:val="18"/>
                <w:szCs w:val="18"/>
              </w:rPr>
              <w:t>112,410,302.17</w:t>
            </w:r>
          </w:p>
        </w:tc>
        <w:tc>
          <w:tcPr>
            <w:tcW w:w="649" w:type="pct"/>
            <w:vAlign w:val="bottom"/>
          </w:tcPr>
          <w:p w:rsidR="00597370" w:rsidRDefault="003C2EEE">
            <w:pPr>
              <w:spacing w:line="276" w:lineRule="auto"/>
              <w:ind w:right="5"/>
              <w:jc w:val="right"/>
              <w:rPr>
                <w:sz w:val="18"/>
                <w:szCs w:val="18"/>
              </w:rPr>
            </w:pPr>
            <w:r>
              <w:rPr>
                <w:sz w:val="18"/>
                <w:szCs w:val="18"/>
              </w:rPr>
              <w:t>2,472,464.71</w:t>
            </w:r>
          </w:p>
        </w:tc>
        <w:tc>
          <w:tcPr>
            <w:tcW w:w="752" w:type="pct"/>
            <w:vAlign w:val="bottom"/>
          </w:tcPr>
          <w:p w:rsidR="00597370" w:rsidRDefault="003C2EEE">
            <w:pPr>
              <w:spacing w:line="276" w:lineRule="auto"/>
              <w:ind w:right="5"/>
              <w:jc w:val="right"/>
              <w:rPr>
                <w:sz w:val="18"/>
                <w:szCs w:val="18"/>
              </w:rPr>
            </w:pPr>
            <w:r>
              <w:rPr>
                <w:sz w:val="18"/>
                <w:szCs w:val="18"/>
              </w:rPr>
              <w:t>109,937,837.46</w:t>
            </w:r>
          </w:p>
        </w:tc>
      </w:tr>
      <w:tr w:rsidR="00597370">
        <w:trPr>
          <w:cantSplit/>
          <w:trHeight w:val="397"/>
          <w:jc w:val="center"/>
        </w:trPr>
        <w:tc>
          <w:tcPr>
            <w:tcW w:w="478" w:type="pct"/>
            <w:vAlign w:val="bottom"/>
          </w:tcPr>
          <w:p w:rsidR="00597370" w:rsidRDefault="003C2EEE">
            <w:pPr>
              <w:spacing w:line="276" w:lineRule="auto"/>
              <w:ind w:right="5"/>
              <w:jc w:val="both"/>
              <w:rPr>
                <w:color w:val="000000" w:themeColor="text1"/>
                <w:sz w:val="18"/>
                <w:szCs w:val="18"/>
              </w:rPr>
            </w:pPr>
            <w:r>
              <w:rPr>
                <w:rFonts w:hint="eastAsia"/>
                <w:sz w:val="18"/>
                <w:szCs w:val="18"/>
              </w:rPr>
              <w:t>在产品</w:t>
            </w:r>
          </w:p>
        </w:tc>
        <w:tc>
          <w:tcPr>
            <w:tcW w:w="745" w:type="pct"/>
            <w:vAlign w:val="bottom"/>
          </w:tcPr>
          <w:p w:rsidR="00597370" w:rsidRDefault="003C2EEE">
            <w:pPr>
              <w:spacing w:line="276" w:lineRule="auto"/>
              <w:ind w:right="5"/>
              <w:jc w:val="right"/>
              <w:rPr>
                <w:sz w:val="18"/>
                <w:szCs w:val="18"/>
              </w:rPr>
            </w:pPr>
            <w:r>
              <w:rPr>
                <w:sz w:val="18"/>
                <w:szCs w:val="18"/>
              </w:rPr>
              <w:t xml:space="preserve"> 162,606,485.09 </w:t>
            </w:r>
          </w:p>
        </w:tc>
        <w:tc>
          <w:tcPr>
            <w:tcW w:w="751" w:type="pct"/>
            <w:vAlign w:val="bottom"/>
          </w:tcPr>
          <w:p w:rsidR="00597370" w:rsidRDefault="003C2EEE">
            <w:pPr>
              <w:spacing w:line="276" w:lineRule="auto"/>
              <w:ind w:right="5"/>
              <w:jc w:val="right"/>
              <w:rPr>
                <w:sz w:val="18"/>
                <w:szCs w:val="18"/>
              </w:rPr>
            </w:pPr>
            <w:r>
              <w:rPr>
                <w:sz w:val="18"/>
                <w:szCs w:val="18"/>
              </w:rPr>
              <w:t xml:space="preserve"> 425,633.65 </w:t>
            </w:r>
          </w:p>
        </w:tc>
        <w:tc>
          <w:tcPr>
            <w:tcW w:w="870" w:type="pct"/>
            <w:vAlign w:val="bottom"/>
          </w:tcPr>
          <w:p w:rsidR="00597370" w:rsidRDefault="003C2EEE">
            <w:pPr>
              <w:spacing w:line="276" w:lineRule="auto"/>
              <w:ind w:right="5"/>
              <w:jc w:val="right"/>
              <w:rPr>
                <w:sz w:val="18"/>
                <w:szCs w:val="18"/>
              </w:rPr>
            </w:pPr>
            <w:r>
              <w:rPr>
                <w:sz w:val="18"/>
                <w:szCs w:val="18"/>
              </w:rPr>
              <w:t xml:space="preserve"> 162,180,851.44 </w:t>
            </w:r>
          </w:p>
        </w:tc>
        <w:tc>
          <w:tcPr>
            <w:tcW w:w="751" w:type="pct"/>
            <w:vAlign w:val="bottom"/>
          </w:tcPr>
          <w:p w:rsidR="00597370" w:rsidRDefault="003C2EEE">
            <w:pPr>
              <w:spacing w:line="276" w:lineRule="auto"/>
              <w:ind w:right="5"/>
              <w:jc w:val="right"/>
              <w:rPr>
                <w:sz w:val="18"/>
                <w:szCs w:val="18"/>
              </w:rPr>
            </w:pPr>
            <w:r>
              <w:rPr>
                <w:sz w:val="18"/>
                <w:szCs w:val="18"/>
              </w:rPr>
              <w:t>124,726,439.43</w:t>
            </w:r>
          </w:p>
        </w:tc>
        <w:tc>
          <w:tcPr>
            <w:tcW w:w="649" w:type="pct"/>
            <w:vAlign w:val="bottom"/>
          </w:tcPr>
          <w:p w:rsidR="00597370" w:rsidRDefault="00597370">
            <w:pPr>
              <w:spacing w:line="276" w:lineRule="auto"/>
              <w:ind w:right="5"/>
              <w:jc w:val="right"/>
              <w:rPr>
                <w:sz w:val="18"/>
                <w:szCs w:val="18"/>
              </w:rPr>
            </w:pPr>
          </w:p>
        </w:tc>
        <w:tc>
          <w:tcPr>
            <w:tcW w:w="752" w:type="pct"/>
            <w:vAlign w:val="bottom"/>
          </w:tcPr>
          <w:p w:rsidR="00597370" w:rsidRDefault="003C2EEE">
            <w:pPr>
              <w:spacing w:line="276" w:lineRule="auto"/>
              <w:ind w:right="5"/>
              <w:jc w:val="right"/>
              <w:rPr>
                <w:sz w:val="18"/>
                <w:szCs w:val="18"/>
              </w:rPr>
            </w:pPr>
            <w:r>
              <w:rPr>
                <w:sz w:val="18"/>
                <w:szCs w:val="18"/>
              </w:rPr>
              <w:t>124,726,439.43</w:t>
            </w:r>
          </w:p>
        </w:tc>
      </w:tr>
      <w:tr w:rsidR="00597370">
        <w:trPr>
          <w:cantSplit/>
          <w:trHeight w:val="397"/>
          <w:jc w:val="center"/>
        </w:trPr>
        <w:tc>
          <w:tcPr>
            <w:tcW w:w="478" w:type="pct"/>
            <w:vAlign w:val="bottom"/>
          </w:tcPr>
          <w:p w:rsidR="00597370" w:rsidRDefault="003C2EEE">
            <w:pPr>
              <w:spacing w:line="276" w:lineRule="auto"/>
              <w:ind w:right="5"/>
              <w:jc w:val="both"/>
              <w:rPr>
                <w:color w:val="000000" w:themeColor="text1"/>
                <w:sz w:val="18"/>
                <w:szCs w:val="18"/>
              </w:rPr>
            </w:pPr>
            <w:r>
              <w:rPr>
                <w:rFonts w:hint="eastAsia"/>
                <w:sz w:val="18"/>
                <w:szCs w:val="18"/>
              </w:rPr>
              <w:t>库存商品</w:t>
            </w:r>
          </w:p>
        </w:tc>
        <w:tc>
          <w:tcPr>
            <w:tcW w:w="745" w:type="pct"/>
            <w:vAlign w:val="bottom"/>
          </w:tcPr>
          <w:p w:rsidR="00597370" w:rsidRDefault="003C2EEE">
            <w:pPr>
              <w:spacing w:line="276" w:lineRule="auto"/>
              <w:ind w:right="5"/>
              <w:jc w:val="right"/>
              <w:rPr>
                <w:sz w:val="18"/>
                <w:szCs w:val="18"/>
              </w:rPr>
            </w:pPr>
            <w:r>
              <w:rPr>
                <w:sz w:val="18"/>
                <w:szCs w:val="18"/>
              </w:rPr>
              <w:t xml:space="preserve"> 445,288,446.13 </w:t>
            </w:r>
          </w:p>
        </w:tc>
        <w:tc>
          <w:tcPr>
            <w:tcW w:w="751" w:type="pct"/>
            <w:vAlign w:val="bottom"/>
          </w:tcPr>
          <w:p w:rsidR="00597370" w:rsidRDefault="003C2EEE">
            <w:pPr>
              <w:spacing w:line="276" w:lineRule="auto"/>
              <w:ind w:right="5"/>
              <w:jc w:val="right"/>
              <w:rPr>
                <w:sz w:val="18"/>
                <w:szCs w:val="18"/>
              </w:rPr>
            </w:pPr>
            <w:r>
              <w:rPr>
                <w:sz w:val="18"/>
                <w:szCs w:val="18"/>
              </w:rPr>
              <w:t xml:space="preserve"> 6,924,101.49 </w:t>
            </w:r>
          </w:p>
        </w:tc>
        <w:tc>
          <w:tcPr>
            <w:tcW w:w="870" w:type="pct"/>
            <w:shd w:val="clear" w:color="auto" w:fill="auto"/>
            <w:vAlign w:val="bottom"/>
          </w:tcPr>
          <w:p w:rsidR="00597370" w:rsidRDefault="003C2EEE">
            <w:pPr>
              <w:spacing w:line="276" w:lineRule="auto"/>
              <w:ind w:right="5"/>
              <w:jc w:val="right"/>
              <w:rPr>
                <w:sz w:val="18"/>
                <w:szCs w:val="18"/>
              </w:rPr>
            </w:pPr>
            <w:r>
              <w:rPr>
                <w:sz w:val="18"/>
                <w:szCs w:val="18"/>
              </w:rPr>
              <w:t>438,364,344.64</w:t>
            </w:r>
          </w:p>
        </w:tc>
        <w:tc>
          <w:tcPr>
            <w:tcW w:w="751" w:type="pct"/>
            <w:vAlign w:val="bottom"/>
          </w:tcPr>
          <w:p w:rsidR="00597370" w:rsidRDefault="003C2EEE">
            <w:pPr>
              <w:spacing w:line="276" w:lineRule="auto"/>
              <w:ind w:right="5"/>
              <w:jc w:val="right"/>
              <w:rPr>
                <w:sz w:val="18"/>
                <w:szCs w:val="18"/>
              </w:rPr>
            </w:pPr>
            <w:r>
              <w:rPr>
                <w:sz w:val="18"/>
                <w:szCs w:val="18"/>
              </w:rPr>
              <w:t>191,808,551.68</w:t>
            </w:r>
          </w:p>
        </w:tc>
        <w:tc>
          <w:tcPr>
            <w:tcW w:w="649" w:type="pct"/>
            <w:vAlign w:val="bottom"/>
          </w:tcPr>
          <w:p w:rsidR="00597370" w:rsidRDefault="003C2EEE">
            <w:pPr>
              <w:spacing w:line="276" w:lineRule="auto"/>
              <w:ind w:right="5"/>
              <w:jc w:val="right"/>
              <w:rPr>
                <w:sz w:val="18"/>
                <w:szCs w:val="18"/>
              </w:rPr>
            </w:pPr>
            <w:r>
              <w:rPr>
                <w:sz w:val="18"/>
                <w:szCs w:val="18"/>
              </w:rPr>
              <w:t>3,284,276.26</w:t>
            </w:r>
          </w:p>
        </w:tc>
        <w:tc>
          <w:tcPr>
            <w:tcW w:w="752" w:type="pct"/>
            <w:vAlign w:val="bottom"/>
          </w:tcPr>
          <w:p w:rsidR="00597370" w:rsidRDefault="003C2EEE">
            <w:pPr>
              <w:spacing w:line="276" w:lineRule="auto"/>
              <w:ind w:right="5"/>
              <w:jc w:val="right"/>
              <w:rPr>
                <w:sz w:val="18"/>
                <w:szCs w:val="18"/>
              </w:rPr>
            </w:pPr>
            <w:r>
              <w:rPr>
                <w:sz w:val="18"/>
                <w:szCs w:val="18"/>
              </w:rPr>
              <w:t>188,524,275.42</w:t>
            </w:r>
          </w:p>
        </w:tc>
      </w:tr>
      <w:tr w:rsidR="00597370">
        <w:trPr>
          <w:cantSplit/>
          <w:trHeight w:val="397"/>
          <w:jc w:val="center"/>
        </w:trPr>
        <w:tc>
          <w:tcPr>
            <w:tcW w:w="478" w:type="pct"/>
            <w:vAlign w:val="bottom"/>
          </w:tcPr>
          <w:p w:rsidR="00597370" w:rsidRDefault="003C2EEE">
            <w:pPr>
              <w:autoSpaceDE w:val="0"/>
              <w:autoSpaceDN w:val="0"/>
              <w:adjustRightInd w:val="0"/>
              <w:spacing w:line="276" w:lineRule="auto"/>
              <w:jc w:val="both"/>
              <w:rPr>
                <w:color w:val="000000" w:themeColor="text1"/>
                <w:sz w:val="18"/>
                <w:szCs w:val="18"/>
              </w:rPr>
            </w:pPr>
            <w:r>
              <w:rPr>
                <w:rFonts w:hint="eastAsia"/>
                <w:sz w:val="18"/>
                <w:szCs w:val="18"/>
              </w:rPr>
              <w:t>发出商品</w:t>
            </w:r>
          </w:p>
        </w:tc>
        <w:tc>
          <w:tcPr>
            <w:tcW w:w="745" w:type="pct"/>
            <w:vAlign w:val="bottom"/>
          </w:tcPr>
          <w:p w:rsidR="00597370" w:rsidRDefault="003C2EEE">
            <w:pPr>
              <w:spacing w:line="276" w:lineRule="auto"/>
              <w:jc w:val="right"/>
              <w:rPr>
                <w:sz w:val="18"/>
                <w:szCs w:val="18"/>
              </w:rPr>
            </w:pPr>
            <w:r>
              <w:rPr>
                <w:sz w:val="18"/>
                <w:szCs w:val="18"/>
              </w:rPr>
              <w:t xml:space="preserve"> 38,858,365.55 </w:t>
            </w:r>
          </w:p>
        </w:tc>
        <w:tc>
          <w:tcPr>
            <w:tcW w:w="751" w:type="pct"/>
            <w:vAlign w:val="bottom"/>
          </w:tcPr>
          <w:p w:rsidR="00597370" w:rsidRDefault="003C2EEE">
            <w:pPr>
              <w:spacing w:line="276" w:lineRule="auto"/>
              <w:jc w:val="right"/>
              <w:rPr>
                <w:sz w:val="18"/>
                <w:szCs w:val="18"/>
              </w:rPr>
            </w:pPr>
            <w:r>
              <w:rPr>
                <w:sz w:val="18"/>
                <w:szCs w:val="18"/>
              </w:rPr>
              <w:t xml:space="preserve"> 125,697.82 </w:t>
            </w:r>
          </w:p>
        </w:tc>
        <w:tc>
          <w:tcPr>
            <w:tcW w:w="870" w:type="pct"/>
            <w:vAlign w:val="bottom"/>
          </w:tcPr>
          <w:p w:rsidR="00597370" w:rsidRDefault="003C2EEE">
            <w:pPr>
              <w:spacing w:line="276" w:lineRule="auto"/>
              <w:jc w:val="right"/>
              <w:rPr>
                <w:sz w:val="18"/>
                <w:szCs w:val="18"/>
              </w:rPr>
            </w:pPr>
            <w:r>
              <w:rPr>
                <w:sz w:val="18"/>
                <w:szCs w:val="18"/>
              </w:rPr>
              <w:t xml:space="preserve"> 38,732,667.73 </w:t>
            </w:r>
          </w:p>
        </w:tc>
        <w:tc>
          <w:tcPr>
            <w:tcW w:w="751" w:type="pct"/>
            <w:vAlign w:val="bottom"/>
          </w:tcPr>
          <w:p w:rsidR="00597370" w:rsidRDefault="003C2EEE">
            <w:pPr>
              <w:spacing w:line="276" w:lineRule="auto"/>
              <w:ind w:right="5"/>
              <w:jc w:val="right"/>
              <w:rPr>
                <w:sz w:val="18"/>
                <w:szCs w:val="18"/>
              </w:rPr>
            </w:pPr>
            <w:r>
              <w:rPr>
                <w:sz w:val="18"/>
                <w:szCs w:val="18"/>
              </w:rPr>
              <w:t>85,882,886.19</w:t>
            </w:r>
          </w:p>
        </w:tc>
        <w:tc>
          <w:tcPr>
            <w:tcW w:w="649" w:type="pct"/>
            <w:vAlign w:val="bottom"/>
          </w:tcPr>
          <w:p w:rsidR="00597370" w:rsidRDefault="00597370">
            <w:pPr>
              <w:spacing w:line="276" w:lineRule="auto"/>
              <w:ind w:right="5"/>
              <w:jc w:val="right"/>
              <w:rPr>
                <w:sz w:val="18"/>
                <w:szCs w:val="18"/>
              </w:rPr>
            </w:pPr>
          </w:p>
        </w:tc>
        <w:tc>
          <w:tcPr>
            <w:tcW w:w="752" w:type="pct"/>
            <w:vAlign w:val="bottom"/>
          </w:tcPr>
          <w:p w:rsidR="00597370" w:rsidRDefault="003C2EEE">
            <w:pPr>
              <w:spacing w:line="276" w:lineRule="auto"/>
              <w:ind w:right="5"/>
              <w:jc w:val="right"/>
              <w:rPr>
                <w:sz w:val="18"/>
                <w:szCs w:val="18"/>
              </w:rPr>
            </w:pPr>
            <w:r>
              <w:rPr>
                <w:sz w:val="18"/>
                <w:szCs w:val="18"/>
              </w:rPr>
              <w:t>85,882,886.19</w:t>
            </w:r>
          </w:p>
        </w:tc>
      </w:tr>
      <w:tr w:rsidR="00597370">
        <w:trPr>
          <w:cantSplit/>
          <w:trHeight w:val="397"/>
          <w:jc w:val="center"/>
        </w:trPr>
        <w:tc>
          <w:tcPr>
            <w:tcW w:w="478" w:type="pct"/>
            <w:vAlign w:val="bottom"/>
          </w:tcPr>
          <w:p w:rsidR="00597370" w:rsidRDefault="003C2EEE">
            <w:pPr>
              <w:spacing w:line="276" w:lineRule="auto"/>
              <w:ind w:right="5"/>
              <w:jc w:val="right"/>
              <w:rPr>
                <w:color w:val="000000" w:themeColor="text1"/>
                <w:sz w:val="18"/>
                <w:szCs w:val="18"/>
              </w:rPr>
            </w:pPr>
            <w:r>
              <w:rPr>
                <w:rFonts w:hint="eastAsia"/>
                <w:color w:val="000000" w:themeColor="text1"/>
                <w:sz w:val="18"/>
                <w:szCs w:val="18"/>
              </w:rPr>
              <w:t>合计</w:t>
            </w:r>
          </w:p>
        </w:tc>
        <w:tc>
          <w:tcPr>
            <w:tcW w:w="745" w:type="pct"/>
            <w:vAlign w:val="bottom"/>
          </w:tcPr>
          <w:p w:rsidR="00597370" w:rsidRDefault="003C2EEE">
            <w:pPr>
              <w:spacing w:line="276" w:lineRule="auto"/>
              <w:ind w:right="5"/>
              <w:jc w:val="right"/>
              <w:rPr>
                <w:sz w:val="18"/>
                <w:szCs w:val="18"/>
              </w:rPr>
            </w:pPr>
            <w:r>
              <w:rPr>
                <w:sz w:val="18"/>
                <w:szCs w:val="18"/>
              </w:rPr>
              <w:t>838,422,386.17</w:t>
            </w:r>
          </w:p>
        </w:tc>
        <w:tc>
          <w:tcPr>
            <w:tcW w:w="751" w:type="pct"/>
            <w:vAlign w:val="bottom"/>
          </w:tcPr>
          <w:p w:rsidR="00597370" w:rsidRDefault="003C2EEE">
            <w:pPr>
              <w:spacing w:line="276" w:lineRule="auto"/>
              <w:ind w:right="5"/>
              <w:jc w:val="right"/>
              <w:rPr>
                <w:sz w:val="18"/>
                <w:szCs w:val="18"/>
              </w:rPr>
            </w:pPr>
            <w:r>
              <w:rPr>
                <w:sz w:val="18"/>
                <w:szCs w:val="18"/>
              </w:rPr>
              <w:t>11,880,291.72</w:t>
            </w:r>
          </w:p>
        </w:tc>
        <w:tc>
          <w:tcPr>
            <w:tcW w:w="870" w:type="pct"/>
            <w:vAlign w:val="bottom"/>
          </w:tcPr>
          <w:p w:rsidR="00597370" w:rsidRDefault="003C2EEE">
            <w:pPr>
              <w:spacing w:line="276" w:lineRule="auto"/>
              <w:ind w:right="5"/>
              <w:jc w:val="right"/>
              <w:rPr>
                <w:sz w:val="18"/>
                <w:szCs w:val="18"/>
              </w:rPr>
            </w:pPr>
            <w:r>
              <w:rPr>
                <w:sz w:val="18"/>
                <w:szCs w:val="18"/>
              </w:rPr>
              <w:t>826,542,094.45</w:t>
            </w:r>
          </w:p>
        </w:tc>
        <w:tc>
          <w:tcPr>
            <w:tcW w:w="751" w:type="pct"/>
            <w:vAlign w:val="bottom"/>
          </w:tcPr>
          <w:p w:rsidR="00597370" w:rsidRDefault="003C2EEE">
            <w:pPr>
              <w:spacing w:line="276" w:lineRule="auto"/>
              <w:ind w:right="5"/>
              <w:jc w:val="right"/>
              <w:rPr>
                <w:sz w:val="18"/>
                <w:szCs w:val="18"/>
              </w:rPr>
            </w:pPr>
            <w:r>
              <w:rPr>
                <w:sz w:val="18"/>
                <w:szCs w:val="18"/>
              </w:rPr>
              <w:t>514,828,179.47</w:t>
            </w:r>
          </w:p>
        </w:tc>
        <w:tc>
          <w:tcPr>
            <w:tcW w:w="649" w:type="pct"/>
            <w:vAlign w:val="bottom"/>
          </w:tcPr>
          <w:p w:rsidR="00597370" w:rsidRDefault="003C2EEE">
            <w:pPr>
              <w:spacing w:line="276" w:lineRule="auto"/>
              <w:ind w:right="5"/>
              <w:jc w:val="right"/>
              <w:rPr>
                <w:sz w:val="18"/>
                <w:szCs w:val="18"/>
              </w:rPr>
            </w:pPr>
            <w:r>
              <w:rPr>
                <w:sz w:val="18"/>
                <w:szCs w:val="18"/>
              </w:rPr>
              <w:t>5,756,740.97</w:t>
            </w:r>
          </w:p>
        </w:tc>
        <w:tc>
          <w:tcPr>
            <w:tcW w:w="752" w:type="pct"/>
            <w:vAlign w:val="bottom"/>
          </w:tcPr>
          <w:p w:rsidR="00597370" w:rsidRDefault="003C2EEE">
            <w:pPr>
              <w:spacing w:line="276" w:lineRule="auto"/>
              <w:ind w:right="5"/>
              <w:jc w:val="right"/>
              <w:rPr>
                <w:sz w:val="18"/>
                <w:szCs w:val="18"/>
              </w:rPr>
            </w:pPr>
            <w:r>
              <w:rPr>
                <w:sz w:val="18"/>
                <w:szCs w:val="18"/>
              </w:rPr>
              <w:t>509,071,438.50</w:t>
            </w:r>
          </w:p>
        </w:tc>
      </w:tr>
    </w:tbl>
    <w:p w:rsidR="00597370" w:rsidRDefault="00597370">
      <w:pPr>
        <w:rPr>
          <w:color w:val="000000" w:themeColor="text1"/>
        </w:rPr>
      </w:pPr>
    </w:p>
    <w:bookmarkEnd w:id="220"/>
    <w:p w:rsidR="00597370" w:rsidRDefault="003C2EEE">
      <w:pPr>
        <w:pStyle w:val="Style110"/>
        <w:numPr>
          <w:ilvl w:val="0"/>
          <w:numId w:val="55"/>
        </w:numPr>
        <w:tabs>
          <w:tab w:val="left" w:pos="630"/>
        </w:tabs>
        <w:rPr>
          <w:rFonts w:ascii="宋体" w:hAnsi="宋体"/>
          <w:color w:val="000000" w:themeColor="text1"/>
        </w:rPr>
      </w:pPr>
      <w:r>
        <w:rPr>
          <w:rFonts w:ascii="宋体" w:hAnsi="宋体" w:hint="eastAsia"/>
          <w:color w:val="000000" w:themeColor="text1"/>
        </w:rPr>
        <w:t>确认为存货的数据资源</w:t>
      </w:r>
    </w:p>
    <w:sdt>
      <w:sdtPr>
        <w:rPr>
          <w:rFonts w:hint="eastAsia"/>
          <w:color w:val="000000" w:themeColor="text1"/>
        </w:rPr>
        <w:alias w:val="是否适用：确认为存货的数据资源[双击切换]"/>
        <w:tag w:val="_GBC_b3f6ef82894a4eb29036b70065be8671"/>
        <w:id w:val="-19018964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55"/>
        </w:numPr>
        <w:tabs>
          <w:tab w:val="left" w:pos="630"/>
        </w:tabs>
        <w:rPr>
          <w:rFonts w:ascii="宋体" w:hAnsi="宋体"/>
          <w:color w:val="000000" w:themeColor="text1"/>
        </w:rPr>
      </w:pPr>
      <w:bookmarkStart w:id="221" w:name="_Hlk10470459"/>
      <w:r>
        <w:rPr>
          <w:rFonts w:ascii="宋体" w:hAnsi="宋体" w:hint="eastAsia"/>
          <w:color w:val="000000" w:themeColor="text1"/>
        </w:rPr>
        <w:t>存货跌价准备及合同履约成本减值准备</w:t>
      </w:r>
    </w:p>
    <w:sdt>
      <w:sdtPr>
        <w:rPr>
          <w:color w:val="000000" w:themeColor="text1"/>
        </w:rPr>
        <w:alias w:val="是否适用：存货跌价准备[双击切换]"/>
        <w:tag w:val="_GBC_b9bd4a0fa089468ebded8bb61a86fbae"/>
        <w:id w:val="-151629263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存货跌价准备"/>
          <w:tag w:val="_GBC_42225a9505da4f598594afea08f9738b"/>
          <w:id w:val="-14067630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存货跌价准备"/>
          <w:tag w:val="_GBC_4de434e29d00482b8b3175d1e7874ff2"/>
          <w:id w:val="-9150096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941"/>
        <w:gridCol w:w="1308"/>
        <w:gridCol w:w="1442"/>
        <w:gridCol w:w="1549"/>
        <w:gridCol w:w="1331"/>
        <w:gridCol w:w="810"/>
        <w:gridCol w:w="1442"/>
      </w:tblGrid>
      <w:tr w:rsidR="00597370">
        <w:trPr>
          <w:trHeight w:val="397"/>
          <w:jc w:val="center"/>
        </w:trPr>
        <w:sdt>
          <w:sdtPr>
            <w:rPr>
              <w:color w:val="000000" w:themeColor="text1"/>
              <w:sz w:val="18"/>
              <w:szCs w:val="18"/>
            </w:rPr>
            <w:tag w:val="_PLD_08d27e088675483b81e6b09cfaf565b8"/>
            <w:id w:val="1526517798"/>
          </w:sdtPr>
          <w:sdtEndPr/>
          <w:sdtContent>
            <w:tc>
              <w:tcPr>
                <w:tcW w:w="533" w:type="pct"/>
                <w:vMerge w:val="restart"/>
                <w:tcBorders>
                  <w:top w:val="single" w:sz="4" w:space="0" w:color="auto"/>
                  <w:left w:val="single" w:sz="4" w:space="0" w:color="auto"/>
                  <w:bottom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项目</w:t>
                </w:r>
              </w:p>
            </w:tc>
          </w:sdtContent>
        </w:sdt>
        <w:sdt>
          <w:sdtPr>
            <w:rPr>
              <w:color w:val="000000" w:themeColor="text1"/>
              <w:sz w:val="18"/>
              <w:szCs w:val="18"/>
            </w:rPr>
            <w:tag w:val="_PLD_631ae60526c9437f842913d632c47f24"/>
            <w:id w:val="-1184742371"/>
          </w:sdtPr>
          <w:sdtEndPr/>
          <w:sdtContent>
            <w:tc>
              <w:tcPr>
                <w:tcW w:w="741" w:type="pct"/>
                <w:vMerge w:val="restart"/>
                <w:tcBorders>
                  <w:top w:val="single" w:sz="4" w:space="0" w:color="auto"/>
                  <w:left w:val="single" w:sz="4" w:space="0" w:color="auto"/>
                  <w:bottom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期初余额</w:t>
                </w:r>
              </w:p>
            </w:tc>
          </w:sdtContent>
        </w:sdt>
        <w:sdt>
          <w:sdtPr>
            <w:rPr>
              <w:color w:val="000000" w:themeColor="text1"/>
              <w:sz w:val="18"/>
              <w:szCs w:val="18"/>
            </w:rPr>
            <w:tag w:val="_PLD_bc39054479074b8ab34cb8519780a5f1"/>
            <w:id w:val="1748076089"/>
          </w:sdtPr>
          <w:sdtEndPr/>
          <w:sdtContent>
            <w:tc>
              <w:tcPr>
                <w:tcW w:w="1695" w:type="pct"/>
                <w:gridSpan w:val="2"/>
                <w:tcBorders>
                  <w:top w:val="single" w:sz="4" w:space="0" w:color="auto"/>
                  <w:left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本期增加金额</w:t>
                </w:r>
              </w:p>
            </w:tc>
          </w:sdtContent>
        </w:sdt>
        <w:sdt>
          <w:sdtPr>
            <w:rPr>
              <w:color w:val="000000" w:themeColor="text1"/>
              <w:sz w:val="18"/>
              <w:szCs w:val="18"/>
            </w:rPr>
            <w:tag w:val="_PLD_a4a235b43e524c0c98a604df05693747"/>
            <w:id w:val="-2060855191"/>
          </w:sdtPr>
          <w:sdtEndPr/>
          <w:sdtContent>
            <w:tc>
              <w:tcPr>
                <w:tcW w:w="1213" w:type="pct"/>
                <w:gridSpan w:val="2"/>
                <w:tcBorders>
                  <w:top w:val="single" w:sz="4" w:space="0" w:color="auto"/>
                  <w:left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本期减少金额</w:t>
                </w:r>
              </w:p>
            </w:tc>
          </w:sdtContent>
        </w:sdt>
        <w:sdt>
          <w:sdtPr>
            <w:rPr>
              <w:color w:val="000000" w:themeColor="text1"/>
              <w:sz w:val="18"/>
              <w:szCs w:val="18"/>
            </w:rPr>
            <w:tag w:val="_PLD_fcea706dd57f438c8205de888401e160"/>
            <w:id w:val="-1333365707"/>
          </w:sdtPr>
          <w:sdtEndPr/>
          <w:sdtContent>
            <w:tc>
              <w:tcPr>
                <w:tcW w:w="817" w:type="pct"/>
                <w:vMerge w:val="restart"/>
                <w:tcBorders>
                  <w:top w:val="single" w:sz="4" w:space="0" w:color="auto"/>
                  <w:left w:val="single" w:sz="4" w:space="0" w:color="auto"/>
                  <w:bottom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期末余额</w:t>
                </w:r>
              </w:p>
            </w:tc>
          </w:sdtContent>
        </w:sdt>
      </w:tr>
      <w:tr w:rsidR="00597370">
        <w:trPr>
          <w:trHeight w:val="397"/>
          <w:jc w:val="center"/>
        </w:trPr>
        <w:tc>
          <w:tcPr>
            <w:tcW w:w="533" w:type="pct"/>
            <w:vMerge/>
            <w:tcBorders>
              <w:top w:val="single" w:sz="4" w:space="0" w:color="auto"/>
              <w:left w:val="single" w:sz="4" w:space="0" w:color="auto"/>
              <w:bottom w:val="single" w:sz="4" w:space="0" w:color="auto"/>
              <w:right w:val="single" w:sz="4" w:space="0" w:color="auto"/>
            </w:tcBorders>
            <w:vAlign w:val="center"/>
          </w:tcPr>
          <w:p w:rsidR="00597370" w:rsidRDefault="00597370">
            <w:pPr>
              <w:spacing w:line="360" w:lineRule="auto"/>
              <w:rPr>
                <w:color w:val="000000" w:themeColor="text1"/>
                <w:sz w:val="18"/>
                <w:szCs w:val="18"/>
              </w:rPr>
            </w:pPr>
          </w:p>
        </w:tc>
        <w:tc>
          <w:tcPr>
            <w:tcW w:w="741" w:type="pct"/>
            <w:vMerge/>
            <w:tcBorders>
              <w:top w:val="single" w:sz="4" w:space="0" w:color="auto"/>
              <w:left w:val="single" w:sz="4" w:space="0" w:color="auto"/>
              <w:bottom w:val="single" w:sz="4" w:space="0" w:color="auto"/>
              <w:right w:val="single" w:sz="4" w:space="0" w:color="auto"/>
            </w:tcBorders>
            <w:vAlign w:val="center"/>
          </w:tcPr>
          <w:p w:rsidR="00597370" w:rsidRDefault="00597370">
            <w:pPr>
              <w:spacing w:line="360" w:lineRule="auto"/>
              <w:rPr>
                <w:color w:val="000000" w:themeColor="text1"/>
                <w:sz w:val="18"/>
                <w:szCs w:val="18"/>
              </w:rPr>
            </w:pPr>
          </w:p>
        </w:tc>
        <w:sdt>
          <w:sdtPr>
            <w:rPr>
              <w:color w:val="000000" w:themeColor="text1"/>
              <w:sz w:val="18"/>
              <w:szCs w:val="18"/>
            </w:rPr>
            <w:tag w:val="_PLD_9355443eafab4f4a862c075a55d7e279"/>
            <w:id w:val="1593501070"/>
          </w:sdtPr>
          <w:sdtEndPr/>
          <w:sdtContent>
            <w:tc>
              <w:tcPr>
                <w:tcW w:w="817" w:type="pct"/>
                <w:tcBorders>
                  <w:left w:val="single" w:sz="4" w:space="0" w:color="auto"/>
                  <w:bottom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计提</w:t>
                </w:r>
              </w:p>
            </w:tc>
          </w:sdtContent>
        </w:sdt>
        <w:sdt>
          <w:sdtPr>
            <w:rPr>
              <w:color w:val="000000" w:themeColor="text1"/>
              <w:sz w:val="18"/>
              <w:szCs w:val="18"/>
            </w:rPr>
            <w:tag w:val="_PLD_e67cdd42c79245c980edb6a9d839ecd0"/>
            <w:id w:val="-744498749"/>
          </w:sdtPr>
          <w:sdtEndPr/>
          <w:sdtContent>
            <w:tc>
              <w:tcPr>
                <w:tcW w:w="878" w:type="pct"/>
                <w:tcBorders>
                  <w:left w:val="single" w:sz="4" w:space="0" w:color="auto"/>
                  <w:bottom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合并范围内增加</w:t>
                </w:r>
              </w:p>
            </w:tc>
          </w:sdtContent>
        </w:sdt>
        <w:sdt>
          <w:sdtPr>
            <w:rPr>
              <w:color w:val="000000" w:themeColor="text1"/>
              <w:sz w:val="18"/>
              <w:szCs w:val="18"/>
            </w:rPr>
            <w:tag w:val="_PLD_d2a5b409858c40b5a77dea8d7f7c8500"/>
            <w:id w:val="-1964576581"/>
          </w:sdtPr>
          <w:sdtEndPr/>
          <w:sdtContent>
            <w:tc>
              <w:tcPr>
                <w:tcW w:w="754" w:type="pct"/>
                <w:tcBorders>
                  <w:top w:val="single" w:sz="4" w:space="0" w:color="auto"/>
                  <w:left w:val="single" w:sz="4" w:space="0" w:color="auto"/>
                  <w:bottom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转回或转销</w:t>
                </w:r>
              </w:p>
            </w:tc>
          </w:sdtContent>
        </w:sdt>
        <w:sdt>
          <w:sdtPr>
            <w:rPr>
              <w:color w:val="000000" w:themeColor="text1"/>
              <w:sz w:val="18"/>
              <w:szCs w:val="18"/>
            </w:rPr>
            <w:tag w:val="_PLD_a0a39eeb19a049d18a777b0dc41ab25e"/>
            <w:id w:val="-1656213527"/>
          </w:sdtPr>
          <w:sdtEndPr/>
          <w:sdtContent>
            <w:tc>
              <w:tcPr>
                <w:tcW w:w="459" w:type="pct"/>
                <w:tcBorders>
                  <w:top w:val="single" w:sz="4" w:space="0" w:color="auto"/>
                  <w:left w:val="single" w:sz="4" w:space="0" w:color="auto"/>
                  <w:bottom w:val="single" w:sz="4" w:space="0" w:color="auto"/>
                  <w:right w:val="single" w:sz="4" w:space="0" w:color="auto"/>
                </w:tcBorders>
                <w:vAlign w:val="center"/>
              </w:tcPr>
              <w:p w:rsidR="00597370" w:rsidRDefault="003C2EEE">
                <w:pPr>
                  <w:spacing w:line="360" w:lineRule="auto"/>
                  <w:jc w:val="center"/>
                  <w:rPr>
                    <w:color w:val="000000" w:themeColor="text1"/>
                    <w:sz w:val="18"/>
                    <w:szCs w:val="18"/>
                  </w:rPr>
                </w:pPr>
                <w:r>
                  <w:rPr>
                    <w:rFonts w:hint="eastAsia"/>
                    <w:color w:val="000000" w:themeColor="text1"/>
                    <w:sz w:val="18"/>
                    <w:szCs w:val="18"/>
                  </w:rPr>
                  <w:t>其他</w:t>
                </w:r>
              </w:p>
            </w:tc>
          </w:sdtContent>
        </w:sdt>
        <w:tc>
          <w:tcPr>
            <w:tcW w:w="817" w:type="pct"/>
            <w:vMerge/>
            <w:tcBorders>
              <w:top w:val="single" w:sz="4" w:space="0" w:color="auto"/>
              <w:left w:val="single" w:sz="4" w:space="0" w:color="auto"/>
              <w:bottom w:val="single" w:sz="4" w:space="0" w:color="auto"/>
              <w:right w:val="single" w:sz="4" w:space="0" w:color="auto"/>
            </w:tcBorders>
            <w:vAlign w:val="center"/>
          </w:tcPr>
          <w:p w:rsidR="00597370" w:rsidRDefault="00597370">
            <w:pPr>
              <w:spacing w:line="360" w:lineRule="auto"/>
              <w:rPr>
                <w:color w:val="000000" w:themeColor="text1"/>
                <w:sz w:val="18"/>
                <w:szCs w:val="18"/>
              </w:rPr>
            </w:pPr>
          </w:p>
        </w:tc>
      </w:tr>
      <w:tr w:rsidR="00597370">
        <w:trPr>
          <w:trHeight w:val="397"/>
          <w:jc w:val="center"/>
        </w:trPr>
        <w:tc>
          <w:tcPr>
            <w:tcW w:w="533" w:type="pct"/>
            <w:tcBorders>
              <w:top w:val="single" w:sz="4" w:space="0" w:color="auto"/>
              <w:left w:val="single" w:sz="4" w:space="0" w:color="auto"/>
              <w:bottom w:val="single" w:sz="4" w:space="0" w:color="auto"/>
              <w:right w:val="single" w:sz="4" w:space="0" w:color="auto"/>
            </w:tcBorders>
            <w:vAlign w:val="center"/>
          </w:tcPr>
          <w:p w:rsidR="00597370" w:rsidRDefault="003C2EEE">
            <w:pPr>
              <w:rPr>
                <w:bCs w:val="0"/>
                <w:color w:val="000000"/>
                <w:sz w:val="18"/>
                <w:szCs w:val="18"/>
              </w:rPr>
            </w:pPr>
            <w:r>
              <w:rPr>
                <w:rFonts w:hint="eastAsia"/>
                <w:color w:val="000000"/>
                <w:sz w:val="18"/>
                <w:szCs w:val="18"/>
              </w:rPr>
              <w:t>原材料</w:t>
            </w:r>
          </w:p>
        </w:tc>
        <w:tc>
          <w:tcPr>
            <w:tcW w:w="741"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2,472,464.71</w:t>
            </w: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124,529.69</w:t>
            </w:r>
          </w:p>
        </w:tc>
        <w:tc>
          <w:tcPr>
            <w:tcW w:w="878"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2,242,835.69</w:t>
            </w:r>
          </w:p>
        </w:tc>
        <w:tc>
          <w:tcPr>
            <w:tcW w:w="75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434,971.33</w:t>
            </w:r>
          </w:p>
        </w:tc>
        <w:tc>
          <w:tcPr>
            <w:tcW w:w="459"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color w:val="000000"/>
                <w:sz w:val="18"/>
                <w:szCs w:val="18"/>
              </w:rPr>
            </w:pP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4,404,858.76</w:t>
            </w:r>
          </w:p>
        </w:tc>
      </w:tr>
      <w:tr w:rsidR="00597370">
        <w:trPr>
          <w:trHeight w:val="397"/>
          <w:jc w:val="center"/>
        </w:trPr>
        <w:tc>
          <w:tcPr>
            <w:tcW w:w="533" w:type="pct"/>
            <w:tcBorders>
              <w:top w:val="single" w:sz="4" w:space="0" w:color="auto"/>
              <w:left w:val="single" w:sz="4" w:space="0" w:color="auto"/>
              <w:bottom w:val="single" w:sz="4" w:space="0" w:color="auto"/>
              <w:right w:val="single" w:sz="4" w:space="0" w:color="auto"/>
            </w:tcBorders>
            <w:vAlign w:val="center"/>
          </w:tcPr>
          <w:p w:rsidR="00597370" w:rsidRDefault="003C2EEE">
            <w:pPr>
              <w:rPr>
                <w:color w:val="000000"/>
                <w:sz w:val="18"/>
                <w:szCs w:val="18"/>
              </w:rPr>
            </w:pPr>
            <w:r>
              <w:rPr>
                <w:rFonts w:hint="eastAsia"/>
                <w:color w:val="000000"/>
                <w:sz w:val="18"/>
                <w:szCs w:val="18"/>
              </w:rPr>
              <w:lastRenderedPageBreak/>
              <w:t>在产品</w:t>
            </w:r>
          </w:p>
        </w:tc>
        <w:tc>
          <w:tcPr>
            <w:tcW w:w="741" w:type="pct"/>
            <w:tcBorders>
              <w:top w:val="single" w:sz="4" w:space="0" w:color="auto"/>
              <w:left w:val="single" w:sz="4" w:space="0" w:color="auto"/>
              <w:bottom w:val="single" w:sz="4" w:space="0" w:color="auto"/>
              <w:right w:val="single" w:sz="4" w:space="0" w:color="auto"/>
            </w:tcBorders>
            <w:vAlign w:val="bottom"/>
          </w:tcPr>
          <w:p w:rsidR="00597370" w:rsidRDefault="00597370">
            <w:pPr>
              <w:rPr>
                <w:color w:val="000000"/>
                <w:sz w:val="18"/>
                <w:szCs w:val="18"/>
              </w:rPr>
            </w:pP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425,633.65</w:t>
            </w:r>
          </w:p>
        </w:tc>
        <w:tc>
          <w:tcPr>
            <w:tcW w:w="878"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color w:val="000000"/>
                <w:sz w:val="18"/>
                <w:szCs w:val="18"/>
              </w:rPr>
            </w:pPr>
          </w:p>
        </w:tc>
        <w:tc>
          <w:tcPr>
            <w:tcW w:w="75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imes New Roman" w:eastAsia="Times New Roman" w:hAnsi="Times New Roman" w:cs="Times New Roman"/>
                <w:sz w:val="20"/>
                <w:szCs w:val="20"/>
              </w:rPr>
            </w:pPr>
          </w:p>
        </w:tc>
        <w:tc>
          <w:tcPr>
            <w:tcW w:w="459" w:type="pct"/>
            <w:tcBorders>
              <w:left w:val="single" w:sz="4" w:space="0" w:color="auto"/>
              <w:right w:val="single" w:sz="4" w:space="0" w:color="auto"/>
            </w:tcBorders>
            <w:vAlign w:val="bottom"/>
          </w:tcPr>
          <w:p w:rsidR="00597370" w:rsidRDefault="00597370">
            <w:pPr>
              <w:jc w:val="right"/>
              <w:rPr>
                <w:rFonts w:ascii="Times New Roman" w:eastAsia="Times New Roman" w:hAnsi="Times New Roman" w:cs="Times New Roman"/>
                <w:sz w:val="20"/>
                <w:szCs w:val="20"/>
              </w:rPr>
            </w:pP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425,633.65</w:t>
            </w:r>
          </w:p>
        </w:tc>
      </w:tr>
      <w:tr w:rsidR="00597370">
        <w:trPr>
          <w:trHeight w:val="397"/>
          <w:jc w:val="center"/>
        </w:trPr>
        <w:tc>
          <w:tcPr>
            <w:tcW w:w="533" w:type="pct"/>
            <w:tcBorders>
              <w:top w:val="single" w:sz="4" w:space="0" w:color="auto"/>
              <w:left w:val="single" w:sz="4" w:space="0" w:color="auto"/>
              <w:bottom w:val="single" w:sz="4" w:space="0" w:color="auto"/>
              <w:right w:val="single" w:sz="4" w:space="0" w:color="auto"/>
            </w:tcBorders>
            <w:vAlign w:val="center"/>
          </w:tcPr>
          <w:p w:rsidR="00597370" w:rsidRDefault="003C2EEE">
            <w:pPr>
              <w:rPr>
                <w:color w:val="000000"/>
                <w:sz w:val="18"/>
                <w:szCs w:val="18"/>
              </w:rPr>
            </w:pPr>
            <w:r>
              <w:rPr>
                <w:rFonts w:hint="eastAsia"/>
                <w:color w:val="000000"/>
                <w:sz w:val="18"/>
                <w:szCs w:val="18"/>
              </w:rPr>
              <w:t>库存商品</w:t>
            </w:r>
          </w:p>
        </w:tc>
        <w:tc>
          <w:tcPr>
            <w:tcW w:w="741"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3,284,276.26</w:t>
            </w: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2,190,989.55</w:t>
            </w:r>
          </w:p>
        </w:tc>
        <w:tc>
          <w:tcPr>
            <w:tcW w:w="878"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7,782,912.68</w:t>
            </w:r>
          </w:p>
        </w:tc>
        <w:tc>
          <w:tcPr>
            <w:tcW w:w="75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6,334,077.00</w:t>
            </w:r>
          </w:p>
        </w:tc>
        <w:tc>
          <w:tcPr>
            <w:tcW w:w="459" w:type="pct"/>
            <w:tcBorders>
              <w:left w:val="single" w:sz="4" w:space="0" w:color="auto"/>
              <w:right w:val="single" w:sz="4" w:space="0" w:color="auto"/>
            </w:tcBorders>
            <w:vAlign w:val="bottom"/>
          </w:tcPr>
          <w:p w:rsidR="00597370" w:rsidRDefault="00597370">
            <w:pPr>
              <w:jc w:val="right"/>
              <w:rPr>
                <w:color w:val="000000"/>
                <w:sz w:val="18"/>
                <w:szCs w:val="18"/>
              </w:rPr>
            </w:pP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6,924,101.49</w:t>
            </w:r>
          </w:p>
        </w:tc>
      </w:tr>
      <w:tr w:rsidR="00597370">
        <w:trPr>
          <w:trHeight w:val="397"/>
          <w:jc w:val="center"/>
        </w:trPr>
        <w:tc>
          <w:tcPr>
            <w:tcW w:w="533" w:type="pct"/>
            <w:tcBorders>
              <w:top w:val="single" w:sz="4" w:space="0" w:color="auto"/>
              <w:left w:val="single" w:sz="4" w:space="0" w:color="auto"/>
              <w:bottom w:val="single" w:sz="4" w:space="0" w:color="auto"/>
              <w:right w:val="single" w:sz="4" w:space="0" w:color="auto"/>
            </w:tcBorders>
            <w:vAlign w:val="center"/>
          </w:tcPr>
          <w:p w:rsidR="00597370" w:rsidRDefault="003C2EEE">
            <w:pPr>
              <w:rPr>
                <w:color w:val="000000"/>
                <w:sz w:val="18"/>
                <w:szCs w:val="18"/>
              </w:rPr>
            </w:pPr>
            <w:r>
              <w:rPr>
                <w:rFonts w:hint="eastAsia"/>
                <w:color w:val="000000"/>
                <w:sz w:val="18"/>
                <w:szCs w:val="18"/>
              </w:rPr>
              <w:t>发出商品</w:t>
            </w:r>
          </w:p>
        </w:tc>
        <w:tc>
          <w:tcPr>
            <w:tcW w:w="741" w:type="pct"/>
            <w:tcBorders>
              <w:top w:val="single" w:sz="4" w:space="0" w:color="auto"/>
              <w:left w:val="single" w:sz="4" w:space="0" w:color="auto"/>
              <w:bottom w:val="single" w:sz="4" w:space="0" w:color="auto"/>
              <w:right w:val="single" w:sz="4" w:space="0" w:color="auto"/>
            </w:tcBorders>
            <w:vAlign w:val="bottom"/>
          </w:tcPr>
          <w:p w:rsidR="00597370" w:rsidRDefault="00597370">
            <w:pPr>
              <w:rPr>
                <w:color w:val="000000"/>
                <w:sz w:val="18"/>
                <w:szCs w:val="18"/>
              </w:rPr>
            </w:pP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125,697.82</w:t>
            </w:r>
          </w:p>
        </w:tc>
        <w:tc>
          <w:tcPr>
            <w:tcW w:w="878"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color w:val="000000"/>
                <w:sz w:val="18"/>
                <w:szCs w:val="18"/>
              </w:rPr>
            </w:pPr>
          </w:p>
        </w:tc>
        <w:tc>
          <w:tcPr>
            <w:tcW w:w="75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imes New Roman" w:eastAsia="Times New Roman" w:hAnsi="Times New Roman" w:cs="Times New Roman"/>
                <w:sz w:val="20"/>
                <w:szCs w:val="20"/>
              </w:rPr>
            </w:pPr>
          </w:p>
        </w:tc>
        <w:tc>
          <w:tcPr>
            <w:tcW w:w="459" w:type="pct"/>
            <w:tcBorders>
              <w:left w:val="single" w:sz="4" w:space="0" w:color="auto"/>
              <w:right w:val="single" w:sz="4" w:space="0" w:color="auto"/>
            </w:tcBorders>
            <w:vAlign w:val="bottom"/>
          </w:tcPr>
          <w:p w:rsidR="00597370" w:rsidRDefault="00597370">
            <w:pPr>
              <w:jc w:val="right"/>
              <w:rPr>
                <w:rFonts w:ascii="Times New Roman" w:eastAsia="Times New Roman" w:hAnsi="Times New Roman" w:cs="Times New Roman"/>
                <w:sz w:val="20"/>
                <w:szCs w:val="20"/>
              </w:rPr>
            </w:pP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125,697.82</w:t>
            </w:r>
          </w:p>
        </w:tc>
      </w:tr>
      <w:tr w:rsidR="00597370">
        <w:trPr>
          <w:trHeight w:val="397"/>
          <w:jc w:val="center"/>
        </w:trPr>
        <w:tc>
          <w:tcPr>
            <w:tcW w:w="533" w:type="pct"/>
            <w:tcBorders>
              <w:top w:val="single" w:sz="4" w:space="0" w:color="auto"/>
              <w:left w:val="single" w:sz="4" w:space="0" w:color="auto"/>
              <w:bottom w:val="single" w:sz="4" w:space="0" w:color="auto"/>
              <w:right w:val="single" w:sz="4" w:space="0" w:color="auto"/>
            </w:tcBorders>
            <w:vAlign w:val="center"/>
          </w:tcPr>
          <w:p w:rsidR="00597370" w:rsidRDefault="003C2EEE">
            <w:pPr>
              <w:rPr>
                <w:color w:val="000000"/>
                <w:sz w:val="18"/>
                <w:szCs w:val="18"/>
              </w:rPr>
            </w:pPr>
            <w:r>
              <w:rPr>
                <w:rFonts w:hint="eastAsia"/>
                <w:color w:val="000000"/>
                <w:sz w:val="18"/>
                <w:szCs w:val="18"/>
              </w:rPr>
              <w:t>合计</w:t>
            </w:r>
          </w:p>
        </w:tc>
        <w:tc>
          <w:tcPr>
            <w:tcW w:w="741"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5,756,740.97</w:t>
            </w: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2,866,850.71</w:t>
            </w:r>
          </w:p>
        </w:tc>
        <w:tc>
          <w:tcPr>
            <w:tcW w:w="878"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10,025,748.37</w:t>
            </w:r>
          </w:p>
        </w:tc>
        <w:tc>
          <w:tcPr>
            <w:tcW w:w="75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6,769,048.33</w:t>
            </w:r>
          </w:p>
        </w:tc>
        <w:tc>
          <w:tcPr>
            <w:tcW w:w="459" w:type="pct"/>
            <w:tcBorders>
              <w:left w:val="single" w:sz="4" w:space="0" w:color="auto"/>
              <w:bottom w:val="single" w:sz="4" w:space="0" w:color="auto"/>
              <w:right w:val="single" w:sz="4" w:space="0" w:color="auto"/>
            </w:tcBorders>
            <w:vAlign w:val="bottom"/>
          </w:tcPr>
          <w:p w:rsidR="00597370" w:rsidRDefault="00597370">
            <w:pPr>
              <w:jc w:val="right"/>
              <w:rPr>
                <w:color w:val="000000"/>
                <w:sz w:val="18"/>
                <w:szCs w:val="18"/>
              </w:rPr>
            </w:pPr>
          </w:p>
        </w:tc>
        <w:tc>
          <w:tcPr>
            <w:tcW w:w="81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color w:val="000000"/>
                <w:sz w:val="18"/>
                <w:szCs w:val="18"/>
              </w:rPr>
            </w:pPr>
            <w:r>
              <w:rPr>
                <w:rFonts w:hint="eastAsia"/>
                <w:color w:val="000000"/>
                <w:sz w:val="18"/>
                <w:szCs w:val="18"/>
              </w:rPr>
              <w:t>11,880,291.72</w:t>
            </w:r>
          </w:p>
        </w:tc>
      </w:tr>
    </w:tbl>
    <w:p w:rsidR="00597370" w:rsidRDefault="00597370">
      <w:pPr>
        <w:rPr>
          <w:color w:val="000000" w:themeColor="text1"/>
        </w:rPr>
      </w:pPr>
    </w:p>
    <w:p w:rsidR="00597370" w:rsidRDefault="003C2EEE">
      <w:pPr>
        <w:rPr>
          <w:color w:val="000000" w:themeColor="text1"/>
        </w:rPr>
      </w:pPr>
      <w:bookmarkStart w:id="222" w:name="_Hlk167891635"/>
      <w:bookmarkEnd w:id="221"/>
      <w:r>
        <w:rPr>
          <w:color w:val="000000" w:themeColor="text1"/>
        </w:rPr>
        <w:t>本期转回或转销存货跌价准备的原因</w:t>
      </w:r>
    </w:p>
    <w:sdt>
      <w:sdtPr>
        <w:rPr>
          <w:color w:val="000000" w:themeColor="text1"/>
        </w:rPr>
        <w:alias w:val="是否适用：本期转回或转销存货跌价准备的原因[双击切换]"/>
        <w:tag w:val="_GBC_e27c6ef344f148c18ae56422278eafd6"/>
        <w:id w:val="158564860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按组合计提存货跌价准备</w:t>
      </w:r>
    </w:p>
    <w:sdt>
      <w:sdtPr>
        <w:rPr>
          <w:color w:val="000000" w:themeColor="text1"/>
        </w:rPr>
        <w:alias w:val="是否适用：按组合计提存货跌价准备[双击切换]"/>
        <w:tag w:val="_GBC_f0fab92eec8647d68c06a12b3bc75549"/>
        <w:id w:val="117753497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按组合计提存货跌价准备的计提标准</w:t>
      </w:r>
    </w:p>
    <w:sdt>
      <w:sdtPr>
        <w:rPr>
          <w:color w:val="000000" w:themeColor="text1"/>
        </w:rPr>
        <w:alias w:val="是否适用：按组合计提存货跌价准备的计提标准[双击切换]"/>
        <w:tag w:val="_GBC_d204ec862c304c1f8d4ec4644591e14e"/>
        <w:id w:val="197487369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22"/>
    <w:p w:rsidR="00597370" w:rsidRDefault="003C2EEE">
      <w:pPr>
        <w:pStyle w:val="Style110"/>
        <w:numPr>
          <w:ilvl w:val="0"/>
          <w:numId w:val="55"/>
        </w:numPr>
        <w:tabs>
          <w:tab w:val="left" w:pos="630"/>
        </w:tabs>
        <w:rPr>
          <w:rFonts w:ascii="宋体" w:hAnsi="宋体"/>
          <w:color w:val="000000" w:themeColor="text1"/>
        </w:rPr>
      </w:pPr>
      <w:r>
        <w:rPr>
          <w:rFonts w:ascii="宋体" w:hAnsi="宋体" w:hint="eastAsia"/>
          <w:color w:val="000000" w:themeColor="text1"/>
        </w:rPr>
        <w:t>存货期末余额含有的借款费用资本</w:t>
      </w:r>
      <w:proofErr w:type="gramStart"/>
      <w:r>
        <w:rPr>
          <w:rFonts w:ascii="宋体" w:hAnsi="宋体" w:hint="eastAsia"/>
          <w:color w:val="000000" w:themeColor="text1"/>
        </w:rPr>
        <w:t>化金额</w:t>
      </w:r>
      <w:proofErr w:type="gramEnd"/>
      <w:r>
        <w:rPr>
          <w:rFonts w:ascii="宋体" w:hAnsi="宋体" w:hint="eastAsia"/>
          <w:color w:val="000000" w:themeColor="text1"/>
        </w:rPr>
        <w:t>及其计算标准和依据</w:t>
      </w:r>
    </w:p>
    <w:sdt>
      <w:sdtPr>
        <w:rPr>
          <w:rFonts w:hint="eastAsia"/>
          <w:color w:val="000000" w:themeColor="text1"/>
        </w:rPr>
        <w:alias w:val="是否适用：存货期末余额含有借款费用资本化金额的说明[双击切换]"/>
        <w:tag w:val="_GBC_c4216db560c643b38b29d44401d464c9"/>
        <w:id w:val="32255041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55"/>
        </w:numPr>
        <w:tabs>
          <w:tab w:val="left" w:pos="630"/>
        </w:tabs>
        <w:rPr>
          <w:rFonts w:ascii="宋体" w:hAnsi="宋体"/>
          <w:color w:val="000000" w:themeColor="text1"/>
        </w:rPr>
      </w:pPr>
      <w:bookmarkStart w:id="223" w:name="_Hlk10470641"/>
      <w:r>
        <w:rPr>
          <w:rFonts w:ascii="宋体" w:hAnsi="宋体" w:hint="eastAsia"/>
          <w:color w:val="000000" w:themeColor="text1"/>
        </w:rPr>
        <w:t>合同履约成本本期摊销金额的说明</w:t>
      </w:r>
    </w:p>
    <w:sdt>
      <w:sdtPr>
        <w:rPr>
          <w:color w:val="000000" w:themeColor="text1"/>
        </w:rPr>
        <w:alias w:val="是否适用：合同履约成本本期摊销金额的说明[双击切换]"/>
        <w:tag w:val="_GBC_cd3513a7790e48d4a2a156e8ad6a629a"/>
        <w:id w:val="-16619194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23"/>
    <w:p w:rsidR="00597370" w:rsidRDefault="003C2EEE">
      <w:pPr>
        <w:rPr>
          <w:color w:val="000000" w:themeColor="text1"/>
        </w:rPr>
      </w:pPr>
      <w:r>
        <w:rPr>
          <w:rFonts w:hint="eastAsia"/>
          <w:color w:val="000000" w:themeColor="text1"/>
        </w:rPr>
        <w:t>其他说明：</w:t>
      </w:r>
    </w:p>
    <w:sdt>
      <w:sdtPr>
        <w:rPr>
          <w:color w:val="000000" w:themeColor="text1"/>
        </w:rPr>
        <w:alias w:val="是否适用：存货的其他说明[双击切换]"/>
        <w:tag w:val="_GBC_bd31680428a448ecb64fdd4cbab90a42"/>
        <w:id w:val="95453278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rPr>
      </w:pPr>
      <w:r>
        <w:rPr>
          <w:rFonts w:ascii="宋体" w:hAnsi="宋体" w:hint="eastAsia"/>
          <w:color w:val="000000" w:themeColor="text1"/>
        </w:rPr>
        <w:t>持有待售资产</w:t>
      </w:r>
    </w:p>
    <w:sdt>
      <w:sdtPr>
        <w:rPr>
          <w:color w:val="000000" w:themeColor="text1"/>
        </w:rPr>
        <w:alias w:val="是否适用：划分为持有待售的资产[双击切换]"/>
        <w:tag w:val="_GBC_a6517e0f93e04b1caa2e45201c8133b1"/>
        <w:id w:val="5619950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rPr>
      </w:pPr>
      <w:bookmarkStart w:id="224" w:name="_Hlk167891796"/>
      <w:bookmarkStart w:id="225" w:name="_Hlk10471081"/>
      <w:r>
        <w:rPr>
          <w:rFonts w:ascii="宋体" w:hAnsi="宋体" w:hint="eastAsia"/>
          <w:color w:val="000000" w:themeColor="text1"/>
        </w:rPr>
        <w:t>一年内到期的非流动资产</w:t>
      </w:r>
    </w:p>
    <w:sdt>
      <w:sdtPr>
        <w:rPr>
          <w:color w:val="000000" w:themeColor="text1"/>
        </w:rPr>
        <w:alias w:val="是否适用：一年内到期的非流动资产[双击切换]"/>
        <w:tag w:val="_GBC_3c3df002388d4bbe8dd8d4df7fe26ebc"/>
        <w:id w:val="155636123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right="210"/>
        <w:jc w:val="right"/>
        <w:rPr>
          <w:color w:val="000000" w:themeColor="text1"/>
        </w:rPr>
      </w:pPr>
      <w:bookmarkStart w:id="226" w:name="_Hlk167891921"/>
      <w:bookmarkEnd w:id="224"/>
      <w:r>
        <w:rPr>
          <w:rFonts w:hint="eastAsia"/>
          <w:color w:val="000000" w:themeColor="text1"/>
        </w:rPr>
        <w:t>单位：</w:t>
      </w:r>
      <w:sdt>
        <w:sdtPr>
          <w:rPr>
            <w:rFonts w:hint="eastAsia"/>
            <w:color w:val="000000" w:themeColor="text1"/>
          </w:rPr>
          <w:alias w:val="单位：财务附注：一年内到期的非流动资产"/>
          <w:tag w:val="_GBC_14922dae03f44c28ac9ffa1215012f9c"/>
          <w:id w:val="1109009206"/>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一年内到期的非流动资产"/>
          <w:tag w:val="_GBC_82f0c618fc25413492c788e363214691"/>
          <w:id w:val="25610461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2825"/>
        <w:gridCol w:w="2792"/>
      </w:tblGrid>
      <w:tr w:rsidR="00597370">
        <w:sdt>
          <w:sdtPr>
            <w:rPr>
              <w:color w:val="000000" w:themeColor="text1"/>
            </w:rPr>
            <w:tag w:val="_PLD_3dd3ecdefaa34ef4b20ed16dfc08362c"/>
            <w:id w:val="1160349064"/>
          </w:sdtPr>
          <w:sdtEndPr/>
          <w:sdtContent>
            <w:tc>
              <w:tcPr>
                <w:tcW w:w="1817"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480b5377d1d84a9c8b0deaaf24f342ff"/>
            <w:id w:val="66395494"/>
          </w:sdtPr>
          <w:sdtEndPr/>
          <w:sdtContent>
            <w:tc>
              <w:tcPr>
                <w:tcW w:w="1601"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a67b2de4a1a3451da84cbef4312398ed"/>
            <w:id w:val="309760798"/>
          </w:sdtPr>
          <w:sdtEndPr/>
          <w:sdtContent>
            <w:tc>
              <w:tcPr>
                <w:tcW w:w="1582"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c>
          <w:tcPr>
            <w:tcW w:w="1817" w:type="pct"/>
            <w:shd w:val="clear" w:color="auto" w:fill="auto"/>
            <w:vAlign w:val="center"/>
          </w:tcPr>
          <w:p w:rsidR="00597370" w:rsidRDefault="003C2EEE">
            <w:pPr>
              <w:rPr>
                <w:color w:val="000000" w:themeColor="text1"/>
              </w:rPr>
            </w:pPr>
            <w:r>
              <w:rPr>
                <w:rFonts w:hint="eastAsia"/>
                <w:color w:val="000000" w:themeColor="text1"/>
              </w:rPr>
              <w:t>土地竞拍履约保证金</w:t>
            </w:r>
          </w:p>
        </w:tc>
        <w:tc>
          <w:tcPr>
            <w:tcW w:w="1601" w:type="pct"/>
            <w:shd w:val="clear" w:color="auto" w:fill="auto"/>
            <w:vAlign w:val="center"/>
          </w:tcPr>
          <w:p w:rsidR="00597370" w:rsidRDefault="003C2EEE">
            <w:pPr>
              <w:jc w:val="right"/>
            </w:pPr>
            <w:r>
              <w:t>40,000,000.00</w:t>
            </w:r>
          </w:p>
        </w:tc>
        <w:tc>
          <w:tcPr>
            <w:tcW w:w="1582" w:type="pct"/>
            <w:shd w:val="clear" w:color="auto" w:fill="auto"/>
            <w:vAlign w:val="center"/>
          </w:tcPr>
          <w:p w:rsidR="00597370" w:rsidRDefault="003C2EEE">
            <w:pPr>
              <w:jc w:val="right"/>
            </w:pPr>
            <w:r>
              <w:t>40,000,000.00</w:t>
            </w:r>
          </w:p>
        </w:tc>
      </w:tr>
      <w:tr w:rsidR="00597370">
        <w:tc>
          <w:tcPr>
            <w:tcW w:w="1817" w:type="pct"/>
            <w:shd w:val="clear" w:color="auto" w:fill="auto"/>
            <w:vAlign w:val="center"/>
          </w:tcPr>
          <w:p w:rsidR="00597370" w:rsidRDefault="003C2EEE">
            <w:pPr>
              <w:rPr>
                <w:color w:val="000000" w:themeColor="text1"/>
              </w:rPr>
            </w:pPr>
            <w:r>
              <w:rPr>
                <w:rFonts w:hint="eastAsia"/>
                <w:color w:val="000000" w:themeColor="text1"/>
              </w:rPr>
              <w:t>应收融资租赁款</w:t>
            </w:r>
          </w:p>
        </w:tc>
        <w:tc>
          <w:tcPr>
            <w:tcW w:w="1601" w:type="pct"/>
            <w:shd w:val="clear" w:color="auto" w:fill="auto"/>
            <w:vAlign w:val="center"/>
          </w:tcPr>
          <w:p w:rsidR="00597370" w:rsidRDefault="00597370">
            <w:pPr>
              <w:jc w:val="right"/>
            </w:pPr>
          </w:p>
        </w:tc>
        <w:tc>
          <w:tcPr>
            <w:tcW w:w="1582" w:type="pct"/>
            <w:shd w:val="clear" w:color="auto" w:fill="auto"/>
            <w:vAlign w:val="center"/>
          </w:tcPr>
          <w:p w:rsidR="00597370" w:rsidRDefault="003C2EEE">
            <w:pPr>
              <w:jc w:val="right"/>
            </w:pPr>
            <w:r>
              <w:t>61,815.49</w:t>
            </w:r>
          </w:p>
        </w:tc>
      </w:tr>
      <w:tr w:rsidR="00597370">
        <w:tc>
          <w:tcPr>
            <w:tcW w:w="1817" w:type="pct"/>
            <w:shd w:val="clear" w:color="auto" w:fill="auto"/>
            <w:vAlign w:val="bottom"/>
          </w:tcPr>
          <w:p w:rsidR="00597370" w:rsidRDefault="003C2EEE">
            <w:pPr>
              <w:snapToGrid w:val="0"/>
              <w:ind w:leftChars="-51" w:left="-107"/>
              <w:jc w:val="center"/>
              <w:rPr>
                <w:color w:val="000000" w:themeColor="text1"/>
              </w:rPr>
            </w:pPr>
            <w:r>
              <w:rPr>
                <w:rFonts w:hint="eastAsia"/>
                <w:color w:val="000000" w:themeColor="text1"/>
              </w:rPr>
              <w:t>合计</w:t>
            </w:r>
          </w:p>
        </w:tc>
        <w:tc>
          <w:tcPr>
            <w:tcW w:w="1601" w:type="pct"/>
            <w:shd w:val="clear" w:color="auto" w:fill="auto"/>
          </w:tcPr>
          <w:p w:rsidR="00597370" w:rsidRDefault="003C2EEE">
            <w:pPr>
              <w:snapToGrid w:val="0"/>
              <w:jc w:val="right"/>
            </w:pPr>
            <w:r>
              <w:t>40,000,000.00</w:t>
            </w:r>
          </w:p>
        </w:tc>
        <w:tc>
          <w:tcPr>
            <w:tcW w:w="1582" w:type="pct"/>
            <w:shd w:val="clear" w:color="auto" w:fill="auto"/>
          </w:tcPr>
          <w:p w:rsidR="00597370" w:rsidRDefault="003C2EEE">
            <w:pPr>
              <w:snapToGrid w:val="0"/>
              <w:jc w:val="right"/>
            </w:pPr>
            <w:r>
              <w:t>40,061,815.49</w:t>
            </w:r>
          </w:p>
        </w:tc>
      </w:tr>
    </w:tbl>
    <w:p w:rsidR="00597370" w:rsidRDefault="00597370">
      <w:pPr>
        <w:pStyle w:val="Style106"/>
      </w:pPr>
    </w:p>
    <w:p w:rsidR="00597370" w:rsidRDefault="003C2EEE">
      <w:pPr>
        <w:pStyle w:val="Style110"/>
        <w:rPr>
          <w:color w:val="000000" w:themeColor="text1"/>
        </w:rPr>
      </w:pPr>
      <w:r>
        <w:rPr>
          <w:rFonts w:hint="eastAsia"/>
          <w:color w:val="000000" w:themeColor="text1"/>
        </w:rPr>
        <w:t>一年内到期的债权投资</w:t>
      </w:r>
    </w:p>
    <w:sdt>
      <w:sdtPr>
        <w:rPr>
          <w:color w:val="000000" w:themeColor="text1"/>
        </w:rPr>
        <w:alias w:val="是否适用：一年内到期的债权投资[双击切换]"/>
        <w:tag w:val="_GBC_ed748eccf06845059b7b75fbb321c08e"/>
        <w:id w:val="1018976823"/>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numPr>
          <w:ilvl w:val="0"/>
          <w:numId w:val="56"/>
        </w:numPr>
        <w:ind w:left="425" w:hanging="425"/>
        <w:rPr>
          <w:color w:val="000000" w:themeColor="text1"/>
        </w:rPr>
      </w:pPr>
      <w:r>
        <w:rPr>
          <w:rFonts w:hint="eastAsia"/>
          <w:color w:val="000000" w:themeColor="text1"/>
        </w:rPr>
        <w:t>一年内到期的债权投资情况</w:t>
      </w:r>
    </w:p>
    <w:sdt>
      <w:sdtPr>
        <w:rPr>
          <w:color w:val="000000" w:themeColor="text1"/>
        </w:rPr>
        <w:alias w:val="是否适用：一年内到期的债权投资情况[双击切换]"/>
        <w:tag w:val="_GBC_58a7a93e9da74eb1a3ec0858c1daea48"/>
        <w:id w:val="90517806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一年内到期的债权投资减值准备本期变动情况</w:t>
      </w:r>
    </w:p>
    <w:sdt>
      <w:sdtPr>
        <w:rPr>
          <w:color w:val="000000" w:themeColor="text1"/>
        </w:rPr>
        <w:alias w:val="是否适用：减值准备本期变动情况[双击切换]"/>
        <w:tag w:val="_GBC_fcb2aebd349d4f39af3e18b85873cb0b"/>
        <w:id w:val="168099545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numPr>
          <w:ilvl w:val="0"/>
          <w:numId w:val="56"/>
        </w:numPr>
        <w:ind w:left="425" w:hanging="425"/>
        <w:rPr>
          <w:color w:val="000000" w:themeColor="text1"/>
        </w:rPr>
      </w:pPr>
      <w:r>
        <w:rPr>
          <w:rFonts w:hint="eastAsia"/>
          <w:color w:val="000000" w:themeColor="text1"/>
        </w:rPr>
        <w:t>期末重要的一年内到期的债权投资</w:t>
      </w:r>
    </w:p>
    <w:sdt>
      <w:sdtPr>
        <w:rPr>
          <w:color w:val="000000" w:themeColor="text1"/>
        </w:rPr>
        <w:alias w:val="是否适用：一年内到期的非流动资产中重要的债权投资[双击切换]"/>
        <w:tag w:val="_GBC_f06c241653e446bdb62611f24d929053"/>
        <w:id w:val="1462003021"/>
        <w:placeholder>
          <w:docPart w:val="GBC22222222222222222222222222222"/>
        </w:placeholder>
      </w:sdtPr>
      <w:sdtEndPr/>
      <w:sdtContent>
        <w:p w:rsidR="00597370" w:rsidRDefault="003C2EEE">
          <w:pPr>
            <w:ind w:right="21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numPr>
          <w:ilvl w:val="0"/>
          <w:numId w:val="56"/>
        </w:numPr>
        <w:ind w:left="425" w:hanging="425"/>
        <w:rPr>
          <w:color w:val="000000" w:themeColor="text1"/>
        </w:rPr>
      </w:pPr>
      <w:bookmarkStart w:id="227" w:name="_Hlk154738040"/>
      <w:bookmarkStart w:id="228" w:name="_Hlk153440747"/>
      <w:r>
        <w:rPr>
          <w:rFonts w:hint="eastAsia"/>
          <w:color w:val="000000" w:themeColor="text1"/>
        </w:rPr>
        <w:t>减值准备计提情况</w:t>
      </w:r>
    </w:p>
    <w:sdt>
      <w:sdtPr>
        <w:rPr>
          <w:rFonts w:cstheme="minorBidi"/>
          <w:bCs w:val="0"/>
          <w:color w:val="000000" w:themeColor="text1"/>
          <w:szCs w:val="22"/>
        </w:rPr>
        <w:alias w:val="是否适用：按预期信用损失一般模型计提坏账准备[双击切换]"/>
        <w:tag w:val="_GBC_0832fd8a74cd4c919dff63574e17b899"/>
        <w:id w:val="-2079282592"/>
        <w:placeholder>
          <w:docPart w:val="GBC22222222222222222222222222222"/>
        </w:placeholder>
      </w:sdtPr>
      <w:sdtEndPr/>
      <w:sdtContent>
        <w:p w:rsidR="00597370" w:rsidRDefault="003C2EEE">
          <w:pPr>
            <w:rPr>
              <w:rFonts w:cstheme="minorBidi"/>
              <w:bCs w:val="0"/>
              <w:color w:val="000000" w:themeColor="text1"/>
              <w:szCs w:val="22"/>
            </w:rPr>
          </w:pPr>
          <w:r>
            <w:rPr>
              <w:rFonts w:cstheme="minorBidi"/>
              <w:bCs w:val="0"/>
              <w:color w:val="000000" w:themeColor="text1"/>
              <w:szCs w:val="22"/>
            </w:rPr>
            <w:fldChar w:fldCharType="begin"/>
          </w:r>
          <w:r>
            <w:rPr>
              <w:rFonts w:cstheme="minorBidi"/>
              <w:color w:val="000000" w:themeColor="text1"/>
              <w:szCs w:val="22"/>
            </w:rPr>
            <w:instrText xml:space="preserve"> MACROBUTTON  SnrToggleCheckbox □适用 </w:instrText>
          </w:r>
          <w:r>
            <w:rPr>
              <w:rFonts w:cstheme="minorBidi"/>
              <w:bCs w:val="0"/>
              <w:color w:val="000000" w:themeColor="text1"/>
              <w:szCs w:val="22"/>
            </w:rPr>
            <w:fldChar w:fldCharType="end"/>
          </w:r>
          <w:r>
            <w:rPr>
              <w:rFonts w:cstheme="minorBidi"/>
              <w:bCs w:val="0"/>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bCs w:val="0"/>
              <w:color w:val="000000" w:themeColor="text1"/>
              <w:szCs w:val="22"/>
            </w:rPr>
            <w:fldChar w:fldCharType="end"/>
          </w:r>
        </w:p>
      </w:sdtContent>
    </w:sdt>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8efcf9f546294b1aada90cb78bf2a8ed"/>
        <w:id w:val="-1982227526"/>
        <w:placeholder>
          <w:docPart w:val="GBC22222222222222222222222222222"/>
        </w:placeholder>
      </w:sdtPr>
      <w:sdtEndPr/>
      <w:sdtContent>
        <w:p w:rsidR="00597370" w:rsidRDefault="003C2EEE">
          <w:pPr>
            <w:rPr>
              <w:rFonts w:cs="Times New Roman"/>
              <w:bCs w:val="0"/>
              <w:color w:val="000000" w:themeColor="text1"/>
              <w:szCs w:val="22"/>
            </w:rPr>
          </w:pPr>
          <w:r>
            <w:rPr>
              <w:rFonts w:cs="Times New Roman" w:hint="eastAsia"/>
              <w:bCs w:val="0"/>
              <w:color w:val="000000" w:themeColor="text1"/>
              <w:szCs w:val="22"/>
            </w:rPr>
            <w:t>无</w:t>
          </w:r>
        </w:p>
      </w:sdtContent>
    </w:sdt>
    <w:p w:rsidR="00597370" w:rsidRDefault="003C2EEE">
      <w:pPr>
        <w:pStyle w:val="affb"/>
        <w:rPr>
          <w:color w:val="000000" w:themeColor="text1"/>
        </w:rPr>
      </w:pPr>
      <w:r>
        <w:rPr>
          <w:rFonts w:hint="eastAsia"/>
          <w:color w:val="000000" w:themeColor="text1"/>
        </w:rPr>
        <w:t>对本期发生损失准备变动的账面余额显著变动的情况说明：</w:t>
      </w:r>
    </w:p>
    <w:sdt>
      <w:sdtPr>
        <w:rPr>
          <w:color w:val="000000" w:themeColor="text1"/>
        </w:rPr>
        <w:alias w:val="是否适用：对本期发生损失准备变动的账面余额显著变动的情况说明[双击切换]"/>
        <w:tag w:val="_GBC_d333fb56c6f046029249453bb249969f"/>
        <w:id w:val="-1635865943"/>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27"/>
    <w:bookmarkEnd w:id="228"/>
    <w:p w:rsidR="00597370" w:rsidRDefault="003C2EEE">
      <w:pPr>
        <w:pStyle w:val="affb"/>
        <w:rPr>
          <w:color w:val="000000" w:themeColor="text1"/>
        </w:rPr>
      </w:pPr>
      <w:r>
        <w:rPr>
          <w:rFonts w:hint="eastAsia"/>
          <w:color w:val="000000" w:themeColor="text1"/>
        </w:rPr>
        <w:t>本</w:t>
      </w:r>
      <w:r>
        <w:rPr>
          <w:color w:val="000000" w:themeColor="text1"/>
        </w:rPr>
        <w:t>期减</w:t>
      </w:r>
      <w:r>
        <w:rPr>
          <w:rFonts w:hint="eastAsia"/>
          <w:color w:val="000000" w:themeColor="text1"/>
        </w:rPr>
        <w:t>值</w:t>
      </w:r>
      <w:r>
        <w:rPr>
          <w:color w:val="000000" w:themeColor="text1"/>
        </w:rPr>
        <w:t>准备计提金额以及评估金融工具的</w:t>
      </w:r>
      <w:r>
        <w:rPr>
          <w:rFonts w:hint="eastAsia"/>
          <w:color w:val="000000" w:themeColor="text1"/>
        </w:rPr>
        <w:t>信用风险是否显著增加的采用依据</w:t>
      </w:r>
    </w:p>
    <w:sdt>
      <w:sdtPr>
        <w:rPr>
          <w:color w:val="000000" w:themeColor="text1"/>
        </w:rPr>
        <w:alias w:val="是否适用：本期坏账准备计提金额以及评估金融工具的信用风险是否显著增加的采用依据[双击切换]"/>
        <w:tag w:val="_GBC_09f2407f12f845828136fe6bf3a89028"/>
        <w:id w:val="208911312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numPr>
          <w:ilvl w:val="0"/>
          <w:numId w:val="56"/>
        </w:numPr>
        <w:ind w:left="425" w:hanging="425"/>
        <w:rPr>
          <w:color w:val="000000" w:themeColor="text1"/>
        </w:rPr>
      </w:pPr>
      <w:bookmarkStart w:id="229" w:name="_Hlk153441083"/>
      <w:r>
        <w:rPr>
          <w:rFonts w:hint="eastAsia"/>
          <w:color w:val="000000" w:themeColor="text1"/>
        </w:rPr>
        <w:lastRenderedPageBreak/>
        <w:t>本期实际核销的一年内到期的债权投资情况</w:t>
      </w:r>
    </w:p>
    <w:sdt>
      <w:sdtPr>
        <w:rPr>
          <w:color w:val="000000" w:themeColor="text1"/>
        </w:rPr>
        <w:alias w:val="是否适用：实际核销的情况[双击切换]"/>
        <w:tag w:val="_GBC_3b51701fe4b345fd9f3453ac08663e01"/>
        <w:id w:val="194680577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其中重要的一年内到期的债权投资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33bb4b80f86b4f08aafdc528e3f530da"/>
        <w:id w:val="-12990673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一年内到期的债权投资的核销说明：</w:t>
      </w:r>
    </w:p>
    <w:sdt>
      <w:sdtPr>
        <w:rPr>
          <w:color w:val="000000" w:themeColor="text1"/>
        </w:rPr>
        <w:alias w:val="是否适用：核销说明[双击切换]"/>
        <w:tag w:val="_GBC_e22d7760d1944a87a0aea5cf6f56e2e4"/>
        <w:id w:val="-1837767951"/>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29"/>
    <w:p w:rsidR="00597370" w:rsidRDefault="003C2EEE">
      <w:pPr>
        <w:rPr>
          <w:color w:val="000000" w:themeColor="text1"/>
        </w:rPr>
      </w:pPr>
      <w:r>
        <w:rPr>
          <w:rFonts w:hint="eastAsia"/>
          <w:color w:val="000000" w:themeColor="text1"/>
        </w:rPr>
        <w:t>其他说明</w:t>
      </w:r>
    </w:p>
    <w:sdt>
      <w:sdtPr>
        <w:rPr>
          <w:color w:val="000000" w:themeColor="text1"/>
        </w:rPr>
        <w:alias w:val="是否适用：一年内到期的债权投资情况的说明[双击切换]"/>
        <w:tag w:val="_GBC_433d5d14938c4a9f9bfa3d34964d7410"/>
        <w:id w:val="-1262914408"/>
        <w:placeholder>
          <w:docPart w:val="GBC22222222222222222222222222222"/>
        </w:placeholder>
      </w:sdtPr>
      <w:sdtEndPr/>
      <w:sdtContent>
        <w:p w:rsidR="00597370" w:rsidRDefault="003C2EEE">
          <w:pPr>
            <w:ind w:right="21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rPr>
          <w:color w:val="000000" w:themeColor="text1"/>
        </w:rPr>
      </w:pPr>
      <w:r>
        <w:rPr>
          <w:rFonts w:hint="eastAsia"/>
          <w:color w:val="000000" w:themeColor="text1"/>
        </w:rPr>
        <w:t>一年内到期的其他债权投资</w:t>
      </w:r>
    </w:p>
    <w:sdt>
      <w:sdtPr>
        <w:rPr>
          <w:color w:val="000000" w:themeColor="text1"/>
        </w:rPr>
        <w:alias w:val="是否适用：一年内到期的其他债权投资[双击切换]"/>
        <w:tag w:val="_GBC_4fffef07e644478cae129eff5661f608"/>
        <w:id w:val="1021980917"/>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right="210"/>
        <w:rPr>
          <w:color w:val="000000" w:themeColor="text1"/>
        </w:rPr>
      </w:pPr>
      <w:r>
        <w:rPr>
          <w:rFonts w:hint="eastAsia"/>
          <w:color w:val="000000" w:themeColor="text1"/>
        </w:rPr>
        <w:t>一年内到期的非流动资产的其他说明</w:t>
      </w:r>
    </w:p>
    <w:sdt>
      <w:sdtPr>
        <w:rPr>
          <w:color w:val="000000" w:themeColor="text1"/>
        </w:rPr>
        <w:alias w:val="一年内到期的非流动资产其他说明"/>
        <w:tag w:val="_GBC_218c0d81bbcc4458a19aa7e5806bac06"/>
        <w:id w:val="2013726738"/>
        <w:placeholder>
          <w:docPart w:val="GBC22222222222222222222222222222"/>
        </w:placeholder>
      </w:sdtPr>
      <w:sdtEndPr/>
      <w:sdtContent>
        <w:p w:rsidR="00597370" w:rsidRDefault="003C2EEE">
          <w:pPr>
            <w:ind w:right="210"/>
            <w:rPr>
              <w:color w:val="000000" w:themeColor="text1"/>
            </w:rPr>
          </w:pPr>
          <w:r>
            <w:rPr>
              <w:rFonts w:hint="eastAsia"/>
              <w:color w:val="000000" w:themeColor="text1"/>
            </w:rPr>
            <w:t>无</w:t>
          </w:r>
        </w:p>
      </w:sdtContent>
    </w:sdt>
    <w:p w:rsidR="00597370" w:rsidRDefault="003C2EEE">
      <w:pPr>
        <w:pStyle w:val="5"/>
        <w:numPr>
          <w:ilvl w:val="0"/>
          <w:numId w:val="56"/>
        </w:numPr>
        <w:ind w:left="425" w:hanging="425"/>
        <w:rPr>
          <w:color w:val="000000" w:themeColor="text1"/>
        </w:rPr>
      </w:pPr>
      <w:bookmarkStart w:id="230" w:name="_Hlk155106775"/>
      <w:r>
        <w:rPr>
          <w:rFonts w:hint="eastAsia"/>
          <w:color w:val="000000" w:themeColor="text1"/>
        </w:rPr>
        <w:t>一年内到期的其他债权投资情况</w:t>
      </w:r>
    </w:p>
    <w:sdt>
      <w:sdtPr>
        <w:rPr>
          <w:color w:val="000000" w:themeColor="text1"/>
        </w:rPr>
        <w:alias w:val="是否适用：一年内到期的其他债权投资情况[双击切换]"/>
        <w:tag w:val="_GBC_bccc7848b3434d39b6b30d649f385102"/>
        <w:id w:val="-555009738"/>
        <w:placeholder>
          <w:docPart w:val="GBC22222222222222222222222222222"/>
        </w:placeholder>
      </w:sdtPr>
      <w:sdtEndPr/>
      <w:sdtContent>
        <w:p w:rsidR="00597370" w:rsidRDefault="003C2EEE">
          <w:pPr>
            <w:ind w:right="21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231" w:name="_Hlk153444002"/>
      <w:bookmarkEnd w:id="230"/>
      <w:r>
        <w:rPr>
          <w:rFonts w:hint="eastAsia"/>
          <w:color w:val="000000" w:themeColor="text1"/>
        </w:rPr>
        <w:t>一年内到期的其他债权投资的减值准备本期变动情况</w:t>
      </w:r>
    </w:p>
    <w:sdt>
      <w:sdtPr>
        <w:rPr>
          <w:color w:val="000000" w:themeColor="text1"/>
        </w:rPr>
        <w:alias w:val="是否适用：减值准备本期变动情况[双击切换]"/>
        <w:tag w:val="_GBC_0c708c9665404853a020182b9d833795"/>
        <w:id w:val="21617065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31"/>
    <w:p w:rsidR="00597370" w:rsidRDefault="003C2EEE">
      <w:pPr>
        <w:pStyle w:val="5"/>
        <w:numPr>
          <w:ilvl w:val="0"/>
          <w:numId w:val="56"/>
        </w:numPr>
        <w:ind w:left="425" w:hanging="425"/>
        <w:rPr>
          <w:color w:val="000000" w:themeColor="text1"/>
        </w:rPr>
      </w:pPr>
      <w:r>
        <w:rPr>
          <w:rFonts w:hint="eastAsia"/>
          <w:color w:val="000000" w:themeColor="text1"/>
        </w:rPr>
        <w:t>期末重要的一年内到期的其他债权投资</w:t>
      </w:r>
    </w:p>
    <w:sdt>
      <w:sdtPr>
        <w:rPr>
          <w:color w:val="000000" w:themeColor="text1"/>
        </w:rPr>
        <w:alias w:val="是否适用：重要的一年内到期的其他债权投资情况[双击切换]"/>
        <w:tag w:val="_GBC_7dd25072c68b4f8fab10f803d7652cf5"/>
        <w:id w:val="-85457120"/>
        <w:placeholder>
          <w:docPart w:val="GBC22222222222222222222222222222"/>
        </w:placeholder>
      </w:sdtPr>
      <w:sdtEndPr/>
      <w:sdtContent>
        <w:p w:rsidR="00597370" w:rsidRDefault="003C2EEE">
          <w:pPr>
            <w:ind w:right="21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numPr>
          <w:ilvl w:val="0"/>
          <w:numId w:val="56"/>
        </w:numPr>
        <w:ind w:left="425" w:hanging="425"/>
        <w:rPr>
          <w:color w:val="000000" w:themeColor="text1"/>
        </w:rPr>
      </w:pPr>
      <w:bookmarkStart w:id="232" w:name="_Hlk154738128"/>
      <w:bookmarkStart w:id="233" w:name="_Hlk153445318"/>
      <w:r>
        <w:rPr>
          <w:rFonts w:hint="eastAsia"/>
          <w:color w:val="000000" w:themeColor="text1"/>
        </w:rPr>
        <w:t>减值准备计提情况</w:t>
      </w:r>
    </w:p>
    <w:sdt>
      <w:sdtPr>
        <w:rPr>
          <w:rFonts w:cstheme="minorBidi"/>
          <w:bCs w:val="0"/>
          <w:color w:val="000000" w:themeColor="text1"/>
          <w:szCs w:val="22"/>
        </w:rPr>
        <w:alias w:val="是否适用：按预期信用损失一般模型计提坏账准备[双击切换]"/>
        <w:tag w:val="_GBC_2583c2ddf79d462686d9bc0554f62527"/>
        <w:id w:val="-1287650462"/>
        <w:placeholder>
          <w:docPart w:val="GBC22222222222222222222222222222"/>
        </w:placeholder>
      </w:sdtPr>
      <w:sdtEndPr/>
      <w:sdtContent>
        <w:p w:rsidR="00597370" w:rsidRDefault="003C2EEE">
          <w:pPr>
            <w:rPr>
              <w:rFonts w:cstheme="minorBidi"/>
              <w:bCs w:val="0"/>
              <w:color w:val="000000" w:themeColor="text1"/>
              <w:szCs w:val="22"/>
            </w:rPr>
          </w:pPr>
          <w:r>
            <w:rPr>
              <w:rFonts w:cstheme="minorBidi"/>
              <w:bCs w:val="0"/>
              <w:color w:val="000000" w:themeColor="text1"/>
              <w:szCs w:val="22"/>
            </w:rPr>
            <w:fldChar w:fldCharType="begin"/>
          </w:r>
          <w:r>
            <w:rPr>
              <w:rFonts w:cstheme="minorBidi"/>
              <w:color w:val="000000" w:themeColor="text1"/>
              <w:szCs w:val="22"/>
            </w:rPr>
            <w:instrText xml:space="preserve"> MACROBUTTON  SnrToggleCheckbox □适用 </w:instrText>
          </w:r>
          <w:r>
            <w:rPr>
              <w:rFonts w:cstheme="minorBidi"/>
              <w:bCs w:val="0"/>
              <w:color w:val="000000" w:themeColor="text1"/>
              <w:szCs w:val="22"/>
            </w:rPr>
            <w:fldChar w:fldCharType="end"/>
          </w:r>
          <w:r>
            <w:rPr>
              <w:rFonts w:cstheme="minorBidi"/>
              <w:bCs w:val="0"/>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bCs w:val="0"/>
              <w:color w:val="000000" w:themeColor="text1"/>
              <w:szCs w:val="22"/>
            </w:rPr>
            <w:fldChar w:fldCharType="end"/>
          </w:r>
        </w:p>
      </w:sdtContent>
    </w:sdt>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1bff566f9af04ae1a90645f5046a6c13"/>
        <w:id w:val="166063810"/>
        <w:placeholder>
          <w:docPart w:val="GBC22222222222222222222222222222"/>
        </w:placeholder>
      </w:sdtPr>
      <w:sdtEndPr/>
      <w:sdtContent>
        <w:p w:rsidR="00597370" w:rsidRDefault="003C2EEE">
          <w:pPr>
            <w:rPr>
              <w:rFonts w:cs="Times New Roman"/>
              <w:bCs w:val="0"/>
              <w:color w:val="000000" w:themeColor="text1"/>
              <w:szCs w:val="22"/>
            </w:rPr>
          </w:pPr>
          <w:r>
            <w:rPr>
              <w:rFonts w:cs="Times New Roman" w:hint="eastAsia"/>
              <w:bCs w:val="0"/>
              <w:color w:val="000000" w:themeColor="text1"/>
              <w:szCs w:val="22"/>
            </w:rPr>
            <w:t>无</w:t>
          </w:r>
        </w:p>
      </w:sdtContent>
    </w:sdt>
    <w:p w:rsidR="00597370" w:rsidRDefault="003C2EEE">
      <w:pPr>
        <w:pStyle w:val="affb"/>
        <w:rPr>
          <w:color w:val="000000" w:themeColor="text1"/>
        </w:rPr>
      </w:pPr>
      <w:r>
        <w:rPr>
          <w:rFonts w:hint="eastAsia"/>
          <w:color w:val="000000" w:themeColor="text1"/>
        </w:rPr>
        <w:t>对本期发生损失准备变动的账面余额显著变动的情况说明：</w:t>
      </w:r>
    </w:p>
    <w:sdt>
      <w:sdtPr>
        <w:rPr>
          <w:color w:val="000000" w:themeColor="text1"/>
        </w:rPr>
        <w:alias w:val="是否适用：对本期发生损失准备变动的账面余额显著变动的情况说明[双击切换]"/>
        <w:tag w:val="_GBC_460bf268aa614e349a724543e761b673"/>
        <w:id w:val="-139428773"/>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32"/>
    <w:p w:rsidR="00597370" w:rsidRDefault="003C2EEE">
      <w:pPr>
        <w:pStyle w:val="affb"/>
        <w:rPr>
          <w:color w:val="000000" w:themeColor="text1"/>
        </w:rPr>
      </w:pPr>
      <w:r>
        <w:rPr>
          <w:rFonts w:hint="eastAsia"/>
          <w:color w:val="000000" w:themeColor="text1"/>
        </w:rPr>
        <w:t>本</w:t>
      </w:r>
      <w:r>
        <w:rPr>
          <w:color w:val="000000" w:themeColor="text1"/>
        </w:rPr>
        <w:t>期减</w:t>
      </w:r>
      <w:r>
        <w:rPr>
          <w:rFonts w:hint="eastAsia"/>
          <w:color w:val="000000" w:themeColor="text1"/>
        </w:rPr>
        <w:t>值</w:t>
      </w:r>
      <w:r>
        <w:rPr>
          <w:color w:val="000000" w:themeColor="text1"/>
        </w:rPr>
        <w:t>准备计提金额以及评估金融工具的</w:t>
      </w:r>
      <w:r>
        <w:rPr>
          <w:rFonts w:hint="eastAsia"/>
          <w:color w:val="000000" w:themeColor="text1"/>
        </w:rPr>
        <w:t>信用风险是否显著增加的采用依据</w:t>
      </w:r>
    </w:p>
    <w:sdt>
      <w:sdtPr>
        <w:rPr>
          <w:color w:val="000000" w:themeColor="text1"/>
        </w:rPr>
        <w:alias w:val="是否适用：本期坏账准备计提金额以及评估金融工具的信用风险是否显著增加的采用依据[双击切换]"/>
        <w:tag w:val="_GBC_4b3dd9bdc86c4cc2bcb88a19afb3646b"/>
        <w:id w:val="372495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numPr>
          <w:ilvl w:val="0"/>
          <w:numId w:val="56"/>
        </w:numPr>
        <w:ind w:left="425" w:hanging="425"/>
        <w:rPr>
          <w:color w:val="000000" w:themeColor="text1"/>
        </w:rPr>
      </w:pPr>
      <w:bookmarkStart w:id="234" w:name="_Hlk153445395"/>
      <w:bookmarkEnd w:id="233"/>
      <w:r>
        <w:rPr>
          <w:rFonts w:hint="eastAsia"/>
          <w:color w:val="000000" w:themeColor="text1"/>
        </w:rPr>
        <w:t>本期实际核销的一年内到期的其他债权投资情况</w:t>
      </w:r>
    </w:p>
    <w:sdt>
      <w:sdtPr>
        <w:rPr>
          <w:color w:val="000000" w:themeColor="text1"/>
        </w:rPr>
        <w:alias w:val="是否适用：实际核销的情况[双击切换]"/>
        <w:tag w:val="_GBC_70e1e8016d114580a61cf69139b2e984"/>
        <w:id w:val="20391934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3C2EEE">
      <w:pPr>
        <w:rPr>
          <w:color w:val="000000" w:themeColor="text1"/>
        </w:rPr>
      </w:pPr>
      <w:r>
        <w:rPr>
          <w:rFonts w:hint="eastAsia"/>
          <w:color w:val="000000" w:themeColor="text1"/>
        </w:rPr>
        <w:t>其中重要的一年内到期的其他债权投资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4feb295bfebb40b29ef7cb504eda390f"/>
        <w:id w:val="70244325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一年内到期的其他债权投资的核销说明：</w:t>
      </w:r>
    </w:p>
    <w:sdt>
      <w:sdtPr>
        <w:rPr>
          <w:color w:val="000000" w:themeColor="text1"/>
        </w:rPr>
        <w:alias w:val="是否适用：核销说明[双击切换]"/>
        <w:tag w:val="_GBC_ea237c3d75b644258297e0b28f72c483"/>
        <w:id w:val="-1223445068"/>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34"/>
    <w:p w:rsidR="00597370" w:rsidRDefault="003C2EEE">
      <w:pPr>
        <w:rPr>
          <w:color w:val="000000" w:themeColor="text1"/>
        </w:rPr>
      </w:pPr>
      <w:r>
        <w:rPr>
          <w:rFonts w:hint="eastAsia"/>
          <w:color w:val="000000" w:themeColor="text1"/>
        </w:rPr>
        <w:t>其他说明：</w:t>
      </w:r>
    </w:p>
    <w:sdt>
      <w:sdtPr>
        <w:rPr>
          <w:color w:val="000000" w:themeColor="text1"/>
        </w:rPr>
        <w:alias w:val="是否适用：一年内到期的其他债权投资情况的说明[双击切换]"/>
        <w:tag w:val="_GBC_cc6e3967042a490f9b19cdbb82fff18b"/>
        <w:id w:val="28677758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right="210"/>
        <w:rPr>
          <w:color w:val="000000" w:themeColor="text1"/>
        </w:rPr>
      </w:pPr>
      <w:r>
        <w:rPr>
          <w:rFonts w:hint="eastAsia"/>
          <w:color w:val="000000" w:themeColor="text1"/>
        </w:rPr>
        <w:t>一年内到期的非流动资产的其他说明</w:t>
      </w:r>
    </w:p>
    <w:sdt>
      <w:sdtPr>
        <w:rPr>
          <w:color w:val="000000" w:themeColor="text1"/>
        </w:rPr>
        <w:alias w:val="一年内到期的非流动资产其他说明"/>
        <w:tag w:val="_GBC_218c0d81bbcc4458a19aa7e5806bac06"/>
        <w:id w:val="-136653541"/>
        <w:placeholder>
          <w:docPart w:val="GBC22222222222222222222222222222"/>
        </w:placeholder>
      </w:sdtPr>
      <w:sdtEndPr/>
      <w:sdtContent>
        <w:p w:rsidR="00597370" w:rsidRDefault="003C2EEE">
          <w:pPr>
            <w:ind w:right="210"/>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rPr>
      </w:pPr>
      <w:bookmarkStart w:id="235" w:name="_Hlk10471163"/>
      <w:bookmarkEnd w:id="225"/>
      <w:bookmarkEnd w:id="226"/>
      <w:r>
        <w:rPr>
          <w:rFonts w:ascii="宋体" w:hAnsi="宋体" w:hint="eastAsia"/>
          <w:color w:val="000000" w:themeColor="text1"/>
        </w:rPr>
        <w:t>其他流动资产</w:t>
      </w:r>
    </w:p>
    <w:sdt>
      <w:sdtPr>
        <w:rPr>
          <w:color w:val="000000" w:themeColor="text1"/>
        </w:rPr>
        <w:alias w:val="是否适用：其他流动资产[双击切换]"/>
        <w:tag w:val="_GBC_7733d50365e24328b41020152f88028d"/>
        <w:id w:val="-5848360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其他流动资产"/>
          <w:tag w:val="_GBC_d0c62fc75d164678ad203d9ddb106538"/>
          <w:id w:val="16160968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其他流动资产"/>
          <w:tag w:val="_GBC_9196143d56d24a9ea7f7e31ce8a09024"/>
          <w:id w:val="-18562583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3204"/>
        <w:gridCol w:w="2845"/>
        <w:gridCol w:w="2774"/>
      </w:tblGrid>
      <w:tr w:rsidR="00597370">
        <w:trPr>
          <w:trHeight w:val="397"/>
          <w:jc w:val="center"/>
        </w:trPr>
        <w:bookmarkStart w:id="236" w:name="_Hlk533421736" w:displacedByCustomXml="next"/>
        <w:sdt>
          <w:sdtPr>
            <w:rPr>
              <w:color w:val="000000" w:themeColor="text1"/>
            </w:rPr>
            <w:tag w:val="_PLD_15bbfc7d41df4300abcae2e424cc6572"/>
            <w:id w:val="1571851968"/>
          </w:sdtPr>
          <w:sdtEndPr/>
          <w:sdtContent>
            <w:tc>
              <w:tcPr>
                <w:tcW w:w="1816"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d2a222194eae4e958db2401139170ea2"/>
            <w:id w:val="-1233388257"/>
          </w:sdtPr>
          <w:sdtEndPr/>
          <w:sdtContent>
            <w:tc>
              <w:tcPr>
                <w:tcW w:w="1612"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0f3815799e9d4216b9506517d8e9b90c"/>
            <w:id w:val="-71900247"/>
          </w:sdtPr>
          <w:sdtEndPr/>
          <w:sdtContent>
            <w:tc>
              <w:tcPr>
                <w:tcW w:w="1572"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trHeight w:val="397"/>
          <w:jc w:val="center"/>
        </w:trPr>
        <w:tc>
          <w:tcPr>
            <w:tcW w:w="1816" w:type="pct"/>
            <w:shd w:val="clear" w:color="auto" w:fill="auto"/>
            <w:vAlign w:val="center"/>
          </w:tcPr>
          <w:p w:rsidR="00597370" w:rsidRDefault="003C2EEE">
            <w:pPr>
              <w:rPr>
                <w:color w:val="000000" w:themeColor="text1"/>
              </w:rPr>
            </w:pPr>
            <w:r>
              <w:rPr>
                <w:rFonts w:hint="eastAsia"/>
              </w:rPr>
              <w:t>预缴企业所得税款</w:t>
            </w:r>
          </w:p>
        </w:tc>
        <w:tc>
          <w:tcPr>
            <w:tcW w:w="2845" w:type="dxa"/>
            <w:shd w:val="clear" w:color="auto" w:fill="auto"/>
            <w:vAlign w:val="bottom"/>
          </w:tcPr>
          <w:p w:rsidR="00597370" w:rsidRDefault="003C2EEE">
            <w:pPr>
              <w:jc w:val="right"/>
              <w:textAlignment w:val="bottom"/>
            </w:pPr>
            <w:r>
              <w:rPr>
                <w:rFonts w:hint="eastAsia"/>
                <w:color w:val="000000"/>
                <w:lang w:bidi="ar"/>
              </w:rPr>
              <w:t>7,589,057.26</w:t>
            </w:r>
          </w:p>
        </w:tc>
        <w:tc>
          <w:tcPr>
            <w:tcW w:w="1572" w:type="pct"/>
            <w:shd w:val="clear" w:color="auto" w:fill="auto"/>
            <w:vAlign w:val="bottom"/>
          </w:tcPr>
          <w:p w:rsidR="00597370" w:rsidRDefault="003C2EEE">
            <w:pPr>
              <w:jc w:val="right"/>
            </w:pPr>
            <w:r>
              <w:t>21,948,554.29</w:t>
            </w:r>
          </w:p>
        </w:tc>
      </w:tr>
      <w:tr w:rsidR="00597370">
        <w:trPr>
          <w:trHeight w:val="397"/>
          <w:jc w:val="center"/>
        </w:trPr>
        <w:tc>
          <w:tcPr>
            <w:tcW w:w="1816" w:type="pct"/>
            <w:shd w:val="clear" w:color="auto" w:fill="auto"/>
          </w:tcPr>
          <w:p w:rsidR="00597370" w:rsidRDefault="003C2EEE">
            <w:pPr>
              <w:rPr>
                <w:color w:val="000000" w:themeColor="text1"/>
              </w:rPr>
            </w:pPr>
            <w:r>
              <w:rPr>
                <w:rFonts w:hint="eastAsia"/>
              </w:rPr>
              <w:t>待抵扣、待认证进项税额</w:t>
            </w:r>
          </w:p>
        </w:tc>
        <w:tc>
          <w:tcPr>
            <w:tcW w:w="2845" w:type="dxa"/>
            <w:shd w:val="clear" w:color="auto" w:fill="auto"/>
            <w:vAlign w:val="bottom"/>
          </w:tcPr>
          <w:p w:rsidR="00597370" w:rsidRDefault="003C2EEE">
            <w:pPr>
              <w:jc w:val="right"/>
              <w:textAlignment w:val="bottom"/>
            </w:pPr>
            <w:r>
              <w:rPr>
                <w:rFonts w:hint="eastAsia"/>
                <w:color w:val="000000"/>
                <w:lang w:bidi="ar"/>
              </w:rPr>
              <w:t>16,416,910.38</w:t>
            </w:r>
          </w:p>
        </w:tc>
        <w:tc>
          <w:tcPr>
            <w:tcW w:w="1572" w:type="pct"/>
            <w:shd w:val="clear" w:color="auto" w:fill="auto"/>
            <w:vAlign w:val="bottom"/>
          </w:tcPr>
          <w:p w:rsidR="00597370" w:rsidRDefault="003C2EEE">
            <w:pPr>
              <w:jc w:val="right"/>
            </w:pPr>
            <w:r>
              <w:t>3,450,016.73</w:t>
            </w:r>
          </w:p>
        </w:tc>
      </w:tr>
      <w:tr w:rsidR="00597370">
        <w:trPr>
          <w:trHeight w:val="397"/>
          <w:jc w:val="center"/>
        </w:trPr>
        <w:tc>
          <w:tcPr>
            <w:tcW w:w="1816" w:type="pct"/>
            <w:shd w:val="clear" w:color="auto" w:fill="auto"/>
            <w:vAlign w:val="center"/>
          </w:tcPr>
          <w:p w:rsidR="00597370" w:rsidRDefault="003C2EEE">
            <w:pPr>
              <w:snapToGrid w:val="0"/>
              <w:rPr>
                <w:color w:val="000000" w:themeColor="text1"/>
              </w:rPr>
            </w:pPr>
            <w:r>
              <w:rPr>
                <w:rFonts w:hint="eastAsia"/>
                <w:color w:val="000000" w:themeColor="text1"/>
              </w:rPr>
              <w:t>合计</w:t>
            </w:r>
          </w:p>
        </w:tc>
        <w:tc>
          <w:tcPr>
            <w:tcW w:w="2845" w:type="dxa"/>
            <w:shd w:val="clear" w:color="auto" w:fill="auto"/>
            <w:vAlign w:val="bottom"/>
          </w:tcPr>
          <w:p w:rsidR="00597370" w:rsidRDefault="003C2EEE">
            <w:pPr>
              <w:jc w:val="right"/>
              <w:textAlignment w:val="bottom"/>
            </w:pPr>
            <w:r>
              <w:rPr>
                <w:rFonts w:hint="eastAsia"/>
                <w:color w:val="000000"/>
                <w:lang w:bidi="ar"/>
              </w:rPr>
              <w:t>24,005,967.64</w:t>
            </w:r>
          </w:p>
        </w:tc>
        <w:tc>
          <w:tcPr>
            <w:tcW w:w="1572" w:type="pct"/>
            <w:shd w:val="clear" w:color="auto" w:fill="auto"/>
            <w:vAlign w:val="bottom"/>
          </w:tcPr>
          <w:p w:rsidR="00597370" w:rsidRDefault="003C2EEE">
            <w:pPr>
              <w:snapToGrid w:val="0"/>
              <w:jc w:val="right"/>
            </w:pPr>
            <w:r>
              <w:t>25,398,571.02</w:t>
            </w:r>
          </w:p>
        </w:tc>
      </w:tr>
    </w:tbl>
    <w:bookmarkEnd w:id="236"/>
    <w:p w:rsidR="00597370" w:rsidRDefault="003C2EEE">
      <w:pPr>
        <w:rPr>
          <w:color w:val="000000" w:themeColor="text1"/>
        </w:rPr>
      </w:pPr>
      <w:r>
        <w:rPr>
          <w:rFonts w:hint="eastAsia"/>
          <w:color w:val="000000" w:themeColor="text1"/>
        </w:rPr>
        <w:t>其他说明：</w:t>
      </w:r>
    </w:p>
    <w:sdt>
      <w:sdtPr>
        <w:rPr>
          <w:rFonts w:hint="eastAsia"/>
          <w:color w:val="000000" w:themeColor="text1"/>
        </w:rPr>
        <w:alias w:val="其他流动资产说明"/>
        <w:tag w:val="_GBC_7955e529151148f394eed0e26977270b"/>
        <w:id w:val="690036725"/>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rPr>
      </w:pPr>
      <w:bookmarkStart w:id="237" w:name="_Hlk10471390"/>
      <w:bookmarkEnd w:id="235"/>
      <w:r>
        <w:rPr>
          <w:rFonts w:ascii="宋体" w:hAnsi="宋体" w:hint="eastAsia"/>
          <w:color w:val="000000" w:themeColor="text1"/>
        </w:rPr>
        <w:lastRenderedPageBreak/>
        <w:t>债权投资</w:t>
      </w:r>
    </w:p>
    <w:p w:rsidR="00597370" w:rsidRDefault="003C2EEE">
      <w:pPr>
        <w:pStyle w:val="Style110"/>
        <w:numPr>
          <w:ilvl w:val="3"/>
          <w:numId w:val="57"/>
        </w:numPr>
        <w:ind w:left="426" w:hanging="426"/>
        <w:rPr>
          <w:rFonts w:ascii="宋体" w:hAnsi="宋体"/>
          <w:color w:val="000000" w:themeColor="text1"/>
        </w:rPr>
      </w:pPr>
      <w:r>
        <w:rPr>
          <w:rFonts w:ascii="宋体" w:hAnsi="宋体" w:hint="eastAsia"/>
          <w:color w:val="000000" w:themeColor="text1"/>
        </w:rPr>
        <w:t>债权投资情况</w:t>
      </w:r>
    </w:p>
    <w:sdt>
      <w:sdtPr>
        <w:rPr>
          <w:color w:val="000000" w:themeColor="text1"/>
        </w:rPr>
        <w:alias w:val="是否适用：以摊余成本计量的长期债权投资[双击切换]"/>
        <w:tag w:val="_GBC_22cb0188d98c4d37a97e0c6a9e34e10d"/>
        <w:id w:val="11766128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238" w:name="_Hlk167892259"/>
      <w:bookmarkStart w:id="239" w:name="_Hlk153455457"/>
      <w:bookmarkEnd w:id="237"/>
      <w:r>
        <w:rPr>
          <w:rFonts w:hint="eastAsia"/>
          <w:color w:val="000000" w:themeColor="text1"/>
        </w:rPr>
        <w:t>债权投资减值准备本期变动情况</w:t>
      </w:r>
    </w:p>
    <w:sdt>
      <w:sdtPr>
        <w:rPr>
          <w:color w:val="000000" w:themeColor="text1"/>
        </w:rPr>
        <w:alias w:val="是否适用：减值准备本期变动情况[双击切换]"/>
        <w:tag w:val="_GBC_50b72791ac8a452f88456ab4da535bab"/>
        <w:id w:val="72017834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7"/>
        </w:numPr>
        <w:ind w:left="426" w:hanging="426"/>
        <w:rPr>
          <w:rFonts w:ascii="宋体" w:hAnsi="宋体"/>
          <w:color w:val="000000" w:themeColor="text1"/>
        </w:rPr>
      </w:pPr>
      <w:bookmarkStart w:id="240" w:name="_Hlk532994191"/>
      <w:bookmarkStart w:id="241" w:name="_Hlk167892342"/>
      <w:bookmarkEnd w:id="238"/>
      <w:bookmarkEnd w:id="239"/>
      <w:r>
        <w:rPr>
          <w:rFonts w:ascii="宋体" w:hAnsi="宋体" w:hint="eastAsia"/>
          <w:color w:val="000000" w:themeColor="text1"/>
        </w:rPr>
        <w:t>期末重要的债权投资</w:t>
      </w:r>
    </w:p>
    <w:sdt>
      <w:sdtPr>
        <w:rPr>
          <w:color w:val="000000" w:themeColor="text1"/>
        </w:rPr>
        <w:alias w:val="是否适用：重要的债权投资[双击切换]"/>
        <w:tag w:val="_GBC_dfd6ab7a86864614a29dc0fb3c650c26"/>
        <w:id w:val="201232735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7"/>
        </w:numPr>
        <w:ind w:left="426" w:hanging="426"/>
        <w:rPr>
          <w:rFonts w:ascii="宋体" w:hAnsi="宋体"/>
          <w:color w:val="000000" w:themeColor="text1"/>
        </w:rPr>
      </w:pPr>
      <w:bookmarkStart w:id="242" w:name="_Hlk10471472"/>
      <w:bookmarkStart w:id="243" w:name="_Hlk10471485"/>
      <w:bookmarkEnd w:id="240"/>
      <w:bookmarkEnd w:id="241"/>
      <w:r>
        <w:rPr>
          <w:rFonts w:ascii="宋体" w:hAnsi="宋体" w:hint="eastAsia"/>
          <w:color w:val="000000" w:themeColor="text1"/>
        </w:rPr>
        <w:t>减值准备计提情况</w:t>
      </w:r>
      <w:bookmarkEnd w:id="242"/>
    </w:p>
    <w:sdt>
      <w:sdtPr>
        <w:rPr>
          <w:color w:val="000000" w:themeColor="text1"/>
        </w:rPr>
        <w:alias w:val="是否适用：债权投资减值准备调节表[双击切换]"/>
        <w:tag w:val="_GBC_415a5cd43ad14136b13ac09b150da06f"/>
        <w:id w:val="186015350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各阶段划分依据和减值准备计提比例：</w:t>
      </w:r>
    </w:p>
    <w:sdt>
      <w:sdtPr>
        <w:rPr>
          <w:color w:val="000000" w:themeColor="text1"/>
        </w:rPr>
        <w:alias w:val="债权投资各阶段划分依据和减值准备计提比例"/>
        <w:tag w:val="_GBC_251143413a6c4bb19036ef59ee403126"/>
        <w:id w:val="1433700065"/>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51"/>
        <w:rPr>
          <w:color w:val="000000" w:themeColor="text1"/>
        </w:rPr>
      </w:pPr>
      <w:r>
        <w:rPr>
          <w:rFonts w:hint="eastAsia"/>
          <w:color w:val="000000" w:themeColor="text1"/>
        </w:rPr>
        <w:t>对本期发生损失准备变动的债权投资账面余额显著变动的情况说明：</w:t>
      </w:r>
    </w:p>
    <w:sdt>
      <w:sdtPr>
        <w:rPr>
          <w:color w:val="000000" w:themeColor="text1"/>
        </w:rPr>
        <w:alias w:val="是否适用：债权投资本期发生损失准备变动且账面余额显著变动的情况说明[双击切换]"/>
        <w:tag w:val="_GBC_c6e31a7a389c493bad1d2f0f97023edf"/>
        <w:id w:val="-747338935"/>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51"/>
        <w:rPr>
          <w:color w:val="000000" w:themeColor="text1"/>
        </w:rPr>
      </w:pPr>
      <w:r>
        <w:rPr>
          <w:rFonts w:hint="eastAsia"/>
          <w:color w:val="000000" w:themeColor="text1"/>
        </w:rPr>
        <w:t>本</w:t>
      </w:r>
      <w:r>
        <w:rPr>
          <w:color w:val="000000" w:themeColor="text1"/>
        </w:rPr>
        <w:t>期减</w:t>
      </w:r>
      <w:r>
        <w:rPr>
          <w:rFonts w:hint="eastAsia"/>
          <w:color w:val="000000" w:themeColor="text1"/>
        </w:rPr>
        <w:t>值</w:t>
      </w:r>
      <w:r>
        <w:rPr>
          <w:color w:val="000000" w:themeColor="text1"/>
        </w:rPr>
        <w:t>准备计提金额以及评估金融工具的</w:t>
      </w:r>
      <w:r>
        <w:rPr>
          <w:rFonts w:hint="eastAsia"/>
          <w:color w:val="000000" w:themeColor="text1"/>
        </w:rPr>
        <w:t>信用风险是否显著增加的采用依据：</w:t>
      </w:r>
    </w:p>
    <w:sdt>
      <w:sdtPr>
        <w:rPr>
          <w:color w:val="000000" w:themeColor="text1"/>
        </w:rPr>
        <w:alias w:val="是否适用：债权投资减值准备计提金额以及评估金融工具的信用风险显著增加的采用依据[双击切换]"/>
        <w:tag w:val="_GBC_9f2bcc7ec6104c84a1b0f948b57b7e7a"/>
        <w:id w:val="-52224110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7"/>
        </w:numPr>
        <w:ind w:left="426" w:hanging="426"/>
        <w:rPr>
          <w:rFonts w:ascii="宋体" w:hAnsi="宋体"/>
          <w:color w:val="000000" w:themeColor="text1"/>
        </w:rPr>
      </w:pPr>
      <w:bookmarkStart w:id="244" w:name="_Hlk153455555"/>
      <w:bookmarkStart w:id="245" w:name="_Hlk167892558"/>
      <w:bookmarkEnd w:id="243"/>
      <w:r>
        <w:rPr>
          <w:rFonts w:ascii="宋体" w:hAnsi="宋体" w:hint="eastAsia"/>
          <w:color w:val="000000" w:themeColor="text1"/>
        </w:rPr>
        <w:t>本期实际的核销债权投资情况</w:t>
      </w:r>
    </w:p>
    <w:sdt>
      <w:sdtPr>
        <w:rPr>
          <w:color w:val="000000" w:themeColor="text1"/>
        </w:rPr>
        <w:alias w:val="是否适用：实际核销的情况[双击切换]"/>
        <w:tag w:val="_GBC_3afef6300d7c49d48b6294a7214810bd"/>
        <w:id w:val="-198475621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dc0725e00c1d479dba02255be6332ac6"/>
        <w:id w:val="-175535479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债权投资的核销说明：</w:t>
      </w:r>
    </w:p>
    <w:sdt>
      <w:sdtPr>
        <w:rPr>
          <w:color w:val="000000" w:themeColor="text1"/>
        </w:rPr>
        <w:alias w:val="是否适用：核销说明[双击切换]"/>
        <w:tag w:val="_GBC_de5ab370e646496a8820f55eaf66a319"/>
        <w:id w:val="1452592893"/>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right="210"/>
        <w:rPr>
          <w:color w:val="000000" w:themeColor="text1"/>
        </w:rPr>
      </w:pPr>
      <w:bookmarkStart w:id="246" w:name="_Hlk167892487"/>
      <w:bookmarkEnd w:id="244"/>
      <w:bookmarkEnd w:id="245"/>
      <w:r>
        <w:rPr>
          <w:rFonts w:hint="eastAsia"/>
          <w:color w:val="000000" w:themeColor="text1"/>
        </w:rPr>
        <w:t>其他说明：</w:t>
      </w:r>
    </w:p>
    <w:sdt>
      <w:sdtPr>
        <w:rPr>
          <w:color w:val="000000" w:themeColor="text1"/>
        </w:rPr>
        <w:alias w:val="债权投资其他说明"/>
        <w:tag w:val="_GBC_28b21821551847bca67b7c6c2e134e89"/>
        <w:id w:val="392784399"/>
        <w:placeholder>
          <w:docPart w:val="GBC22222222222222222222222222222"/>
        </w:placeholder>
      </w:sdtPr>
      <w:sdtEndPr/>
      <w:sdtContent>
        <w:p w:rsidR="00597370" w:rsidRDefault="003C2EEE">
          <w:pPr>
            <w:ind w:right="210"/>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color w:val="000000" w:themeColor="text1"/>
        </w:rPr>
      </w:pPr>
      <w:bookmarkStart w:id="247" w:name="_Hlk167892682"/>
      <w:bookmarkEnd w:id="246"/>
      <w:r>
        <w:rPr>
          <w:rFonts w:hint="eastAsia"/>
          <w:color w:val="000000" w:themeColor="text1"/>
        </w:rPr>
        <w:t>其他债权投资</w:t>
      </w:r>
    </w:p>
    <w:p w:rsidR="00597370" w:rsidRDefault="003C2EEE">
      <w:pPr>
        <w:pStyle w:val="Style110"/>
        <w:numPr>
          <w:ilvl w:val="3"/>
          <w:numId w:val="58"/>
        </w:numPr>
        <w:ind w:left="426" w:hanging="426"/>
        <w:rPr>
          <w:color w:val="000000" w:themeColor="text1"/>
        </w:rPr>
      </w:pPr>
      <w:r>
        <w:rPr>
          <w:rFonts w:hint="eastAsia"/>
          <w:color w:val="000000" w:themeColor="text1"/>
        </w:rPr>
        <w:t>其他债权投资情况</w:t>
      </w:r>
    </w:p>
    <w:sdt>
      <w:sdtPr>
        <w:rPr>
          <w:color w:val="000000" w:themeColor="text1"/>
        </w:rPr>
        <w:alias w:val="是否适用：其他债权投资情况[双击切换]"/>
        <w:tag w:val="_GBC_92529f98ed0049e0b197213d2c9b7d0a"/>
        <w:id w:val="449980407"/>
        <w:placeholder>
          <w:docPart w:val="GBC22222222222222222222222222222"/>
        </w:placeholder>
      </w:sdtPr>
      <w:sdtEndPr/>
      <w:sdtContent>
        <w:p w:rsidR="00597370" w:rsidRDefault="003C2EEE">
          <w:pPr>
            <w:ind w:right="21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248" w:name="_Hlk153455695"/>
      <w:r>
        <w:rPr>
          <w:rFonts w:hint="eastAsia"/>
          <w:color w:val="000000" w:themeColor="text1"/>
        </w:rPr>
        <w:t>其他债权投资减值准备本期变动情况</w:t>
      </w:r>
    </w:p>
    <w:sdt>
      <w:sdtPr>
        <w:rPr>
          <w:color w:val="000000" w:themeColor="text1"/>
        </w:rPr>
        <w:alias w:val="是否适用：减值准备本期变动情况[双击切换]"/>
        <w:tag w:val="_GBC_b9701012584a4eb3946302a1880256f3"/>
        <w:id w:val="209273800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8"/>
        </w:numPr>
        <w:ind w:left="426" w:hanging="426"/>
        <w:rPr>
          <w:color w:val="000000" w:themeColor="text1"/>
        </w:rPr>
      </w:pPr>
      <w:bookmarkStart w:id="249" w:name="_Hlk167892795"/>
      <w:bookmarkStart w:id="250" w:name="_Hlk533848078"/>
      <w:bookmarkEnd w:id="247"/>
      <w:bookmarkEnd w:id="248"/>
      <w:r>
        <w:rPr>
          <w:rFonts w:hint="eastAsia"/>
          <w:color w:val="000000" w:themeColor="text1"/>
        </w:rPr>
        <w:t>期末重要的其他债权投资</w:t>
      </w:r>
    </w:p>
    <w:sdt>
      <w:sdtPr>
        <w:rPr>
          <w:color w:val="000000" w:themeColor="text1"/>
        </w:rPr>
        <w:alias w:val="是否适用：重要的其他债权投资[双击切换]"/>
        <w:tag w:val="_GBC_00805fa375c74d288e1bd8def75cea7f"/>
        <w:id w:val="1993751881"/>
        <w:placeholder>
          <w:docPart w:val="GBC22222222222222222222222222222"/>
        </w:placeholder>
      </w:sdtPr>
      <w:sdtEndPr/>
      <w:sdtContent>
        <w:p w:rsidR="00597370" w:rsidRDefault="003C2EEE">
          <w:pPr>
            <w:ind w:right="21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8"/>
        </w:numPr>
        <w:ind w:left="426" w:hanging="426"/>
        <w:rPr>
          <w:color w:val="000000" w:themeColor="text1"/>
        </w:rPr>
      </w:pPr>
      <w:bookmarkStart w:id="251" w:name="_Hlk10471703"/>
      <w:bookmarkStart w:id="252" w:name="_Hlk10471716"/>
      <w:bookmarkEnd w:id="249"/>
      <w:bookmarkEnd w:id="250"/>
      <w:r>
        <w:rPr>
          <w:rFonts w:hint="eastAsia"/>
          <w:color w:val="000000" w:themeColor="text1"/>
        </w:rPr>
        <w:t>减值准备计提情况</w:t>
      </w:r>
      <w:bookmarkEnd w:id="251"/>
    </w:p>
    <w:sdt>
      <w:sdtPr>
        <w:rPr>
          <w:color w:val="000000" w:themeColor="text1"/>
        </w:rPr>
        <w:alias w:val="是否适用：其他债权投资减值准备调节表[双击切换]"/>
        <w:tag w:val="_GBC_038e4a0a4815442e91a9309c128001c1"/>
        <w:id w:val="157740177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58"/>
        </w:numPr>
        <w:ind w:left="426" w:hanging="426"/>
        <w:rPr>
          <w:color w:val="000000" w:themeColor="text1"/>
        </w:rPr>
      </w:pPr>
      <w:bookmarkStart w:id="253" w:name="_Hlk533848073"/>
      <w:bookmarkStart w:id="254" w:name="_Hlk167892961"/>
      <w:bookmarkStart w:id="255" w:name="_Hlk153456989"/>
      <w:bookmarkEnd w:id="252"/>
      <w:bookmarkEnd w:id="253"/>
      <w:r>
        <w:rPr>
          <w:rFonts w:hint="eastAsia"/>
          <w:color w:val="000000" w:themeColor="text1"/>
        </w:rPr>
        <w:t>本期实际核销的其他债权投资情况</w:t>
      </w:r>
    </w:p>
    <w:sdt>
      <w:sdtPr>
        <w:rPr>
          <w:color w:val="000000" w:themeColor="text1"/>
        </w:rPr>
        <w:alias w:val="是否适用：实际核销的情况[双击切换]"/>
        <w:tag w:val="_GBC_3f64bf41b4334743becf2e82476d4bae"/>
        <w:id w:val="123443784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其中重要的其他债权投资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c6a24c878fc2452199cbce9e12babe90"/>
        <w:id w:val="-39974662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其他债权投资的核销说明：</w:t>
      </w:r>
    </w:p>
    <w:sdt>
      <w:sdtPr>
        <w:rPr>
          <w:color w:val="000000" w:themeColor="text1"/>
        </w:rPr>
        <w:alias w:val="是否适用：核销说明[双击切换]"/>
        <w:tag w:val="_GBC_53efb454d66a4a18836780c1e0d7b273"/>
        <w:id w:val="-1327277610"/>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256" w:name="_Hlk533848097"/>
      <w:bookmarkStart w:id="257" w:name="_Hlk10471761"/>
      <w:bookmarkEnd w:id="254"/>
      <w:bookmarkEnd w:id="255"/>
      <w:r>
        <w:rPr>
          <w:rFonts w:hint="eastAsia"/>
          <w:color w:val="000000" w:themeColor="text1"/>
        </w:rPr>
        <w:t>其他说明：</w:t>
      </w:r>
      <w:bookmarkEnd w:id="256"/>
    </w:p>
    <w:sdt>
      <w:sdtPr>
        <w:rPr>
          <w:color w:val="000000" w:themeColor="text1"/>
        </w:rPr>
        <w:alias w:val="是否适用：其他债权投资其他说明[双击切换]"/>
        <w:tag w:val="_GBC_e37f3e78626b4cd0ad52d68ae2fcdecb"/>
        <w:id w:val="-112738835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57"/>
    <w:p w:rsidR="00597370" w:rsidRDefault="00597370">
      <w:pPr>
        <w:rPr>
          <w:color w:val="000000" w:themeColor="text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0"/>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597370">
      <w:pPr>
        <w:pStyle w:val="aff8"/>
        <w:keepNext/>
        <w:keepLines/>
        <w:numPr>
          <w:ilvl w:val="1"/>
          <w:numId w:val="59"/>
        </w:numPr>
        <w:tabs>
          <w:tab w:val="left" w:pos="504"/>
        </w:tabs>
        <w:spacing w:before="60" w:after="60"/>
        <w:ind w:firstLineChars="0"/>
        <w:outlineLvl w:val="2"/>
        <w:rPr>
          <w:rFonts w:ascii="宋体" w:hAnsi="宋体"/>
          <w:b/>
          <w:vanish/>
          <w:color w:val="000000" w:themeColor="text1"/>
          <w:szCs w:val="21"/>
        </w:rPr>
      </w:pPr>
    </w:p>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长期应收款</w:t>
      </w:r>
    </w:p>
    <w:p w:rsidR="00597370" w:rsidRDefault="003C2EEE">
      <w:pPr>
        <w:pStyle w:val="Style110"/>
        <w:numPr>
          <w:ilvl w:val="0"/>
          <w:numId w:val="60"/>
        </w:numPr>
        <w:rPr>
          <w:rFonts w:ascii="宋体" w:hAnsi="宋体"/>
          <w:color w:val="000000" w:themeColor="text1"/>
        </w:rPr>
      </w:pPr>
      <w:r>
        <w:rPr>
          <w:rFonts w:ascii="宋体" w:hAnsi="宋体" w:hint="eastAsia"/>
          <w:color w:val="000000" w:themeColor="text1"/>
        </w:rPr>
        <w:t>长期应收款情况</w:t>
      </w:r>
    </w:p>
    <w:sdt>
      <w:sdtPr>
        <w:rPr>
          <w:color w:val="000000" w:themeColor="text1"/>
        </w:rPr>
        <w:alias w:val="是否适用：长期应收款情况[双击切换]"/>
        <w:tag w:val="_GBC_03ba5a75d6d541f4a60fba2b18c9d548"/>
        <w:id w:val="74746528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长期应收款"/>
          <w:tag w:val="_GBC_95baf3ea634a4a60970b09906c240d55"/>
          <w:id w:val="-9796895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长期应收款"/>
          <w:tag w:val="_GBC_fe21d7e81e5548d09e30637bd81155e1"/>
          <w:id w:val="9432711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13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4A0" w:firstRow="1" w:lastRow="0" w:firstColumn="1" w:lastColumn="0" w:noHBand="0" w:noVBand="1"/>
      </w:tblPr>
      <w:tblGrid>
        <w:gridCol w:w="1495"/>
        <w:gridCol w:w="1322"/>
        <w:gridCol w:w="578"/>
        <w:gridCol w:w="1420"/>
        <w:gridCol w:w="1418"/>
        <w:gridCol w:w="850"/>
        <w:gridCol w:w="1277"/>
        <w:gridCol w:w="707"/>
      </w:tblGrid>
      <w:tr w:rsidR="00597370">
        <w:trPr>
          <w:trHeight w:val="397"/>
          <w:jc w:val="center"/>
        </w:trPr>
        <w:sdt>
          <w:sdtPr>
            <w:rPr>
              <w:color w:val="000000" w:themeColor="text1"/>
              <w:sz w:val="18"/>
              <w:szCs w:val="18"/>
            </w:rPr>
            <w:tag w:val="_PLD_8e80648375054a09a15bfc6f9a7fb093"/>
            <w:id w:val="494772849"/>
          </w:sdtPr>
          <w:sdtEndPr/>
          <w:sdtContent>
            <w:tc>
              <w:tcPr>
                <w:tcW w:w="824"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项目</w:t>
                </w:r>
              </w:p>
            </w:tc>
          </w:sdtContent>
        </w:sdt>
        <w:sdt>
          <w:sdtPr>
            <w:rPr>
              <w:color w:val="000000" w:themeColor="text1"/>
              <w:sz w:val="18"/>
              <w:szCs w:val="18"/>
            </w:rPr>
            <w:tag w:val="_PLD_e9a93d1c2d6847be992e152b686ed22d"/>
            <w:id w:val="504643635"/>
          </w:sdtPr>
          <w:sdtEndPr/>
          <w:sdtContent>
            <w:tc>
              <w:tcPr>
                <w:tcW w:w="18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期末余额</w:t>
                </w:r>
              </w:p>
            </w:tc>
          </w:sdtContent>
        </w:sdt>
        <w:sdt>
          <w:sdtPr>
            <w:rPr>
              <w:color w:val="000000" w:themeColor="text1"/>
              <w:sz w:val="18"/>
              <w:szCs w:val="18"/>
            </w:rPr>
            <w:tag w:val="_PLD_f41f953b597d46848a98bb222c5ebb8e"/>
            <w:id w:val="349689012"/>
          </w:sdtPr>
          <w:sdtEndPr/>
          <w:sdtContent>
            <w:tc>
              <w:tcPr>
                <w:tcW w:w="19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期初余额</w:t>
                </w:r>
              </w:p>
            </w:tc>
          </w:sdtContent>
        </w:sdt>
        <w:sdt>
          <w:sdtPr>
            <w:rPr>
              <w:color w:val="000000" w:themeColor="text1"/>
              <w:sz w:val="18"/>
              <w:szCs w:val="18"/>
            </w:rPr>
            <w:tag w:val="_PLD_e23d00708e6c434eac89cf07e5b896e2"/>
            <w:id w:val="1723945707"/>
          </w:sdtPr>
          <w:sdtEndPr/>
          <w:sdtContent>
            <w:tc>
              <w:tcPr>
                <w:tcW w:w="390"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折现率区间</w:t>
                </w:r>
              </w:p>
            </w:tc>
          </w:sdtContent>
        </w:sdt>
      </w:tr>
      <w:tr w:rsidR="005973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tblCellMar>
        </w:tblPrEx>
        <w:trPr>
          <w:trHeight w:val="397"/>
          <w:jc w:val="center"/>
        </w:trPr>
        <w:tc>
          <w:tcPr>
            <w:tcW w:w="824" w:type="pct"/>
            <w:vMerge/>
            <w:tcBorders>
              <w:left w:val="single" w:sz="4" w:space="0" w:color="auto"/>
              <w:bottom w:val="single" w:sz="6" w:space="0" w:color="auto"/>
              <w:right w:val="single" w:sz="4" w:space="0" w:color="auto"/>
            </w:tcBorders>
            <w:shd w:val="clear" w:color="auto" w:fill="auto"/>
            <w:vAlign w:val="center"/>
          </w:tcPr>
          <w:p w:rsidR="00597370" w:rsidRDefault="00597370">
            <w:pPr>
              <w:jc w:val="center"/>
              <w:rPr>
                <w:color w:val="000000" w:themeColor="text1"/>
                <w:sz w:val="18"/>
                <w:szCs w:val="18"/>
              </w:rPr>
            </w:pPr>
          </w:p>
        </w:tc>
        <w:sdt>
          <w:sdtPr>
            <w:rPr>
              <w:color w:val="000000" w:themeColor="text1"/>
              <w:sz w:val="18"/>
              <w:szCs w:val="18"/>
            </w:rPr>
            <w:tag w:val="_PLD_93de35b749ff4ac9a6b3c5ec236ed585"/>
            <w:id w:val="1527825192"/>
          </w:sdtPr>
          <w:sdtEndPr/>
          <w:sdtContent>
            <w:tc>
              <w:tcPr>
                <w:tcW w:w="729" w:type="pct"/>
                <w:tcBorders>
                  <w:left w:val="single" w:sz="4" w:space="0" w:color="auto"/>
                  <w:bottom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账面余额</w:t>
                </w:r>
              </w:p>
            </w:tc>
          </w:sdtContent>
        </w:sdt>
        <w:sdt>
          <w:sdtPr>
            <w:rPr>
              <w:color w:val="000000" w:themeColor="text1"/>
              <w:sz w:val="18"/>
              <w:szCs w:val="18"/>
            </w:rPr>
            <w:tag w:val="_PLD_eccd0387c0f24fa5a972b6cd6e1d4d30"/>
            <w:id w:val="1219478984"/>
          </w:sdtPr>
          <w:sdtEndPr/>
          <w:sdtContent>
            <w:tc>
              <w:tcPr>
                <w:tcW w:w="319" w:type="pct"/>
                <w:tcBorders>
                  <w:bottom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坏账准备</w:t>
                </w:r>
              </w:p>
            </w:tc>
          </w:sdtContent>
        </w:sdt>
        <w:sdt>
          <w:sdtPr>
            <w:rPr>
              <w:color w:val="000000" w:themeColor="text1"/>
              <w:sz w:val="18"/>
              <w:szCs w:val="18"/>
            </w:rPr>
            <w:tag w:val="_PLD_9016cddeb6f34d55a584d277237a8ac1"/>
            <w:id w:val="-388881246"/>
          </w:sdtPr>
          <w:sdtEndPr/>
          <w:sdtContent>
            <w:tc>
              <w:tcPr>
                <w:tcW w:w="783" w:type="pct"/>
                <w:tcBorders>
                  <w:bottom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账面价值</w:t>
                </w:r>
              </w:p>
            </w:tc>
          </w:sdtContent>
        </w:sdt>
        <w:sdt>
          <w:sdtPr>
            <w:rPr>
              <w:color w:val="000000" w:themeColor="text1"/>
              <w:sz w:val="18"/>
              <w:szCs w:val="18"/>
            </w:rPr>
            <w:tag w:val="_PLD_db7d979714524efcab7433361aaac461"/>
            <w:id w:val="-1552603156"/>
          </w:sdtPr>
          <w:sdtEndPr/>
          <w:sdtContent>
            <w:tc>
              <w:tcPr>
                <w:tcW w:w="782" w:type="pct"/>
                <w:tcBorders>
                  <w:bottom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账面余额</w:t>
                </w:r>
              </w:p>
            </w:tc>
          </w:sdtContent>
        </w:sdt>
        <w:sdt>
          <w:sdtPr>
            <w:rPr>
              <w:color w:val="000000" w:themeColor="text1"/>
              <w:sz w:val="18"/>
              <w:szCs w:val="18"/>
            </w:rPr>
            <w:tag w:val="_PLD_395cf962072c462fb83f42db9e225402"/>
            <w:id w:val="-499888552"/>
          </w:sdtPr>
          <w:sdtEndPr/>
          <w:sdtContent>
            <w:tc>
              <w:tcPr>
                <w:tcW w:w="469" w:type="pct"/>
                <w:tcBorders>
                  <w:bottom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坏账准备</w:t>
                </w:r>
              </w:p>
            </w:tc>
          </w:sdtContent>
        </w:sdt>
        <w:sdt>
          <w:sdtPr>
            <w:rPr>
              <w:color w:val="000000" w:themeColor="text1"/>
              <w:sz w:val="18"/>
              <w:szCs w:val="18"/>
            </w:rPr>
            <w:tag w:val="_PLD_505b96d943e341af8e22763be8ab91c7"/>
            <w:id w:val="-332908375"/>
          </w:sdtPr>
          <w:sdtEndPr/>
          <w:sdtContent>
            <w:tc>
              <w:tcPr>
                <w:tcW w:w="704" w:type="pct"/>
                <w:tcBorders>
                  <w:bottom w:val="single" w:sz="6" w:space="0" w:color="auto"/>
                  <w:right w:val="single" w:sz="4"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账面价值</w:t>
                </w:r>
              </w:p>
            </w:tc>
          </w:sdtContent>
        </w:sdt>
        <w:tc>
          <w:tcPr>
            <w:tcW w:w="390" w:type="pct"/>
            <w:vMerge/>
            <w:tcBorders>
              <w:left w:val="single" w:sz="4" w:space="0" w:color="auto"/>
              <w:bottom w:val="single" w:sz="6" w:space="0" w:color="auto"/>
              <w:right w:val="single" w:sz="4" w:space="0" w:color="auto"/>
            </w:tcBorders>
            <w:shd w:val="clear" w:color="auto" w:fill="auto"/>
          </w:tcPr>
          <w:p w:rsidR="00597370" w:rsidRDefault="00597370">
            <w:pPr>
              <w:jc w:val="center"/>
              <w:rPr>
                <w:color w:val="000000" w:themeColor="text1"/>
                <w:sz w:val="18"/>
                <w:szCs w:val="18"/>
              </w:rPr>
            </w:pPr>
          </w:p>
        </w:tc>
      </w:tr>
      <w:tr w:rsidR="005973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tblCellMar>
        </w:tblPrEx>
        <w:trPr>
          <w:trHeight w:val="397"/>
          <w:jc w:val="center"/>
        </w:trPr>
        <w:tc>
          <w:tcPr>
            <w:tcW w:w="824" w:type="pct"/>
            <w:shd w:val="clear" w:color="auto" w:fill="auto"/>
          </w:tcPr>
          <w:p w:rsidR="00597370" w:rsidRDefault="003C2EEE">
            <w:pPr>
              <w:rPr>
                <w:sz w:val="18"/>
                <w:szCs w:val="18"/>
              </w:rPr>
            </w:pPr>
            <w:proofErr w:type="gramStart"/>
            <w:r>
              <w:rPr>
                <w:rFonts w:hint="eastAsia"/>
                <w:sz w:val="18"/>
                <w:szCs w:val="18"/>
              </w:rPr>
              <w:t>渝巴专用铁路</w:t>
            </w:r>
            <w:proofErr w:type="gramEnd"/>
            <w:r>
              <w:rPr>
                <w:rFonts w:hint="eastAsia"/>
                <w:sz w:val="18"/>
                <w:szCs w:val="18"/>
              </w:rPr>
              <w:t>高站台代建应收款（注</w:t>
            </w:r>
            <w:r>
              <w:rPr>
                <w:sz w:val="18"/>
                <w:szCs w:val="18"/>
              </w:rPr>
              <w:t>1）</w:t>
            </w:r>
          </w:p>
        </w:tc>
        <w:tc>
          <w:tcPr>
            <w:tcW w:w="729" w:type="pct"/>
            <w:shd w:val="clear" w:color="auto" w:fill="auto"/>
            <w:vAlign w:val="center"/>
          </w:tcPr>
          <w:p w:rsidR="00597370" w:rsidRDefault="003C2EEE">
            <w:pPr>
              <w:jc w:val="right"/>
              <w:rPr>
                <w:sz w:val="18"/>
                <w:szCs w:val="18"/>
              </w:rPr>
            </w:pPr>
            <w:r>
              <w:rPr>
                <w:rFonts w:hint="eastAsia"/>
                <w:color w:val="000000"/>
                <w:sz w:val="18"/>
                <w:szCs w:val="18"/>
              </w:rPr>
              <w:t xml:space="preserve">6,311,778.05 </w:t>
            </w:r>
          </w:p>
        </w:tc>
        <w:tc>
          <w:tcPr>
            <w:tcW w:w="319" w:type="pct"/>
            <w:shd w:val="clear" w:color="auto" w:fill="auto"/>
            <w:vAlign w:val="center"/>
          </w:tcPr>
          <w:p w:rsidR="00597370" w:rsidRDefault="003C2EEE">
            <w:pPr>
              <w:jc w:val="right"/>
              <w:rPr>
                <w:sz w:val="18"/>
                <w:szCs w:val="18"/>
              </w:rPr>
            </w:pPr>
            <w:r>
              <w:rPr>
                <w:rFonts w:hint="eastAsia"/>
                <w:color w:val="000000"/>
                <w:sz w:val="18"/>
                <w:szCs w:val="18"/>
              </w:rPr>
              <w:t xml:space="preserve">   </w:t>
            </w:r>
          </w:p>
        </w:tc>
        <w:tc>
          <w:tcPr>
            <w:tcW w:w="783" w:type="pct"/>
            <w:shd w:val="clear" w:color="auto" w:fill="auto"/>
            <w:vAlign w:val="center"/>
          </w:tcPr>
          <w:p w:rsidR="00597370" w:rsidRDefault="003C2EEE">
            <w:pPr>
              <w:jc w:val="right"/>
              <w:rPr>
                <w:sz w:val="18"/>
                <w:szCs w:val="18"/>
              </w:rPr>
            </w:pPr>
            <w:r>
              <w:rPr>
                <w:rFonts w:hint="eastAsia"/>
                <w:color w:val="000000"/>
                <w:sz w:val="18"/>
                <w:szCs w:val="18"/>
              </w:rPr>
              <w:t xml:space="preserve">6,311,778.05 </w:t>
            </w:r>
          </w:p>
        </w:tc>
        <w:tc>
          <w:tcPr>
            <w:tcW w:w="782" w:type="pct"/>
            <w:shd w:val="clear" w:color="auto" w:fill="auto"/>
            <w:vAlign w:val="center"/>
          </w:tcPr>
          <w:p w:rsidR="00597370" w:rsidRDefault="003C2EEE">
            <w:pPr>
              <w:jc w:val="right"/>
              <w:rPr>
                <w:sz w:val="18"/>
                <w:szCs w:val="18"/>
              </w:rPr>
            </w:pPr>
            <w:r>
              <w:rPr>
                <w:sz w:val="18"/>
                <w:szCs w:val="18"/>
              </w:rPr>
              <w:t>6,249,285.19</w:t>
            </w:r>
          </w:p>
        </w:tc>
        <w:tc>
          <w:tcPr>
            <w:tcW w:w="469" w:type="pct"/>
            <w:shd w:val="clear" w:color="auto" w:fill="auto"/>
            <w:vAlign w:val="center"/>
          </w:tcPr>
          <w:p w:rsidR="00597370" w:rsidRDefault="00597370">
            <w:pPr>
              <w:jc w:val="right"/>
              <w:rPr>
                <w:sz w:val="18"/>
                <w:szCs w:val="18"/>
              </w:rPr>
            </w:pPr>
          </w:p>
        </w:tc>
        <w:tc>
          <w:tcPr>
            <w:tcW w:w="704" w:type="pct"/>
            <w:tcBorders>
              <w:right w:val="single" w:sz="4" w:space="0" w:color="auto"/>
            </w:tcBorders>
            <w:shd w:val="clear" w:color="auto" w:fill="auto"/>
            <w:vAlign w:val="center"/>
          </w:tcPr>
          <w:p w:rsidR="00597370" w:rsidRDefault="003C2EEE">
            <w:pPr>
              <w:jc w:val="right"/>
              <w:rPr>
                <w:sz w:val="18"/>
                <w:szCs w:val="18"/>
              </w:rPr>
            </w:pPr>
            <w:r>
              <w:rPr>
                <w:sz w:val="18"/>
                <w:szCs w:val="18"/>
              </w:rPr>
              <w:t>6,249,285.19</w:t>
            </w:r>
          </w:p>
        </w:tc>
        <w:tc>
          <w:tcPr>
            <w:tcW w:w="390" w:type="pct"/>
            <w:tcBorders>
              <w:left w:val="single" w:sz="4" w:space="0" w:color="auto"/>
            </w:tcBorders>
            <w:shd w:val="clear" w:color="auto" w:fill="auto"/>
            <w:vAlign w:val="center"/>
          </w:tcPr>
          <w:p w:rsidR="00597370" w:rsidRDefault="003C2EEE">
            <w:pPr>
              <w:jc w:val="right"/>
              <w:rPr>
                <w:sz w:val="18"/>
                <w:szCs w:val="18"/>
              </w:rPr>
            </w:pPr>
            <w:r>
              <w:rPr>
                <w:sz w:val="18"/>
                <w:szCs w:val="18"/>
                <w:lang w:bidi="ar"/>
              </w:rPr>
              <w:t>6%</w:t>
            </w:r>
          </w:p>
        </w:tc>
      </w:tr>
      <w:tr w:rsidR="005973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tblCellMar>
        </w:tblPrEx>
        <w:trPr>
          <w:trHeight w:val="397"/>
          <w:jc w:val="center"/>
        </w:trPr>
        <w:tc>
          <w:tcPr>
            <w:tcW w:w="824" w:type="pct"/>
            <w:shd w:val="clear" w:color="auto" w:fill="auto"/>
          </w:tcPr>
          <w:p w:rsidR="00597370" w:rsidRDefault="003C2EEE">
            <w:pPr>
              <w:rPr>
                <w:sz w:val="18"/>
                <w:szCs w:val="18"/>
              </w:rPr>
            </w:pPr>
            <w:r>
              <w:rPr>
                <w:sz w:val="18"/>
                <w:szCs w:val="18"/>
              </w:rPr>
              <w:t>融资租赁款</w:t>
            </w:r>
          </w:p>
        </w:tc>
        <w:tc>
          <w:tcPr>
            <w:tcW w:w="729" w:type="pct"/>
            <w:shd w:val="clear" w:color="auto" w:fill="auto"/>
            <w:vAlign w:val="center"/>
          </w:tcPr>
          <w:p w:rsidR="00597370" w:rsidRDefault="00597370">
            <w:pPr>
              <w:jc w:val="right"/>
              <w:rPr>
                <w:sz w:val="18"/>
                <w:szCs w:val="18"/>
              </w:rPr>
            </w:pPr>
          </w:p>
        </w:tc>
        <w:tc>
          <w:tcPr>
            <w:tcW w:w="319" w:type="pct"/>
            <w:shd w:val="clear" w:color="auto" w:fill="auto"/>
            <w:vAlign w:val="center"/>
          </w:tcPr>
          <w:p w:rsidR="00597370" w:rsidRDefault="00597370">
            <w:pPr>
              <w:jc w:val="right"/>
              <w:rPr>
                <w:sz w:val="18"/>
                <w:szCs w:val="18"/>
              </w:rPr>
            </w:pPr>
          </w:p>
        </w:tc>
        <w:tc>
          <w:tcPr>
            <w:tcW w:w="783" w:type="pct"/>
            <w:shd w:val="clear" w:color="auto" w:fill="auto"/>
            <w:vAlign w:val="center"/>
          </w:tcPr>
          <w:p w:rsidR="00597370" w:rsidRDefault="00597370">
            <w:pPr>
              <w:jc w:val="right"/>
              <w:rPr>
                <w:sz w:val="18"/>
                <w:szCs w:val="18"/>
              </w:rPr>
            </w:pPr>
          </w:p>
        </w:tc>
        <w:tc>
          <w:tcPr>
            <w:tcW w:w="782" w:type="pct"/>
            <w:shd w:val="clear" w:color="auto" w:fill="auto"/>
            <w:vAlign w:val="center"/>
          </w:tcPr>
          <w:p w:rsidR="00597370" w:rsidRDefault="003C2EEE">
            <w:pPr>
              <w:jc w:val="right"/>
              <w:rPr>
                <w:sz w:val="18"/>
                <w:szCs w:val="18"/>
              </w:rPr>
            </w:pPr>
            <w:r>
              <w:rPr>
                <w:sz w:val="18"/>
                <w:szCs w:val="18"/>
              </w:rPr>
              <w:t>68,683.88</w:t>
            </w:r>
          </w:p>
        </w:tc>
        <w:tc>
          <w:tcPr>
            <w:tcW w:w="469" w:type="pct"/>
            <w:shd w:val="clear" w:color="auto" w:fill="auto"/>
            <w:vAlign w:val="center"/>
          </w:tcPr>
          <w:p w:rsidR="00597370" w:rsidRDefault="003C2EEE">
            <w:pPr>
              <w:jc w:val="right"/>
              <w:rPr>
                <w:sz w:val="18"/>
                <w:szCs w:val="18"/>
              </w:rPr>
            </w:pPr>
            <w:r>
              <w:rPr>
                <w:sz w:val="18"/>
                <w:szCs w:val="18"/>
              </w:rPr>
              <w:t>6,868.39</w:t>
            </w:r>
          </w:p>
        </w:tc>
        <w:tc>
          <w:tcPr>
            <w:tcW w:w="704" w:type="pct"/>
            <w:tcBorders>
              <w:right w:val="single" w:sz="4" w:space="0" w:color="auto"/>
            </w:tcBorders>
            <w:shd w:val="clear" w:color="auto" w:fill="auto"/>
            <w:vAlign w:val="center"/>
          </w:tcPr>
          <w:p w:rsidR="00597370" w:rsidRDefault="003C2EEE">
            <w:pPr>
              <w:jc w:val="right"/>
              <w:rPr>
                <w:sz w:val="18"/>
                <w:szCs w:val="18"/>
              </w:rPr>
            </w:pPr>
            <w:r>
              <w:rPr>
                <w:sz w:val="18"/>
                <w:szCs w:val="18"/>
              </w:rPr>
              <w:t>61,815.49</w:t>
            </w:r>
          </w:p>
        </w:tc>
        <w:tc>
          <w:tcPr>
            <w:tcW w:w="390" w:type="pct"/>
            <w:tcBorders>
              <w:left w:val="single" w:sz="4" w:space="0" w:color="auto"/>
            </w:tcBorders>
            <w:shd w:val="clear" w:color="auto" w:fill="auto"/>
            <w:vAlign w:val="center"/>
          </w:tcPr>
          <w:p w:rsidR="00597370" w:rsidRDefault="003C2EEE">
            <w:pPr>
              <w:jc w:val="right"/>
              <w:rPr>
                <w:sz w:val="18"/>
                <w:szCs w:val="18"/>
              </w:rPr>
            </w:pPr>
            <w:r>
              <w:rPr>
                <w:sz w:val="18"/>
                <w:szCs w:val="18"/>
              </w:rPr>
              <w:t>3.85%</w:t>
            </w:r>
          </w:p>
        </w:tc>
      </w:tr>
      <w:tr w:rsidR="005973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tblCellMar>
        </w:tblPrEx>
        <w:trPr>
          <w:trHeight w:val="397"/>
          <w:jc w:val="center"/>
        </w:trPr>
        <w:tc>
          <w:tcPr>
            <w:tcW w:w="824" w:type="pct"/>
            <w:shd w:val="clear" w:color="auto" w:fill="auto"/>
          </w:tcPr>
          <w:p w:rsidR="00597370" w:rsidRDefault="003C2EEE">
            <w:pPr>
              <w:rPr>
                <w:sz w:val="18"/>
                <w:szCs w:val="18"/>
              </w:rPr>
            </w:pPr>
            <w:r>
              <w:rPr>
                <w:rFonts w:hint="eastAsia"/>
                <w:sz w:val="18"/>
                <w:szCs w:val="18"/>
              </w:rPr>
              <w:t>减：一年内到期的长期应收款</w:t>
            </w:r>
          </w:p>
        </w:tc>
        <w:tc>
          <w:tcPr>
            <w:tcW w:w="729" w:type="pct"/>
            <w:shd w:val="clear" w:color="auto" w:fill="auto"/>
            <w:vAlign w:val="center"/>
          </w:tcPr>
          <w:p w:rsidR="00597370" w:rsidRDefault="00597370">
            <w:pPr>
              <w:jc w:val="right"/>
              <w:rPr>
                <w:sz w:val="18"/>
                <w:szCs w:val="18"/>
              </w:rPr>
            </w:pPr>
          </w:p>
        </w:tc>
        <w:tc>
          <w:tcPr>
            <w:tcW w:w="319" w:type="pct"/>
            <w:shd w:val="clear" w:color="auto" w:fill="auto"/>
            <w:vAlign w:val="center"/>
          </w:tcPr>
          <w:p w:rsidR="00597370" w:rsidRDefault="00597370">
            <w:pPr>
              <w:jc w:val="right"/>
              <w:rPr>
                <w:sz w:val="18"/>
                <w:szCs w:val="18"/>
              </w:rPr>
            </w:pPr>
          </w:p>
        </w:tc>
        <w:tc>
          <w:tcPr>
            <w:tcW w:w="783" w:type="pct"/>
            <w:shd w:val="clear" w:color="auto" w:fill="auto"/>
            <w:vAlign w:val="center"/>
          </w:tcPr>
          <w:p w:rsidR="00597370" w:rsidRDefault="00597370">
            <w:pPr>
              <w:jc w:val="right"/>
              <w:rPr>
                <w:sz w:val="18"/>
                <w:szCs w:val="18"/>
              </w:rPr>
            </w:pPr>
          </w:p>
        </w:tc>
        <w:tc>
          <w:tcPr>
            <w:tcW w:w="782" w:type="pct"/>
            <w:shd w:val="clear" w:color="auto" w:fill="auto"/>
            <w:vAlign w:val="center"/>
          </w:tcPr>
          <w:p w:rsidR="00597370" w:rsidRDefault="003C2EEE">
            <w:pPr>
              <w:jc w:val="right"/>
              <w:rPr>
                <w:sz w:val="18"/>
                <w:szCs w:val="18"/>
              </w:rPr>
            </w:pPr>
            <w:r>
              <w:rPr>
                <w:rFonts w:hint="eastAsia"/>
                <w:color w:val="000000"/>
                <w:sz w:val="18"/>
                <w:szCs w:val="18"/>
              </w:rPr>
              <w:t xml:space="preserve"> 68,683.88 </w:t>
            </w:r>
          </w:p>
        </w:tc>
        <w:tc>
          <w:tcPr>
            <w:tcW w:w="469" w:type="pct"/>
            <w:shd w:val="clear" w:color="auto" w:fill="auto"/>
            <w:vAlign w:val="center"/>
          </w:tcPr>
          <w:p w:rsidR="00597370" w:rsidRDefault="003C2EEE">
            <w:pPr>
              <w:jc w:val="right"/>
              <w:rPr>
                <w:sz w:val="18"/>
                <w:szCs w:val="18"/>
              </w:rPr>
            </w:pPr>
            <w:r>
              <w:rPr>
                <w:rFonts w:hint="eastAsia"/>
                <w:color w:val="000000"/>
                <w:sz w:val="18"/>
                <w:szCs w:val="18"/>
              </w:rPr>
              <w:t xml:space="preserve">6,868.39 </w:t>
            </w:r>
          </w:p>
        </w:tc>
        <w:tc>
          <w:tcPr>
            <w:tcW w:w="704" w:type="pct"/>
            <w:tcBorders>
              <w:right w:val="single" w:sz="4" w:space="0" w:color="auto"/>
            </w:tcBorders>
            <w:shd w:val="clear" w:color="auto" w:fill="auto"/>
            <w:vAlign w:val="center"/>
          </w:tcPr>
          <w:p w:rsidR="00597370" w:rsidRDefault="003C2EEE">
            <w:pPr>
              <w:jc w:val="right"/>
              <w:rPr>
                <w:sz w:val="18"/>
                <w:szCs w:val="18"/>
              </w:rPr>
            </w:pPr>
            <w:r>
              <w:rPr>
                <w:rFonts w:hint="eastAsia"/>
                <w:color w:val="000000"/>
                <w:sz w:val="18"/>
                <w:szCs w:val="18"/>
              </w:rPr>
              <w:t xml:space="preserve"> 61,815.49 </w:t>
            </w:r>
          </w:p>
        </w:tc>
        <w:tc>
          <w:tcPr>
            <w:tcW w:w="390" w:type="pct"/>
            <w:tcBorders>
              <w:left w:val="single" w:sz="4" w:space="0" w:color="auto"/>
            </w:tcBorders>
            <w:shd w:val="clear" w:color="auto" w:fill="auto"/>
            <w:vAlign w:val="center"/>
          </w:tcPr>
          <w:p w:rsidR="00597370" w:rsidRDefault="00597370">
            <w:pPr>
              <w:jc w:val="right"/>
              <w:rPr>
                <w:sz w:val="18"/>
                <w:szCs w:val="18"/>
              </w:rPr>
            </w:pPr>
          </w:p>
        </w:tc>
      </w:tr>
      <w:tr w:rsidR="005973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tblCellMar>
        </w:tblPrEx>
        <w:trPr>
          <w:trHeight w:val="397"/>
          <w:jc w:val="center"/>
        </w:trPr>
        <w:tc>
          <w:tcPr>
            <w:tcW w:w="824"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合计</w:t>
            </w:r>
          </w:p>
        </w:tc>
        <w:tc>
          <w:tcPr>
            <w:tcW w:w="729" w:type="pct"/>
            <w:shd w:val="clear" w:color="auto" w:fill="auto"/>
            <w:vAlign w:val="center"/>
          </w:tcPr>
          <w:p w:rsidR="00597370" w:rsidRDefault="003C2EEE">
            <w:pPr>
              <w:jc w:val="right"/>
              <w:rPr>
                <w:sz w:val="18"/>
                <w:szCs w:val="18"/>
              </w:rPr>
            </w:pPr>
            <w:r>
              <w:rPr>
                <w:rFonts w:hint="eastAsia"/>
                <w:color w:val="000000"/>
                <w:sz w:val="18"/>
                <w:szCs w:val="18"/>
              </w:rPr>
              <w:t xml:space="preserve">6,311,778.05 </w:t>
            </w:r>
          </w:p>
        </w:tc>
        <w:tc>
          <w:tcPr>
            <w:tcW w:w="319" w:type="pct"/>
            <w:shd w:val="clear" w:color="auto" w:fill="auto"/>
            <w:vAlign w:val="center"/>
          </w:tcPr>
          <w:p w:rsidR="00597370" w:rsidRDefault="003C2EEE">
            <w:pPr>
              <w:jc w:val="right"/>
              <w:rPr>
                <w:sz w:val="18"/>
                <w:szCs w:val="18"/>
              </w:rPr>
            </w:pPr>
            <w:r>
              <w:rPr>
                <w:rFonts w:hint="eastAsia"/>
                <w:color w:val="000000"/>
                <w:sz w:val="18"/>
                <w:szCs w:val="18"/>
              </w:rPr>
              <w:t xml:space="preserve">   </w:t>
            </w:r>
          </w:p>
        </w:tc>
        <w:tc>
          <w:tcPr>
            <w:tcW w:w="783" w:type="pct"/>
            <w:shd w:val="clear" w:color="auto" w:fill="auto"/>
            <w:vAlign w:val="center"/>
          </w:tcPr>
          <w:p w:rsidR="00597370" w:rsidRDefault="003C2EEE">
            <w:pPr>
              <w:jc w:val="right"/>
              <w:rPr>
                <w:sz w:val="18"/>
                <w:szCs w:val="18"/>
              </w:rPr>
            </w:pPr>
            <w:r>
              <w:rPr>
                <w:rFonts w:hint="eastAsia"/>
                <w:color w:val="000000"/>
                <w:sz w:val="18"/>
                <w:szCs w:val="18"/>
              </w:rPr>
              <w:t xml:space="preserve">6,311,778.05 </w:t>
            </w:r>
          </w:p>
        </w:tc>
        <w:tc>
          <w:tcPr>
            <w:tcW w:w="782" w:type="pct"/>
            <w:shd w:val="clear" w:color="auto" w:fill="auto"/>
            <w:vAlign w:val="center"/>
          </w:tcPr>
          <w:p w:rsidR="00597370" w:rsidRDefault="003C2EEE">
            <w:pPr>
              <w:jc w:val="right"/>
              <w:rPr>
                <w:sz w:val="18"/>
                <w:szCs w:val="18"/>
              </w:rPr>
            </w:pPr>
            <w:r>
              <w:rPr>
                <w:sz w:val="18"/>
                <w:szCs w:val="18"/>
              </w:rPr>
              <w:t>6,249,285.19</w:t>
            </w:r>
          </w:p>
        </w:tc>
        <w:tc>
          <w:tcPr>
            <w:tcW w:w="469" w:type="pct"/>
            <w:shd w:val="clear" w:color="auto" w:fill="auto"/>
            <w:vAlign w:val="center"/>
          </w:tcPr>
          <w:p w:rsidR="00597370" w:rsidRDefault="00597370">
            <w:pPr>
              <w:jc w:val="right"/>
              <w:rPr>
                <w:sz w:val="18"/>
                <w:szCs w:val="18"/>
              </w:rPr>
            </w:pPr>
          </w:p>
        </w:tc>
        <w:tc>
          <w:tcPr>
            <w:tcW w:w="704" w:type="pct"/>
            <w:tcBorders>
              <w:right w:val="single" w:sz="4" w:space="0" w:color="auto"/>
            </w:tcBorders>
            <w:shd w:val="clear" w:color="auto" w:fill="auto"/>
            <w:vAlign w:val="center"/>
          </w:tcPr>
          <w:p w:rsidR="00597370" w:rsidRDefault="003C2EEE">
            <w:pPr>
              <w:jc w:val="right"/>
              <w:rPr>
                <w:sz w:val="18"/>
                <w:szCs w:val="18"/>
              </w:rPr>
            </w:pPr>
            <w:r>
              <w:rPr>
                <w:sz w:val="18"/>
                <w:szCs w:val="18"/>
              </w:rPr>
              <w:t>6,249,285.19</w:t>
            </w:r>
          </w:p>
        </w:tc>
        <w:tc>
          <w:tcPr>
            <w:tcW w:w="390" w:type="pct"/>
            <w:tcBorders>
              <w:left w:val="single" w:sz="4" w:space="0" w:color="auto"/>
            </w:tcBorders>
            <w:shd w:val="clear" w:color="auto" w:fill="auto"/>
            <w:vAlign w:val="center"/>
          </w:tcPr>
          <w:p w:rsidR="00597370" w:rsidRDefault="003C2EEE">
            <w:pPr>
              <w:jc w:val="right"/>
              <w:rPr>
                <w:color w:val="000000" w:themeColor="text1"/>
                <w:sz w:val="18"/>
                <w:szCs w:val="18"/>
              </w:rPr>
            </w:pPr>
            <w:r>
              <w:rPr>
                <w:rFonts w:hint="eastAsia"/>
                <w:color w:val="000000" w:themeColor="text1"/>
                <w:sz w:val="18"/>
                <w:szCs w:val="18"/>
              </w:rPr>
              <w:t>/</w:t>
            </w:r>
          </w:p>
        </w:tc>
      </w:tr>
    </w:tbl>
    <w:p w:rsidR="00597370" w:rsidRDefault="00597370"/>
    <w:p w:rsidR="00597370" w:rsidRDefault="003C2EEE">
      <w:pPr>
        <w:pStyle w:val="Style175"/>
        <w:ind w:firstLine="420"/>
      </w:pPr>
      <w:r>
        <w:rPr>
          <w:rFonts w:hint="eastAsia"/>
        </w:rPr>
        <w:t>注</w:t>
      </w:r>
      <w:r>
        <w:t>1：</w:t>
      </w:r>
      <w:proofErr w:type="gramStart"/>
      <w:r>
        <w:t>渝巴专用铁路</w:t>
      </w:r>
      <w:proofErr w:type="gramEnd"/>
      <w:r>
        <w:t>高站台代建应收款系2022年公司与重庆渝巴物流有限责任公司（以下简称“渝巴公司”）签署的《渝巴专用铁路高站台共建合同》，由公司</w:t>
      </w:r>
      <w:proofErr w:type="gramStart"/>
      <w:r>
        <w:t>负责渝巴专用铁路</w:t>
      </w:r>
      <w:proofErr w:type="gramEnd"/>
      <w:r>
        <w:t>高站台的投资及建设，工程建成后移交</w:t>
      </w:r>
      <w:proofErr w:type="gramStart"/>
      <w:r>
        <w:t>给渝巴</w:t>
      </w:r>
      <w:proofErr w:type="gramEnd"/>
      <w:r>
        <w:t>公司运营，</w:t>
      </w:r>
      <w:proofErr w:type="gramStart"/>
      <w:r>
        <w:t>渝巴公司是渝巴专用铁路</w:t>
      </w:r>
      <w:proofErr w:type="gramEnd"/>
      <w:r>
        <w:t>高站台</w:t>
      </w:r>
      <w:proofErr w:type="gramStart"/>
      <w:r>
        <w:t>最终项目</w:t>
      </w:r>
      <w:proofErr w:type="gramEnd"/>
      <w:r>
        <w:t>业主，</w:t>
      </w:r>
      <w:proofErr w:type="gramStart"/>
      <w:r>
        <w:t>渝巴公司</w:t>
      </w:r>
      <w:proofErr w:type="gramEnd"/>
      <w:r>
        <w:t>以高站台投用后使用吊装货物产生的专用铁路收益的50%支付公司建设成本并按年化6%计算资金占用利息，由于公司收取资金占用利息且专用铁路收益稳定，因而不存在预期信用减值损失，对其不确认相关减值准备。</w:t>
      </w:r>
    </w:p>
    <w:p w:rsidR="00597370" w:rsidRDefault="003C2EEE">
      <w:pPr>
        <w:pStyle w:val="Style110"/>
        <w:numPr>
          <w:ilvl w:val="0"/>
          <w:numId w:val="60"/>
        </w:numPr>
        <w:rPr>
          <w:rFonts w:ascii="宋体" w:hAnsi="宋体"/>
          <w:color w:val="000000" w:themeColor="text1"/>
        </w:rPr>
      </w:pPr>
      <w:bookmarkStart w:id="258" w:name="_Hlk153457348"/>
      <w:bookmarkStart w:id="259" w:name="_Hlk167893085"/>
      <w:r>
        <w:rPr>
          <w:rFonts w:ascii="宋体" w:hAnsi="宋体" w:hint="eastAsia"/>
          <w:color w:val="000000" w:themeColor="text1"/>
        </w:rPr>
        <w:t>按坏账计提方法分类披露</w:t>
      </w:r>
    </w:p>
    <w:sdt>
      <w:sdtPr>
        <w:rPr>
          <w:color w:val="000000" w:themeColor="text1"/>
        </w:rPr>
        <w:alias w:val="是否适用：按坏账计提方法分类披露[双击切换]"/>
        <w:tag w:val="_GBC_2d08b03d640f42d686453149be03e5d9"/>
        <w:id w:val="12073501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3a181716dae64a57965330ae4ccab91e"/>
        <w:id w:val="-116131487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532014e1f5ab4f9da72dafc4dafe0723"/>
        <w:id w:val="45962062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ascii="Calibri" w:hAnsi="Calibri" w:cs="Times New Roman"/>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color w:val="000000" w:themeColor="text1"/>
          <w:szCs w:val="22"/>
        </w:rPr>
        <w:alias w:val="是否适用：按组合计提坏账准备的详细情况[双击切换]"/>
        <w:tag w:val="_GBC_555a40ceb7d348a0a16b652ac8e1178a"/>
        <w:id w:val="1153719211"/>
        <w:placeholder>
          <w:docPart w:val="GBC22222222222222222222222222222"/>
        </w:placeholder>
      </w:sdtPr>
      <w:sdtEndPr/>
      <w:sdtContent>
        <w:p w:rsidR="00597370" w:rsidRDefault="003C2EEE">
          <w:pPr>
            <w:rPr>
              <w:color w:val="000000" w:themeColor="text1"/>
            </w:rPr>
          </w:pPr>
          <w:r>
            <w:rPr>
              <w:rFonts w:cs="Times New Roman"/>
              <w:color w:val="000000" w:themeColor="text1"/>
              <w:szCs w:val="22"/>
            </w:rPr>
            <w:fldChar w:fldCharType="begin"/>
          </w:r>
          <w:r>
            <w:rPr>
              <w:rFonts w:cs="Times New Roman"/>
              <w:color w:val="000000" w:themeColor="text1"/>
              <w:szCs w:val="22"/>
            </w:rPr>
            <w:instrText xml:space="preserve"> MACROBUTTON  SnrToggleCheckbox □适用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√不适用 </w:instrText>
          </w:r>
          <w:r>
            <w:rPr>
              <w:rFonts w:cs="Times New Roman"/>
              <w:color w:val="000000" w:themeColor="text1"/>
              <w:szCs w:val="22"/>
            </w:rPr>
            <w:fldChar w:fldCharType="end"/>
          </w:r>
        </w:p>
      </w:sdtContent>
    </w:sdt>
    <w:p w:rsidR="00597370" w:rsidRDefault="003C2EEE">
      <w:pPr>
        <w:rPr>
          <w:color w:val="000000" w:themeColor="text1"/>
        </w:rPr>
      </w:pPr>
      <w:bookmarkStart w:id="260" w:name="_Hlk10471933"/>
      <w:bookmarkEnd w:id="258"/>
      <w:bookmarkEnd w:id="259"/>
      <w:r>
        <w:rPr>
          <w:rFonts w:hint="eastAsia"/>
          <w:color w:val="000000" w:themeColor="text1"/>
        </w:rPr>
        <w:t>按预期信用损失一般模型计提坏账准备</w:t>
      </w:r>
      <w:r>
        <w:rPr>
          <w:color w:val="000000" w:themeColor="text1"/>
        </w:rPr>
        <w:t xml:space="preserve"> </w:t>
      </w:r>
    </w:p>
    <w:sdt>
      <w:sdtPr>
        <w:rPr>
          <w:color w:val="000000" w:themeColor="text1"/>
        </w:rPr>
        <w:alias w:val="是否适用：长期应收款坏账准备调节表[双击切换]"/>
        <w:tag w:val="_GBC_f7e4bed7dbb84fbcb52f2226cf465bb3"/>
        <w:id w:val="34213756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60"/>
        </w:numPr>
        <w:rPr>
          <w:rFonts w:ascii="宋体" w:hAnsi="宋体"/>
          <w:color w:val="000000" w:themeColor="text1"/>
        </w:rPr>
      </w:pPr>
      <w:bookmarkStart w:id="261" w:name="_Hlk154131356"/>
      <w:bookmarkStart w:id="262" w:name="_Hlk153457634"/>
      <w:bookmarkStart w:id="263" w:name="_Hlk167893254"/>
      <w:bookmarkEnd w:id="260"/>
      <w:r>
        <w:rPr>
          <w:rFonts w:ascii="宋体" w:hAnsi="宋体" w:hint="eastAsia"/>
          <w:color w:val="000000" w:themeColor="text1"/>
        </w:rPr>
        <w:t>坏账准备的情况</w:t>
      </w:r>
    </w:p>
    <w:sdt>
      <w:sdtPr>
        <w:rPr>
          <w:color w:val="000000" w:themeColor="text1"/>
        </w:rPr>
        <w:alias w:val="是否适用：坏账准备情况[双击切换]"/>
        <w:tag w:val="_GBC_2514c3c2e0d44fce9a234c85b89eb697"/>
        <w:id w:val="1820307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61"/>
    <w:p w:rsidR="00597370" w:rsidRDefault="003C2EEE">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a29d07e52de24827baca64b0af5687bb"/>
        <w:id w:val="-134972072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坏账准备情况的说明"/>
        <w:tag w:val="_GBC_15f3ea2819374a1d81b14a1eed39f1ec"/>
        <w:id w:val="391160613"/>
        <w:placeholder>
          <w:docPart w:val="GBC22222222222222222222222222222"/>
        </w:placeholder>
      </w:sdtPr>
      <w:sdtEndPr/>
      <w:sdtContent>
        <w:p w:rsidR="00597370" w:rsidRDefault="003C2EEE">
          <w:pPr>
            <w:ind w:rightChars="20" w:right="42"/>
            <w:rPr>
              <w:color w:val="000000" w:themeColor="text1"/>
            </w:rPr>
          </w:pPr>
          <w:r>
            <w:rPr>
              <w:rFonts w:hint="eastAsia"/>
              <w:color w:val="000000" w:themeColor="text1"/>
            </w:rPr>
            <w:t>无</w:t>
          </w:r>
        </w:p>
      </w:sdtContent>
    </w:sdt>
    <w:p w:rsidR="00597370" w:rsidRDefault="003C2EEE">
      <w:pPr>
        <w:pStyle w:val="Style110"/>
        <w:numPr>
          <w:ilvl w:val="0"/>
          <w:numId w:val="60"/>
        </w:numPr>
        <w:rPr>
          <w:rFonts w:ascii="宋体" w:hAnsi="宋体"/>
          <w:color w:val="000000" w:themeColor="text1"/>
        </w:rPr>
      </w:pPr>
      <w:r>
        <w:rPr>
          <w:rFonts w:ascii="宋体" w:hAnsi="宋体" w:hint="eastAsia"/>
          <w:color w:val="000000" w:themeColor="text1"/>
        </w:rPr>
        <w:t>本期实际核销的长期应收款情况</w:t>
      </w:r>
    </w:p>
    <w:sdt>
      <w:sdtPr>
        <w:rPr>
          <w:color w:val="000000" w:themeColor="text1"/>
        </w:rPr>
        <w:alias w:val="是否适用：实际核销的情况[双击切换]"/>
        <w:tag w:val="_GBC_447ec231ca8744e2a8f9b570dfecfd28"/>
        <w:id w:val="91714161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其中重要的长期应收款核销情况</w:t>
      </w:r>
    </w:p>
    <w:sdt>
      <w:sdtPr>
        <w:rPr>
          <w:rFonts w:hint="eastAsia"/>
          <w:color w:val="000000" w:themeColor="text1"/>
        </w:rPr>
        <w:alias w:val="是否适用：重要的核销情况[双击切换]"/>
        <w:tag w:val="_GBC_7e501e63ade7457987f62bf3d0dd5df5"/>
        <w:id w:val="-172875208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81ff204464594f45b7ea7b4c6b25a65c"/>
        <w:id w:val="743844441"/>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62"/>
    <w:bookmarkEnd w:id="263"/>
    <w:p w:rsidR="00597370" w:rsidRDefault="003C2EEE">
      <w:pPr>
        <w:rPr>
          <w:color w:val="000000" w:themeColor="text1"/>
        </w:rPr>
      </w:pPr>
      <w:r>
        <w:rPr>
          <w:rFonts w:hint="eastAsia"/>
          <w:color w:val="000000" w:themeColor="text1"/>
        </w:rPr>
        <w:t>其他说明：</w:t>
      </w:r>
    </w:p>
    <w:sdt>
      <w:sdtPr>
        <w:rPr>
          <w:rFonts w:hint="eastAsia"/>
          <w:color w:val="000000" w:themeColor="text1"/>
        </w:rPr>
        <w:alias w:val="是否适用：长期应收款的其他说明[双击切换]"/>
        <w:tag w:val="_GBC_a368edfbd60c44cdaed5299529b44fa0"/>
        <w:id w:val="-37253617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长期股权投资</w:t>
      </w:r>
    </w:p>
    <w:p w:rsidR="00597370" w:rsidRDefault="003C2EEE">
      <w:pPr>
        <w:pStyle w:val="Style110"/>
        <w:numPr>
          <w:ilvl w:val="0"/>
          <w:numId w:val="61"/>
        </w:numPr>
        <w:ind w:left="425" w:hanging="425"/>
        <w:rPr>
          <w:color w:val="000000" w:themeColor="text1"/>
        </w:rPr>
      </w:pPr>
      <w:r>
        <w:rPr>
          <w:rFonts w:hint="eastAsia"/>
          <w:color w:val="000000" w:themeColor="text1"/>
        </w:rPr>
        <w:t>长期股权投资情况</w:t>
      </w:r>
    </w:p>
    <w:p w:rsidR="00597370" w:rsidRDefault="006840ED">
      <w:pPr>
        <w:rPr>
          <w:color w:val="000000" w:themeColor="text1"/>
        </w:rPr>
      </w:pPr>
      <w:sdt>
        <w:sdtPr>
          <w:rPr>
            <w:rFonts w:hint="eastAsia"/>
            <w:color w:val="000000" w:themeColor="text1"/>
          </w:rPr>
          <w:alias w:val="是否适用：长期股权投资[双击切换]"/>
          <w:tag w:val="_GBC_bafa2cb2262c4c4ebc4eed8f4e4a81c6"/>
          <w:id w:val="1694028657"/>
          <w:lock w:val="contentLocked"/>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jc w:val="right"/>
        <w:rPr>
          <w:color w:val="000000" w:themeColor="text1"/>
        </w:rPr>
      </w:pPr>
      <w:bookmarkStart w:id="264" w:name="_Hlk106375234"/>
      <w:r>
        <w:rPr>
          <w:rFonts w:hint="eastAsia"/>
          <w:color w:val="000000" w:themeColor="text1"/>
        </w:rPr>
        <w:t>单位：</w:t>
      </w:r>
      <w:sdt>
        <w:sdtPr>
          <w:rPr>
            <w:rFonts w:hint="eastAsia"/>
            <w:color w:val="000000" w:themeColor="text1"/>
          </w:rPr>
          <w:alias w:val="单位：财务附注：长期股权投资"/>
          <w:tag w:val="_GBC_63e30834d38e49658bec9056bc38e4e2"/>
          <w:id w:val="-227831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长期股权投资"/>
          <w:tag w:val="_GBC_f72bca6b250e484887289a819bc62e7d"/>
          <w:id w:val="10320765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21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800"/>
        <w:gridCol w:w="1463"/>
        <w:gridCol w:w="567"/>
        <w:gridCol w:w="425"/>
        <w:gridCol w:w="1135"/>
        <w:gridCol w:w="709"/>
        <w:gridCol w:w="427"/>
        <w:gridCol w:w="709"/>
        <w:gridCol w:w="565"/>
        <w:gridCol w:w="540"/>
        <w:gridCol w:w="1304"/>
        <w:gridCol w:w="565"/>
      </w:tblGrid>
      <w:tr w:rsidR="00597370">
        <w:trPr>
          <w:trHeight w:val="397"/>
          <w:jc w:val="center"/>
        </w:trPr>
        <w:sdt>
          <w:sdtPr>
            <w:rPr>
              <w:color w:val="000000" w:themeColor="text1"/>
            </w:rPr>
            <w:tag w:val="_PLD_9e3ff129c80540828097585bec2a274a"/>
            <w:id w:val="2138606656"/>
          </w:sdtPr>
          <w:sdtEndPr/>
          <w:sdtContent>
            <w:tc>
              <w:tcPr>
                <w:tcW w:w="434"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被投资单位</w:t>
                </w:r>
              </w:p>
            </w:tc>
          </w:sdtContent>
        </w:sdt>
        <w:sdt>
          <w:sdtPr>
            <w:rPr>
              <w:color w:val="000000" w:themeColor="text1"/>
            </w:rPr>
            <w:tag w:val="_PLD_1d8637e24bf6498db71869cd552b60a2"/>
            <w:id w:val="-845473550"/>
          </w:sdtPr>
          <w:sdtEndPr/>
          <w:sdtContent>
            <w:tc>
              <w:tcPr>
                <w:tcW w:w="794"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期初</w:t>
                </w:r>
              </w:p>
              <w:p w:rsidR="00597370" w:rsidRDefault="003C2EEE">
                <w:pPr>
                  <w:jc w:val="center"/>
                  <w:rPr>
                    <w:color w:val="000000" w:themeColor="text1"/>
                  </w:rPr>
                </w:pPr>
                <w:r>
                  <w:rPr>
                    <w:rFonts w:hint="eastAsia"/>
                    <w:color w:val="000000" w:themeColor="text1"/>
                  </w:rPr>
                  <w:lastRenderedPageBreak/>
                  <w:t>余额</w:t>
                </w:r>
              </w:p>
            </w:tc>
          </w:sdtContent>
        </w:sdt>
        <w:sdt>
          <w:sdtPr>
            <w:rPr>
              <w:color w:val="000000" w:themeColor="text1"/>
            </w:rPr>
            <w:tag w:val="_PLD_edc952101e7b4fa483f7289f9b74dfdf"/>
            <w:id w:val="919295942"/>
          </w:sdtPr>
          <w:sdtEndPr/>
          <w:sdtContent>
            <w:tc>
              <w:tcPr>
                <w:tcW w:w="275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本期增减变动</w:t>
                </w:r>
              </w:p>
            </w:tc>
          </w:sdtContent>
        </w:sdt>
        <w:sdt>
          <w:sdtPr>
            <w:rPr>
              <w:color w:val="000000" w:themeColor="text1"/>
            </w:rPr>
            <w:tag w:val="_PLD_44cfcec128d9419fba83c50966e49235"/>
            <w:id w:val="-1710106460"/>
          </w:sdtPr>
          <w:sdtEndPr/>
          <w:sdtContent>
            <w:tc>
              <w:tcPr>
                <w:tcW w:w="708"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期末</w:t>
                </w:r>
              </w:p>
              <w:p w:rsidR="00597370" w:rsidRDefault="003C2EEE">
                <w:pPr>
                  <w:jc w:val="center"/>
                  <w:rPr>
                    <w:color w:val="000000" w:themeColor="text1"/>
                  </w:rPr>
                </w:pPr>
                <w:r>
                  <w:rPr>
                    <w:rFonts w:hint="eastAsia"/>
                    <w:color w:val="000000" w:themeColor="text1"/>
                  </w:rPr>
                  <w:lastRenderedPageBreak/>
                  <w:t>余额</w:t>
                </w:r>
              </w:p>
            </w:tc>
          </w:sdtContent>
        </w:sdt>
        <w:sdt>
          <w:sdtPr>
            <w:rPr>
              <w:color w:val="000000" w:themeColor="text1"/>
            </w:rPr>
            <w:tag w:val="_PLD_34a3cc0844264226a50c84165c09bb9a"/>
            <w:id w:val="1916971628"/>
          </w:sdtPr>
          <w:sdtEndPr/>
          <w:sdtContent>
            <w:tc>
              <w:tcPr>
                <w:tcW w:w="307"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减值准备期末余额</w:t>
                </w:r>
              </w:p>
            </w:tc>
          </w:sdtContent>
        </w:sdt>
      </w:tr>
      <w:tr w:rsidR="00597370">
        <w:trPr>
          <w:trHeight w:val="397"/>
          <w:jc w:val="center"/>
        </w:trPr>
        <w:tc>
          <w:tcPr>
            <w:tcW w:w="434" w:type="pct"/>
            <w:vMerge/>
            <w:tcBorders>
              <w:left w:val="single" w:sz="4" w:space="0" w:color="auto"/>
              <w:bottom w:val="single" w:sz="4" w:space="0" w:color="auto"/>
              <w:right w:val="single" w:sz="4" w:space="0" w:color="auto"/>
            </w:tcBorders>
            <w:shd w:val="clear" w:color="auto" w:fill="auto"/>
          </w:tcPr>
          <w:p w:rsidR="00597370" w:rsidRDefault="00597370">
            <w:pPr>
              <w:jc w:val="center"/>
              <w:rPr>
                <w:color w:val="000000" w:themeColor="text1"/>
              </w:rPr>
            </w:pPr>
          </w:p>
        </w:tc>
        <w:tc>
          <w:tcPr>
            <w:tcW w:w="794" w:type="pct"/>
            <w:vMerge/>
            <w:tcBorders>
              <w:left w:val="single" w:sz="4" w:space="0" w:color="auto"/>
              <w:bottom w:val="single" w:sz="4" w:space="0" w:color="auto"/>
              <w:right w:val="single" w:sz="4" w:space="0" w:color="auto"/>
            </w:tcBorders>
            <w:shd w:val="clear" w:color="auto" w:fill="auto"/>
          </w:tcPr>
          <w:p w:rsidR="00597370" w:rsidRDefault="00597370">
            <w:pPr>
              <w:jc w:val="center"/>
              <w:rPr>
                <w:color w:val="000000" w:themeColor="text1"/>
              </w:rPr>
            </w:pPr>
          </w:p>
        </w:tc>
        <w:sdt>
          <w:sdtPr>
            <w:rPr>
              <w:color w:val="000000" w:themeColor="text1"/>
            </w:rPr>
            <w:tag w:val="_PLD_f88446e104b7482db6830a46769bd8f6"/>
            <w:id w:val="1640305803"/>
          </w:sdtPr>
          <w:sdtEndPr/>
          <w:sdtContent>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追加投资</w:t>
                </w:r>
              </w:p>
            </w:tc>
          </w:sdtContent>
        </w:sdt>
        <w:sdt>
          <w:sdtPr>
            <w:rPr>
              <w:color w:val="000000" w:themeColor="text1"/>
            </w:rPr>
            <w:tag w:val="_PLD_dc0d6646fb2e45ba8e5e07f2c6954c9f"/>
            <w:id w:val="1677536389"/>
          </w:sdtPr>
          <w:sdtEndPr/>
          <w:sdtContent>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减少投资</w:t>
                </w:r>
              </w:p>
            </w:tc>
          </w:sdtContent>
        </w:sdt>
        <w:sdt>
          <w:sdtPr>
            <w:rPr>
              <w:color w:val="000000" w:themeColor="text1"/>
            </w:rPr>
            <w:tag w:val="_PLD_098d9fcf9d5341879d534aa385508f23"/>
            <w:id w:val="1160199107"/>
          </w:sdtPr>
          <w:sdtEndPr/>
          <w:sdtContent>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权益法下确认的投资损益</w:t>
                </w:r>
              </w:p>
            </w:tc>
          </w:sdtContent>
        </w:sdt>
        <w:sdt>
          <w:sdtPr>
            <w:rPr>
              <w:color w:val="000000" w:themeColor="text1"/>
            </w:rPr>
            <w:tag w:val="_PLD_b66787b3a51d435899d94dbab1edade7"/>
            <w:id w:val="-292214486"/>
          </w:sdtPr>
          <w:sdtEndPr/>
          <w:sdtContent>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其他综合收益调整</w:t>
                </w:r>
              </w:p>
            </w:tc>
          </w:sdtContent>
        </w:sdt>
        <w:sdt>
          <w:sdtPr>
            <w:rPr>
              <w:color w:val="000000" w:themeColor="text1"/>
            </w:rPr>
            <w:tag w:val="_PLD_59166394bf7143a6a5ce0d447326b1ac"/>
            <w:id w:val="-2002340065"/>
          </w:sdtPr>
          <w:sdtEndPr/>
          <w:sdtContent>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其他权益变动</w:t>
                </w:r>
              </w:p>
            </w:tc>
          </w:sdtContent>
        </w:sdt>
        <w:sdt>
          <w:sdtPr>
            <w:rPr>
              <w:color w:val="000000" w:themeColor="text1"/>
            </w:rPr>
            <w:tag w:val="_PLD_cbd4cf48730a4934a58b86d2c27b6b08"/>
            <w:id w:val="-1953319176"/>
          </w:sdtPr>
          <w:sdtEndPr/>
          <w:sdtContent>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宣告发放现金股利或利润</w:t>
                </w:r>
              </w:p>
            </w:tc>
          </w:sdtContent>
        </w:sdt>
        <w:sdt>
          <w:sdtPr>
            <w:rPr>
              <w:color w:val="000000" w:themeColor="text1"/>
            </w:rPr>
            <w:tag w:val="_PLD_4c0a72e8e14d4b319998bc5bde635ef0"/>
            <w:id w:val="-1555769089"/>
          </w:sdtPr>
          <w:sdtEndPr/>
          <w:sdtContent>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计提减值准备</w:t>
                </w:r>
              </w:p>
            </w:tc>
          </w:sdtContent>
        </w:sdt>
        <w:sdt>
          <w:sdtPr>
            <w:rPr>
              <w:color w:val="000000" w:themeColor="text1"/>
            </w:rPr>
            <w:tag w:val="_PLD_ea8213b5ee1442f98996b6dfc1f9a9a4"/>
            <w:id w:val="422387924"/>
          </w:sdtPr>
          <w:sdtEndPr/>
          <w:sdtContent>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其他</w:t>
                </w:r>
              </w:p>
            </w:tc>
          </w:sdtContent>
        </w:sdt>
        <w:tc>
          <w:tcPr>
            <w:tcW w:w="708" w:type="pct"/>
            <w:vMerge/>
            <w:tcBorders>
              <w:left w:val="single" w:sz="4" w:space="0" w:color="auto"/>
              <w:bottom w:val="single" w:sz="4" w:space="0" w:color="auto"/>
              <w:right w:val="single" w:sz="4" w:space="0" w:color="auto"/>
            </w:tcBorders>
            <w:shd w:val="clear" w:color="auto" w:fill="auto"/>
            <w:vAlign w:val="center"/>
          </w:tcPr>
          <w:p w:rsidR="00597370" w:rsidRDefault="00597370">
            <w:pPr>
              <w:jc w:val="center"/>
              <w:rPr>
                <w:color w:val="000000" w:themeColor="text1"/>
              </w:rPr>
            </w:pPr>
          </w:p>
        </w:tc>
        <w:tc>
          <w:tcPr>
            <w:tcW w:w="307" w:type="pct"/>
            <w:vMerge/>
            <w:tcBorders>
              <w:left w:val="single" w:sz="4" w:space="0" w:color="auto"/>
              <w:bottom w:val="single" w:sz="4" w:space="0" w:color="auto"/>
              <w:right w:val="single" w:sz="4" w:space="0" w:color="auto"/>
            </w:tcBorders>
            <w:shd w:val="clear" w:color="auto" w:fill="auto"/>
            <w:vAlign w:val="center"/>
          </w:tcPr>
          <w:p w:rsidR="00597370" w:rsidRDefault="00597370">
            <w:pPr>
              <w:jc w:val="center"/>
              <w:rPr>
                <w:color w:val="000000" w:themeColor="text1"/>
              </w:rPr>
            </w:pPr>
          </w:p>
        </w:tc>
      </w:tr>
      <w:tr w:rsidR="00597370">
        <w:trPr>
          <w:trHeight w:val="397"/>
          <w:jc w:val="center"/>
        </w:trPr>
        <w:sdt>
          <w:sdtPr>
            <w:rPr>
              <w:color w:val="000000" w:themeColor="text1"/>
            </w:rPr>
            <w:tag w:val="_PLD_8204b6b48bf546e3af5babc667d4c84c"/>
            <w:id w:val="-1426564847"/>
          </w:sdtPr>
          <w:sdtEnd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一、合营企业</w:t>
                </w:r>
              </w:p>
            </w:tc>
          </w:sdtContent>
        </w:sdt>
      </w:tr>
      <w:tr w:rsidR="00597370">
        <w:trPr>
          <w:trHeight w:val="397"/>
          <w:jc w:val="center"/>
        </w:trPr>
        <w:tc>
          <w:tcPr>
            <w:tcW w:w="434"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pStyle w:val="Style106"/>
            </w:pP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70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r>
      <w:tr w:rsidR="00597370">
        <w:trPr>
          <w:trHeight w:val="397"/>
          <w:jc w:val="center"/>
        </w:trPr>
        <w:tc>
          <w:tcPr>
            <w:tcW w:w="434"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pStyle w:val="Style106"/>
            </w:pP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70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r>
      <w:tr w:rsidR="00597370">
        <w:trPr>
          <w:trHeight w:val="397"/>
          <w:jc w:val="center"/>
        </w:trPr>
        <w:tc>
          <w:tcPr>
            <w:tcW w:w="43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both"/>
              <w:rPr>
                <w:color w:val="000000" w:themeColor="text1"/>
              </w:rPr>
            </w:pPr>
            <w:r>
              <w:rPr>
                <w:rFonts w:hint="eastAsia"/>
                <w:color w:val="000000" w:themeColor="text1"/>
              </w:rPr>
              <w:t>小计</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70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r>
      <w:tr w:rsidR="00597370">
        <w:trPr>
          <w:trHeight w:val="397"/>
          <w:jc w:val="center"/>
        </w:trPr>
        <w:sdt>
          <w:sdtPr>
            <w:rPr>
              <w:color w:val="000000" w:themeColor="text1"/>
            </w:rPr>
            <w:tag w:val="_PLD_0b6a8ff5b8594d3fa9d53755249b815f"/>
            <w:id w:val="981282084"/>
          </w:sdtPr>
          <w:sdtEnd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both"/>
                  <w:rPr>
                    <w:color w:val="000000" w:themeColor="text1"/>
                  </w:rPr>
                </w:pPr>
                <w:r>
                  <w:rPr>
                    <w:rFonts w:hint="eastAsia"/>
                    <w:color w:val="000000" w:themeColor="text1"/>
                  </w:rPr>
                  <w:t>二、联营企业</w:t>
                </w:r>
              </w:p>
            </w:tc>
          </w:sdtContent>
        </w:sdt>
      </w:tr>
      <w:tr w:rsidR="00597370">
        <w:trPr>
          <w:trHeight w:val="397"/>
          <w:jc w:val="center"/>
        </w:trPr>
        <w:tc>
          <w:tcPr>
            <w:tcW w:w="43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both"/>
            </w:pPr>
            <w:r>
              <w:rPr>
                <w:rFonts w:hint="eastAsia"/>
              </w:rPr>
              <w:t>重庆能投长寿经开区售电有限公司</w:t>
            </w:r>
          </w:p>
        </w:tc>
        <w:tc>
          <w:tcPr>
            <w:tcW w:w="794"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15,534,673.57</w:t>
            </w:r>
          </w:p>
        </w:tc>
        <w:tc>
          <w:tcPr>
            <w:tcW w:w="30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616"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-74,502.67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30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70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15,460,170.90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r>
      <w:tr w:rsidR="00597370">
        <w:trPr>
          <w:trHeight w:val="397"/>
          <w:jc w:val="center"/>
        </w:trPr>
        <w:tc>
          <w:tcPr>
            <w:tcW w:w="43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both"/>
              <w:rPr>
                <w:color w:val="000000" w:themeColor="text1"/>
              </w:rPr>
            </w:pPr>
            <w:r>
              <w:rPr>
                <w:rFonts w:hint="eastAsia"/>
                <w:color w:val="000000" w:themeColor="text1"/>
              </w:rPr>
              <w:t>小计</w:t>
            </w:r>
          </w:p>
        </w:tc>
        <w:tc>
          <w:tcPr>
            <w:tcW w:w="794"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15,534,673.57</w:t>
            </w:r>
          </w:p>
        </w:tc>
        <w:tc>
          <w:tcPr>
            <w:tcW w:w="30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616"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-74,502.67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30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70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15,460,170.90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r>
      <w:tr w:rsidR="00597370">
        <w:trPr>
          <w:trHeight w:val="397"/>
          <w:jc w:val="center"/>
        </w:trPr>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794"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15,534,673.57</w:t>
            </w:r>
          </w:p>
        </w:tc>
        <w:tc>
          <w:tcPr>
            <w:tcW w:w="30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616"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-74,502.67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30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c>
          <w:tcPr>
            <w:tcW w:w="70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rPr>
                <w:sz w:val="18"/>
                <w:szCs w:val="18"/>
              </w:rPr>
            </w:pPr>
            <w:r>
              <w:rPr>
                <w:sz w:val="18"/>
                <w:szCs w:val="18"/>
              </w:rPr>
              <w:t>15,460,170.90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rPr>
                <w:sz w:val="18"/>
                <w:szCs w:val="18"/>
              </w:rPr>
            </w:pPr>
          </w:p>
        </w:tc>
      </w:tr>
    </w:tbl>
    <w:p w:rsidR="00597370" w:rsidRDefault="00597370">
      <w:pPr>
        <w:rPr>
          <w:color w:val="000000" w:themeColor="text1"/>
        </w:rPr>
      </w:pPr>
    </w:p>
    <w:p w:rsidR="00597370" w:rsidRDefault="003C2EEE">
      <w:pPr>
        <w:pStyle w:val="Style110"/>
        <w:numPr>
          <w:ilvl w:val="0"/>
          <w:numId w:val="61"/>
        </w:numPr>
        <w:ind w:left="425" w:hanging="425"/>
        <w:rPr>
          <w:color w:val="000000" w:themeColor="text1"/>
        </w:rPr>
      </w:pPr>
      <w:bookmarkStart w:id="265" w:name="_Hlk167893542"/>
      <w:bookmarkStart w:id="266" w:name="_Hlk169008665"/>
      <w:bookmarkEnd w:id="264"/>
      <w:r>
        <w:rPr>
          <w:rFonts w:hint="eastAsia"/>
          <w:color w:val="000000" w:themeColor="text1"/>
        </w:rPr>
        <w:t>长期股权投资的减值测试情况</w:t>
      </w:r>
    </w:p>
    <w:sdt>
      <w:sdtPr>
        <w:rPr>
          <w:color w:val="000000" w:themeColor="text1"/>
        </w:rPr>
        <w:alias w:val="是否适用：减值测试情况[双击切换]"/>
        <w:tag w:val="_GBC_c736c8a0ce06478bb4d52ef30b7043c8"/>
        <w:id w:val="43302280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65"/>
    <w:p w:rsidR="00597370" w:rsidRDefault="003C2EEE">
      <w:pPr>
        <w:snapToGrid w:val="0"/>
        <w:spacing w:line="240" w:lineRule="atLeast"/>
        <w:rPr>
          <w:color w:val="000000" w:themeColor="text1"/>
        </w:rPr>
      </w:pPr>
      <w:r>
        <w:rPr>
          <w:rFonts w:hint="eastAsia"/>
          <w:color w:val="000000" w:themeColor="text1"/>
        </w:rPr>
        <w:t>其他说明</w:t>
      </w:r>
    </w:p>
    <w:p w:rsidR="00597370" w:rsidRDefault="006840ED">
      <w:pPr>
        <w:snapToGrid w:val="0"/>
        <w:spacing w:line="240" w:lineRule="atLeast"/>
        <w:rPr>
          <w:color w:val="000000" w:themeColor="text1"/>
        </w:rPr>
      </w:pPr>
      <w:sdt>
        <w:sdtPr>
          <w:rPr>
            <w:color w:val="000000" w:themeColor="text1"/>
          </w:rPr>
          <w:alias w:val="长期股票投资的说明"/>
          <w:tag w:val="_GBC_de8cfc4ca45d42b88f7513c93a853186"/>
          <w:id w:val="-834914255"/>
          <w:placeholder>
            <w:docPart w:val="GBC22222222222222222222222222222"/>
          </w:placeholder>
        </w:sdtPr>
        <w:sdtEndPr/>
        <w:sdtContent>
          <w:r w:rsidR="003C2EEE">
            <w:rPr>
              <w:rFonts w:hint="eastAsia"/>
              <w:color w:val="000000" w:themeColor="text1"/>
            </w:rPr>
            <w:t>无</w:t>
          </w:r>
        </w:sdtContent>
      </w:sdt>
    </w:p>
    <w:bookmarkEnd w:id="266"/>
    <w:p w:rsidR="00597370" w:rsidRDefault="00597370">
      <w:pPr>
        <w:rPr>
          <w:color w:val="000000" w:themeColor="text1"/>
        </w:rPr>
        <w:sectPr w:rsidR="00597370">
          <w:pgSz w:w="11906" w:h="16838"/>
          <w:pgMar w:top="1525" w:right="1276" w:bottom="1440" w:left="1797" w:header="856" w:footer="992" w:gutter="0"/>
          <w:cols w:space="425"/>
          <w:docGrid w:linePitch="312"/>
        </w:sectPr>
      </w:pPr>
    </w:p>
    <w:p w:rsidR="00597370" w:rsidRDefault="003C2EEE">
      <w:pPr>
        <w:pStyle w:val="5"/>
        <w:ind w:left="105"/>
        <w:rPr>
          <w:color w:val="000000" w:themeColor="text1"/>
        </w:rPr>
      </w:pPr>
      <w:r>
        <w:rPr>
          <w:rFonts w:hint="eastAsia"/>
          <w:color w:val="000000" w:themeColor="text1"/>
        </w:rPr>
        <w:lastRenderedPageBreak/>
        <w:t>可收回金额按公允价值减去处置费用后的净额确定</w:t>
      </w:r>
    </w:p>
    <w:sdt>
      <w:sdtPr>
        <w:rPr>
          <w:color w:val="000000" w:themeColor="text1"/>
        </w:rPr>
        <w:alias w:val="是否适用：可收回金额按公允价值减去处置费用后的净额确定[双击切换]"/>
        <w:tag w:val="_GBC_9855e8f7f8394b67923cbb704b7b2339"/>
        <w:id w:val="18356161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d76d4c17dbb74f46b3e49fab1edc4b82"/>
        <w:id w:val="-179744181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f8008f0a008642c7bd566634ca7f5bf5"/>
        <w:id w:val="124908204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7f66627a545542a19d68206b3e819aad"/>
        <w:id w:val="-111967997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bookmarkStart w:id="267" w:name="_Hlk167893618"/>
      <w:r>
        <w:rPr>
          <w:rFonts w:hint="eastAsia"/>
          <w:color w:val="000000" w:themeColor="text1"/>
        </w:rPr>
        <w:t>其他说明</w:t>
      </w:r>
    </w:p>
    <w:p w:rsidR="00597370" w:rsidRDefault="006840ED">
      <w:pPr>
        <w:snapToGrid w:val="0"/>
        <w:spacing w:line="240" w:lineRule="atLeast"/>
        <w:rPr>
          <w:color w:val="000000" w:themeColor="text1"/>
        </w:rPr>
      </w:pPr>
      <w:sdt>
        <w:sdtPr>
          <w:rPr>
            <w:color w:val="000000" w:themeColor="text1"/>
          </w:rPr>
          <w:alias w:val="长期股票投资的说明"/>
          <w:tag w:val="_GBC_de8cfc4ca45d42b88f7513c93a853186"/>
          <w:id w:val="-327910086"/>
          <w:placeholder>
            <w:docPart w:val="GBC22222222222222222222222222222"/>
          </w:placeholder>
        </w:sdtPr>
        <w:sdtEndPr/>
        <w:sdtContent>
          <w:r w:rsidR="003C2EEE">
            <w:rPr>
              <w:rFonts w:hint="eastAsia"/>
              <w:color w:val="000000" w:themeColor="text1"/>
            </w:rPr>
            <w:t>无</w:t>
          </w:r>
        </w:sdtContent>
      </w:sdt>
    </w:p>
    <w:p w:rsidR="00597370" w:rsidRDefault="00597370">
      <w:pPr>
        <w:rPr>
          <w:color w:val="000000" w:themeColor="text1"/>
        </w:rPr>
      </w:pPr>
    </w:p>
    <w:bookmarkEnd w:id="267"/>
    <w:p w:rsidR="00597370" w:rsidRDefault="00597370">
      <w:pPr>
        <w:rPr>
          <w:color w:val="000000" w:themeColor="text1"/>
        </w:rPr>
      </w:pPr>
    </w:p>
    <w:p w:rsidR="00597370" w:rsidRDefault="00597370">
      <w:pPr>
        <w:rPr>
          <w:color w:val="000000" w:themeColor="text1"/>
        </w:rPr>
        <w:sectPr w:rsidR="00597370">
          <w:pgSz w:w="11906" w:h="16838"/>
          <w:pgMar w:top="1525" w:right="1276" w:bottom="1440" w:left="1797" w:header="856" w:footer="992" w:gutter="0"/>
          <w:cols w:space="425"/>
          <w:docGrid w:linePitch="312"/>
        </w:sectPr>
      </w:pPr>
    </w:p>
    <w:p w:rsidR="00597370" w:rsidRDefault="003C2EEE">
      <w:pPr>
        <w:pStyle w:val="Style109"/>
        <w:numPr>
          <w:ilvl w:val="0"/>
          <w:numId w:val="46"/>
        </w:numPr>
        <w:tabs>
          <w:tab w:val="left" w:pos="504"/>
        </w:tabs>
        <w:rPr>
          <w:color w:val="000000" w:themeColor="text1"/>
          <w:szCs w:val="21"/>
        </w:rPr>
      </w:pPr>
      <w:bookmarkStart w:id="268" w:name="_Hlk152858292"/>
      <w:bookmarkStart w:id="269" w:name="_Hlk167895169"/>
      <w:bookmarkStart w:id="270" w:name="_Hlk533409702"/>
      <w:r>
        <w:rPr>
          <w:rFonts w:hint="eastAsia"/>
          <w:color w:val="000000" w:themeColor="text1"/>
          <w:szCs w:val="21"/>
        </w:rPr>
        <w:lastRenderedPageBreak/>
        <w:t>其他权益工具投资</w:t>
      </w:r>
    </w:p>
    <w:p w:rsidR="00597370" w:rsidRDefault="003C2EEE">
      <w:pPr>
        <w:pStyle w:val="Style110"/>
        <w:numPr>
          <w:ilvl w:val="3"/>
          <w:numId w:val="62"/>
        </w:numPr>
        <w:ind w:left="426" w:hanging="426"/>
        <w:rPr>
          <w:color w:val="000000" w:themeColor="text1"/>
        </w:rPr>
      </w:pPr>
      <w:bookmarkStart w:id="271" w:name="_Hlk532994936"/>
      <w:r>
        <w:rPr>
          <w:rFonts w:hint="eastAsia"/>
          <w:color w:val="000000" w:themeColor="text1"/>
        </w:rPr>
        <w:t>其他权益工具投资情况</w:t>
      </w:r>
    </w:p>
    <w:sdt>
      <w:sdtPr>
        <w:rPr>
          <w:color w:val="000000" w:themeColor="text1"/>
        </w:rPr>
        <w:alias w:val="是否适用：其他权益工具投资情况[双击切换]"/>
        <w:tag w:val="_GBC_ac87b47cf70d4820a1189b53bf53af73"/>
        <w:id w:val="191141889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其他权益工具投资情况"/>
          <w:tag w:val="_GBC_9bbc2bc262694a308c04bf4f25e3f1bb"/>
          <w:id w:val="5650038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其他权益工具投资情况"/>
          <w:tag w:val="_GBC_c944479021b54a639f17a7b9d298ba98"/>
          <w:id w:val="14972247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973"/>
        <w:gridCol w:w="979"/>
        <w:gridCol w:w="840"/>
        <w:gridCol w:w="1476"/>
        <w:gridCol w:w="1009"/>
        <w:gridCol w:w="1583"/>
        <w:gridCol w:w="1581"/>
        <w:gridCol w:w="959"/>
        <w:gridCol w:w="1476"/>
        <w:gridCol w:w="959"/>
        <w:gridCol w:w="954"/>
      </w:tblGrid>
      <w:tr w:rsidR="00597370">
        <w:bookmarkEnd w:id="270" w:displacedByCustomXml="next"/>
        <w:bookmarkEnd w:id="271" w:displacedByCustomXml="next"/>
        <w:sdt>
          <w:sdtPr>
            <w:rPr>
              <w:rFonts w:hint="eastAsia"/>
              <w:color w:val="000000" w:themeColor="text1"/>
            </w:rPr>
            <w:tag w:val="_PLD_3daf209c1b064e4980c71e7ae45806a6"/>
            <w:id w:val="-37359542"/>
          </w:sdtPr>
          <w:sdtEndPr/>
          <w:sdtContent>
            <w:tc>
              <w:tcPr>
                <w:tcW w:w="387"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rFonts w:hint="eastAsia"/>
              <w:color w:val="000000" w:themeColor="text1"/>
            </w:rPr>
            <w:tag w:val="_PLD_1d20fa0d77b4406390305b87a75671b0"/>
            <w:id w:val="-954944480"/>
          </w:sdtPr>
          <w:sdtEndPr/>
          <w:sdtContent>
            <w:tc>
              <w:tcPr>
                <w:tcW w:w="351"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期初</w:t>
                </w:r>
              </w:p>
              <w:p w:rsidR="00597370" w:rsidRDefault="003C2EEE">
                <w:pPr>
                  <w:jc w:val="center"/>
                  <w:rPr>
                    <w:color w:val="000000" w:themeColor="text1"/>
                  </w:rPr>
                </w:pPr>
                <w:r>
                  <w:rPr>
                    <w:rFonts w:hint="eastAsia"/>
                    <w:color w:val="000000" w:themeColor="text1"/>
                  </w:rPr>
                  <w:t>余额</w:t>
                </w:r>
              </w:p>
            </w:tc>
          </w:sdtContent>
        </w:sdt>
        <w:sdt>
          <w:sdtPr>
            <w:rPr>
              <w:rFonts w:hint="eastAsia"/>
              <w:color w:val="000000" w:themeColor="text1"/>
            </w:rPr>
            <w:tag w:val="_PLD_6a633ba000d144cb8770931370381fa1"/>
            <w:id w:val="-1804080742"/>
          </w:sdtPr>
          <w:sdtEndPr/>
          <w:sdtContent>
            <w:tc>
              <w:tcPr>
                <w:tcW w:w="2123"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本期增减变动</w:t>
                </w:r>
              </w:p>
            </w:tc>
          </w:sdtContent>
        </w:sdt>
        <w:sdt>
          <w:sdtPr>
            <w:rPr>
              <w:rFonts w:hint="eastAsia"/>
              <w:color w:val="000000" w:themeColor="text1"/>
            </w:rPr>
            <w:tag w:val="_PLD_d9fc41afb57d40a5826584d39a74e53d"/>
            <w:id w:val="848138117"/>
          </w:sdtPr>
          <w:sdtEndPr/>
          <w:sdtContent>
            <w:tc>
              <w:tcPr>
                <w:tcW w:w="570"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期末</w:t>
                </w:r>
              </w:p>
              <w:p w:rsidR="00597370" w:rsidRDefault="003C2EEE">
                <w:pPr>
                  <w:jc w:val="center"/>
                  <w:rPr>
                    <w:color w:val="000000" w:themeColor="text1"/>
                  </w:rPr>
                </w:pPr>
                <w:r>
                  <w:rPr>
                    <w:rFonts w:hint="eastAsia"/>
                    <w:color w:val="000000" w:themeColor="text1"/>
                  </w:rPr>
                  <w:t>余额</w:t>
                </w:r>
              </w:p>
            </w:tc>
          </w:sdtContent>
        </w:sdt>
        <w:sdt>
          <w:sdtPr>
            <w:rPr>
              <w:rFonts w:hint="eastAsia"/>
              <w:color w:val="000000" w:themeColor="text1"/>
            </w:rPr>
            <w:tag w:val="_PLD_b3500e3451724262a7eb38ac2709c54a"/>
            <w:id w:val="1301573860"/>
          </w:sdtPr>
          <w:sdtEndPr/>
          <w:sdtContent>
            <w:tc>
              <w:tcPr>
                <w:tcW w:w="346"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本期确认的股利收入</w:t>
                </w:r>
              </w:p>
            </w:tc>
          </w:sdtContent>
        </w:sdt>
        <w:sdt>
          <w:sdtPr>
            <w:rPr>
              <w:rFonts w:hint="eastAsia"/>
              <w:color w:val="000000" w:themeColor="text1"/>
            </w:rPr>
            <w:tag w:val="_PLD_d94045f5a1cb4092aa594c265a146180"/>
            <w:id w:val="702214784"/>
          </w:sdtPr>
          <w:sdtEndPr/>
          <w:sdtContent>
            <w:tc>
              <w:tcPr>
                <w:tcW w:w="532"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累计计入其他综合收益的利得</w:t>
                </w:r>
              </w:p>
            </w:tc>
          </w:sdtContent>
        </w:sdt>
        <w:sdt>
          <w:sdtPr>
            <w:rPr>
              <w:rFonts w:hint="eastAsia"/>
              <w:color w:val="000000" w:themeColor="text1"/>
            </w:rPr>
            <w:tag w:val="_PLD_5f0ce8d1a2e4468abbf27c5755f10b41"/>
            <w:id w:val="2050333673"/>
          </w:sdtPr>
          <w:sdtEndPr/>
          <w:sdtContent>
            <w:tc>
              <w:tcPr>
                <w:tcW w:w="346"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累计计入其他综合收益的损失</w:t>
                </w:r>
              </w:p>
            </w:tc>
          </w:sdtContent>
        </w:sdt>
        <w:sdt>
          <w:sdtPr>
            <w:rPr>
              <w:rFonts w:hint="eastAsia"/>
              <w:color w:val="000000" w:themeColor="text1"/>
            </w:rPr>
            <w:tag w:val="_PLD_30dbafaa8a8b420cb3406f22958c59c0"/>
            <w:id w:val="-2010519474"/>
          </w:sdtPr>
          <w:sdtEndPr/>
          <w:sdtContent>
            <w:tc>
              <w:tcPr>
                <w:tcW w:w="344"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指定为以公允价值计量且其变动计入其他综合收益的原因</w:t>
                </w:r>
              </w:p>
            </w:tc>
          </w:sdtContent>
        </w:sdt>
      </w:tr>
      <w:tr w:rsidR="00597370">
        <w:tc>
          <w:tcPr>
            <w:tcW w:w="387" w:type="pct"/>
            <w:vMerge/>
            <w:tcBorders>
              <w:left w:val="single" w:sz="4" w:space="0" w:color="auto"/>
              <w:bottom w:val="single" w:sz="4" w:space="0" w:color="auto"/>
              <w:right w:val="single" w:sz="4" w:space="0" w:color="auto"/>
            </w:tcBorders>
            <w:shd w:val="clear" w:color="auto" w:fill="auto"/>
          </w:tcPr>
          <w:p w:rsidR="00597370" w:rsidRDefault="00597370">
            <w:pPr>
              <w:jc w:val="center"/>
              <w:rPr>
                <w:color w:val="000000" w:themeColor="text1"/>
              </w:rPr>
            </w:pPr>
          </w:p>
        </w:tc>
        <w:tc>
          <w:tcPr>
            <w:tcW w:w="351" w:type="pct"/>
            <w:vMerge/>
            <w:tcBorders>
              <w:left w:val="single" w:sz="4" w:space="0" w:color="auto"/>
              <w:bottom w:val="single" w:sz="4" w:space="0" w:color="auto"/>
              <w:right w:val="single" w:sz="4" w:space="0" w:color="auto"/>
            </w:tcBorders>
            <w:shd w:val="clear" w:color="auto" w:fill="auto"/>
          </w:tcPr>
          <w:p w:rsidR="00597370" w:rsidRDefault="00597370">
            <w:pPr>
              <w:jc w:val="center"/>
              <w:rPr>
                <w:color w:val="000000" w:themeColor="text1"/>
              </w:rPr>
            </w:pPr>
          </w:p>
        </w:tc>
        <w:sdt>
          <w:sdtPr>
            <w:rPr>
              <w:rFonts w:hint="eastAsia"/>
              <w:color w:val="000000" w:themeColor="text1"/>
            </w:rPr>
            <w:tag w:val="_PLD_7fb134b102ea4ac69df08b1a4af24780"/>
            <w:id w:val="1632741374"/>
          </w:sdtPr>
          <w:sdtEndPr/>
          <w:sdtContent>
            <w:tc>
              <w:tcPr>
                <w:tcW w:w="35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追加投资</w:t>
                </w:r>
              </w:p>
            </w:tc>
          </w:sdtContent>
        </w:sdt>
        <w:sdt>
          <w:sdtPr>
            <w:rPr>
              <w:rFonts w:hint="eastAsia"/>
              <w:color w:val="000000" w:themeColor="text1"/>
            </w:rPr>
            <w:tag w:val="_PLD_a5097fcdb0644572a784e139d5bc86f5"/>
            <w:id w:val="463163079"/>
          </w:sdtPr>
          <w:sdtEndPr/>
          <w:sdtContent>
            <w:tc>
              <w:tcPr>
                <w:tcW w:w="30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减少投资</w:t>
                </w:r>
              </w:p>
            </w:tc>
          </w:sdtContent>
        </w:sdt>
        <w:sdt>
          <w:sdtPr>
            <w:rPr>
              <w:rFonts w:hint="eastAsia"/>
              <w:color w:val="000000" w:themeColor="text1"/>
            </w:rPr>
            <w:tag w:val="_PLD_500aaf3ba85d422e91cb8bed768593ce"/>
            <w:id w:val="-2036259535"/>
          </w:sdtPr>
          <w:sdtEndPr/>
          <w:sdtContent>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本期计入其他综合收益的利得</w:t>
                </w:r>
              </w:p>
            </w:tc>
          </w:sdtContent>
        </w:sdt>
        <w:sdt>
          <w:sdtPr>
            <w:rPr>
              <w:rFonts w:hint="eastAsia"/>
              <w:color w:val="000000" w:themeColor="text1"/>
            </w:rPr>
            <w:tag w:val="_PLD_9451af532fa54486a8ab06976fcedd26"/>
            <w:id w:val="468870719"/>
          </w:sdtPr>
          <w:sdtEndPr/>
          <w:sdtContent>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本期计入其他综合收益的损失</w:t>
                </w:r>
              </w:p>
            </w:tc>
          </w:sdtContent>
        </w:sdt>
        <w:sdt>
          <w:sdtPr>
            <w:rPr>
              <w:rFonts w:hint="eastAsia"/>
              <w:color w:val="000000" w:themeColor="text1"/>
            </w:rPr>
            <w:tag w:val="_PLD_99beff4095cd487eb9318f7cff078d10"/>
            <w:id w:val="-366983834"/>
          </w:sdtPr>
          <w:sdtEndPr/>
          <w:sdtContent>
            <w:tc>
              <w:tcPr>
                <w:tcW w:w="570" w:type="pct"/>
                <w:tcBorders>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合并范围增加</w:t>
                </w:r>
              </w:p>
            </w:tc>
          </w:sdtContent>
        </w:sdt>
        <w:tc>
          <w:tcPr>
            <w:tcW w:w="570" w:type="pct"/>
            <w:vMerge/>
            <w:tcBorders>
              <w:left w:val="single" w:sz="4" w:space="0" w:color="auto"/>
              <w:bottom w:val="single" w:sz="4" w:space="0" w:color="auto"/>
              <w:right w:val="single" w:sz="4" w:space="0" w:color="auto"/>
            </w:tcBorders>
            <w:shd w:val="clear" w:color="auto" w:fill="auto"/>
            <w:vAlign w:val="center"/>
          </w:tcPr>
          <w:p w:rsidR="00597370" w:rsidRDefault="00597370">
            <w:pPr>
              <w:jc w:val="center"/>
              <w:rPr>
                <w:color w:val="000000" w:themeColor="text1"/>
              </w:rPr>
            </w:pPr>
          </w:p>
        </w:tc>
        <w:tc>
          <w:tcPr>
            <w:tcW w:w="346" w:type="pct"/>
            <w:vMerge/>
            <w:tcBorders>
              <w:left w:val="single" w:sz="4" w:space="0" w:color="auto"/>
              <w:bottom w:val="single" w:sz="4" w:space="0" w:color="auto"/>
              <w:right w:val="single" w:sz="4" w:space="0" w:color="auto"/>
            </w:tcBorders>
          </w:tcPr>
          <w:p w:rsidR="00597370" w:rsidRDefault="00597370">
            <w:pPr>
              <w:jc w:val="center"/>
              <w:rPr>
                <w:color w:val="000000" w:themeColor="text1"/>
              </w:rPr>
            </w:pPr>
          </w:p>
        </w:tc>
        <w:tc>
          <w:tcPr>
            <w:tcW w:w="532" w:type="pct"/>
            <w:vMerge/>
            <w:tcBorders>
              <w:left w:val="single" w:sz="4" w:space="0" w:color="auto"/>
              <w:bottom w:val="single" w:sz="4" w:space="0" w:color="auto"/>
              <w:right w:val="single" w:sz="4" w:space="0" w:color="auto"/>
            </w:tcBorders>
          </w:tcPr>
          <w:p w:rsidR="00597370" w:rsidRDefault="00597370">
            <w:pPr>
              <w:jc w:val="center"/>
              <w:rPr>
                <w:color w:val="000000" w:themeColor="text1"/>
              </w:rPr>
            </w:pPr>
          </w:p>
        </w:tc>
        <w:tc>
          <w:tcPr>
            <w:tcW w:w="346" w:type="pct"/>
            <w:vMerge/>
            <w:tcBorders>
              <w:left w:val="single" w:sz="4" w:space="0" w:color="auto"/>
              <w:bottom w:val="single" w:sz="4" w:space="0" w:color="auto"/>
              <w:right w:val="single" w:sz="4" w:space="0" w:color="auto"/>
            </w:tcBorders>
          </w:tcPr>
          <w:p w:rsidR="00597370" w:rsidRDefault="00597370">
            <w:pPr>
              <w:jc w:val="center"/>
              <w:rPr>
                <w:color w:val="000000" w:themeColor="text1"/>
              </w:rPr>
            </w:pPr>
          </w:p>
        </w:tc>
        <w:tc>
          <w:tcPr>
            <w:tcW w:w="344" w:type="pct"/>
            <w:vMerge/>
            <w:tcBorders>
              <w:left w:val="single" w:sz="4" w:space="0" w:color="auto"/>
              <w:bottom w:val="single" w:sz="4" w:space="0" w:color="auto"/>
              <w:right w:val="single" w:sz="4" w:space="0" w:color="auto"/>
            </w:tcBorders>
            <w:shd w:val="clear" w:color="auto" w:fill="auto"/>
            <w:vAlign w:val="center"/>
          </w:tcPr>
          <w:p w:rsidR="00597370" w:rsidRDefault="00597370">
            <w:pPr>
              <w:jc w:val="center"/>
              <w:rPr>
                <w:color w:val="000000" w:themeColor="text1"/>
              </w:rPr>
            </w:pPr>
          </w:p>
        </w:tc>
      </w:tr>
      <w:tr w:rsidR="00597370">
        <w:tc>
          <w:tcPr>
            <w:tcW w:w="387"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pStyle w:val="Style106"/>
            </w:pPr>
            <w:proofErr w:type="gramStart"/>
            <w:r>
              <w:rPr>
                <w:rFonts w:hint="eastAsia"/>
              </w:rPr>
              <w:t>非交易</w:t>
            </w:r>
            <w:proofErr w:type="gramEnd"/>
            <w:r>
              <w:rPr>
                <w:rFonts w:hint="eastAsia"/>
              </w:rPr>
              <w:t>性权益工具投资</w:t>
            </w:r>
            <w:r>
              <w:t>-交通银行股票</w:t>
            </w:r>
          </w:p>
        </w:tc>
        <w:tc>
          <w:tcPr>
            <w:tcW w:w="351"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pPr>
          </w:p>
        </w:tc>
        <w:tc>
          <w:tcPr>
            <w:tcW w:w="35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pPr>
          </w:p>
        </w:tc>
        <w:tc>
          <w:tcPr>
            <w:tcW w:w="30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pP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2,357,100.90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pPr>
          </w:p>
        </w:tc>
        <w:tc>
          <w:tcPr>
            <w:tcW w:w="57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13,224,796.20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15,581,897.10</w:t>
            </w:r>
          </w:p>
        </w:tc>
        <w:tc>
          <w:tcPr>
            <w:tcW w:w="346"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53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2,357,100.90</w:t>
            </w:r>
          </w:p>
        </w:tc>
        <w:tc>
          <w:tcPr>
            <w:tcW w:w="346"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pPr>
          </w:p>
        </w:tc>
        <w:tc>
          <w:tcPr>
            <w:tcW w:w="344"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597370">
            <w:pPr>
              <w:jc w:val="right"/>
            </w:pPr>
          </w:p>
        </w:tc>
      </w:tr>
      <w:tr w:rsidR="00597370">
        <w:trPr>
          <w:trHeight w:val="692"/>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2,357,100.90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pPr>
          </w:p>
        </w:tc>
        <w:tc>
          <w:tcPr>
            <w:tcW w:w="57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13,224,796.20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15,581,897.10</w:t>
            </w:r>
          </w:p>
        </w:tc>
        <w:tc>
          <w:tcPr>
            <w:tcW w:w="346"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53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2,357,100.90</w:t>
            </w:r>
          </w:p>
        </w:tc>
        <w:tc>
          <w:tcPr>
            <w:tcW w:w="34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34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w:t>
            </w:r>
          </w:p>
        </w:tc>
      </w:tr>
    </w:tbl>
    <w:p w:rsidR="00597370" w:rsidRDefault="00597370">
      <w:pPr>
        <w:pStyle w:val="Style158"/>
        <w:ind w:firstLineChars="0" w:firstLine="0"/>
        <w:rPr>
          <w:color w:val="000000" w:themeColor="text1"/>
        </w:rPr>
      </w:pPr>
    </w:p>
    <w:bookmarkEnd w:id="268"/>
    <w:p w:rsidR="00597370" w:rsidRDefault="003C2EEE">
      <w:pPr>
        <w:pStyle w:val="Style110"/>
        <w:numPr>
          <w:ilvl w:val="3"/>
          <w:numId w:val="62"/>
        </w:numPr>
        <w:ind w:left="426" w:hanging="426"/>
        <w:rPr>
          <w:color w:val="000000" w:themeColor="text1"/>
        </w:rPr>
      </w:pPr>
      <w:r>
        <w:rPr>
          <w:rFonts w:hint="eastAsia"/>
          <w:color w:val="000000" w:themeColor="text1"/>
        </w:rPr>
        <w:t>本期存在终止确认的情况说明</w:t>
      </w:r>
    </w:p>
    <w:sdt>
      <w:sdtPr>
        <w:rPr>
          <w:color w:val="000000" w:themeColor="text1"/>
        </w:rPr>
        <w:alias w:val="是否适用：本期存在终止确认的情况说明[双击切换]"/>
        <w:tag w:val="_GBC_db77b2aaae65441d940bf2dc3b0e8b9b"/>
        <w:id w:val="-167902737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272" w:name="_Hlk10472110"/>
      <w:bookmarkStart w:id="273" w:name="_Hlk10472118"/>
      <w:bookmarkEnd w:id="269"/>
      <w:r>
        <w:rPr>
          <w:rFonts w:hint="eastAsia"/>
          <w:color w:val="000000" w:themeColor="text1"/>
        </w:rPr>
        <w:t>其他</w:t>
      </w:r>
      <w:r>
        <w:rPr>
          <w:color w:val="000000" w:themeColor="text1"/>
        </w:rPr>
        <w:t>说明</w:t>
      </w:r>
      <w:r>
        <w:rPr>
          <w:rFonts w:hint="eastAsia"/>
          <w:color w:val="000000" w:themeColor="text1"/>
        </w:rPr>
        <w:t>：</w:t>
      </w:r>
      <w:bookmarkEnd w:id="272"/>
    </w:p>
    <w:sdt>
      <w:sdtPr>
        <w:rPr>
          <w:color w:val="000000" w:themeColor="text1"/>
        </w:rPr>
        <w:alias w:val="是否适用：其他权益工具投资其他说明[双击切换]"/>
        <w:tag w:val="_GBC_9bd79d8d324a4f4c984344781e18ee35"/>
        <w:id w:val="1867255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73"/>
    <w:p w:rsidR="00597370" w:rsidRDefault="00597370">
      <w:pPr>
        <w:rPr>
          <w:color w:val="000000" w:themeColor="text1"/>
        </w:rPr>
      </w:pPr>
    </w:p>
    <w:p w:rsidR="00597370" w:rsidRDefault="00597370">
      <w:pPr>
        <w:rPr>
          <w:color w:val="000000" w:themeColor="text1"/>
        </w:rPr>
        <w:sectPr w:rsidR="00597370">
          <w:pgSz w:w="16838" w:h="11906" w:orient="landscape"/>
          <w:pgMar w:top="1797" w:right="1525" w:bottom="1276" w:left="1440" w:header="856" w:footer="992" w:gutter="0"/>
          <w:cols w:space="425"/>
          <w:docGrid w:linePitch="312"/>
        </w:sectPr>
      </w:pPr>
    </w:p>
    <w:p w:rsidR="00597370" w:rsidRDefault="003C2EEE">
      <w:pPr>
        <w:pStyle w:val="Style109"/>
        <w:numPr>
          <w:ilvl w:val="0"/>
          <w:numId w:val="46"/>
        </w:numPr>
        <w:tabs>
          <w:tab w:val="left" w:pos="504"/>
        </w:tabs>
        <w:rPr>
          <w:rFonts w:ascii="宋体" w:hAnsi="宋体"/>
          <w:color w:val="000000" w:themeColor="text1"/>
          <w:szCs w:val="21"/>
        </w:rPr>
      </w:pPr>
      <w:bookmarkStart w:id="274" w:name="_Hlk10472259"/>
      <w:r>
        <w:rPr>
          <w:rFonts w:ascii="宋体" w:hAnsi="宋体" w:hint="eastAsia"/>
          <w:color w:val="000000" w:themeColor="text1"/>
          <w:szCs w:val="21"/>
        </w:rPr>
        <w:lastRenderedPageBreak/>
        <w:t>其他非流动金融资产</w:t>
      </w:r>
    </w:p>
    <w:sdt>
      <w:sdtPr>
        <w:rPr>
          <w:color w:val="000000" w:themeColor="text1"/>
        </w:rPr>
        <w:alias w:val="是否适用：其他非流动金融资产[双击切换]"/>
        <w:tag w:val="_GBC_39a16d6030db4b008bd8e70705c49dd5"/>
        <w:id w:val="18790368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74"/>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投资性房地产</w:t>
      </w:r>
    </w:p>
    <w:p w:rsidR="00597370" w:rsidRDefault="003C2EEE">
      <w:pPr>
        <w:rPr>
          <w:color w:val="000000" w:themeColor="text1"/>
        </w:rPr>
      </w:pPr>
      <w:r>
        <w:rPr>
          <w:color w:val="000000" w:themeColor="text1"/>
        </w:rPr>
        <w:t>投资性房地产</w:t>
      </w:r>
      <w:r>
        <w:rPr>
          <w:rFonts w:hint="eastAsia"/>
          <w:color w:val="000000" w:themeColor="text1"/>
        </w:rPr>
        <w:t>计量模式</w:t>
      </w:r>
    </w:p>
    <w:p w:rsidR="00597370" w:rsidRDefault="003C2EEE">
      <w:pPr>
        <w:ind w:right="283"/>
        <w:rPr>
          <w:color w:val="000000" w:themeColor="text1"/>
        </w:rPr>
      </w:pPr>
      <w:r>
        <w:rPr>
          <w:rFonts w:hint="eastAsia"/>
          <w:color w:val="000000" w:themeColor="text1"/>
        </w:rPr>
        <w:t>不</w:t>
      </w:r>
      <w:sdt>
        <w:sdtPr>
          <w:rPr>
            <w:rFonts w:hint="eastAsia"/>
            <w:color w:val="000000" w:themeColor="text1"/>
          </w:rPr>
          <w:tag w:val="_PLD_b96b9a0d652c42729d37043ca500e287"/>
          <w:id w:val="1488901739"/>
          <w:placeholder>
            <w:docPart w:val="GBC22222222222222222222222222222"/>
          </w:placeholder>
        </w:sdtPr>
        <w:sdtEndPr/>
        <w:sdtContent>
          <w:r>
            <w:rPr>
              <w:rFonts w:hint="eastAsia"/>
              <w:color w:val="000000" w:themeColor="text1"/>
            </w:rPr>
            <w:t>适</w:t>
          </w:r>
        </w:sdtContent>
      </w:sdt>
      <w:r>
        <w:rPr>
          <w:rFonts w:hint="eastAsia"/>
          <w:color w:val="000000" w:themeColor="text1"/>
        </w:rPr>
        <w:t>用</w:t>
      </w:r>
    </w:p>
    <w:p w:rsidR="00597370" w:rsidRDefault="003C2EEE">
      <w:pPr>
        <w:pStyle w:val="Style110"/>
        <w:numPr>
          <w:ilvl w:val="0"/>
          <w:numId w:val="63"/>
        </w:numPr>
        <w:tabs>
          <w:tab w:val="left" w:pos="616"/>
        </w:tabs>
        <w:rPr>
          <w:rFonts w:ascii="宋体" w:hAnsi="宋体"/>
          <w:color w:val="000000" w:themeColor="text1"/>
          <w:szCs w:val="21"/>
        </w:rPr>
      </w:pPr>
      <w:bookmarkStart w:id="275" w:name="_Hlk153460290"/>
      <w:bookmarkStart w:id="276" w:name="_Hlk167895351"/>
      <w:r>
        <w:rPr>
          <w:rFonts w:ascii="宋体" w:hAnsi="宋体" w:hint="eastAsia"/>
          <w:color w:val="000000" w:themeColor="text1"/>
          <w:szCs w:val="21"/>
        </w:rPr>
        <w:t>采用成本计量模式的投资性房地产的减值测试情况</w:t>
      </w:r>
    </w:p>
    <w:sdt>
      <w:sdtPr>
        <w:rPr>
          <w:color w:val="000000" w:themeColor="text1"/>
        </w:rPr>
        <w:alias w:val="是否适用：减值测试情况[双击切换]"/>
        <w:tag w:val="_GBC_14e138c3da48491787bccf21877f5a28"/>
        <w:id w:val="55667841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75"/>
    <w:bookmarkEnd w:id="276"/>
    <w:p w:rsidR="00597370" w:rsidRDefault="003C2EEE">
      <w:pPr>
        <w:ind w:leftChars="-21" w:left="-2" w:hangingChars="20" w:hanging="42"/>
        <w:rPr>
          <w:color w:val="000000" w:themeColor="text1"/>
        </w:rPr>
      </w:pPr>
      <w:r>
        <w:rPr>
          <w:rFonts w:hint="eastAsia"/>
          <w:color w:val="000000" w:themeColor="text1"/>
        </w:rPr>
        <w:t>其他说明</w:t>
      </w:r>
    </w:p>
    <w:sdt>
      <w:sdtPr>
        <w:rPr>
          <w:color w:val="000000" w:themeColor="text1"/>
        </w:rPr>
        <w:alias w:val="是否适用：投资性房地产的说明[双击切换]"/>
        <w:tag w:val="_GBC_b8a71f0668054d4690d61665ba8183c0"/>
        <w:id w:val="1293479543"/>
        <w:placeholder>
          <w:docPart w:val="GBC22222222222222222222222222222"/>
        </w:placeholder>
      </w:sdtPr>
      <w:sdtEndPr/>
      <w:sdtContent>
        <w:p w:rsidR="00597370" w:rsidRDefault="003C2EEE">
          <w:pPr>
            <w:rPr>
              <w:rFonts w:cstheme="minorBidi"/>
              <w:color w:val="000000" w:themeColor="text1"/>
              <w:kern w:val="2"/>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bb96c3f80f9c4f2aaf0d4a001a303f01"/>
        <w:id w:val="-142479092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d4e6af0384c24860ac9252e1e23cf92d"/>
        <w:id w:val="125763566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d7d3f0123cf24530ad4dcf756bd4b9bc"/>
        <w:id w:val="193238353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aac791b8cafc41cd990df10cb0a31f3a"/>
        <w:id w:val="-11644863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leftChars="-21" w:left="-2" w:hangingChars="20" w:hanging="42"/>
        <w:rPr>
          <w:color w:val="000000" w:themeColor="text1"/>
        </w:rPr>
      </w:pPr>
      <w:r>
        <w:rPr>
          <w:rFonts w:hint="eastAsia"/>
          <w:color w:val="000000" w:themeColor="text1"/>
        </w:rPr>
        <w:t>其他说明</w:t>
      </w:r>
    </w:p>
    <w:sdt>
      <w:sdtPr>
        <w:rPr>
          <w:color w:val="000000" w:themeColor="text1"/>
        </w:rPr>
        <w:alias w:val="是否适用：投资性房地产的说明[双击切换]"/>
        <w:tag w:val="_GBC_b8a71f0668054d4690d61665ba8183c0"/>
        <w:id w:val="1281603420"/>
        <w:placeholder>
          <w:docPart w:val="GBC22222222222222222222222222222"/>
        </w:placeholder>
      </w:sdtPr>
      <w:sdtEndPr/>
      <w:sdtContent>
        <w:p w:rsidR="00597370" w:rsidRDefault="003C2EEE">
          <w:pPr>
            <w:ind w:leftChars="-21" w:left="-2" w:hangingChars="20" w:hanging="42"/>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6840ED">
      <w:pPr>
        <w:ind w:right="283"/>
        <w:rPr>
          <w:rFonts w:cstheme="minorBidi"/>
          <w:color w:val="000000" w:themeColor="text1"/>
          <w:kern w:val="2"/>
        </w:rPr>
      </w:pPr>
      <w:sdt>
        <w:sdtPr>
          <w:rPr>
            <w:color w:val="000000" w:themeColor="text1"/>
          </w:rPr>
          <w:alias w:val="投资性房地产的说明"/>
          <w:tag w:val="_GBC_2fad438706b14fdebb84ec4d458df0c6"/>
          <w:id w:val="-1752491203"/>
          <w:placeholder>
            <w:docPart w:val="GBC22222222222222222222222222222"/>
          </w:placeholder>
        </w:sdtPr>
        <w:sdtEndPr/>
        <w:sdtContent>
          <w:r w:rsidR="003C2EEE">
            <w:rPr>
              <w:rFonts w:hint="eastAsia"/>
              <w:color w:val="000000" w:themeColor="text1"/>
            </w:rPr>
            <w:t>无</w:t>
          </w:r>
        </w:sdtContent>
      </w:sdt>
    </w:p>
    <w:p w:rsidR="00597370" w:rsidRDefault="003C2EEE">
      <w:pPr>
        <w:pStyle w:val="Style109"/>
        <w:numPr>
          <w:ilvl w:val="0"/>
          <w:numId w:val="46"/>
        </w:numPr>
        <w:tabs>
          <w:tab w:val="left" w:pos="504"/>
        </w:tabs>
        <w:rPr>
          <w:rFonts w:ascii="宋体" w:hAnsi="宋体"/>
          <w:color w:val="000000" w:themeColor="text1"/>
          <w:szCs w:val="21"/>
        </w:rPr>
      </w:pPr>
      <w:bookmarkStart w:id="277" w:name="_Hlk167895546"/>
      <w:bookmarkEnd w:id="277"/>
      <w:r>
        <w:rPr>
          <w:rFonts w:ascii="宋体" w:hAnsi="宋体" w:hint="eastAsia"/>
          <w:color w:val="000000" w:themeColor="text1"/>
          <w:szCs w:val="21"/>
        </w:rPr>
        <w:t>固定资产</w:t>
      </w:r>
    </w:p>
    <w:p w:rsidR="00597370" w:rsidRDefault="003C2EEE">
      <w:pPr>
        <w:pStyle w:val="Style110"/>
        <w:tabs>
          <w:tab w:val="left" w:pos="588"/>
        </w:tabs>
        <w:rPr>
          <w:rFonts w:ascii="宋体" w:hAnsi="宋体"/>
          <w:color w:val="000000" w:themeColor="text1"/>
        </w:rPr>
      </w:pPr>
      <w:bookmarkStart w:id="278" w:name="_Hlk10472369"/>
      <w:r>
        <w:rPr>
          <w:rFonts w:ascii="宋体" w:hAnsi="宋体" w:hint="eastAsia"/>
          <w:color w:val="000000" w:themeColor="text1"/>
        </w:rPr>
        <w:t>项目列示</w:t>
      </w:r>
    </w:p>
    <w:sdt>
      <w:sdtPr>
        <w:rPr>
          <w:color w:val="000000" w:themeColor="text1"/>
        </w:rPr>
        <w:alias w:val="是否适用：固定资产分类列示[双击切换]"/>
        <w:tag w:val="_GBC_73d82e583dcc4330bebfeb83abd5f5bb"/>
        <w:id w:val="94534413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固定资产分类列示"/>
          <w:tag w:val="_GBC_1ddbfde119544f109a3b12a48ffde12d"/>
          <w:id w:val="630786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固定资产分类列示"/>
          <w:tag w:val="_GBC_fcb83ec59024431d9f3167f55c1ae7c0"/>
          <w:id w:val="-20193100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792"/>
        <w:gridCol w:w="2806"/>
      </w:tblGrid>
      <w:tr w:rsidR="00597370">
        <w:sdt>
          <w:sdtPr>
            <w:rPr>
              <w:color w:val="000000" w:themeColor="text1"/>
            </w:rPr>
            <w:tag w:val="_PLD_8242dd3761084b5fa8943b910dbdbe45"/>
            <w:id w:val="1182239754"/>
          </w:sdtPr>
          <w:sdtEndPr/>
          <w:sdtContent>
            <w:tc>
              <w:tcPr>
                <w:tcW w:w="1828"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项目</w:t>
                </w:r>
              </w:p>
            </w:tc>
          </w:sdtContent>
        </w:sdt>
        <w:sdt>
          <w:sdtPr>
            <w:rPr>
              <w:color w:val="000000" w:themeColor="text1"/>
            </w:rPr>
            <w:tag w:val="_PLD_666df388ce2f4405af4694ebf5c112ca"/>
            <w:id w:val="-1282180442"/>
          </w:sdtPr>
          <w:sdtEndPr/>
          <w:sdtContent>
            <w:tc>
              <w:tcPr>
                <w:tcW w:w="1582"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ca4fd9ec8b6a43259f78c36475f04e58"/>
            <w:id w:val="-1743867935"/>
          </w:sdtPr>
          <w:sdtEndPr/>
          <w:sdtContent>
            <w:tc>
              <w:tcPr>
                <w:tcW w:w="1590"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c>
          <w:tcPr>
            <w:tcW w:w="1828" w:type="pct"/>
            <w:shd w:val="clear" w:color="auto" w:fill="auto"/>
          </w:tcPr>
          <w:p w:rsidR="00597370" w:rsidRDefault="003C2EEE">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固定资产</w:t>
            </w:r>
          </w:p>
        </w:tc>
        <w:tc>
          <w:tcPr>
            <w:tcW w:w="1582"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right"/>
            </w:pPr>
            <w:r>
              <w:t>1,745,391,039.80</w:t>
            </w:r>
          </w:p>
        </w:tc>
        <w:tc>
          <w:tcPr>
            <w:tcW w:w="1590"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right"/>
            </w:pPr>
            <w:r>
              <w:t>1,114,728,954.39</w:t>
            </w:r>
          </w:p>
        </w:tc>
      </w:tr>
      <w:tr w:rsidR="00597370">
        <w:tc>
          <w:tcPr>
            <w:tcW w:w="1828" w:type="pct"/>
            <w:shd w:val="clear" w:color="auto" w:fill="auto"/>
          </w:tcPr>
          <w:p w:rsidR="00597370" w:rsidRDefault="003C2EEE">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固定资产清理</w:t>
            </w:r>
          </w:p>
        </w:tc>
        <w:tc>
          <w:tcPr>
            <w:tcW w:w="1582"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right"/>
            </w:pPr>
            <w:r>
              <w:t>719,085.46</w:t>
            </w:r>
          </w:p>
        </w:tc>
        <w:tc>
          <w:tcPr>
            <w:tcW w:w="1590"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right"/>
            </w:pPr>
            <w:r>
              <w:t>79,760.22</w:t>
            </w:r>
          </w:p>
        </w:tc>
      </w:tr>
      <w:tr w:rsidR="00597370">
        <w:tc>
          <w:tcPr>
            <w:tcW w:w="1828"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合计</w:t>
            </w:r>
          </w:p>
        </w:tc>
        <w:tc>
          <w:tcPr>
            <w:tcW w:w="1582"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right"/>
            </w:pPr>
            <w:r>
              <w:t>1,746,110,125.26</w:t>
            </w:r>
          </w:p>
        </w:tc>
        <w:tc>
          <w:tcPr>
            <w:tcW w:w="1590"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right"/>
            </w:pPr>
            <w:r>
              <w:t>1,114,808,714.61</w:t>
            </w:r>
          </w:p>
        </w:tc>
      </w:tr>
    </w:tbl>
    <w:p w:rsidR="00597370" w:rsidRDefault="003C2EEE">
      <w:pPr>
        <w:rPr>
          <w:color w:val="000000" w:themeColor="text1"/>
        </w:rPr>
      </w:pPr>
      <w:bookmarkStart w:id="279" w:name="_Hlk10472389"/>
      <w:bookmarkStart w:id="280" w:name="_Hlk10472397"/>
      <w:bookmarkEnd w:id="278"/>
      <w:r>
        <w:rPr>
          <w:rFonts w:hint="eastAsia"/>
          <w:color w:val="000000" w:themeColor="text1"/>
        </w:rPr>
        <w:t>其他说明：</w:t>
      </w:r>
      <w:bookmarkEnd w:id="279"/>
    </w:p>
    <w:p w:rsidR="00597370" w:rsidRDefault="006840ED">
      <w:pPr>
        <w:rPr>
          <w:color w:val="000000" w:themeColor="text1"/>
        </w:rPr>
      </w:pPr>
      <w:sdt>
        <w:sdtPr>
          <w:rPr>
            <w:color w:val="000000" w:themeColor="text1"/>
          </w:rPr>
          <w:alias w:val="固定资产分类列示其他说明"/>
          <w:tag w:val="_GBC_9028bab58a12485bb8ef4d316280f591"/>
          <w:id w:val="-1519386985"/>
          <w:placeholder>
            <w:docPart w:val="GBC22222222222222222222222222222"/>
          </w:placeholder>
        </w:sdtPr>
        <w:sdtEndPr/>
        <w:sdtContent>
          <w:r w:rsidR="003C2EEE">
            <w:rPr>
              <w:rFonts w:hint="eastAsia"/>
              <w:color w:val="000000" w:themeColor="text1"/>
            </w:rPr>
            <w:t>无</w:t>
          </w:r>
        </w:sdtContent>
      </w:sdt>
    </w:p>
    <w:bookmarkEnd w:id="280"/>
    <w:p w:rsidR="00597370" w:rsidRDefault="00597370">
      <w:pPr>
        <w:rPr>
          <w:color w:val="000000" w:themeColor="text1"/>
        </w:rPr>
      </w:pPr>
    </w:p>
    <w:p w:rsidR="00597370" w:rsidRDefault="003C2EEE">
      <w:pPr>
        <w:pStyle w:val="Style110"/>
        <w:tabs>
          <w:tab w:val="left" w:pos="588"/>
        </w:tabs>
        <w:rPr>
          <w:rFonts w:ascii="宋体" w:hAnsi="宋体"/>
          <w:color w:val="000000" w:themeColor="text1"/>
        </w:rPr>
      </w:pPr>
      <w:r>
        <w:rPr>
          <w:rFonts w:ascii="宋体" w:hAnsi="宋体" w:hint="eastAsia"/>
          <w:color w:val="000000" w:themeColor="text1"/>
        </w:rPr>
        <w:t>固定资产</w:t>
      </w:r>
    </w:p>
    <w:p w:rsidR="00597370" w:rsidRDefault="003C2EEE">
      <w:pPr>
        <w:pStyle w:val="Style110"/>
        <w:numPr>
          <w:ilvl w:val="0"/>
          <w:numId w:val="64"/>
        </w:numPr>
        <w:tabs>
          <w:tab w:val="left" w:pos="588"/>
        </w:tabs>
        <w:rPr>
          <w:rFonts w:ascii="宋体" w:hAnsi="宋体"/>
          <w:color w:val="000000" w:themeColor="text1"/>
          <w:szCs w:val="21"/>
        </w:rPr>
      </w:pPr>
      <w:r>
        <w:rPr>
          <w:rFonts w:ascii="宋体" w:hAnsi="宋体" w:hint="eastAsia"/>
          <w:color w:val="000000" w:themeColor="text1"/>
          <w:szCs w:val="21"/>
        </w:rPr>
        <w:t>固定资产情况</w:t>
      </w:r>
    </w:p>
    <w:sdt>
      <w:sdtPr>
        <w:rPr>
          <w:color w:val="000000" w:themeColor="text1"/>
        </w:rPr>
        <w:alias w:val="是否适用：固定资产情况[双击切换]"/>
        <w:tag w:val="_GBC_dea1f620aab74d63b1372d831b5b450f"/>
        <w:id w:val="142515428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jc w:val="right"/>
        <w:rPr>
          <w:color w:val="000000" w:themeColor="text1"/>
        </w:rPr>
      </w:pPr>
      <w:r>
        <w:rPr>
          <w:rFonts w:hint="eastAsia"/>
          <w:color w:val="000000" w:themeColor="text1"/>
        </w:rPr>
        <w:t>单位：</w:t>
      </w:r>
      <w:sdt>
        <w:sdtPr>
          <w:rPr>
            <w:rFonts w:hint="eastAsia"/>
            <w:color w:val="000000" w:themeColor="text1"/>
          </w:rPr>
          <w:alias w:val="单位：财务附注：固定资产情况"/>
          <w:tag w:val="_GBC_563afa3e91c048118558af0713b1a1af"/>
          <w:id w:val="-690407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固定资产情况"/>
          <w:tag w:val="_GBC_c5ecae448dd948eca54add973afbe77b"/>
          <w:id w:val="1186536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130"/>
        <w:gridCol w:w="1558"/>
        <w:gridCol w:w="1560"/>
        <w:gridCol w:w="1417"/>
        <w:gridCol w:w="1528"/>
        <w:gridCol w:w="1630"/>
      </w:tblGrid>
      <w:tr w:rsidR="00597370">
        <w:sdt>
          <w:sdtPr>
            <w:rPr>
              <w:color w:val="000000" w:themeColor="text1"/>
              <w:sz w:val="18"/>
              <w:szCs w:val="18"/>
            </w:rPr>
            <w:tag w:val="_PLD_1741958de41447b7ac4cbd15ce893c6c"/>
            <w:id w:val="469871187"/>
            <w:lock w:val="sdtLocked"/>
          </w:sdtPr>
          <w:sdtEndPr/>
          <w:sdtContent>
            <w:tc>
              <w:tcPr>
                <w:tcW w:w="640"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项目</w:t>
                </w:r>
              </w:p>
            </w:tc>
          </w:sdtContent>
        </w:sdt>
        <w:sdt>
          <w:sdtPr>
            <w:rPr>
              <w:rFonts w:hint="eastAsia"/>
              <w:color w:val="000000" w:themeColor="text1"/>
              <w:sz w:val="18"/>
              <w:szCs w:val="18"/>
            </w:rPr>
            <w:alias w:val="固定资产情况明细-项目名称"/>
            <w:tag w:val="_GBC_936a8499167f477aab1a2942b2fdbdaf"/>
            <w:id w:val="-1491023788"/>
            <w:lock w:val="sdtLocked"/>
            <w:text/>
          </w:sdtPr>
          <w:sdtEndPr/>
          <w:sdtContent>
            <w:tc>
              <w:tcPr>
                <w:tcW w:w="883"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房屋及建筑物</w:t>
                </w:r>
              </w:p>
            </w:tc>
          </w:sdtContent>
        </w:sdt>
        <w:sdt>
          <w:sdtPr>
            <w:rPr>
              <w:rFonts w:hint="eastAsia"/>
              <w:sz w:val="18"/>
              <w:szCs w:val="18"/>
            </w:rPr>
            <w:alias w:val="固定资产情况明细-项目名称"/>
            <w:tag w:val="_GBC_936a8499167f477aab1a2942b2fdbdaf"/>
            <w:id w:val="-1315717557"/>
            <w:lock w:val="sdtLocked"/>
            <w:text/>
          </w:sdtPr>
          <w:sdtEndPr/>
          <w:sdtContent>
            <w:tc>
              <w:tcPr>
                <w:tcW w:w="884" w:type="pct"/>
                <w:shd w:val="clear" w:color="auto" w:fill="auto"/>
                <w:vAlign w:val="center"/>
              </w:tcPr>
              <w:p w:rsidR="00597370" w:rsidRDefault="003C2EEE">
                <w:pPr>
                  <w:jc w:val="center"/>
                  <w:rPr>
                    <w:sz w:val="18"/>
                    <w:szCs w:val="18"/>
                  </w:rPr>
                </w:pPr>
                <w:r>
                  <w:rPr>
                    <w:rFonts w:hint="eastAsia"/>
                    <w:sz w:val="18"/>
                    <w:szCs w:val="18"/>
                  </w:rPr>
                  <w:t>机器设备</w:t>
                </w:r>
              </w:p>
            </w:tc>
          </w:sdtContent>
        </w:sdt>
        <w:sdt>
          <w:sdtPr>
            <w:rPr>
              <w:rFonts w:hint="eastAsia"/>
              <w:sz w:val="18"/>
              <w:szCs w:val="18"/>
            </w:rPr>
            <w:alias w:val="固定资产情况明细-项目名称"/>
            <w:tag w:val="_GBC_936a8499167f477aab1a2942b2fdbdaf"/>
            <w:id w:val="-1140182813"/>
            <w:lock w:val="sdtLocked"/>
            <w:text/>
          </w:sdtPr>
          <w:sdtEndPr/>
          <w:sdtContent>
            <w:tc>
              <w:tcPr>
                <w:tcW w:w="803" w:type="pct"/>
                <w:shd w:val="clear" w:color="auto" w:fill="auto"/>
                <w:vAlign w:val="center"/>
              </w:tcPr>
              <w:p w:rsidR="00597370" w:rsidRDefault="003C2EEE">
                <w:pPr>
                  <w:jc w:val="center"/>
                  <w:rPr>
                    <w:sz w:val="18"/>
                    <w:szCs w:val="18"/>
                  </w:rPr>
                </w:pPr>
                <w:r>
                  <w:rPr>
                    <w:rFonts w:hint="eastAsia"/>
                    <w:sz w:val="18"/>
                    <w:szCs w:val="18"/>
                  </w:rPr>
                  <w:t>运输工具</w:t>
                </w:r>
              </w:p>
            </w:tc>
          </w:sdtContent>
        </w:sdt>
        <w:sdt>
          <w:sdtPr>
            <w:rPr>
              <w:rFonts w:hint="eastAsia"/>
              <w:sz w:val="18"/>
              <w:szCs w:val="18"/>
            </w:rPr>
            <w:alias w:val="固定资产情况明细-项目名称"/>
            <w:tag w:val="_GBC_936a8499167f477aab1a2942b2fdbdaf"/>
            <w:id w:val="-991715198"/>
            <w:lock w:val="sdtLocked"/>
            <w:text/>
          </w:sdtPr>
          <w:sdtEndPr/>
          <w:sdtContent>
            <w:tc>
              <w:tcPr>
                <w:tcW w:w="866" w:type="pct"/>
                <w:shd w:val="clear" w:color="auto" w:fill="auto"/>
                <w:vAlign w:val="center"/>
              </w:tcPr>
              <w:p w:rsidR="00597370" w:rsidRDefault="003C2EEE">
                <w:pPr>
                  <w:jc w:val="center"/>
                  <w:rPr>
                    <w:sz w:val="18"/>
                    <w:szCs w:val="18"/>
                  </w:rPr>
                </w:pPr>
                <w:r>
                  <w:rPr>
                    <w:rFonts w:hint="eastAsia"/>
                    <w:sz w:val="18"/>
                    <w:szCs w:val="18"/>
                  </w:rPr>
                  <w:t>电子设备及办公设备</w:t>
                </w:r>
              </w:p>
            </w:tc>
          </w:sdtContent>
        </w:sdt>
        <w:sdt>
          <w:sdtPr>
            <w:rPr>
              <w:color w:val="000000" w:themeColor="text1"/>
              <w:sz w:val="18"/>
              <w:szCs w:val="18"/>
            </w:rPr>
            <w:tag w:val="_PLD_0b635f975b4949dbb798f88c3dcf1d8d"/>
            <w:id w:val="3639265"/>
            <w:lock w:val="sdtLocked"/>
          </w:sdtPr>
          <w:sdtEndPr/>
          <w:sdtContent>
            <w:tc>
              <w:tcPr>
                <w:tcW w:w="924"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合计</w:t>
                </w:r>
              </w:p>
            </w:tc>
          </w:sdtContent>
        </w:sdt>
      </w:tr>
      <w:tr w:rsidR="00597370">
        <w:sdt>
          <w:sdtPr>
            <w:rPr>
              <w:color w:val="000000" w:themeColor="text1"/>
              <w:sz w:val="18"/>
              <w:szCs w:val="18"/>
            </w:rPr>
            <w:tag w:val="_PLD_e1d4e79d72fd45cc925f8729ecef795c"/>
            <w:id w:val="338898430"/>
            <w:lock w:val="sdtLocked"/>
          </w:sdtPr>
          <w:sdtEndPr/>
          <w:sdtContent>
            <w:tc>
              <w:tcPr>
                <w:tcW w:w="5000" w:type="pct"/>
                <w:gridSpan w:val="6"/>
                <w:shd w:val="clear" w:color="auto" w:fill="auto"/>
              </w:tcPr>
              <w:p w:rsidR="00597370" w:rsidRDefault="003C2EEE">
                <w:pPr>
                  <w:rPr>
                    <w:color w:val="000000" w:themeColor="text1"/>
                    <w:sz w:val="18"/>
                    <w:szCs w:val="18"/>
                  </w:rPr>
                </w:pPr>
                <w:r>
                  <w:rPr>
                    <w:rFonts w:hint="eastAsia"/>
                    <w:color w:val="000000" w:themeColor="text1"/>
                    <w:sz w:val="18"/>
                    <w:szCs w:val="18"/>
                  </w:rPr>
                  <w:t>一、账面原值：</w:t>
                </w:r>
              </w:p>
            </w:tc>
          </w:sdtContent>
        </w:sdt>
      </w:tr>
      <w:tr w:rsidR="00597370">
        <w:trPr>
          <w:trHeight w:val="412"/>
        </w:trPr>
        <w:tc>
          <w:tcPr>
            <w:tcW w:w="640" w:type="pct"/>
            <w:shd w:val="clear" w:color="auto" w:fill="auto"/>
          </w:tcPr>
          <w:p w:rsidR="00597370" w:rsidRDefault="003C2EEE">
            <w:pPr>
              <w:rPr>
                <w:color w:val="000000" w:themeColor="text1"/>
                <w:sz w:val="18"/>
                <w:szCs w:val="18"/>
              </w:rPr>
            </w:pPr>
            <w:r>
              <w:rPr>
                <w:color w:val="000000" w:themeColor="text1"/>
                <w:sz w:val="18"/>
                <w:szCs w:val="18"/>
              </w:rPr>
              <w:t>1.</w:t>
            </w:r>
            <w:r>
              <w:rPr>
                <w:rFonts w:hint="eastAsia"/>
                <w:color w:val="000000" w:themeColor="text1"/>
                <w:sz w:val="18"/>
                <w:szCs w:val="18"/>
              </w:rPr>
              <w:t>期初余额</w:t>
            </w:r>
          </w:p>
        </w:tc>
        <w:tc>
          <w:tcPr>
            <w:tcW w:w="883" w:type="pct"/>
            <w:shd w:val="clear" w:color="auto" w:fill="auto"/>
            <w:vAlign w:val="bottom"/>
          </w:tcPr>
          <w:p w:rsidR="00597370" w:rsidRDefault="003C2EEE">
            <w:pPr>
              <w:jc w:val="right"/>
              <w:rPr>
                <w:sz w:val="18"/>
                <w:szCs w:val="18"/>
              </w:rPr>
            </w:pPr>
            <w:r>
              <w:rPr>
                <w:rFonts w:hint="eastAsia"/>
                <w:color w:val="000000"/>
                <w:sz w:val="18"/>
                <w:szCs w:val="18"/>
              </w:rPr>
              <w:t xml:space="preserve"> 651,530,602.85 </w:t>
            </w:r>
          </w:p>
        </w:tc>
        <w:tc>
          <w:tcPr>
            <w:tcW w:w="884" w:type="pct"/>
            <w:shd w:val="clear" w:color="auto" w:fill="auto"/>
            <w:vAlign w:val="bottom"/>
          </w:tcPr>
          <w:p w:rsidR="00597370" w:rsidRDefault="003C2EEE">
            <w:pPr>
              <w:jc w:val="right"/>
              <w:rPr>
                <w:sz w:val="18"/>
                <w:szCs w:val="18"/>
              </w:rPr>
            </w:pPr>
            <w:r>
              <w:rPr>
                <w:rFonts w:hint="eastAsia"/>
                <w:color w:val="000000"/>
                <w:sz w:val="18"/>
                <w:szCs w:val="18"/>
              </w:rPr>
              <w:t xml:space="preserve"> 744,072,020.06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13,813,898.66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29,368,779.02 </w:t>
            </w: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1,438,785,300.59 </w:t>
            </w:r>
          </w:p>
        </w:tc>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2.</w:t>
            </w:r>
            <w:r>
              <w:rPr>
                <w:rFonts w:hint="eastAsia"/>
                <w:color w:val="000000" w:themeColor="text1"/>
                <w:sz w:val="18"/>
                <w:szCs w:val="18"/>
              </w:rPr>
              <w:t>本期增加金额</w:t>
            </w:r>
          </w:p>
        </w:tc>
        <w:tc>
          <w:tcPr>
            <w:tcW w:w="883" w:type="pct"/>
            <w:shd w:val="clear" w:color="auto" w:fill="auto"/>
            <w:vAlign w:val="bottom"/>
          </w:tcPr>
          <w:p w:rsidR="00597370" w:rsidRDefault="003C2EEE">
            <w:pPr>
              <w:jc w:val="right"/>
              <w:rPr>
                <w:bCs w:val="0"/>
                <w:color w:val="000000"/>
                <w:sz w:val="18"/>
                <w:szCs w:val="18"/>
              </w:rPr>
            </w:pPr>
            <w:r>
              <w:rPr>
                <w:rFonts w:hint="eastAsia"/>
                <w:color w:val="000000"/>
                <w:sz w:val="18"/>
                <w:szCs w:val="18"/>
              </w:rPr>
              <w:t xml:space="preserve"> 427,663,603.10 </w:t>
            </w:r>
          </w:p>
        </w:tc>
        <w:tc>
          <w:tcPr>
            <w:tcW w:w="884" w:type="pct"/>
            <w:shd w:val="clear" w:color="auto" w:fill="auto"/>
            <w:vAlign w:val="bottom"/>
          </w:tcPr>
          <w:p w:rsidR="00597370" w:rsidRDefault="003C2EEE">
            <w:pPr>
              <w:jc w:val="right"/>
              <w:rPr>
                <w:color w:val="000000"/>
                <w:sz w:val="18"/>
                <w:szCs w:val="18"/>
              </w:rPr>
            </w:pPr>
            <w:r>
              <w:rPr>
                <w:rFonts w:hint="eastAsia"/>
                <w:color w:val="000000"/>
                <w:sz w:val="18"/>
                <w:szCs w:val="18"/>
              </w:rPr>
              <w:t xml:space="preserve"> 317,647,646.48 </w:t>
            </w:r>
          </w:p>
        </w:tc>
        <w:tc>
          <w:tcPr>
            <w:tcW w:w="80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3,283,704.38 </w:t>
            </w:r>
          </w:p>
        </w:tc>
        <w:tc>
          <w:tcPr>
            <w:tcW w:w="866"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12,645,837.63 </w:t>
            </w:r>
          </w:p>
        </w:tc>
        <w:tc>
          <w:tcPr>
            <w:tcW w:w="92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761,240,791.59 </w:t>
            </w:r>
          </w:p>
        </w:tc>
      </w:tr>
      <w:tr w:rsidR="00597370">
        <w:trPr>
          <w:trHeight w:val="353"/>
        </w:trPr>
        <w:tc>
          <w:tcPr>
            <w:tcW w:w="640"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1）购置</w:t>
            </w:r>
          </w:p>
        </w:tc>
        <w:tc>
          <w:tcPr>
            <w:tcW w:w="883" w:type="pct"/>
            <w:shd w:val="clear" w:color="auto" w:fill="auto"/>
            <w:vAlign w:val="bottom"/>
          </w:tcPr>
          <w:p w:rsidR="00597370" w:rsidRDefault="003C2EEE">
            <w:pPr>
              <w:jc w:val="right"/>
              <w:rPr>
                <w:color w:val="000000"/>
                <w:sz w:val="18"/>
                <w:szCs w:val="18"/>
              </w:rPr>
            </w:pPr>
            <w:r>
              <w:rPr>
                <w:rFonts w:hint="eastAsia"/>
                <w:color w:val="000000"/>
                <w:sz w:val="18"/>
                <w:szCs w:val="18"/>
              </w:rPr>
              <w:t xml:space="preserve"> -   </w:t>
            </w:r>
          </w:p>
        </w:tc>
        <w:tc>
          <w:tcPr>
            <w:tcW w:w="884" w:type="pct"/>
            <w:shd w:val="clear" w:color="auto" w:fill="auto"/>
            <w:vAlign w:val="bottom"/>
          </w:tcPr>
          <w:p w:rsidR="00597370" w:rsidRDefault="003C2EEE">
            <w:pPr>
              <w:jc w:val="right"/>
              <w:rPr>
                <w:color w:val="000000"/>
                <w:sz w:val="18"/>
                <w:szCs w:val="18"/>
              </w:rPr>
            </w:pPr>
            <w:r>
              <w:rPr>
                <w:rFonts w:hint="eastAsia"/>
                <w:color w:val="000000"/>
                <w:sz w:val="18"/>
                <w:szCs w:val="18"/>
              </w:rPr>
              <w:t xml:space="preserve"> 1,224,959.25 </w:t>
            </w:r>
          </w:p>
        </w:tc>
        <w:tc>
          <w:tcPr>
            <w:tcW w:w="80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1,680,363.81 </w:t>
            </w:r>
          </w:p>
        </w:tc>
        <w:tc>
          <w:tcPr>
            <w:tcW w:w="866"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331,163.81 </w:t>
            </w:r>
          </w:p>
        </w:tc>
        <w:tc>
          <w:tcPr>
            <w:tcW w:w="92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3,236,486.87 </w:t>
            </w:r>
          </w:p>
        </w:tc>
      </w:tr>
      <w:tr w:rsidR="00597370">
        <w:tc>
          <w:tcPr>
            <w:tcW w:w="640"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2）在建工程转入</w:t>
            </w:r>
          </w:p>
        </w:tc>
        <w:tc>
          <w:tcPr>
            <w:tcW w:w="883" w:type="pct"/>
            <w:shd w:val="clear" w:color="auto" w:fill="auto"/>
            <w:vAlign w:val="bottom"/>
          </w:tcPr>
          <w:p w:rsidR="00597370" w:rsidRDefault="003C2EEE">
            <w:pPr>
              <w:jc w:val="right"/>
              <w:rPr>
                <w:color w:val="000000"/>
                <w:sz w:val="18"/>
                <w:szCs w:val="18"/>
              </w:rPr>
            </w:pPr>
            <w:r>
              <w:rPr>
                <w:rFonts w:hint="eastAsia"/>
                <w:color w:val="000000"/>
                <w:sz w:val="18"/>
                <w:szCs w:val="18"/>
              </w:rPr>
              <w:t xml:space="preserve"> 112,961,516.23 </w:t>
            </w:r>
          </w:p>
        </w:tc>
        <w:tc>
          <w:tcPr>
            <w:tcW w:w="884" w:type="pct"/>
            <w:shd w:val="clear" w:color="auto" w:fill="auto"/>
            <w:vAlign w:val="bottom"/>
          </w:tcPr>
          <w:p w:rsidR="00597370" w:rsidRDefault="003C2EEE">
            <w:pPr>
              <w:jc w:val="right"/>
              <w:rPr>
                <w:color w:val="000000"/>
                <w:sz w:val="18"/>
                <w:szCs w:val="18"/>
              </w:rPr>
            </w:pPr>
            <w:r>
              <w:rPr>
                <w:rFonts w:hint="eastAsia"/>
                <w:color w:val="000000"/>
                <w:sz w:val="18"/>
                <w:szCs w:val="18"/>
              </w:rPr>
              <w:t xml:space="preserve"> 200,453,210.48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    </w:t>
            </w:r>
          </w:p>
        </w:tc>
        <w:tc>
          <w:tcPr>
            <w:tcW w:w="866"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8,237,238.16 </w:t>
            </w:r>
          </w:p>
        </w:tc>
        <w:tc>
          <w:tcPr>
            <w:tcW w:w="92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321,651,964.87 </w:t>
            </w:r>
          </w:p>
        </w:tc>
      </w:tr>
      <w:tr w:rsidR="00597370">
        <w:tc>
          <w:tcPr>
            <w:tcW w:w="640"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3）企业合并增加</w:t>
            </w:r>
          </w:p>
        </w:tc>
        <w:tc>
          <w:tcPr>
            <w:tcW w:w="88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314,702,086.87 </w:t>
            </w:r>
          </w:p>
        </w:tc>
        <w:tc>
          <w:tcPr>
            <w:tcW w:w="88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115,969,476.75 </w:t>
            </w:r>
          </w:p>
        </w:tc>
        <w:tc>
          <w:tcPr>
            <w:tcW w:w="80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1,603,340.57 </w:t>
            </w:r>
          </w:p>
        </w:tc>
        <w:tc>
          <w:tcPr>
            <w:tcW w:w="866"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4,077,435.66 </w:t>
            </w:r>
          </w:p>
        </w:tc>
        <w:tc>
          <w:tcPr>
            <w:tcW w:w="92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436,352,339.85 </w:t>
            </w:r>
          </w:p>
        </w:tc>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lastRenderedPageBreak/>
              <w:t>3.本期减少金额</w:t>
            </w:r>
          </w:p>
        </w:tc>
        <w:tc>
          <w:tcPr>
            <w:tcW w:w="88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4,657,140.04 </w:t>
            </w:r>
          </w:p>
        </w:tc>
        <w:tc>
          <w:tcPr>
            <w:tcW w:w="88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3,552,523.27 </w:t>
            </w:r>
          </w:p>
        </w:tc>
        <w:tc>
          <w:tcPr>
            <w:tcW w:w="80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1,199,326.36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   </w:t>
            </w:r>
          </w:p>
        </w:tc>
        <w:tc>
          <w:tcPr>
            <w:tcW w:w="92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9,408,989.67 </w:t>
            </w:r>
          </w:p>
        </w:tc>
      </w:tr>
      <w:tr w:rsidR="00597370">
        <w:tc>
          <w:tcPr>
            <w:tcW w:w="640"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1）处置或报废</w:t>
            </w:r>
          </w:p>
        </w:tc>
        <w:tc>
          <w:tcPr>
            <w:tcW w:w="88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4,657,140.04 </w:t>
            </w:r>
          </w:p>
        </w:tc>
        <w:tc>
          <w:tcPr>
            <w:tcW w:w="88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3,552,523.27 </w:t>
            </w:r>
          </w:p>
        </w:tc>
        <w:tc>
          <w:tcPr>
            <w:tcW w:w="80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1,199,326.36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   </w:t>
            </w:r>
          </w:p>
        </w:tc>
        <w:tc>
          <w:tcPr>
            <w:tcW w:w="92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9,408,989.67 </w:t>
            </w:r>
          </w:p>
        </w:tc>
      </w:tr>
      <w:tr w:rsidR="00597370">
        <w:trPr>
          <w:trHeight w:val="548"/>
        </w:trPr>
        <w:tc>
          <w:tcPr>
            <w:tcW w:w="640" w:type="pct"/>
            <w:shd w:val="clear" w:color="auto" w:fill="auto"/>
          </w:tcPr>
          <w:p w:rsidR="00597370" w:rsidRDefault="003C2EEE">
            <w:pPr>
              <w:rPr>
                <w:color w:val="000000" w:themeColor="text1"/>
                <w:sz w:val="18"/>
                <w:szCs w:val="18"/>
              </w:rPr>
            </w:pPr>
            <w:r>
              <w:rPr>
                <w:color w:val="000000" w:themeColor="text1"/>
                <w:sz w:val="18"/>
                <w:szCs w:val="18"/>
              </w:rPr>
              <w:t>4.期末余额</w:t>
            </w:r>
          </w:p>
        </w:tc>
        <w:tc>
          <w:tcPr>
            <w:tcW w:w="88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1,074,537,065.91 </w:t>
            </w:r>
          </w:p>
        </w:tc>
        <w:tc>
          <w:tcPr>
            <w:tcW w:w="88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1,058,167,143.27 </w:t>
            </w:r>
          </w:p>
        </w:tc>
        <w:tc>
          <w:tcPr>
            <w:tcW w:w="803"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15,898,276.68 </w:t>
            </w:r>
          </w:p>
        </w:tc>
        <w:tc>
          <w:tcPr>
            <w:tcW w:w="866"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42,014,616.65 </w:t>
            </w:r>
          </w:p>
        </w:tc>
        <w:tc>
          <w:tcPr>
            <w:tcW w:w="924" w:type="pct"/>
            <w:shd w:val="clear" w:color="auto" w:fill="auto"/>
            <w:vAlign w:val="bottom"/>
          </w:tcPr>
          <w:p w:rsidR="00597370" w:rsidRDefault="003C2EEE">
            <w:pPr>
              <w:jc w:val="right"/>
              <w:textAlignment w:val="bottom"/>
              <w:rPr>
                <w:sz w:val="18"/>
                <w:szCs w:val="18"/>
              </w:rPr>
            </w:pPr>
            <w:r>
              <w:rPr>
                <w:rFonts w:hint="eastAsia"/>
                <w:color w:val="000000"/>
                <w:sz w:val="18"/>
                <w:szCs w:val="18"/>
              </w:rPr>
              <w:t xml:space="preserve"> 2,190,617,102.51 </w:t>
            </w:r>
          </w:p>
        </w:tc>
      </w:tr>
      <w:tr w:rsidR="00597370">
        <w:sdt>
          <w:sdtPr>
            <w:rPr>
              <w:color w:val="000000" w:themeColor="text1"/>
              <w:sz w:val="18"/>
              <w:szCs w:val="18"/>
            </w:rPr>
            <w:tag w:val="_PLD_3b9a984e6e834331844252acd1c6a321"/>
            <w:id w:val="-1121849427"/>
            <w:lock w:val="sdtLocked"/>
          </w:sdtPr>
          <w:sdtEndPr/>
          <w:sdtContent>
            <w:tc>
              <w:tcPr>
                <w:tcW w:w="5000" w:type="pct"/>
                <w:gridSpan w:val="6"/>
                <w:shd w:val="clear" w:color="auto" w:fill="auto"/>
                <w:vAlign w:val="center"/>
              </w:tcPr>
              <w:p w:rsidR="00597370" w:rsidRDefault="003C2EEE">
                <w:pPr>
                  <w:jc w:val="both"/>
                  <w:rPr>
                    <w:color w:val="000000" w:themeColor="text1"/>
                    <w:sz w:val="18"/>
                    <w:szCs w:val="18"/>
                  </w:rPr>
                </w:pPr>
                <w:r>
                  <w:rPr>
                    <w:rFonts w:hint="eastAsia"/>
                    <w:color w:val="000000" w:themeColor="text1"/>
                    <w:sz w:val="18"/>
                    <w:szCs w:val="18"/>
                  </w:rPr>
                  <w:t>二、累计折旧</w:t>
                </w:r>
              </w:p>
            </w:tc>
          </w:sdtContent>
        </w:sdt>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1.</w:t>
            </w:r>
            <w:r>
              <w:rPr>
                <w:rFonts w:hint="eastAsia"/>
                <w:color w:val="000000" w:themeColor="text1"/>
                <w:sz w:val="18"/>
                <w:szCs w:val="18"/>
              </w:rPr>
              <w:t>期初余额</w:t>
            </w:r>
          </w:p>
        </w:tc>
        <w:tc>
          <w:tcPr>
            <w:tcW w:w="883" w:type="pct"/>
            <w:shd w:val="clear" w:color="auto" w:fill="auto"/>
            <w:vAlign w:val="bottom"/>
          </w:tcPr>
          <w:p w:rsidR="00597370" w:rsidRDefault="003C2EEE">
            <w:pPr>
              <w:jc w:val="right"/>
              <w:rPr>
                <w:sz w:val="18"/>
                <w:szCs w:val="18"/>
              </w:rPr>
            </w:pPr>
            <w:r>
              <w:rPr>
                <w:rFonts w:hint="eastAsia"/>
                <w:color w:val="000000"/>
                <w:sz w:val="16"/>
                <w:szCs w:val="16"/>
              </w:rPr>
              <w:t>115,123,448.49</w:t>
            </w:r>
          </w:p>
        </w:tc>
        <w:tc>
          <w:tcPr>
            <w:tcW w:w="884" w:type="pct"/>
            <w:shd w:val="clear" w:color="auto" w:fill="auto"/>
            <w:vAlign w:val="bottom"/>
          </w:tcPr>
          <w:p w:rsidR="00597370" w:rsidRDefault="003C2EEE">
            <w:pPr>
              <w:jc w:val="right"/>
              <w:rPr>
                <w:sz w:val="18"/>
                <w:szCs w:val="18"/>
              </w:rPr>
            </w:pPr>
            <w:r>
              <w:rPr>
                <w:rFonts w:hint="eastAsia"/>
                <w:color w:val="000000"/>
                <w:sz w:val="16"/>
                <w:szCs w:val="16"/>
              </w:rPr>
              <w:t>194,600,217.47</w:t>
            </w:r>
          </w:p>
        </w:tc>
        <w:tc>
          <w:tcPr>
            <w:tcW w:w="803" w:type="pct"/>
            <w:shd w:val="clear" w:color="auto" w:fill="auto"/>
            <w:vAlign w:val="bottom"/>
          </w:tcPr>
          <w:p w:rsidR="00597370" w:rsidRDefault="003C2EEE">
            <w:pPr>
              <w:jc w:val="right"/>
              <w:rPr>
                <w:sz w:val="18"/>
                <w:szCs w:val="18"/>
              </w:rPr>
            </w:pPr>
            <w:r>
              <w:rPr>
                <w:rFonts w:hint="eastAsia"/>
                <w:color w:val="000000"/>
                <w:sz w:val="16"/>
                <w:szCs w:val="16"/>
              </w:rPr>
              <w:t>9,567,529.26</w:t>
            </w:r>
          </w:p>
        </w:tc>
        <w:tc>
          <w:tcPr>
            <w:tcW w:w="866" w:type="pct"/>
            <w:shd w:val="clear" w:color="auto" w:fill="auto"/>
            <w:vAlign w:val="bottom"/>
          </w:tcPr>
          <w:p w:rsidR="00597370" w:rsidRDefault="003C2EEE">
            <w:pPr>
              <w:jc w:val="right"/>
              <w:rPr>
                <w:sz w:val="18"/>
                <w:szCs w:val="18"/>
              </w:rPr>
            </w:pPr>
            <w:r>
              <w:rPr>
                <w:rFonts w:hint="eastAsia"/>
                <w:color w:val="000000"/>
                <w:sz w:val="16"/>
                <w:szCs w:val="16"/>
              </w:rPr>
              <w:t>4,765,150.98</w:t>
            </w:r>
          </w:p>
        </w:tc>
        <w:tc>
          <w:tcPr>
            <w:tcW w:w="924" w:type="pct"/>
            <w:shd w:val="clear" w:color="auto" w:fill="auto"/>
            <w:vAlign w:val="bottom"/>
          </w:tcPr>
          <w:p w:rsidR="00597370" w:rsidRDefault="003C2EEE">
            <w:pPr>
              <w:jc w:val="right"/>
              <w:rPr>
                <w:sz w:val="18"/>
                <w:szCs w:val="18"/>
              </w:rPr>
            </w:pPr>
            <w:r>
              <w:rPr>
                <w:rFonts w:hint="eastAsia"/>
                <w:color w:val="000000"/>
                <w:sz w:val="16"/>
                <w:szCs w:val="16"/>
              </w:rPr>
              <w:t>324,056,346.20</w:t>
            </w:r>
          </w:p>
        </w:tc>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2.</w:t>
            </w:r>
            <w:r>
              <w:rPr>
                <w:rFonts w:hint="eastAsia"/>
                <w:color w:val="000000" w:themeColor="text1"/>
                <w:sz w:val="18"/>
                <w:szCs w:val="18"/>
              </w:rPr>
              <w:t>本期增加金额</w:t>
            </w:r>
          </w:p>
        </w:tc>
        <w:tc>
          <w:tcPr>
            <w:tcW w:w="883" w:type="pct"/>
            <w:shd w:val="clear" w:color="auto" w:fill="auto"/>
            <w:vAlign w:val="bottom"/>
          </w:tcPr>
          <w:p w:rsidR="00597370" w:rsidRDefault="003C2EEE">
            <w:pPr>
              <w:jc w:val="right"/>
              <w:rPr>
                <w:bCs w:val="0"/>
                <w:color w:val="000000"/>
                <w:sz w:val="18"/>
                <w:szCs w:val="18"/>
              </w:rPr>
            </w:pPr>
            <w:r>
              <w:rPr>
                <w:rFonts w:hint="eastAsia"/>
                <w:color w:val="000000"/>
                <w:sz w:val="18"/>
                <w:szCs w:val="18"/>
              </w:rPr>
              <w:t xml:space="preserve"> 47,636,087.66 </w:t>
            </w:r>
          </w:p>
        </w:tc>
        <w:tc>
          <w:tcPr>
            <w:tcW w:w="884" w:type="pct"/>
            <w:shd w:val="clear" w:color="auto" w:fill="auto"/>
            <w:vAlign w:val="bottom"/>
          </w:tcPr>
          <w:p w:rsidR="00597370" w:rsidRDefault="003C2EEE">
            <w:pPr>
              <w:jc w:val="right"/>
              <w:rPr>
                <w:color w:val="000000"/>
                <w:sz w:val="18"/>
                <w:szCs w:val="18"/>
              </w:rPr>
            </w:pPr>
            <w:r>
              <w:rPr>
                <w:rFonts w:hint="eastAsia"/>
                <w:color w:val="000000"/>
                <w:sz w:val="18"/>
                <w:szCs w:val="18"/>
              </w:rPr>
              <w:t xml:space="preserve"> 72,558,701.18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1,892,439.86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5,727,539.58 </w:t>
            </w: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127,814,768.29 </w:t>
            </w:r>
          </w:p>
        </w:tc>
      </w:tr>
      <w:tr w:rsidR="00597370">
        <w:trPr>
          <w:trHeight w:val="442"/>
        </w:trPr>
        <w:tc>
          <w:tcPr>
            <w:tcW w:w="640"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1）计提</w:t>
            </w:r>
          </w:p>
        </w:tc>
        <w:tc>
          <w:tcPr>
            <w:tcW w:w="883" w:type="pct"/>
            <w:shd w:val="clear" w:color="auto" w:fill="auto"/>
            <w:vAlign w:val="bottom"/>
          </w:tcPr>
          <w:p w:rsidR="00597370" w:rsidRDefault="003C2EEE">
            <w:pPr>
              <w:jc w:val="right"/>
              <w:rPr>
                <w:color w:val="000000"/>
                <w:sz w:val="18"/>
                <w:szCs w:val="18"/>
              </w:rPr>
            </w:pPr>
            <w:r>
              <w:rPr>
                <w:rFonts w:hint="eastAsia"/>
                <w:color w:val="000000"/>
                <w:sz w:val="18"/>
                <w:szCs w:val="18"/>
              </w:rPr>
              <w:t xml:space="preserve"> 19,389,678.11 </w:t>
            </w:r>
          </w:p>
        </w:tc>
        <w:tc>
          <w:tcPr>
            <w:tcW w:w="884" w:type="pct"/>
            <w:shd w:val="clear" w:color="auto" w:fill="auto"/>
            <w:vAlign w:val="bottom"/>
          </w:tcPr>
          <w:p w:rsidR="00597370" w:rsidRDefault="003C2EEE">
            <w:pPr>
              <w:jc w:val="right"/>
              <w:rPr>
                <w:color w:val="000000"/>
                <w:sz w:val="18"/>
                <w:szCs w:val="18"/>
              </w:rPr>
            </w:pPr>
            <w:r>
              <w:rPr>
                <w:rFonts w:hint="eastAsia"/>
                <w:color w:val="000000"/>
                <w:sz w:val="18"/>
                <w:szCs w:val="18"/>
              </w:rPr>
              <w:t xml:space="preserve"> 43,828,224.29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673,385.20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2,734,865.41 </w:t>
            </w: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66,626,153.02 </w:t>
            </w:r>
          </w:p>
        </w:tc>
      </w:tr>
      <w:tr w:rsidR="00597370">
        <w:trPr>
          <w:trHeight w:val="90"/>
        </w:trPr>
        <w:tc>
          <w:tcPr>
            <w:tcW w:w="640" w:type="pct"/>
            <w:shd w:val="clear" w:color="auto" w:fill="auto"/>
          </w:tcPr>
          <w:p w:rsidR="00597370" w:rsidRDefault="003C2EEE">
            <w:pPr>
              <w:rPr>
                <w:sz w:val="18"/>
                <w:szCs w:val="18"/>
              </w:rPr>
            </w:pPr>
            <w:r>
              <w:rPr>
                <w:rFonts w:hint="eastAsia"/>
                <w:sz w:val="18"/>
                <w:szCs w:val="18"/>
              </w:rPr>
              <w:t>（</w:t>
            </w:r>
            <w:r>
              <w:rPr>
                <w:sz w:val="18"/>
                <w:szCs w:val="18"/>
              </w:rPr>
              <w:t>2）合并增加</w:t>
            </w:r>
            <w:r>
              <w:rPr>
                <w:rFonts w:hint="eastAsia"/>
                <w:sz w:val="18"/>
                <w:szCs w:val="18"/>
              </w:rPr>
              <w:t xml:space="preserve">　</w:t>
            </w:r>
          </w:p>
        </w:tc>
        <w:tc>
          <w:tcPr>
            <w:tcW w:w="883" w:type="pct"/>
            <w:shd w:val="clear" w:color="auto" w:fill="auto"/>
            <w:vAlign w:val="bottom"/>
          </w:tcPr>
          <w:p w:rsidR="00597370" w:rsidRDefault="003C2EEE">
            <w:pPr>
              <w:jc w:val="right"/>
              <w:rPr>
                <w:sz w:val="18"/>
                <w:szCs w:val="18"/>
              </w:rPr>
            </w:pPr>
            <w:r>
              <w:rPr>
                <w:rFonts w:hint="eastAsia"/>
                <w:color w:val="000000"/>
                <w:sz w:val="18"/>
                <w:szCs w:val="18"/>
              </w:rPr>
              <w:t xml:space="preserve"> 28,246,409.55 </w:t>
            </w:r>
          </w:p>
        </w:tc>
        <w:tc>
          <w:tcPr>
            <w:tcW w:w="884" w:type="pct"/>
            <w:shd w:val="clear" w:color="auto" w:fill="auto"/>
            <w:vAlign w:val="bottom"/>
          </w:tcPr>
          <w:p w:rsidR="00597370" w:rsidRDefault="003C2EEE">
            <w:pPr>
              <w:jc w:val="right"/>
              <w:rPr>
                <w:sz w:val="18"/>
                <w:szCs w:val="18"/>
              </w:rPr>
            </w:pPr>
            <w:r>
              <w:rPr>
                <w:rFonts w:hint="eastAsia"/>
                <w:color w:val="000000"/>
                <w:sz w:val="18"/>
                <w:szCs w:val="18"/>
              </w:rPr>
              <w:t xml:space="preserve"> 28,730,476.89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1,219,054.66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2,992,674.17 </w:t>
            </w: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61,188,615.27 </w:t>
            </w:r>
          </w:p>
        </w:tc>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3.本期减少金额</w:t>
            </w:r>
          </w:p>
        </w:tc>
        <w:tc>
          <w:tcPr>
            <w:tcW w:w="883" w:type="pct"/>
            <w:shd w:val="clear" w:color="auto" w:fill="auto"/>
            <w:vAlign w:val="bottom"/>
          </w:tcPr>
          <w:p w:rsidR="00597370" w:rsidRDefault="003C2EEE">
            <w:pPr>
              <w:jc w:val="right"/>
              <w:rPr>
                <w:sz w:val="18"/>
                <w:szCs w:val="18"/>
              </w:rPr>
            </w:pPr>
            <w:r>
              <w:rPr>
                <w:rFonts w:hint="eastAsia"/>
                <w:color w:val="000000"/>
                <w:sz w:val="18"/>
                <w:szCs w:val="18"/>
              </w:rPr>
              <w:t xml:space="preserve"> 2,653,514.86 </w:t>
            </w:r>
          </w:p>
        </w:tc>
        <w:tc>
          <w:tcPr>
            <w:tcW w:w="884" w:type="pct"/>
            <w:shd w:val="clear" w:color="auto" w:fill="auto"/>
            <w:vAlign w:val="bottom"/>
          </w:tcPr>
          <w:p w:rsidR="00597370" w:rsidRDefault="003C2EEE">
            <w:pPr>
              <w:jc w:val="right"/>
              <w:rPr>
                <w:sz w:val="18"/>
                <w:szCs w:val="18"/>
              </w:rPr>
            </w:pPr>
            <w:r>
              <w:rPr>
                <w:rFonts w:hint="eastAsia"/>
                <w:color w:val="000000"/>
                <w:sz w:val="18"/>
                <w:szCs w:val="18"/>
              </w:rPr>
              <w:t xml:space="preserve"> 2,850,635.00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1,140,901.92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   </w:t>
            </w: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6,645,051.78 </w:t>
            </w:r>
          </w:p>
        </w:tc>
      </w:tr>
      <w:tr w:rsidR="00597370">
        <w:tc>
          <w:tcPr>
            <w:tcW w:w="640"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1）处置或报废</w:t>
            </w:r>
          </w:p>
        </w:tc>
        <w:tc>
          <w:tcPr>
            <w:tcW w:w="883" w:type="pct"/>
            <w:shd w:val="clear" w:color="auto" w:fill="auto"/>
            <w:vAlign w:val="bottom"/>
          </w:tcPr>
          <w:p w:rsidR="00597370" w:rsidRDefault="003C2EEE">
            <w:pPr>
              <w:jc w:val="right"/>
              <w:rPr>
                <w:sz w:val="18"/>
                <w:szCs w:val="18"/>
              </w:rPr>
            </w:pPr>
            <w:r>
              <w:rPr>
                <w:rFonts w:hint="eastAsia"/>
                <w:color w:val="000000"/>
                <w:sz w:val="18"/>
                <w:szCs w:val="18"/>
              </w:rPr>
              <w:t xml:space="preserve"> 2,653,514.86 </w:t>
            </w:r>
          </w:p>
        </w:tc>
        <w:tc>
          <w:tcPr>
            <w:tcW w:w="884" w:type="pct"/>
            <w:shd w:val="clear" w:color="auto" w:fill="auto"/>
            <w:vAlign w:val="bottom"/>
          </w:tcPr>
          <w:p w:rsidR="00597370" w:rsidRDefault="003C2EEE">
            <w:pPr>
              <w:jc w:val="right"/>
              <w:rPr>
                <w:sz w:val="18"/>
                <w:szCs w:val="18"/>
              </w:rPr>
            </w:pPr>
            <w:r>
              <w:rPr>
                <w:rFonts w:hint="eastAsia"/>
                <w:color w:val="000000"/>
                <w:sz w:val="18"/>
                <w:szCs w:val="18"/>
              </w:rPr>
              <w:t xml:space="preserve"> 2,850,635.00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1,140,901.92 </w:t>
            </w:r>
          </w:p>
        </w:tc>
        <w:tc>
          <w:tcPr>
            <w:tcW w:w="866" w:type="pct"/>
            <w:shd w:val="clear" w:color="auto" w:fill="auto"/>
            <w:vAlign w:val="bottom"/>
          </w:tcPr>
          <w:p w:rsidR="00597370" w:rsidRDefault="00597370">
            <w:pPr>
              <w:jc w:val="right"/>
              <w:rPr>
                <w:sz w:val="18"/>
                <w:szCs w:val="18"/>
              </w:rPr>
            </w:pP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6,645,051.78 </w:t>
            </w:r>
          </w:p>
        </w:tc>
      </w:tr>
      <w:tr w:rsidR="00597370">
        <w:trPr>
          <w:trHeight w:val="408"/>
        </w:trPr>
        <w:tc>
          <w:tcPr>
            <w:tcW w:w="640" w:type="pct"/>
            <w:shd w:val="clear" w:color="auto" w:fill="auto"/>
          </w:tcPr>
          <w:p w:rsidR="00597370" w:rsidRDefault="003C2EEE">
            <w:pPr>
              <w:rPr>
                <w:color w:val="000000" w:themeColor="text1"/>
                <w:sz w:val="18"/>
                <w:szCs w:val="18"/>
              </w:rPr>
            </w:pPr>
            <w:r>
              <w:rPr>
                <w:color w:val="000000" w:themeColor="text1"/>
                <w:sz w:val="18"/>
                <w:szCs w:val="18"/>
              </w:rPr>
              <w:t>4.期末余额</w:t>
            </w:r>
          </w:p>
        </w:tc>
        <w:tc>
          <w:tcPr>
            <w:tcW w:w="883" w:type="pct"/>
            <w:shd w:val="clear" w:color="auto" w:fill="auto"/>
            <w:vAlign w:val="bottom"/>
          </w:tcPr>
          <w:p w:rsidR="00597370" w:rsidRDefault="003C2EEE">
            <w:pPr>
              <w:jc w:val="right"/>
              <w:rPr>
                <w:sz w:val="18"/>
                <w:szCs w:val="18"/>
              </w:rPr>
            </w:pPr>
            <w:r>
              <w:rPr>
                <w:rFonts w:hint="eastAsia"/>
                <w:color w:val="000000"/>
                <w:sz w:val="18"/>
                <w:szCs w:val="18"/>
              </w:rPr>
              <w:t xml:space="preserve"> 160,106,021.29 </w:t>
            </w:r>
          </w:p>
        </w:tc>
        <w:tc>
          <w:tcPr>
            <w:tcW w:w="884" w:type="pct"/>
            <w:shd w:val="clear" w:color="auto" w:fill="auto"/>
            <w:vAlign w:val="bottom"/>
          </w:tcPr>
          <w:p w:rsidR="00597370" w:rsidRDefault="003C2EEE">
            <w:pPr>
              <w:jc w:val="right"/>
              <w:rPr>
                <w:sz w:val="18"/>
                <w:szCs w:val="18"/>
              </w:rPr>
            </w:pPr>
            <w:r>
              <w:rPr>
                <w:rFonts w:hint="eastAsia"/>
                <w:color w:val="000000"/>
                <w:sz w:val="18"/>
                <w:szCs w:val="18"/>
              </w:rPr>
              <w:t xml:space="preserve"> 264,308,283.65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10,319,067.20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10,492,690.56 </w:t>
            </w: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445,226,062.71 </w:t>
            </w:r>
          </w:p>
        </w:tc>
      </w:tr>
      <w:tr w:rsidR="00597370">
        <w:sdt>
          <w:sdtPr>
            <w:rPr>
              <w:color w:val="000000" w:themeColor="text1"/>
              <w:sz w:val="18"/>
              <w:szCs w:val="18"/>
            </w:rPr>
            <w:tag w:val="_PLD_662c84047b6d41648e46d047cc9b134a"/>
            <w:id w:val="760187372"/>
            <w:lock w:val="sdtLocked"/>
          </w:sdtPr>
          <w:sdtEndPr/>
          <w:sdtContent>
            <w:tc>
              <w:tcPr>
                <w:tcW w:w="5000" w:type="pct"/>
                <w:gridSpan w:val="6"/>
                <w:shd w:val="clear" w:color="auto" w:fill="auto"/>
                <w:vAlign w:val="bottom"/>
              </w:tcPr>
              <w:p w:rsidR="00597370" w:rsidRDefault="003C2EEE">
                <w:pPr>
                  <w:jc w:val="both"/>
                  <w:rPr>
                    <w:color w:val="000000" w:themeColor="text1"/>
                    <w:sz w:val="18"/>
                    <w:szCs w:val="18"/>
                  </w:rPr>
                </w:pPr>
                <w:r>
                  <w:rPr>
                    <w:rFonts w:hint="eastAsia"/>
                    <w:color w:val="000000" w:themeColor="text1"/>
                    <w:sz w:val="18"/>
                    <w:szCs w:val="18"/>
                  </w:rPr>
                  <w:t>三、减值准备</w:t>
                </w:r>
              </w:p>
            </w:tc>
          </w:sdtContent>
        </w:sdt>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1.</w:t>
            </w:r>
            <w:r>
              <w:rPr>
                <w:rFonts w:hint="eastAsia"/>
                <w:color w:val="000000" w:themeColor="text1"/>
                <w:sz w:val="18"/>
                <w:szCs w:val="18"/>
              </w:rPr>
              <w:t>期初余额</w:t>
            </w:r>
          </w:p>
        </w:tc>
        <w:tc>
          <w:tcPr>
            <w:tcW w:w="883" w:type="pct"/>
            <w:shd w:val="clear" w:color="auto" w:fill="auto"/>
            <w:vAlign w:val="bottom"/>
          </w:tcPr>
          <w:p w:rsidR="00597370" w:rsidRDefault="00597370">
            <w:pPr>
              <w:jc w:val="right"/>
              <w:rPr>
                <w:sz w:val="18"/>
                <w:szCs w:val="18"/>
              </w:rPr>
            </w:pPr>
          </w:p>
        </w:tc>
        <w:tc>
          <w:tcPr>
            <w:tcW w:w="884" w:type="pct"/>
            <w:shd w:val="clear" w:color="auto" w:fill="auto"/>
            <w:vAlign w:val="bottom"/>
          </w:tcPr>
          <w:p w:rsidR="00597370" w:rsidRDefault="00597370">
            <w:pPr>
              <w:jc w:val="right"/>
              <w:rPr>
                <w:sz w:val="18"/>
                <w:szCs w:val="18"/>
              </w:rPr>
            </w:pPr>
          </w:p>
        </w:tc>
        <w:tc>
          <w:tcPr>
            <w:tcW w:w="803" w:type="pct"/>
            <w:shd w:val="clear" w:color="auto" w:fill="auto"/>
            <w:vAlign w:val="bottom"/>
          </w:tcPr>
          <w:p w:rsidR="00597370" w:rsidRDefault="00597370">
            <w:pPr>
              <w:jc w:val="right"/>
              <w:rPr>
                <w:sz w:val="18"/>
                <w:szCs w:val="18"/>
              </w:rPr>
            </w:pPr>
          </w:p>
        </w:tc>
        <w:tc>
          <w:tcPr>
            <w:tcW w:w="866" w:type="pct"/>
            <w:shd w:val="clear" w:color="auto" w:fill="auto"/>
            <w:vAlign w:val="bottom"/>
          </w:tcPr>
          <w:p w:rsidR="00597370" w:rsidRDefault="00597370">
            <w:pPr>
              <w:jc w:val="right"/>
              <w:rPr>
                <w:sz w:val="18"/>
                <w:szCs w:val="18"/>
              </w:rPr>
            </w:pPr>
          </w:p>
        </w:tc>
        <w:tc>
          <w:tcPr>
            <w:tcW w:w="924" w:type="pct"/>
            <w:shd w:val="clear" w:color="auto" w:fill="auto"/>
            <w:vAlign w:val="bottom"/>
          </w:tcPr>
          <w:p w:rsidR="00597370" w:rsidRDefault="00597370">
            <w:pPr>
              <w:jc w:val="right"/>
              <w:rPr>
                <w:sz w:val="18"/>
                <w:szCs w:val="18"/>
              </w:rPr>
            </w:pPr>
          </w:p>
        </w:tc>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2.</w:t>
            </w:r>
            <w:r>
              <w:rPr>
                <w:rFonts w:hint="eastAsia"/>
                <w:color w:val="000000" w:themeColor="text1"/>
                <w:sz w:val="18"/>
                <w:szCs w:val="18"/>
              </w:rPr>
              <w:t>本期增加金额</w:t>
            </w:r>
          </w:p>
        </w:tc>
        <w:tc>
          <w:tcPr>
            <w:tcW w:w="883" w:type="pct"/>
            <w:shd w:val="clear" w:color="auto" w:fill="auto"/>
            <w:vAlign w:val="bottom"/>
          </w:tcPr>
          <w:p w:rsidR="00597370" w:rsidRDefault="00597370">
            <w:pPr>
              <w:jc w:val="right"/>
              <w:rPr>
                <w:sz w:val="18"/>
                <w:szCs w:val="18"/>
              </w:rPr>
            </w:pPr>
          </w:p>
        </w:tc>
        <w:tc>
          <w:tcPr>
            <w:tcW w:w="884" w:type="pct"/>
            <w:shd w:val="clear" w:color="auto" w:fill="auto"/>
            <w:vAlign w:val="bottom"/>
          </w:tcPr>
          <w:p w:rsidR="00597370" w:rsidRDefault="00597370">
            <w:pPr>
              <w:jc w:val="right"/>
              <w:rPr>
                <w:sz w:val="18"/>
                <w:szCs w:val="18"/>
              </w:rPr>
            </w:pPr>
          </w:p>
        </w:tc>
        <w:tc>
          <w:tcPr>
            <w:tcW w:w="803" w:type="pct"/>
            <w:shd w:val="clear" w:color="auto" w:fill="auto"/>
            <w:vAlign w:val="bottom"/>
          </w:tcPr>
          <w:p w:rsidR="00597370" w:rsidRDefault="00597370">
            <w:pPr>
              <w:jc w:val="right"/>
              <w:rPr>
                <w:sz w:val="18"/>
                <w:szCs w:val="18"/>
              </w:rPr>
            </w:pPr>
          </w:p>
        </w:tc>
        <w:tc>
          <w:tcPr>
            <w:tcW w:w="866" w:type="pct"/>
            <w:shd w:val="clear" w:color="auto" w:fill="auto"/>
            <w:vAlign w:val="bottom"/>
          </w:tcPr>
          <w:p w:rsidR="00597370" w:rsidRDefault="00597370">
            <w:pPr>
              <w:jc w:val="right"/>
              <w:rPr>
                <w:sz w:val="18"/>
                <w:szCs w:val="18"/>
              </w:rPr>
            </w:pPr>
          </w:p>
        </w:tc>
        <w:tc>
          <w:tcPr>
            <w:tcW w:w="924" w:type="pct"/>
            <w:shd w:val="clear" w:color="auto" w:fill="auto"/>
            <w:vAlign w:val="bottom"/>
          </w:tcPr>
          <w:p w:rsidR="00597370" w:rsidRDefault="00597370">
            <w:pPr>
              <w:jc w:val="right"/>
              <w:rPr>
                <w:sz w:val="18"/>
                <w:szCs w:val="18"/>
              </w:rPr>
            </w:pPr>
          </w:p>
        </w:tc>
      </w:tr>
      <w:tr w:rsidR="00597370">
        <w:tc>
          <w:tcPr>
            <w:tcW w:w="640"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1）计提</w:t>
            </w:r>
          </w:p>
        </w:tc>
        <w:tc>
          <w:tcPr>
            <w:tcW w:w="883" w:type="pct"/>
            <w:shd w:val="clear" w:color="auto" w:fill="auto"/>
            <w:vAlign w:val="bottom"/>
          </w:tcPr>
          <w:p w:rsidR="00597370" w:rsidRDefault="00597370">
            <w:pPr>
              <w:jc w:val="right"/>
              <w:rPr>
                <w:sz w:val="18"/>
                <w:szCs w:val="18"/>
              </w:rPr>
            </w:pPr>
          </w:p>
        </w:tc>
        <w:tc>
          <w:tcPr>
            <w:tcW w:w="884" w:type="pct"/>
            <w:shd w:val="clear" w:color="auto" w:fill="auto"/>
            <w:vAlign w:val="bottom"/>
          </w:tcPr>
          <w:p w:rsidR="00597370" w:rsidRDefault="00597370">
            <w:pPr>
              <w:jc w:val="right"/>
              <w:rPr>
                <w:sz w:val="18"/>
                <w:szCs w:val="18"/>
              </w:rPr>
            </w:pPr>
          </w:p>
        </w:tc>
        <w:tc>
          <w:tcPr>
            <w:tcW w:w="803" w:type="pct"/>
            <w:shd w:val="clear" w:color="auto" w:fill="auto"/>
            <w:vAlign w:val="bottom"/>
          </w:tcPr>
          <w:p w:rsidR="00597370" w:rsidRDefault="00597370">
            <w:pPr>
              <w:jc w:val="right"/>
              <w:rPr>
                <w:sz w:val="18"/>
                <w:szCs w:val="18"/>
              </w:rPr>
            </w:pPr>
          </w:p>
        </w:tc>
        <w:tc>
          <w:tcPr>
            <w:tcW w:w="866" w:type="pct"/>
            <w:shd w:val="clear" w:color="auto" w:fill="auto"/>
            <w:vAlign w:val="bottom"/>
          </w:tcPr>
          <w:p w:rsidR="00597370" w:rsidRDefault="00597370">
            <w:pPr>
              <w:jc w:val="right"/>
              <w:rPr>
                <w:sz w:val="18"/>
                <w:szCs w:val="18"/>
              </w:rPr>
            </w:pPr>
          </w:p>
        </w:tc>
        <w:tc>
          <w:tcPr>
            <w:tcW w:w="924" w:type="pct"/>
            <w:shd w:val="clear" w:color="auto" w:fill="auto"/>
            <w:vAlign w:val="bottom"/>
          </w:tcPr>
          <w:p w:rsidR="00597370" w:rsidRDefault="00597370">
            <w:pPr>
              <w:jc w:val="right"/>
              <w:rPr>
                <w:sz w:val="18"/>
                <w:szCs w:val="18"/>
              </w:rPr>
            </w:pPr>
          </w:p>
        </w:tc>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3.本期减少金额</w:t>
            </w:r>
          </w:p>
        </w:tc>
        <w:tc>
          <w:tcPr>
            <w:tcW w:w="883" w:type="pct"/>
            <w:shd w:val="clear" w:color="auto" w:fill="auto"/>
            <w:vAlign w:val="bottom"/>
          </w:tcPr>
          <w:p w:rsidR="00597370" w:rsidRDefault="00597370">
            <w:pPr>
              <w:jc w:val="right"/>
              <w:rPr>
                <w:sz w:val="18"/>
                <w:szCs w:val="18"/>
              </w:rPr>
            </w:pPr>
          </w:p>
        </w:tc>
        <w:tc>
          <w:tcPr>
            <w:tcW w:w="884" w:type="pct"/>
            <w:shd w:val="clear" w:color="auto" w:fill="auto"/>
            <w:vAlign w:val="bottom"/>
          </w:tcPr>
          <w:p w:rsidR="00597370" w:rsidRDefault="00597370">
            <w:pPr>
              <w:jc w:val="right"/>
              <w:rPr>
                <w:sz w:val="18"/>
                <w:szCs w:val="18"/>
              </w:rPr>
            </w:pPr>
          </w:p>
        </w:tc>
        <w:tc>
          <w:tcPr>
            <w:tcW w:w="803" w:type="pct"/>
            <w:shd w:val="clear" w:color="auto" w:fill="auto"/>
            <w:vAlign w:val="bottom"/>
          </w:tcPr>
          <w:p w:rsidR="00597370" w:rsidRDefault="00597370">
            <w:pPr>
              <w:jc w:val="right"/>
              <w:rPr>
                <w:sz w:val="18"/>
                <w:szCs w:val="18"/>
              </w:rPr>
            </w:pPr>
          </w:p>
        </w:tc>
        <w:tc>
          <w:tcPr>
            <w:tcW w:w="866" w:type="pct"/>
            <w:shd w:val="clear" w:color="auto" w:fill="auto"/>
            <w:vAlign w:val="bottom"/>
          </w:tcPr>
          <w:p w:rsidR="00597370" w:rsidRDefault="00597370">
            <w:pPr>
              <w:jc w:val="right"/>
              <w:rPr>
                <w:sz w:val="18"/>
                <w:szCs w:val="18"/>
              </w:rPr>
            </w:pPr>
          </w:p>
        </w:tc>
        <w:tc>
          <w:tcPr>
            <w:tcW w:w="924" w:type="pct"/>
            <w:shd w:val="clear" w:color="auto" w:fill="auto"/>
            <w:vAlign w:val="bottom"/>
          </w:tcPr>
          <w:p w:rsidR="00597370" w:rsidRDefault="00597370">
            <w:pPr>
              <w:jc w:val="right"/>
              <w:rPr>
                <w:sz w:val="18"/>
                <w:szCs w:val="18"/>
              </w:rPr>
            </w:pPr>
          </w:p>
        </w:tc>
      </w:tr>
      <w:tr w:rsidR="00597370">
        <w:tc>
          <w:tcPr>
            <w:tcW w:w="640"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1）处置或报废</w:t>
            </w:r>
          </w:p>
        </w:tc>
        <w:tc>
          <w:tcPr>
            <w:tcW w:w="883" w:type="pct"/>
            <w:shd w:val="clear" w:color="auto" w:fill="auto"/>
            <w:vAlign w:val="bottom"/>
          </w:tcPr>
          <w:p w:rsidR="00597370" w:rsidRDefault="00597370">
            <w:pPr>
              <w:jc w:val="right"/>
              <w:rPr>
                <w:sz w:val="18"/>
                <w:szCs w:val="18"/>
              </w:rPr>
            </w:pPr>
          </w:p>
        </w:tc>
        <w:tc>
          <w:tcPr>
            <w:tcW w:w="884" w:type="pct"/>
            <w:shd w:val="clear" w:color="auto" w:fill="auto"/>
            <w:vAlign w:val="bottom"/>
          </w:tcPr>
          <w:p w:rsidR="00597370" w:rsidRDefault="00597370">
            <w:pPr>
              <w:jc w:val="right"/>
              <w:rPr>
                <w:sz w:val="18"/>
                <w:szCs w:val="18"/>
              </w:rPr>
            </w:pPr>
          </w:p>
        </w:tc>
        <w:tc>
          <w:tcPr>
            <w:tcW w:w="803" w:type="pct"/>
            <w:shd w:val="clear" w:color="auto" w:fill="auto"/>
            <w:vAlign w:val="bottom"/>
          </w:tcPr>
          <w:p w:rsidR="00597370" w:rsidRDefault="00597370">
            <w:pPr>
              <w:jc w:val="right"/>
              <w:rPr>
                <w:sz w:val="18"/>
                <w:szCs w:val="18"/>
              </w:rPr>
            </w:pPr>
          </w:p>
        </w:tc>
        <w:tc>
          <w:tcPr>
            <w:tcW w:w="866" w:type="pct"/>
            <w:shd w:val="clear" w:color="auto" w:fill="auto"/>
            <w:vAlign w:val="bottom"/>
          </w:tcPr>
          <w:p w:rsidR="00597370" w:rsidRDefault="00597370">
            <w:pPr>
              <w:jc w:val="right"/>
              <w:rPr>
                <w:sz w:val="18"/>
                <w:szCs w:val="18"/>
              </w:rPr>
            </w:pPr>
          </w:p>
        </w:tc>
        <w:tc>
          <w:tcPr>
            <w:tcW w:w="924" w:type="pct"/>
            <w:shd w:val="clear" w:color="auto" w:fill="auto"/>
            <w:vAlign w:val="bottom"/>
          </w:tcPr>
          <w:p w:rsidR="00597370" w:rsidRDefault="00597370">
            <w:pPr>
              <w:jc w:val="right"/>
              <w:rPr>
                <w:sz w:val="18"/>
                <w:szCs w:val="18"/>
              </w:rPr>
            </w:pPr>
          </w:p>
        </w:tc>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4.期末余额</w:t>
            </w:r>
          </w:p>
        </w:tc>
        <w:tc>
          <w:tcPr>
            <w:tcW w:w="883" w:type="pct"/>
            <w:shd w:val="clear" w:color="auto" w:fill="auto"/>
            <w:vAlign w:val="bottom"/>
          </w:tcPr>
          <w:p w:rsidR="00597370" w:rsidRDefault="00597370">
            <w:pPr>
              <w:jc w:val="right"/>
              <w:rPr>
                <w:sz w:val="18"/>
                <w:szCs w:val="18"/>
              </w:rPr>
            </w:pPr>
          </w:p>
        </w:tc>
        <w:tc>
          <w:tcPr>
            <w:tcW w:w="884" w:type="pct"/>
            <w:shd w:val="clear" w:color="auto" w:fill="auto"/>
            <w:vAlign w:val="bottom"/>
          </w:tcPr>
          <w:p w:rsidR="00597370" w:rsidRDefault="00597370">
            <w:pPr>
              <w:jc w:val="right"/>
              <w:rPr>
                <w:sz w:val="18"/>
                <w:szCs w:val="18"/>
              </w:rPr>
            </w:pPr>
          </w:p>
        </w:tc>
        <w:tc>
          <w:tcPr>
            <w:tcW w:w="803" w:type="pct"/>
            <w:shd w:val="clear" w:color="auto" w:fill="auto"/>
            <w:vAlign w:val="bottom"/>
          </w:tcPr>
          <w:p w:rsidR="00597370" w:rsidRDefault="00597370">
            <w:pPr>
              <w:jc w:val="right"/>
              <w:rPr>
                <w:sz w:val="18"/>
                <w:szCs w:val="18"/>
              </w:rPr>
            </w:pPr>
          </w:p>
        </w:tc>
        <w:tc>
          <w:tcPr>
            <w:tcW w:w="866" w:type="pct"/>
            <w:shd w:val="clear" w:color="auto" w:fill="auto"/>
            <w:vAlign w:val="bottom"/>
          </w:tcPr>
          <w:p w:rsidR="00597370" w:rsidRDefault="00597370">
            <w:pPr>
              <w:jc w:val="right"/>
              <w:rPr>
                <w:sz w:val="18"/>
                <w:szCs w:val="18"/>
              </w:rPr>
            </w:pPr>
          </w:p>
        </w:tc>
        <w:tc>
          <w:tcPr>
            <w:tcW w:w="924" w:type="pct"/>
            <w:shd w:val="clear" w:color="auto" w:fill="auto"/>
            <w:vAlign w:val="bottom"/>
          </w:tcPr>
          <w:p w:rsidR="00597370" w:rsidRDefault="00597370">
            <w:pPr>
              <w:jc w:val="right"/>
              <w:rPr>
                <w:sz w:val="18"/>
                <w:szCs w:val="18"/>
              </w:rPr>
            </w:pPr>
          </w:p>
        </w:tc>
      </w:tr>
      <w:tr w:rsidR="00597370">
        <w:sdt>
          <w:sdtPr>
            <w:rPr>
              <w:color w:val="000000" w:themeColor="text1"/>
              <w:sz w:val="18"/>
              <w:szCs w:val="18"/>
            </w:rPr>
            <w:tag w:val="_PLD_bea29c32f5204124a483fa6e274ca7df"/>
            <w:id w:val="2002387921"/>
            <w:lock w:val="sdtLocked"/>
          </w:sdtPr>
          <w:sdtEndPr/>
          <w:sdtContent>
            <w:tc>
              <w:tcPr>
                <w:tcW w:w="5000" w:type="pct"/>
                <w:gridSpan w:val="6"/>
                <w:shd w:val="clear" w:color="auto" w:fill="auto"/>
                <w:vAlign w:val="bottom"/>
              </w:tcPr>
              <w:p w:rsidR="00597370" w:rsidRDefault="003C2EEE">
                <w:pPr>
                  <w:jc w:val="both"/>
                  <w:rPr>
                    <w:color w:val="000000" w:themeColor="text1"/>
                    <w:sz w:val="18"/>
                    <w:szCs w:val="18"/>
                  </w:rPr>
                </w:pPr>
                <w:r>
                  <w:rPr>
                    <w:rFonts w:hint="eastAsia"/>
                    <w:color w:val="000000" w:themeColor="text1"/>
                    <w:sz w:val="18"/>
                    <w:szCs w:val="18"/>
                  </w:rPr>
                  <w:t>四、账面价值</w:t>
                </w:r>
              </w:p>
            </w:tc>
          </w:sdtContent>
        </w:sdt>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1.期末账面价值</w:t>
            </w:r>
          </w:p>
        </w:tc>
        <w:tc>
          <w:tcPr>
            <w:tcW w:w="883" w:type="pct"/>
            <w:shd w:val="clear" w:color="auto" w:fill="auto"/>
            <w:vAlign w:val="bottom"/>
          </w:tcPr>
          <w:p w:rsidR="00597370" w:rsidRDefault="003C2EEE">
            <w:pPr>
              <w:jc w:val="right"/>
              <w:rPr>
                <w:sz w:val="18"/>
                <w:szCs w:val="18"/>
              </w:rPr>
            </w:pPr>
            <w:r>
              <w:rPr>
                <w:rFonts w:hint="eastAsia"/>
                <w:color w:val="000000"/>
                <w:sz w:val="18"/>
                <w:szCs w:val="18"/>
              </w:rPr>
              <w:t xml:space="preserve"> 914,431,044.62 </w:t>
            </w:r>
          </w:p>
        </w:tc>
        <w:tc>
          <w:tcPr>
            <w:tcW w:w="884" w:type="pct"/>
            <w:shd w:val="clear" w:color="auto" w:fill="auto"/>
            <w:vAlign w:val="bottom"/>
          </w:tcPr>
          <w:p w:rsidR="00597370" w:rsidRDefault="003C2EEE">
            <w:pPr>
              <w:jc w:val="right"/>
              <w:rPr>
                <w:sz w:val="18"/>
                <w:szCs w:val="18"/>
              </w:rPr>
            </w:pPr>
            <w:r>
              <w:rPr>
                <w:rFonts w:hint="eastAsia"/>
                <w:color w:val="000000"/>
                <w:sz w:val="18"/>
                <w:szCs w:val="18"/>
              </w:rPr>
              <w:t xml:space="preserve"> 793,858,859.62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5,579,209.48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31,521,926.09 </w:t>
            </w: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1,745,391,039.80 </w:t>
            </w:r>
          </w:p>
        </w:tc>
      </w:tr>
      <w:tr w:rsidR="00597370">
        <w:tc>
          <w:tcPr>
            <w:tcW w:w="640" w:type="pct"/>
            <w:shd w:val="clear" w:color="auto" w:fill="auto"/>
          </w:tcPr>
          <w:p w:rsidR="00597370" w:rsidRDefault="003C2EEE">
            <w:pPr>
              <w:rPr>
                <w:color w:val="000000" w:themeColor="text1"/>
                <w:sz w:val="18"/>
                <w:szCs w:val="18"/>
              </w:rPr>
            </w:pPr>
            <w:r>
              <w:rPr>
                <w:color w:val="000000" w:themeColor="text1"/>
                <w:sz w:val="18"/>
                <w:szCs w:val="18"/>
              </w:rPr>
              <w:t>2.期初账面价值</w:t>
            </w:r>
          </w:p>
        </w:tc>
        <w:tc>
          <w:tcPr>
            <w:tcW w:w="883" w:type="pct"/>
            <w:shd w:val="clear" w:color="auto" w:fill="auto"/>
            <w:vAlign w:val="bottom"/>
          </w:tcPr>
          <w:p w:rsidR="00597370" w:rsidRDefault="003C2EEE">
            <w:pPr>
              <w:jc w:val="right"/>
              <w:rPr>
                <w:sz w:val="18"/>
                <w:szCs w:val="18"/>
              </w:rPr>
            </w:pPr>
            <w:r>
              <w:rPr>
                <w:rFonts w:hint="eastAsia"/>
                <w:color w:val="000000"/>
                <w:sz w:val="18"/>
                <w:szCs w:val="18"/>
              </w:rPr>
              <w:t xml:space="preserve"> 536,407,154.36 </w:t>
            </w:r>
          </w:p>
        </w:tc>
        <w:tc>
          <w:tcPr>
            <w:tcW w:w="884" w:type="pct"/>
            <w:shd w:val="clear" w:color="auto" w:fill="auto"/>
            <w:vAlign w:val="bottom"/>
          </w:tcPr>
          <w:p w:rsidR="00597370" w:rsidRDefault="003C2EEE">
            <w:pPr>
              <w:jc w:val="right"/>
              <w:rPr>
                <w:sz w:val="18"/>
                <w:szCs w:val="18"/>
              </w:rPr>
            </w:pPr>
            <w:r>
              <w:rPr>
                <w:rFonts w:hint="eastAsia"/>
                <w:color w:val="000000"/>
                <w:sz w:val="18"/>
                <w:szCs w:val="18"/>
              </w:rPr>
              <w:t xml:space="preserve"> 549,471,802.60 </w:t>
            </w:r>
          </w:p>
        </w:tc>
        <w:tc>
          <w:tcPr>
            <w:tcW w:w="803" w:type="pct"/>
            <w:shd w:val="clear" w:color="auto" w:fill="auto"/>
            <w:vAlign w:val="bottom"/>
          </w:tcPr>
          <w:p w:rsidR="00597370" w:rsidRDefault="003C2EEE">
            <w:pPr>
              <w:jc w:val="right"/>
              <w:rPr>
                <w:sz w:val="18"/>
                <w:szCs w:val="18"/>
              </w:rPr>
            </w:pPr>
            <w:r>
              <w:rPr>
                <w:rFonts w:hint="eastAsia"/>
                <w:color w:val="000000"/>
                <w:sz w:val="18"/>
                <w:szCs w:val="18"/>
              </w:rPr>
              <w:t xml:space="preserve"> 4,246,369.40 </w:t>
            </w:r>
          </w:p>
        </w:tc>
        <w:tc>
          <w:tcPr>
            <w:tcW w:w="866" w:type="pct"/>
            <w:shd w:val="clear" w:color="auto" w:fill="auto"/>
            <w:vAlign w:val="bottom"/>
          </w:tcPr>
          <w:p w:rsidR="00597370" w:rsidRDefault="003C2EEE">
            <w:pPr>
              <w:jc w:val="right"/>
              <w:rPr>
                <w:sz w:val="18"/>
                <w:szCs w:val="18"/>
              </w:rPr>
            </w:pPr>
            <w:r>
              <w:rPr>
                <w:rFonts w:hint="eastAsia"/>
                <w:color w:val="000000"/>
                <w:sz w:val="18"/>
                <w:szCs w:val="18"/>
              </w:rPr>
              <w:t xml:space="preserve"> 24,603,628.03 </w:t>
            </w:r>
          </w:p>
        </w:tc>
        <w:tc>
          <w:tcPr>
            <w:tcW w:w="924" w:type="pct"/>
            <w:shd w:val="clear" w:color="auto" w:fill="auto"/>
            <w:vAlign w:val="bottom"/>
          </w:tcPr>
          <w:p w:rsidR="00597370" w:rsidRDefault="003C2EEE">
            <w:pPr>
              <w:jc w:val="right"/>
              <w:rPr>
                <w:sz w:val="18"/>
                <w:szCs w:val="18"/>
              </w:rPr>
            </w:pPr>
            <w:r>
              <w:rPr>
                <w:rFonts w:hint="eastAsia"/>
                <w:color w:val="000000"/>
                <w:sz w:val="18"/>
                <w:szCs w:val="18"/>
              </w:rPr>
              <w:t xml:space="preserve"> 1,114,728,954.39 </w:t>
            </w:r>
          </w:p>
        </w:tc>
      </w:tr>
    </w:tbl>
    <w:p w:rsidR="00597370" w:rsidRDefault="00597370"/>
    <w:p w:rsidR="00597370" w:rsidRDefault="003C2EEE">
      <w:pPr>
        <w:pStyle w:val="Style110"/>
        <w:numPr>
          <w:ilvl w:val="0"/>
          <w:numId w:val="64"/>
        </w:numPr>
        <w:tabs>
          <w:tab w:val="left" w:pos="588"/>
        </w:tabs>
        <w:rPr>
          <w:rFonts w:ascii="宋体" w:hAnsi="宋体"/>
          <w:color w:val="000000" w:themeColor="text1"/>
          <w:szCs w:val="21"/>
        </w:rPr>
      </w:pPr>
      <w:r>
        <w:rPr>
          <w:rFonts w:ascii="宋体" w:hAnsi="宋体" w:hint="eastAsia"/>
          <w:color w:val="000000" w:themeColor="text1"/>
          <w:szCs w:val="21"/>
        </w:rPr>
        <w:t>暂时闲置的固定资产情况</w:t>
      </w:r>
    </w:p>
    <w:sdt>
      <w:sdtPr>
        <w:rPr>
          <w:color w:val="000000" w:themeColor="text1"/>
        </w:rPr>
        <w:alias w:val="是否适用：暂时闲置的固定资产情况[双击切换]"/>
        <w:tag w:val="_GBC_ca31f29118c7481f95f99a2655f8c1e1"/>
        <w:id w:val="-97722157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64"/>
        </w:numPr>
        <w:tabs>
          <w:tab w:val="left" w:pos="588"/>
        </w:tabs>
        <w:rPr>
          <w:rFonts w:ascii="宋体" w:hAnsi="宋体"/>
          <w:color w:val="000000" w:themeColor="text1"/>
          <w:szCs w:val="21"/>
        </w:rPr>
      </w:pPr>
      <w:r>
        <w:rPr>
          <w:rFonts w:ascii="宋体" w:hAnsi="宋体" w:hint="eastAsia"/>
          <w:color w:val="000000" w:themeColor="text1"/>
          <w:szCs w:val="21"/>
        </w:rPr>
        <w:t>通过经营租赁租出的固定资产</w:t>
      </w:r>
    </w:p>
    <w:sdt>
      <w:sdtPr>
        <w:rPr>
          <w:color w:val="000000" w:themeColor="text1"/>
        </w:rPr>
        <w:alias w:val="是否适用：通过经营租赁租出的固定资产[双击切换]"/>
        <w:tag w:val="_GBC_251e1c74f40b47869d759974b0f6a463"/>
        <w:id w:val="-156293591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64"/>
        </w:numPr>
        <w:tabs>
          <w:tab w:val="left" w:pos="588"/>
        </w:tabs>
        <w:rPr>
          <w:rFonts w:ascii="宋体" w:hAnsi="宋体"/>
          <w:color w:val="000000" w:themeColor="text1"/>
          <w:szCs w:val="21"/>
        </w:rPr>
      </w:pPr>
      <w:r>
        <w:rPr>
          <w:rFonts w:ascii="宋体" w:hAnsi="宋体" w:hint="eastAsia"/>
          <w:color w:val="000000" w:themeColor="text1"/>
          <w:szCs w:val="21"/>
        </w:rPr>
        <w:t>未办妥产权证书的固定资产情况</w:t>
      </w:r>
    </w:p>
    <w:sdt>
      <w:sdtPr>
        <w:rPr>
          <w:color w:val="000000" w:themeColor="text1"/>
        </w:rPr>
        <w:alias w:val="是否适用：未办妥产权证书的固定资产情况[双击切换]"/>
        <w:tag w:val="_GBC_a26aa363313e4c8fbedf9041cd41bfc9"/>
        <w:id w:val="167637995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未办妥产权证书的固定资产情况"/>
          <w:tag w:val="_GBC_b7780eb99c5c47be9731dc6ebe1dea77"/>
          <w:id w:val="-14230192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财务附注：未办妥产权证书的固定资产情况"/>
          <w:tag w:val="_GBC_07d37ddbabe745a3b375a7706f9047dc"/>
          <w:id w:val="-8594237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2965"/>
        <w:gridCol w:w="2984"/>
      </w:tblGrid>
      <w:tr w:rsidR="00597370">
        <w:sdt>
          <w:sdtPr>
            <w:rPr>
              <w:color w:val="000000" w:themeColor="text1"/>
            </w:rPr>
            <w:tag w:val="_PLD_1347e8d2222c4d13aa7c3569cd05e439"/>
            <w:id w:val="-1600335383"/>
          </w:sdtPr>
          <w:sdtEndPr/>
          <w:sdtContent>
            <w:tc>
              <w:tcPr>
                <w:tcW w:w="1628" w:type="pct"/>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e14c4b6f9d874d4c86e835843a896497"/>
            <w:id w:val="1230657192"/>
          </w:sdtPr>
          <w:sdtEndPr/>
          <w:sdtContent>
            <w:tc>
              <w:tcPr>
                <w:tcW w:w="1680" w:type="pct"/>
                <w:vAlign w:val="center"/>
              </w:tcPr>
              <w:p w:rsidR="00597370" w:rsidRDefault="003C2EEE">
                <w:pPr>
                  <w:jc w:val="center"/>
                  <w:rPr>
                    <w:color w:val="000000" w:themeColor="text1"/>
                  </w:rPr>
                </w:pPr>
                <w:r>
                  <w:rPr>
                    <w:rFonts w:hint="eastAsia"/>
                    <w:color w:val="000000" w:themeColor="text1"/>
                  </w:rPr>
                  <w:t>账面价值</w:t>
                </w:r>
              </w:p>
            </w:tc>
          </w:sdtContent>
        </w:sdt>
        <w:sdt>
          <w:sdtPr>
            <w:rPr>
              <w:color w:val="000000" w:themeColor="text1"/>
            </w:rPr>
            <w:tag w:val="_PLD_0735ea1c6b5c4a2395fde5f63b614530"/>
            <w:id w:val="1832329083"/>
          </w:sdtPr>
          <w:sdtEndPr/>
          <w:sdtContent>
            <w:tc>
              <w:tcPr>
                <w:tcW w:w="1690" w:type="pct"/>
                <w:vAlign w:val="center"/>
              </w:tcPr>
              <w:p w:rsidR="00597370" w:rsidRDefault="003C2EEE">
                <w:pPr>
                  <w:jc w:val="center"/>
                  <w:rPr>
                    <w:color w:val="000000" w:themeColor="text1"/>
                  </w:rPr>
                </w:pPr>
                <w:r>
                  <w:rPr>
                    <w:rFonts w:hint="eastAsia"/>
                    <w:color w:val="000000" w:themeColor="text1"/>
                  </w:rPr>
                  <w:t>未办妥产权证书的原因</w:t>
                </w:r>
              </w:p>
            </w:tc>
          </w:sdtContent>
        </w:sdt>
      </w:tr>
      <w:tr w:rsidR="00597370">
        <w:tc>
          <w:tcPr>
            <w:tcW w:w="1628" w:type="pct"/>
            <w:vAlign w:val="center"/>
          </w:tcPr>
          <w:p w:rsidR="00597370" w:rsidRDefault="003C2EEE">
            <w:pPr>
              <w:pStyle w:val="Style106"/>
              <w:jc w:val="center"/>
            </w:pPr>
            <w:r>
              <w:rPr>
                <w:rFonts w:hint="eastAsia"/>
              </w:rPr>
              <w:t>房屋及建筑物</w:t>
            </w:r>
          </w:p>
        </w:tc>
        <w:tc>
          <w:tcPr>
            <w:tcW w:w="1680" w:type="pct"/>
            <w:vAlign w:val="center"/>
          </w:tcPr>
          <w:p w:rsidR="00597370" w:rsidRDefault="003C2EEE">
            <w:pPr>
              <w:jc w:val="right"/>
            </w:pPr>
            <w:r>
              <w:rPr>
                <w:rFonts w:hint="eastAsia"/>
              </w:rPr>
              <w:t>24,814.27</w:t>
            </w:r>
          </w:p>
        </w:tc>
        <w:tc>
          <w:tcPr>
            <w:tcW w:w="1690" w:type="pct"/>
            <w:vAlign w:val="center"/>
          </w:tcPr>
          <w:p w:rsidR="00597370" w:rsidRDefault="003C2EEE">
            <w:pPr>
              <w:pStyle w:val="Style1851"/>
            </w:pPr>
            <w:r>
              <w:rPr>
                <w:rFonts w:ascii="宋体" w:hAnsi="宋体" w:hint="eastAsia"/>
              </w:rPr>
              <w:t>资产未完成整体验收，待验</w:t>
            </w:r>
            <w:proofErr w:type="gramStart"/>
            <w:r>
              <w:rPr>
                <w:rFonts w:ascii="宋体" w:hAnsi="宋体" w:hint="eastAsia"/>
              </w:rPr>
              <w:t>收完成</w:t>
            </w:r>
            <w:proofErr w:type="gramEnd"/>
            <w:r>
              <w:rPr>
                <w:rFonts w:ascii="宋体" w:hAnsi="宋体" w:hint="eastAsia"/>
              </w:rPr>
              <w:t>后方可办理</w:t>
            </w:r>
          </w:p>
        </w:tc>
      </w:tr>
      <w:tr w:rsidR="00597370">
        <w:tc>
          <w:tcPr>
            <w:tcW w:w="1628" w:type="pct"/>
          </w:tcPr>
          <w:p w:rsidR="00597370" w:rsidRDefault="003C2EEE">
            <w:pPr>
              <w:pStyle w:val="Style106"/>
            </w:pPr>
            <w:r>
              <w:t>合计</w:t>
            </w:r>
          </w:p>
        </w:tc>
        <w:tc>
          <w:tcPr>
            <w:tcW w:w="1680" w:type="pct"/>
          </w:tcPr>
          <w:p w:rsidR="00597370" w:rsidRDefault="003C2EEE">
            <w:pPr>
              <w:jc w:val="right"/>
            </w:pPr>
            <w:r>
              <w:rPr>
                <w:rFonts w:hint="eastAsia"/>
              </w:rPr>
              <w:t>24,814.27</w:t>
            </w:r>
          </w:p>
        </w:tc>
        <w:tc>
          <w:tcPr>
            <w:tcW w:w="1690" w:type="pct"/>
          </w:tcPr>
          <w:p w:rsidR="00597370" w:rsidRDefault="00597370">
            <w:pPr>
              <w:pStyle w:val="Style106"/>
            </w:pPr>
          </w:p>
        </w:tc>
      </w:tr>
    </w:tbl>
    <w:p w:rsidR="00597370" w:rsidRDefault="00597370">
      <w:pPr>
        <w:rPr>
          <w:color w:val="000000" w:themeColor="text1"/>
        </w:rPr>
      </w:pPr>
    </w:p>
    <w:p w:rsidR="00597370" w:rsidRDefault="003C2EEE">
      <w:pPr>
        <w:pStyle w:val="Style110"/>
        <w:numPr>
          <w:ilvl w:val="0"/>
          <w:numId w:val="64"/>
        </w:numPr>
        <w:tabs>
          <w:tab w:val="left" w:pos="588"/>
        </w:tabs>
        <w:rPr>
          <w:rFonts w:ascii="宋体" w:hAnsi="宋体"/>
          <w:color w:val="000000" w:themeColor="text1"/>
          <w:szCs w:val="21"/>
        </w:rPr>
      </w:pPr>
      <w:bookmarkStart w:id="281" w:name="_Hlk167957241"/>
      <w:bookmarkStart w:id="282" w:name="_Hlk153460880"/>
      <w:r>
        <w:rPr>
          <w:rFonts w:ascii="宋体" w:hAnsi="宋体" w:hint="eastAsia"/>
          <w:color w:val="000000" w:themeColor="text1"/>
          <w:szCs w:val="21"/>
        </w:rPr>
        <w:t>固定资产的减值测试情况</w:t>
      </w:r>
    </w:p>
    <w:sdt>
      <w:sdtPr>
        <w:rPr>
          <w:color w:val="000000" w:themeColor="text1"/>
        </w:rPr>
        <w:alias w:val="是否适用：减值测试情况[双击切换]"/>
        <w:tag w:val="_GBC_9a66caee6756422c9cb01da54631670e"/>
        <w:id w:val="-16032193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81"/>
    <w:bookmarkEnd w:id="282"/>
    <w:p w:rsidR="00597370" w:rsidRDefault="003C2EEE">
      <w:pPr>
        <w:rPr>
          <w:color w:val="000000" w:themeColor="text1"/>
        </w:rPr>
      </w:pPr>
      <w:r>
        <w:rPr>
          <w:rFonts w:hint="eastAsia"/>
          <w:color w:val="000000" w:themeColor="text1"/>
        </w:rPr>
        <w:t>其他说明：</w:t>
      </w:r>
    </w:p>
    <w:sdt>
      <w:sdtPr>
        <w:rPr>
          <w:color w:val="000000" w:themeColor="text1"/>
        </w:rPr>
        <w:alias w:val="是否适用：固定资产的说明[双击切换]"/>
        <w:tag w:val="_GBC_e2fd7087594d4949ada40807334de5fb"/>
        <w:id w:val="6243513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6"/>
        <w:ind w:left="105"/>
        <w:rPr>
          <w:color w:val="000000" w:themeColor="text1"/>
        </w:rPr>
      </w:pPr>
      <w:r>
        <w:rPr>
          <w:rFonts w:hint="eastAsia"/>
          <w:color w:val="000000" w:themeColor="text1"/>
        </w:rPr>
        <w:lastRenderedPageBreak/>
        <w:t>可收回金额按公允价值减去处置费用后的净额确定</w:t>
      </w:r>
    </w:p>
    <w:p w:rsidR="00597370" w:rsidRDefault="006840ED">
      <w:pPr>
        <w:tabs>
          <w:tab w:val="left" w:pos="3060"/>
        </w:tabs>
        <w:rPr>
          <w:color w:val="000000" w:themeColor="text1"/>
        </w:rPr>
      </w:pPr>
      <w:sdt>
        <w:sdtPr>
          <w:rPr>
            <w:color w:val="000000" w:themeColor="text1"/>
          </w:rPr>
          <w:alias w:val="是否适用：可收回金额按公允价值减去处置费用后的净额确定[双击切换]"/>
          <w:tag w:val="_GBC_77390c99cebf4796a804f10938056e25"/>
          <w:id w:val="1440253497"/>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pStyle w:val="6"/>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46c463cf31b641e1a10b87072f4f5f1d"/>
        <w:id w:val="-16602183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6"/>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f1fe3341ffe04c7abe39443a16532aa9"/>
        <w:id w:val="-17538178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6"/>
        <w:ind w:left="105"/>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bc90075330444257953b13cfc5cad49b"/>
        <w:id w:val="-175464862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固定资产的说明[双击切换]"/>
        <w:tag w:val="_GBC_e2fd7087594d4949ada40807334de5fb"/>
        <w:id w:val="77151927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固定资产的说明"/>
        <w:tag w:val="_GBC_1cd9f478e6f24b25af00fb54ff820976"/>
        <w:id w:val="357395803"/>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597370">
      <w:pPr>
        <w:rPr>
          <w:color w:val="000000" w:themeColor="text1"/>
        </w:rPr>
      </w:pPr>
    </w:p>
    <w:p w:rsidR="00597370" w:rsidRDefault="003C2EEE">
      <w:pPr>
        <w:pStyle w:val="Style110"/>
        <w:rPr>
          <w:rFonts w:ascii="宋体" w:hAnsi="宋体"/>
          <w:color w:val="000000" w:themeColor="text1"/>
        </w:rPr>
      </w:pPr>
      <w:r>
        <w:rPr>
          <w:rFonts w:ascii="宋体" w:hAnsi="宋体" w:hint="eastAsia"/>
          <w:color w:val="000000" w:themeColor="text1"/>
        </w:rPr>
        <w:t>固定资产清理</w:t>
      </w:r>
    </w:p>
    <w:sdt>
      <w:sdtPr>
        <w:rPr>
          <w:color w:val="000000" w:themeColor="text1"/>
        </w:rPr>
        <w:alias w:val="是否适用：固定资产清理[双击切换]"/>
        <w:tag w:val="_GBC_d005d220fbda4cd2a58ced6d0d7a1404"/>
        <w:id w:val="-168535818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固定资产清理"/>
          <w:tag w:val="_GBC_c77c37d4be5244c98a73ad0829a868ca"/>
          <w:id w:val="-14086861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固定资产清理"/>
          <w:tag w:val="_GBC_ebcb1df019d641a2bdbfc0fe4ec5e448"/>
          <w:id w:val="12996559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30" w:type="dxa"/>
        </w:tblCellMar>
        <w:tblLook w:val="04A0" w:firstRow="1" w:lastRow="0" w:firstColumn="1" w:lastColumn="0" w:noHBand="0" w:noVBand="1"/>
      </w:tblPr>
      <w:tblGrid>
        <w:gridCol w:w="2445"/>
        <w:gridCol w:w="3196"/>
        <w:gridCol w:w="3182"/>
      </w:tblGrid>
      <w:tr w:rsidR="00597370">
        <w:trPr>
          <w:trHeight w:val="397"/>
          <w:jc w:val="center"/>
        </w:trPr>
        <w:sdt>
          <w:sdtPr>
            <w:rPr>
              <w:color w:val="000000" w:themeColor="text1"/>
            </w:rPr>
            <w:tag w:val="_PLD_0c0b231ac6c548e1bff3e49f88bf6d0a"/>
            <w:id w:val="369652185"/>
          </w:sdtPr>
          <w:sdtEndPr/>
          <w:sdtContent>
            <w:tc>
              <w:tcPr>
                <w:tcW w:w="1386"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a026f90b6f2343ccbfe5d70bbff15ffc"/>
            <w:id w:val="-619067801"/>
          </w:sdtPr>
          <w:sdtEndPr/>
          <w:sdtContent>
            <w:tc>
              <w:tcPr>
                <w:tcW w:w="1811"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3f30c69a4984493cb128422af65300e8"/>
            <w:id w:val="-685208215"/>
          </w:sdtPr>
          <w:sdtEndPr/>
          <w:sdtContent>
            <w:tc>
              <w:tcPr>
                <w:tcW w:w="1803"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trHeight w:val="397"/>
          <w:jc w:val="center"/>
        </w:trPr>
        <w:tc>
          <w:tcPr>
            <w:tcW w:w="1386" w:type="pct"/>
            <w:shd w:val="clear" w:color="auto" w:fill="auto"/>
            <w:vAlign w:val="center"/>
          </w:tcPr>
          <w:p w:rsidR="00597370" w:rsidRDefault="003C2EEE">
            <w:pPr>
              <w:pStyle w:val="Style106"/>
              <w:jc w:val="both"/>
            </w:pPr>
            <w:r>
              <w:t>运输设备</w:t>
            </w:r>
          </w:p>
        </w:tc>
        <w:tc>
          <w:tcPr>
            <w:tcW w:w="1811" w:type="pct"/>
            <w:shd w:val="clear" w:color="auto" w:fill="auto"/>
            <w:vAlign w:val="center"/>
          </w:tcPr>
          <w:p w:rsidR="00597370" w:rsidRDefault="00597370">
            <w:pPr>
              <w:jc w:val="right"/>
            </w:pPr>
          </w:p>
        </w:tc>
        <w:tc>
          <w:tcPr>
            <w:tcW w:w="1803" w:type="pct"/>
            <w:shd w:val="clear" w:color="auto" w:fill="auto"/>
            <w:vAlign w:val="center"/>
          </w:tcPr>
          <w:p w:rsidR="00597370" w:rsidRDefault="003C2EEE">
            <w:pPr>
              <w:jc w:val="right"/>
            </w:pPr>
            <w:r>
              <w:t>17,801.70</w:t>
            </w:r>
          </w:p>
        </w:tc>
      </w:tr>
      <w:tr w:rsidR="00597370">
        <w:trPr>
          <w:trHeight w:val="397"/>
          <w:jc w:val="center"/>
        </w:trPr>
        <w:tc>
          <w:tcPr>
            <w:tcW w:w="1386" w:type="pct"/>
            <w:shd w:val="clear" w:color="auto" w:fill="auto"/>
            <w:vAlign w:val="center"/>
          </w:tcPr>
          <w:p w:rsidR="00597370" w:rsidRDefault="003C2EEE">
            <w:pPr>
              <w:pStyle w:val="Style106"/>
              <w:jc w:val="both"/>
            </w:pPr>
            <w:r>
              <w:t>机器设备</w:t>
            </w:r>
          </w:p>
        </w:tc>
        <w:tc>
          <w:tcPr>
            <w:tcW w:w="1811" w:type="pct"/>
            <w:shd w:val="clear" w:color="auto" w:fill="auto"/>
            <w:vAlign w:val="center"/>
          </w:tcPr>
          <w:p w:rsidR="00597370" w:rsidRDefault="003C2EEE">
            <w:pPr>
              <w:jc w:val="right"/>
            </w:pPr>
            <w:r>
              <w:rPr>
                <w:rFonts w:hint="eastAsia"/>
                <w:color w:val="000000"/>
              </w:rPr>
              <w:t xml:space="preserve"> 719,085.46 </w:t>
            </w:r>
          </w:p>
        </w:tc>
        <w:tc>
          <w:tcPr>
            <w:tcW w:w="1803" w:type="pct"/>
            <w:shd w:val="clear" w:color="auto" w:fill="auto"/>
            <w:vAlign w:val="center"/>
          </w:tcPr>
          <w:p w:rsidR="00597370" w:rsidRDefault="003C2EEE">
            <w:pPr>
              <w:jc w:val="right"/>
            </w:pPr>
            <w:r>
              <w:t>61,958.52</w:t>
            </w:r>
          </w:p>
        </w:tc>
      </w:tr>
      <w:tr w:rsidR="00597370">
        <w:trPr>
          <w:trHeight w:val="397"/>
          <w:jc w:val="center"/>
        </w:trPr>
        <w:tc>
          <w:tcPr>
            <w:tcW w:w="1386" w:type="pct"/>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1811" w:type="pct"/>
            <w:shd w:val="clear" w:color="auto" w:fill="auto"/>
            <w:vAlign w:val="center"/>
          </w:tcPr>
          <w:p w:rsidR="00597370" w:rsidRDefault="003C2EEE">
            <w:pPr>
              <w:jc w:val="right"/>
            </w:pPr>
            <w:r>
              <w:rPr>
                <w:rFonts w:hint="eastAsia"/>
                <w:color w:val="000000"/>
              </w:rPr>
              <w:t xml:space="preserve"> 719,085.46 </w:t>
            </w:r>
          </w:p>
        </w:tc>
        <w:tc>
          <w:tcPr>
            <w:tcW w:w="1803" w:type="pct"/>
            <w:shd w:val="clear" w:color="auto" w:fill="auto"/>
            <w:vAlign w:val="center"/>
          </w:tcPr>
          <w:p w:rsidR="00597370" w:rsidRDefault="003C2EEE">
            <w:pPr>
              <w:jc w:val="right"/>
            </w:pPr>
            <w:r>
              <w:t>79,760.22</w:t>
            </w:r>
          </w:p>
        </w:tc>
      </w:tr>
    </w:tbl>
    <w:p w:rsidR="00597370" w:rsidRDefault="003C2EEE">
      <w:pPr>
        <w:rPr>
          <w:color w:val="000000" w:themeColor="text1"/>
        </w:rPr>
      </w:pPr>
      <w:r>
        <w:rPr>
          <w:rFonts w:hint="eastAsia"/>
          <w:color w:val="000000" w:themeColor="text1"/>
        </w:rPr>
        <w:t>其他说明：</w:t>
      </w:r>
    </w:p>
    <w:sdt>
      <w:sdtPr>
        <w:rPr>
          <w:rFonts w:hint="eastAsia"/>
          <w:color w:val="000000" w:themeColor="text1"/>
        </w:rPr>
        <w:alias w:val="固定资产清理的说明"/>
        <w:tag w:val="_GBC_6081244c5732468ea4c4358acf71ff4e"/>
        <w:id w:val="1586190578"/>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在建工程</w:t>
      </w:r>
    </w:p>
    <w:p w:rsidR="00597370" w:rsidRDefault="003C2EEE">
      <w:pPr>
        <w:pStyle w:val="Style110"/>
        <w:rPr>
          <w:rFonts w:ascii="宋体" w:hAnsi="宋体"/>
          <w:color w:val="000000" w:themeColor="text1"/>
        </w:rPr>
      </w:pPr>
      <w:bookmarkStart w:id="283" w:name="_Hlk10472757"/>
      <w:r>
        <w:rPr>
          <w:rFonts w:ascii="宋体" w:hAnsi="宋体" w:hint="eastAsia"/>
          <w:color w:val="000000" w:themeColor="text1"/>
        </w:rPr>
        <w:t>项目列示</w:t>
      </w:r>
    </w:p>
    <w:sdt>
      <w:sdtPr>
        <w:rPr>
          <w:color w:val="000000" w:themeColor="text1"/>
        </w:rPr>
        <w:alias w:val="是否适用：在建工程分类列示[双击切换]"/>
        <w:tag w:val="_GBC_bcbd4315343844fc923825dd150041e5"/>
        <w:id w:val="-197027376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在建工程分类列示"/>
          <w:tag w:val="_GBC_9df8e16a6fb54a76b384d11e7a6dd52d"/>
          <w:id w:val="16014549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在建工程分类列示"/>
          <w:tag w:val="_GBC_17b0bdb7b5f24e599fcea2e90510306a"/>
          <w:id w:val="18096700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113"/>
        <w:gridCol w:w="2862"/>
        <w:gridCol w:w="2848"/>
      </w:tblGrid>
      <w:tr w:rsidR="00597370">
        <w:trPr>
          <w:cantSplit/>
          <w:trHeight w:val="397"/>
        </w:trPr>
        <w:sdt>
          <w:sdtPr>
            <w:rPr>
              <w:color w:val="000000" w:themeColor="text1"/>
            </w:rPr>
            <w:tag w:val="_PLD_3a34a6496ee4454093b17b19ba9b805d"/>
            <w:id w:val="-1223902660"/>
          </w:sdtPr>
          <w:sdtEndPr/>
          <w:sdtContent>
            <w:tc>
              <w:tcPr>
                <w:tcW w:w="1764" w:type="pct"/>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88973d2835334cdbb31181ad26b55912"/>
            <w:id w:val="122583794"/>
          </w:sdtPr>
          <w:sdtEndPr/>
          <w:sdtContent>
            <w:tc>
              <w:tcPr>
                <w:tcW w:w="1622" w:type="pct"/>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55f5bd8851c54b7897a165bee2df0273"/>
            <w:id w:val="-239954815"/>
          </w:sdtPr>
          <w:sdtEndPr/>
          <w:sdtContent>
            <w:tc>
              <w:tcPr>
                <w:tcW w:w="1614" w:type="pct"/>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cantSplit/>
          <w:trHeight w:val="397"/>
        </w:trPr>
        <w:tc>
          <w:tcPr>
            <w:tcW w:w="1764" w:type="pct"/>
            <w:vAlign w:val="center"/>
          </w:tcPr>
          <w:p w:rsidR="00597370" w:rsidRDefault="003C2EEE">
            <w:pPr>
              <w:tabs>
                <w:tab w:val="right" w:pos="3690"/>
                <w:tab w:val="right" w:pos="5130"/>
                <w:tab w:val="right" w:pos="6030"/>
                <w:tab w:val="right" w:pos="7650"/>
                <w:tab w:val="right" w:pos="9270"/>
              </w:tabs>
              <w:adjustRightInd w:val="0"/>
              <w:snapToGrid w:val="0"/>
              <w:jc w:val="both"/>
              <w:rPr>
                <w:color w:val="000000" w:themeColor="text1"/>
              </w:rPr>
            </w:pPr>
            <w:r>
              <w:rPr>
                <w:rFonts w:hint="eastAsia"/>
                <w:color w:val="000000" w:themeColor="text1"/>
              </w:rPr>
              <w:t>在建工程</w:t>
            </w:r>
          </w:p>
        </w:tc>
        <w:tc>
          <w:tcPr>
            <w:tcW w:w="1622" w:type="pct"/>
            <w:vAlign w:val="center"/>
          </w:tcPr>
          <w:p w:rsidR="00597370" w:rsidRDefault="003C2EEE">
            <w:pPr>
              <w:ind w:right="5"/>
              <w:jc w:val="right"/>
            </w:pPr>
            <w:r>
              <w:rPr>
                <w:rFonts w:hint="eastAsia"/>
                <w:color w:val="000000"/>
              </w:rPr>
              <w:t xml:space="preserve"> 304,657,035.73 </w:t>
            </w:r>
          </w:p>
        </w:tc>
        <w:tc>
          <w:tcPr>
            <w:tcW w:w="1614" w:type="pct"/>
            <w:vAlign w:val="center"/>
          </w:tcPr>
          <w:p w:rsidR="00597370" w:rsidRDefault="003C2EEE">
            <w:pPr>
              <w:ind w:right="5"/>
              <w:jc w:val="right"/>
            </w:pPr>
            <w:r>
              <w:t>376,194,776.83</w:t>
            </w:r>
          </w:p>
        </w:tc>
      </w:tr>
      <w:tr w:rsidR="00597370">
        <w:trPr>
          <w:cantSplit/>
          <w:trHeight w:val="397"/>
        </w:trPr>
        <w:tc>
          <w:tcPr>
            <w:tcW w:w="1764" w:type="pct"/>
            <w:vAlign w:val="center"/>
          </w:tcPr>
          <w:p w:rsidR="00597370" w:rsidRDefault="003C2EEE">
            <w:pPr>
              <w:tabs>
                <w:tab w:val="right" w:pos="3690"/>
                <w:tab w:val="right" w:pos="5130"/>
                <w:tab w:val="right" w:pos="6030"/>
                <w:tab w:val="right" w:pos="7650"/>
                <w:tab w:val="right" w:pos="9270"/>
              </w:tabs>
              <w:adjustRightInd w:val="0"/>
              <w:snapToGrid w:val="0"/>
              <w:jc w:val="both"/>
              <w:rPr>
                <w:color w:val="000000" w:themeColor="text1"/>
              </w:rPr>
            </w:pPr>
            <w:r>
              <w:rPr>
                <w:rFonts w:hint="eastAsia"/>
                <w:color w:val="000000" w:themeColor="text1"/>
              </w:rPr>
              <w:t>工程物资</w:t>
            </w:r>
          </w:p>
        </w:tc>
        <w:tc>
          <w:tcPr>
            <w:tcW w:w="1622" w:type="pct"/>
            <w:vAlign w:val="center"/>
          </w:tcPr>
          <w:p w:rsidR="00597370" w:rsidRDefault="003C2EEE">
            <w:pPr>
              <w:ind w:right="5"/>
              <w:jc w:val="right"/>
            </w:pPr>
            <w:r>
              <w:rPr>
                <w:rFonts w:hint="eastAsia"/>
                <w:color w:val="000000"/>
              </w:rPr>
              <w:t xml:space="preserve"> 1,377,580.76 </w:t>
            </w:r>
          </w:p>
        </w:tc>
        <w:tc>
          <w:tcPr>
            <w:tcW w:w="1614" w:type="pct"/>
            <w:vAlign w:val="center"/>
          </w:tcPr>
          <w:p w:rsidR="00597370" w:rsidRDefault="003C2EEE">
            <w:pPr>
              <w:ind w:right="5"/>
              <w:jc w:val="right"/>
            </w:pPr>
            <w:r>
              <w:t>1,612,357.92</w:t>
            </w:r>
          </w:p>
        </w:tc>
      </w:tr>
      <w:tr w:rsidR="00597370">
        <w:trPr>
          <w:cantSplit/>
          <w:trHeight w:val="397"/>
        </w:trPr>
        <w:tc>
          <w:tcPr>
            <w:tcW w:w="1764" w:type="pct"/>
            <w:vAlign w:val="center"/>
          </w:tcPr>
          <w:p w:rsidR="00597370" w:rsidRDefault="003C2EEE">
            <w:pPr>
              <w:autoSpaceDE w:val="0"/>
              <w:autoSpaceDN w:val="0"/>
              <w:adjustRightInd w:val="0"/>
              <w:jc w:val="center"/>
              <w:rPr>
                <w:color w:val="000000" w:themeColor="text1"/>
              </w:rPr>
            </w:pPr>
            <w:r>
              <w:rPr>
                <w:rFonts w:hint="eastAsia"/>
                <w:color w:val="000000" w:themeColor="text1"/>
              </w:rPr>
              <w:t>合计</w:t>
            </w:r>
          </w:p>
        </w:tc>
        <w:tc>
          <w:tcPr>
            <w:tcW w:w="1622" w:type="pct"/>
            <w:vAlign w:val="center"/>
          </w:tcPr>
          <w:p w:rsidR="00597370" w:rsidRDefault="003C2EEE">
            <w:pPr>
              <w:jc w:val="right"/>
            </w:pPr>
            <w:r>
              <w:t>306,034,616.49</w:t>
            </w:r>
          </w:p>
        </w:tc>
        <w:tc>
          <w:tcPr>
            <w:tcW w:w="1614" w:type="pct"/>
            <w:vAlign w:val="center"/>
          </w:tcPr>
          <w:p w:rsidR="00597370" w:rsidRDefault="003C2EEE">
            <w:pPr>
              <w:ind w:right="5"/>
              <w:jc w:val="right"/>
            </w:pPr>
            <w:r>
              <w:t>377,807,134.75</w:t>
            </w:r>
          </w:p>
        </w:tc>
      </w:tr>
    </w:tbl>
    <w:p w:rsidR="00597370" w:rsidRDefault="003C2EEE">
      <w:pPr>
        <w:rPr>
          <w:color w:val="000000" w:themeColor="text1"/>
        </w:rPr>
      </w:pPr>
      <w:bookmarkStart w:id="284" w:name="_Hlk10472837"/>
      <w:bookmarkStart w:id="285" w:name="_Hlk10472848"/>
      <w:bookmarkEnd w:id="283"/>
      <w:r>
        <w:rPr>
          <w:rFonts w:hint="eastAsia"/>
          <w:color w:val="000000" w:themeColor="text1"/>
        </w:rPr>
        <w:t>其他说明：</w:t>
      </w:r>
      <w:bookmarkEnd w:id="284"/>
    </w:p>
    <w:p w:rsidR="00597370" w:rsidRDefault="006840ED">
      <w:pPr>
        <w:rPr>
          <w:color w:val="000000" w:themeColor="text1"/>
        </w:rPr>
      </w:pPr>
      <w:sdt>
        <w:sdtPr>
          <w:rPr>
            <w:color w:val="000000" w:themeColor="text1"/>
          </w:rPr>
          <w:alias w:val="在建工程分类列示其他说明"/>
          <w:tag w:val="_GBC_ebe1a06b82914095a2c469c32c78af71"/>
          <w:id w:val="-2087219346"/>
          <w:placeholder>
            <w:docPart w:val="GBC22222222222222222222222222222"/>
          </w:placeholder>
        </w:sdtPr>
        <w:sdtEndPr/>
        <w:sdtContent>
          <w:r w:rsidR="003C2EEE">
            <w:rPr>
              <w:rFonts w:hint="eastAsia"/>
              <w:color w:val="000000" w:themeColor="text1"/>
            </w:rPr>
            <w:t>无</w:t>
          </w:r>
        </w:sdtContent>
      </w:sdt>
      <w:bookmarkEnd w:id="285"/>
    </w:p>
    <w:p w:rsidR="00597370" w:rsidRDefault="003C2EEE">
      <w:pPr>
        <w:pStyle w:val="Style110"/>
        <w:rPr>
          <w:rFonts w:ascii="宋体" w:hAnsi="宋体"/>
          <w:color w:val="000000" w:themeColor="text1"/>
        </w:rPr>
      </w:pPr>
      <w:r>
        <w:rPr>
          <w:rFonts w:ascii="宋体" w:hAnsi="宋体" w:hint="eastAsia"/>
          <w:color w:val="000000" w:themeColor="text1"/>
        </w:rPr>
        <w:t>在建工程</w:t>
      </w:r>
    </w:p>
    <w:p w:rsidR="00597370" w:rsidRDefault="003C2EEE">
      <w:pPr>
        <w:pStyle w:val="Style110"/>
        <w:numPr>
          <w:ilvl w:val="0"/>
          <w:numId w:val="65"/>
        </w:numPr>
        <w:tabs>
          <w:tab w:val="left" w:pos="588"/>
        </w:tabs>
        <w:rPr>
          <w:rFonts w:ascii="宋体" w:hAnsi="宋体"/>
          <w:color w:val="000000" w:themeColor="text1"/>
          <w:szCs w:val="21"/>
        </w:rPr>
      </w:pPr>
      <w:r>
        <w:rPr>
          <w:rFonts w:ascii="宋体" w:hAnsi="宋体" w:hint="eastAsia"/>
          <w:color w:val="000000" w:themeColor="text1"/>
          <w:szCs w:val="21"/>
        </w:rPr>
        <w:t>在建工程情况</w:t>
      </w:r>
    </w:p>
    <w:sdt>
      <w:sdtPr>
        <w:rPr>
          <w:color w:val="000000" w:themeColor="text1"/>
        </w:rPr>
        <w:alias w:val="是否适用：在建工程情况[双击切换]"/>
        <w:tag w:val="_GBC_d9828cc7ad534f26902e1979f9d67530"/>
        <w:id w:val="-81085978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在建工程"/>
          <w:tag w:val="_GBC_d20598ce3f5b4d21a9055de674936a9a"/>
          <w:id w:val="-12559737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在建工程"/>
          <w:tag w:val="_GBC_9e96d736daa247dd96af144329fff105"/>
          <w:id w:val="-16331655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668"/>
        <w:gridCol w:w="1428"/>
        <w:gridCol w:w="826"/>
        <w:gridCol w:w="1396"/>
        <w:gridCol w:w="1329"/>
        <w:gridCol w:w="743"/>
        <w:gridCol w:w="1433"/>
      </w:tblGrid>
      <w:tr w:rsidR="00597370">
        <w:trPr>
          <w:cantSplit/>
        </w:trPr>
        <w:sdt>
          <w:sdtPr>
            <w:rPr>
              <w:color w:val="000000" w:themeColor="text1"/>
              <w:sz w:val="18"/>
              <w:szCs w:val="18"/>
            </w:rPr>
            <w:tag w:val="_PLD_27b31695edfd49cb9cafa333777d18c3"/>
            <w:id w:val="-1270235227"/>
          </w:sdtPr>
          <w:sdtEndPr/>
          <w:sdtContent>
            <w:tc>
              <w:tcPr>
                <w:tcW w:w="945" w:type="pct"/>
                <w:vMerge w:val="restart"/>
                <w:vAlign w:val="center"/>
              </w:tcPr>
              <w:p w:rsidR="00597370" w:rsidRDefault="003C2EEE">
                <w:pPr>
                  <w:jc w:val="center"/>
                  <w:rPr>
                    <w:color w:val="000000" w:themeColor="text1"/>
                    <w:sz w:val="18"/>
                    <w:szCs w:val="18"/>
                  </w:rPr>
                </w:pPr>
                <w:r>
                  <w:rPr>
                    <w:rFonts w:hint="eastAsia"/>
                    <w:color w:val="000000" w:themeColor="text1"/>
                    <w:sz w:val="18"/>
                    <w:szCs w:val="18"/>
                  </w:rPr>
                  <w:t>项目</w:t>
                </w:r>
              </w:p>
            </w:tc>
          </w:sdtContent>
        </w:sdt>
        <w:sdt>
          <w:sdtPr>
            <w:rPr>
              <w:color w:val="000000" w:themeColor="text1"/>
              <w:sz w:val="18"/>
              <w:szCs w:val="18"/>
            </w:rPr>
            <w:tag w:val="_PLD_a5273bde7b2f4c6c8fbe3ea2d7a7eb84"/>
            <w:id w:val="1968931160"/>
          </w:sdtPr>
          <w:sdtEndPr/>
          <w:sdtContent>
            <w:tc>
              <w:tcPr>
                <w:tcW w:w="2068" w:type="pct"/>
                <w:gridSpan w:val="3"/>
                <w:vAlign w:val="center"/>
              </w:tcPr>
              <w:p w:rsidR="00597370" w:rsidRDefault="003C2EEE">
                <w:pPr>
                  <w:jc w:val="center"/>
                  <w:rPr>
                    <w:color w:val="000000" w:themeColor="text1"/>
                    <w:sz w:val="18"/>
                    <w:szCs w:val="18"/>
                  </w:rPr>
                </w:pPr>
                <w:r>
                  <w:rPr>
                    <w:rFonts w:hint="eastAsia"/>
                    <w:color w:val="000000" w:themeColor="text1"/>
                    <w:sz w:val="18"/>
                    <w:szCs w:val="18"/>
                  </w:rPr>
                  <w:t>期末余额</w:t>
                </w:r>
              </w:p>
            </w:tc>
          </w:sdtContent>
        </w:sdt>
        <w:sdt>
          <w:sdtPr>
            <w:rPr>
              <w:color w:val="000000" w:themeColor="text1"/>
              <w:sz w:val="18"/>
              <w:szCs w:val="18"/>
            </w:rPr>
            <w:tag w:val="_PLD_ac57490b080449c8b91be5a872e19f79"/>
            <w:id w:val="1491995081"/>
          </w:sdtPr>
          <w:sdtEndPr/>
          <w:sdtContent>
            <w:tc>
              <w:tcPr>
                <w:tcW w:w="1986" w:type="pct"/>
                <w:gridSpan w:val="3"/>
                <w:vAlign w:val="center"/>
              </w:tcPr>
              <w:p w:rsidR="00597370" w:rsidRDefault="003C2EEE">
                <w:pPr>
                  <w:jc w:val="center"/>
                  <w:rPr>
                    <w:color w:val="000000" w:themeColor="text1"/>
                    <w:sz w:val="18"/>
                    <w:szCs w:val="18"/>
                  </w:rPr>
                </w:pPr>
                <w:r>
                  <w:rPr>
                    <w:rFonts w:hint="eastAsia"/>
                    <w:color w:val="000000" w:themeColor="text1"/>
                    <w:sz w:val="18"/>
                    <w:szCs w:val="18"/>
                  </w:rPr>
                  <w:t>期初余额</w:t>
                </w:r>
              </w:p>
            </w:tc>
          </w:sdtContent>
        </w:sdt>
      </w:tr>
      <w:tr w:rsidR="00597370">
        <w:trPr>
          <w:cantSplit/>
        </w:trPr>
        <w:tc>
          <w:tcPr>
            <w:tcW w:w="945" w:type="pct"/>
            <w:vMerge/>
            <w:vAlign w:val="center"/>
          </w:tcPr>
          <w:p w:rsidR="00597370" w:rsidRDefault="00597370">
            <w:pPr>
              <w:tabs>
                <w:tab w:val="left" w:pos="420"/>
              </w:tabs>
              <w:ind w:left="420" w:hanging="420"/>
              <w:jc w:val="center"/>
              <w:rPr>
                <w:color w:val="000000" w:themeColor="text1"/>
                <w:sz w:val="18"/>
                <w:szCs w:val="18"/>
              </w:rPr>
            </w:pPr>
          </w:p>
        </w:tc>
        <w:sdt>
          <w:sdtPr>
            <w:rPr>
              <w:color w:val="000000" w:themeColor="text1"/>
              <w:sz w:val="18"/>
              <w:szCs w:val="18"/>
            </w:rPr>
            <w:tag w:val="_PLD_1d60491359e245e7bc54655c8c8c15fd"/>
            <w:id w:val="-1650436108"/>
          </w:sdtPr>
          <w:sdtEndPr/>
          <w:sdtContent>
            <w:tc>
              <w:tcPr>
                <w:tcW w:w="809" w:type="pct"/>
                <w:vAlign w:val="center"/>
              </w:tcPr>
              <w:p w:rsidR="00597370" w:rsidRDefault="003C2EEE">
                <w:pPr>
                  <w:tabs>
                    <w:tab w:val="left" w:pos="420"/>
                  </w:tabs>
                  <w:ind w:left="420" w:hanging="420"/>
                  <w:jc w:val="center"/>
                  <w:rPr>
                    <w:color w:val="000000" w:themeColor="text1"/>
                    <w:sz w:val="18"/>
                    <w:szCs w:val="18"/>
                  </w:rPr>
                </w:pPr>
                <w:r>
                  <w:rPr>
                    <w:rFonts w:hint="eastAsia"/>
                    <w:color w:val="000000" w:themeColor="text1"/>
                    <w:sz w:val="18"/>
                    <w:szCs w:val="18"/>
                  </w:rPr>
                  <w:t>账面余额</w:t>
                </w:r>
              </w:p>
            </w:tc>
          </w:sdtContent>
        </w:sdt>
        <w:sdt>
          <w:sdtPr>
            <w:rPr>
              <w:color w:val="000000" w:themeColor="text1"/>
              <w:sz w:val="18"/>
              <w:szCs w:val="18"/>
            </w:rPr>
            <w:tag w:val="_PLD_d5d8fa5186d44c82b146ad7151830389"/>
            <w:id w:val="-2091691571"/>
          </w:sdtPr>
          <w:sdtEndPr/>
          <w:sdtContent>
            <w:tc>
              <w:tcPr>
                <w:tcW w:w="468" w:type="pct"/>
                <w:vAlign w:val="center"/>
              </w:tcPr>
              <w:p w:rsidR="00597370" w:rsidRDefault="003C2EEE">
                <w:pPr>
                  <w:tabs>
                    <w:tab w:val="left" w:pos="420"/>
                  </w:tabs>
                  <w:ind w:left="420" w:hanging="420"/>
                  <w:jc w:val="center"/>
                  <w:rPr>
                    <w:color w:val="000000" w:themeColor="text1"/>
                    <w:sz w:val="18"/>
                    <w:szCs w:val="18"/>
                  </w:rPr>
                </w:pPr>
                <w:r>
                  <w:rPr>
                    <w:rFonts w:hint="eastAsia"/>
                    <w:color w:val="000000" w:themeColor="text1"/>
                    <w:sz w:val="18"/>
                    <w:szCs w:val="18"/>
                  </w:rPr>
                  <w:t>减值准备</w:t>
                </w:r>
              </w:p>
            </w:tc>
          </w:sdtContent>
        </w:sdt>
        <w:sdt>
          <w:sdtPr>
            <w:rPr>
              <w:color w:val="000000" w:themeColor="text1"/>
              <w:sz w:val="18"/>
              <w:szCs w:val="18"/>
            </w:rPr>
            <w:tag w:val="_PLD_49aa1c2d25814b789479d76afb6fc844"/>
            <w:id w:val="1967237099"/>
          </w:sdtPr>
          <w:sdtEndPr/>
          <w:sdtContent>
            <w:tc>
              <w:tcPr>
                <w:tcW w:w="791" w:type="pct"/>
                <w:vAlign w:val="center"/>
              </w:tcPr>
              <w:p w:rsidR="00597370" w:rsidRDefault="003C2EEE">
                <w:pPr>
                  <w:tabs>
                    <w:tab w:val="left" w:pos="420"/>
                  </w:tabs>
                  <w:ind w:left="420" w:hanging="420"/>
                  <w:jc w:val="center"/>
                  <w:rPr>
                    <w:color w:val="000000" w:themeColor="text1"/>
                    <w:sz w:val="18"/>
                    <w:szCs w:val="18"/>
                  </w:rPr>
                </w:pPr>
                <w:r>
                  <w:rPr>
                    <w:rFonts w:hint="eastAsia"/>
                    <w:color w:val="000000" w:themeColor="text1"/>
                    <w:sz w:val="18"/>
                    <w:szCs w:val="18"/>
                  </w:rPr>
                  <w:t>账面价值</w:t>
                </w:r>
              </w:p>
            </w:tc>
          </w:sdtContent>
        </w:sdt>
        <w:sdt>
          <w:sdtPr>
            <w:rPr>
              <w:color w:val="000000" w:themeColor="text1"/>
              <w:sz w:val="18"/>
              <w:szCs w:val="18"/>
            </w:rPr>
            <w:tag w:val="_PLD_4bba2db5e5a549ecafbf4e94a7af2e35"/>
            <w:id w:val="1362247934"/>
          </w:sdtPr>
          <w:sdtEndPr/>
          <w:sdtContent>
            <w:tc>
              <w:tcPr>
                <w:tcW w:w="753" w:type="pct"/>
                <w:vAlign w:val="center"/>
              </w:tcPr>
              <w:p w:rsidR="00597370" w:rsidRDefault="003C2EEE">
                <w:pPr>
                  <w:tabs>
                    <w:tab w:val="left" w:pos="420"/>
                  </w:tabs>
                  <w:ind w:left="420" w:hanging="420"/>
                  <w:jc w:val="center"/>
                  <w:rPr>
                    <w:color w:val="000000" w:themeColor="text1"/>
                    <w:sz w:val="18"/>
                    <w:szCs w:val="18"/>
                  </w:rPr>
                </w:pPr>
                <w:r>
                  <w:rPr>
                    <w:rFonts w:hint="eastAsia"/>
                    <w:color w:val="000000" w:themeColor="text1"/>
                    <w:sz w:val="18"/>
                    <w:szCs w:val="18"/>
                  </w:rPr>
                  <w:t>账面余额</w:t>
                </w:r>
              </w:p>
            </w:tc>
          </w:sdtContent>
        </w:sdt>
        <w:sdt>
          <w:sdtPr>
            <w:rPr>
              <w:color w:val="000000" w:themeColor="text1"/>
              <w:sz w:val="18"/>
              <w:szCs w:val="18"/>
            </w:rPr>
            <w:tag w:val="_PLD_e054d8cd1e1b4672ae08a495b587bdce"/>
            <w:id w:val="-1802219457"/>
          </w:sdtPr>
          <w:sdtEndPr/>
          <w:sdtContent>
            <w:tc>
              <w:tcPr>
                <w:tcW w:w="421" w:type="pct"/>
                <w:vAlign w:val="center"/>
              </w:tcPr>
              <w:p w:rsidR="00597370" w:rsidRDefault="003C2EEE">
                <w:pPr>
                  <w:tabs>
                    <w:tab w:val="left" w:pos="420"/>
                  </w:tabs>
                  <w:ind w:left="420" w:hanging="420"/>
                  <w:jc w:val="center"/>
                  <w:rPr>
                    <w:color w:val="000000" w:themeColor="text1"/>
                    <w:sz w:val="18"/>
                    <w:szCs w:val="18"/>
                  </w:rPr>
                </w:pPr>
                <w:r>
                  <w:rPr>
                    <w:rFonts w:hint="eastAsia"/>
                    <w:color w:val="000000" w:themeColor="text1"/>
                    <w:sz w:val="18"/>
                    <w:szCs w:val="18"/>
                  </w:rPr>
                  <w:t>减值准备</w:t>
                </w:r>
              </w:p>
            </w:tc>
          </w:sdtContent>
        </w:sdt>
        <w:sdt>
          <w:sdtPr>
            <w:rPr>
              <w:color w:val="000000" w:themeColor="text1"/>
              <w:sz w:val="18"/>
              <w:szCs w:val="18"/>
            </w:rPr>
            <w:tag w:val="_PLD_bd3055c2713a44fa9cbd3fd973d34c6a"/>
            <w:id w:val="-619994049"/>
          </w:sdtPr>
          <w:sdtEndPr/>
          <w:sdtContent>
            <w:tc>
              <w:tcPr>
                <w:tcW w:w="812" w:type="pct"/>
                <w:vAlign w:val="center"/>
              </w:tcPr>
              <w:p w:rsidR="00597370" w:rsidRDefault="003C2EEE">
                <w:pPr>
                  <w:tabs>
                    <w:tab w:val="left" w:pos="420"/>
                  </w:tabs>
                  <w:ind w:left="420" w:hanging="420"/>
                  <w:jc w:val="center"/>
                  <w:rPr>
                    <w:color w:val="000000" w:themeColor="text1"/>
                    <w:sz w:val="18"/>
                    <w:szCs w:val="18"/>
                  </w:rPr>
                </w:pPr>
                <w:r>
                  <w:rPr>
                    <w:rFonts w:hint="eastAsia"/>
                    <w:color w:val="000000" w:themeColor="text1"/>
                    <w:sz w:val="18"/>
                    <w:szCs w:val="18"/>
                  </w:rPr>
                  <w:t>账面价值</w:t>
                </w:r>
              </w:p>
            </w:tc>
          </w:sdtContent>
        </w:sdt>
      </w:tr>
      <w:tr w:rsidR="00597370">
        <w:trPr>
          <w:cantSplit/>
        </w:trPr>
        <w:tc>
          <w:tcPr>
            <w:tcW w:w="945" w:type="pct"/>
            <w:vAlign w:val="center"/>
          </w:tcPr>
          <w:p w:rsidR="00597370" w:rsidRDefault="003C2EEE">
            <w:pPr>
              <w:pStyle w:val="Style106"/>
              <w:rPr>
                <w:sz w:val="18"/>
                <w:szCs w:val="18"/>
              </w:rPr>
            </w:pPr>
            <w:r>
              <w:rPr>
                <w:rFonts w:hint="eastAsia"/>
                <w:sz w:val="18"/>
                <w:szCs w:val="18"/>
              </w:rPr>
              <w:t>八万吨高端磁性新材料项目</w:t>
            </w:r>
          </w:p>
        </w:tc>
        <w:tc>
          <w:tcPr>
            <w:tcW w:w="809" w:type="pct"/>
            <w:vAlign w:val="bottom"/>
          </w:tcPr>
          <w:p w:rsidR="00597370" w:rsidRDefault="003C2EEE">
            <w:pPr>
              <w:ind w:right="105"/>
              <w:jc w:val="right"/>
              <w:rPr>
                <w:sz w:val="18"/>
                <w:szCs w:val="18"/>
              </w:rPr>
            </w:pPr>
            <w:r>
              <w:rPr>
                <w:sz w:val="18"/>
                <w:szCs w:val="18"/>
              </w:rPr>
              <w:t>107,121,674.56</w:t>
            </w:r>
          </w:p>
        </w:tc>
        <w:tc>
          <w:tcPr>
            <w:tcW w:w="468" w:type="pct"/>
            <w:vAlign w:val="bottom"/>
          </w:tcPr>
          <w:p w:rsidR="00597370" w:rsidRDefault="003C2EEE">
            <w:pPr>
              <w:ind w:right="73"/>
              <w:jc w:val="right"/>
              <w:rPr>
                <w:sz w:val="18"/>
                <w:szCs w:val="18"/>
              </w:rPr>
            </w:pPr>
            <w:r>
              <w:rPr>
                <w:sz w:val="18"/>
                <w:szCs w:val="18"/>
              </w:rPr>
              <w:t xml:space="preserve"> - </w:t>
            </w:r>
          </w:p>
        </w:tc>
        <w:tc>
          <w:tcPr>
            <w:tcW w:w="791" w:type="pct"/>
            <w:vAlign w:val="bottom"/>
          </w:tcPr>
          <w:p w:rsidR="00597370" w:rsidRDefault="003C2EEE">
            <w:pPr>
              <w:ind w:right="73"/>
              <w:jc w:val="right"/>
              <w:rPr>
                <w:sz w:val="18"/>
                <w:szCs w:val="18"/>
              </w:rPr>
            </w:pPr>
            <w:r>
              <w:rPr>
                <w:sz w:val="18"/>
                <w:szCs w:val="18"/>
              </w:rPr>
              <w:t>107,121,674.56</w:t>
            </w:r>
          </w:p>
        </w:tc>
        <w:tc>
          <w:tcPr>
            <w:tcW w:w="753" w:type="pct"/>
            <w:vAlign w:val="bottom"/>
          </w:tcPr>
          <w:p w:rsidR="00597370" w:rsidRDefault="003C2EEE">
            <w:pPr>
              <w:jc w:val="right"/>
              <w:rPr>
                <w:rFonts w:asciiTheme="minorEastAsia" w:eastAsiaTheme="minorEastAsia" w:hAnsiTheme="minorEastAsia"/>
                <w:sz w:val="18"/>
                <w:szCs w:val="18"/>
              </w:rPr>
            </w:pPr>
            <w:r>
              <w:rPr>
                <w:sz w:val="18"/>
                <w:szCs w:val="18"/>
              </w:rPr>
              <w:t xml:space="preserve"> 157,827,852.37 </w:t>
            </w:r>
          </w:p>
        </w:tc>
        <w:tc>
          <w:tcPr>
            <w:tcW w:w="421" w:type="pct"/>
            <w:vAlign w:val="center"/>
          </w:tcPr>
          <w:p w:rsidR="00597370" w:rsidRDefault="00597370">
            <w:pPr>
              <w:jc w:val="center"/>
              <w:rPr>
                <w:rFonts w:asciiTheme="minorEastAsia" w:eastAsiaTheme="minorEastAsia" w:hAnsiTheme="minorEastAsia"/>
                <w:sz w:val="18"/>
                <w:szCs w:val="18"/>
              </w:rPr>
            </w:pPr>
          </w:p>
        </w:tc>
        <w:tc>
          <w:tcPr>
            <w:tcW w:w="812" w:type="pct"/>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157,827,852.37</w:t>
            </w:r>
          </w:p>
        </w:tc>
      </w:tr>
      <w:tr w:rsidR="00597370">
        <w:trPr>
          <w:cantSplit/>
        </w:trPr>
        <w:tc>
          <w:tcPr>
            <w:tcW w:w="945" w:type="pct"/>
            <w:vAlign w:val="center"/>
          </w:tcPr>
          <w:p w:rsidR="00597370" w:rsidRDefault="003C2EEE">
            <w:pPr>
              <w:pStyle w:val="Style106"/>
              <w:rPr>
                <w:sz w:val="18"/>
                <w:szCs w:val="18"/>
              </w:rPr>
            </w:pPr>
            <w:r>
              <w:rPr>
                <w:rFonts w:hint="eastAsia"/>
                <w:sz w:val="18"/>
                <w:szCs w:val="18"/>
              </w:rPr>
              <w:t>智能成套电气设备产业基地建设项目</w:t>
            </w:r>
          </w:p>
        </w:tc>
        <w:tc>
          <w:tcPr>
            <w:tcW w:w="809" w:type="pct"/>
            <w:vAlign w:val="bottom"/>
          </w:tcPr>
          <w:p w:rsidR="00597370" w:rsidRDefault="00597370">
            <w:pPr>
              <w:ind w:right="105"/>
              <w:jc w:val="right"/>
              <w:rPr>
                <w:sz w:val="18"/>
                <w:szCs w:val="18"/>
              </w:rPr>
            </w:pPr>
          </w:p>
        </w:tc>
        <w:tc>
          <w:tcPr>
            <w:tcW w:w="468" w:type="pct"/>
            <w:vAlign w:val="bottom"/>
          </w:tcPr>
          <w:p w:rsidR="00597370" w:rsidRDefault="00597370">
            <w:pPr>
              <w:ind w:right="73"/>
              <w:jc w:val="right"/>
              <w:rPr>
                <w:sz w:val="18"/>
                <w:szCs w:val="18"/>
              </w:rPr>
            </w:pPr>
          </w:p>
        </w:tc>
        <w:tc>
          <w:tcPr>
            <w:tcW w:w="791" w:type="pct"/>
            <w:vAlign w:val="bottom"/>
          </w:tcPr>
          <w:p w:rsidR="00597370" w:rsidRDefault="00597370">
            <w:pPr>
              <w:ind w:right="73"/>
              <w:jc w:val="right"/>
              <w:rPr>
                <w:sz w:val="18"/>
                <w:szCs w:val="18"/>
              </w:rPr>
            </w:pPr>
          </w:p>
        </w:tc>
        <w:tc>
          <w:tcPr>
            <w:tcW w:w="753" w:type="pct"/>
            <w:vAlign w:val="bottom"/>
          </w:tcPr>
          <w:p w:rsidR="00597370" w:rsidRDefault="003C2EEE">
            <w:pPr>
              <w:jc w:val="right"/>
              <w:rPr>
                <w:rFonts w:asciiTheme="minorEastAsia" w:eastAsiaTheme="minorEastAsia" w:hAnsiTheme="minorEastAsia"/>
                <w:sz w:val="18"/>
                <w:szCs w:val="18"/>
              </w:rPr>
            </w:pPr>
            <w:r>
              <w:rPr>
                <w:sz w:val="18"/>
                <w:szCs w:val="18"/>
              </w:rPr>
              <w:t xml:space="preserve"> 97,381,277.58 </w:t>
            </w:r>
          </w:p>
        </w:tc>
        <w:tc>
          <w:tcPr>
            <w:tcW w:w="421" w:type="pct"/>
            <w:vAlign w:val="center"/>
          </w:tcPr>
          <w:p w:rsidR="00597370" w:rsidRDefault="00597370">
            <w:pPr>
              <w:jc w:val="center"/>
              <w:rPr>
                <w:rFonts w:asciiTheme="minorEastAsia" w:eastAsiaTheme="minorEastAsia" w:hAnsiTheme="minorEastAsia"/>
                <w:sz w:val="18"/>
                <w:szCs w:val="18"/>
              </w:rPr>
            </w:pPr>
          </w:p>
        </w:tc>
        <w:tc>
          <w:tcPr>
            <w:tcW w:w="812" w:type="pct"/>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97,381,277.58</w:t>
            </w:r>
          </w:p>
        </w:tc>
      </w:tr>
      <w:tr w:rsidR="00597370">
        <w:trPr>
          <w:cantSplit/>
        </w:trPr>
        <w:tc>
          <w:tcPr>
            <w:tcW w:w="945" w:type="pct"/>
            <w:vAlign w:val="center"/>
          </w:tcPr>
          <w:p w:rsidR="00597370" w:rsidRDefault="003C2EEE">
            <w:pPr>
              <w:pStyle w:val="Style106"/>
              <w:rPr>
                <w:sz w:val="18"/>
                <w:szCs w:val="18"/>
              </w:rPr>
            </w:pPr>
            <w:r>
              <w:rPr>
                <w:rFonts w:hint="eastAsia"/>
                <w:sz w:val="18"/>
                <w:szCs w:val="18"/>
              </w:rPr>
              <w:t>低铁损高磁感硅钢铁心智能制造项目</w:t>
            </w:r>
          </w:p>
        </w:tc>
        <w:tc>
          <w:tcPr>
            <w:tcW w:w="809" w:type="pct"/>
            <w:vAlign w:val="bottom"/>
          </w:tcPr>
          <w:p w:rsidR="00597370" w:rsidRDefault="003C2EEE">
            <w:pPr>
              <w:ind w:right="105"/>
              <w:jc w:val="right"/>
              <w:rPr>
                <w:sz w:val="18"/>
                <w:szCs w:val="18"/>
              </w:rPr>
            </w:pPr>
            <w:r>
              <w:rPr>
                <w:sz w:val="18"/>
                <w:szCs w:val="18"/>
              </w:rPr>
              <w:t>2,017,804.01</w:t>
            </w:r>
          </w:p>
        </w:tc>
        <w:tc>
          <w:tcPr>
            <w:tcW w:w="468" w:type="pct"/>
            <w:vAlign w:val="bottom"/>
          </w:tcPr>
          <w:p w:rsidR="00597370" w:rsidRDefault="00597370">
            <w:pPr>
              <w:ind w:right="73"/>
              <w:jc w:val="right"/>
              <w:rPr>
                <w:sz w:val="18"/>
                <w:szCs w:val="18"/>
              </w:rPr>
            </w:pPr>
          </w:p>
        </w:tc>
        <w:tc>
          <w:tcPr>
            <w:tcW w:w="791" w:type="pct"/>
            <w:vAlign w:val="bottom"/>
          </w:tcPr>
          <w:p w:rsidR="00597370" w:rsidRDefault="003C2EEE">
            <w:pPr>
              <w:ind w:right="73"/>
              <w:jc w:val="right"/>
              <w:rPr>
                <w:sz w:val="18"/>
                <w:szCs w:val="18"/>
              </w:rPr>
            </w:pPr>
            <w:r>
              <w:rPr>
                <w:sz w:val="18"/>
                <w:szCs w:val="18"/>
              </w:rPr>
              <w:t>2,017,804.01</w:t>
            </w:r>
          </w:p>
        </w:tc>
        <w:tc>
          <w:tcPr>
            <w:tcW w:w="753" w:type="pct"/>
            <w:vAlign w:val="bottom"/>
          </w:tcPr>
          <w:p w:rsidR="00597370" w:rsidRDefault="003C2EEE">
            <w:pPr>
              <w:jc w:val="right"/>
              <w:rPr>
                <w:rFonts w:asciiTheme="minorEastAsia" w:eastAsiaTheme="minorEastAsia" w:hAnsiTheme="minorEastAsia"/>
                <w:sz w:val="18"/>
                <w:szCs w:val="18"/>
              </w:rPr>
            </w:pPr>
            <w:r>
              <w:rPr>
                <w:sz w:val="18"/>
                <w:szCs w:val="18"/>
              </w:rPr>
              <w:t xml:space="preserve"> 48,282,967.82 </w:t>
            </w:r>
          </w:p>
        </w:tc>
        <w:tc>
          <w:tcPr>
            <w:tcW w:w="421" w:type="pct"/>
            <w:vAlign w:val="center"/>
          </w:tcPr>
          <w:p w:rsidR="00597370" w:rsidRDefault="00597370">
            <w:pPr>
              <w:jc w:val="center"/>
              <w:rPr>
                <w:rFonts w:asciiTheme="minorEastAsia" w:eastAsiaTheme="minorEastAsia" w:hAnsiTheme="minorEastAsia"/>
                <w:sz w:val="18"/>
                <w:szCs w:val="18"/>
              </w:rPr>
            </w:pPr>
          </w:p>
        </w:tc>
        <w:tc>
          <w:tcPr>
            <w:tcW w:w="812" w:type="pct"/>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48,282,967.82</w:t>
            </w:r>
          </w:p>
        </w:tc>
      </w:tr>
      <w:tr w:rsidR="00597370">
        <w:trPr>
          <w:cantSplit/>
        </w:trPr>
        <w:tc>
          <w:tcPr>
            <w:tcW w:w="945" w:type="pct"/>
            <w:vAlign w:val="center"/>
          </w:tcPr>
          <w:p w:rsidR="00597370" w:rsidRDefault="003C2EEE">
            <w:pPr>
              <w:pStyle w:val="Style106"/>
              <w:rPr>
                <w:sz w:val="18"/>
                <w:szCs w:val="18"/>
              </w:rPr>
            </w:pPr>
            <w:proofErr w:type="gramStart"/>
            <w:r>
              <w:rPr>
                <w:rFonts w:hint="eastAsia"/>
                <w:sz w:val="18"/>
                <w:szCs w:val="18"/>
              </w:rPr>
              <w:lastRenderedPageBreak/>
              <w:t>智控设备</w:t>
            </w:r>
            <w:proofErr w:type="gramEnd"/>
            <w:r>
              <w:rPr>
                <w:rFonts w:hint="eastAsia"/>
                <w:sz w:val="18"/>
                <w:szCs w:val="18"/>
              </w:rPr>
              <w:t>及金属制品智能工厂建设项目（一期）</w:t>
            </w:r>
          </w:p>
        </w:tc>
        <w:tc>
          <w:tcPr>
            <w:tcW w:w="809" w:type="pct"/>
            <w:vAlign w:val="bottom"/>
          </w:tcPr>
          <w:p w:rsidR="00597370" w:rsidRDefault="003C2EEE">
            <w:pPr>
              <w:ind w:right="105"/>
              <w:jc w:val="right"/>
              <w:rPr>
                <w:sz w:val="18"/>
                <w:szCs w:val="18"/>
              </w:rPr>
            </w:pPr>
            <w:r>
              <w:rPr>
                <w:sz w:val="18"/>
                <w:szCs w:val="18"/>
              </w:rPr>
              <w:t>185,562,387.48</w:t>
            </w:r>
          </w:p>
        </w:tc>
        <w:tc>
          <w:tcPr>
            <w:tcW w:w="468" w:type="pct"/>
            <w:vAlign w:val="bottom"/>
          </w:tcPr>
          <w:p w:rsidR="00597370" w:rsidRDefault="003C2EEE">
            <w:pPr>
              <w:ind w:right="73"/>
              <w:jc w:val="right"/>
              <w:rPr>
                <w:sz w:val="18"/>
                <w:szCs w:val="18"/>
              </w:rPr>
            </w:pPr>
            <w:r>
              <w:rPr>
                <w:sz w:val="18"/>
                <w:szCs w:val="18"/>
              </w:rPr>
              <w:t xml:space="preserve"> - </w:t>
            </w:r>
          </w:p>
        </w:tc>
        <w:tc>
          <w:tcPr>
            <w:tcW w:w="791" w:type="pct"/>
            <w:vAlign w:val="bottom"/>
          </w:tcPr>
          <w:p w:rsidR="00597370" w:rsidRDefault="003C2EEE">
            <w:pPr>
              <w:ind w:right="73"/>
              <w:jc w:val="right"/>
              <w:rPr>
                <w:sz w:val="18"/>
                <w:szCs w:val="18"/>
              </w:rPr>
            </w:pPr>
            <w:r>
              <w:rPr>
                <w:sz w:val="18"/>
                <w:szCs w:val="18"/>
              </w:rPr>
              <w:t>185,562,387.48</w:t>
            </w:r>
          </w:p>
        </w:tc>
        <w:tc>
          <w:tcPr>
            <w:tcW w:w="753" w:type="pct"/>
            <w:vAlign w:val="bottom"/>
          </w:tcPr>
          <w:p w:rsidR="00597370" w:rsidRDefault="003C2EEE">
            <w:pPr>
              <w:jc w:val="right"/>
              <w:rPr>
                <w:rFonts w:asciiTheme="minorEastAsia" w:eastAsiaTheme="minorEastAsia" w:hAnsiTheme="minorEastAsia"/>
                <w:sz w:val="18"/>
                <w:szCs w:val="18"/>
              </w:rPr>
            </w:pPr>
            <w:r>
              <w:rPr>
                <w:sz w:val="18"/>
                <w:szCs w:val="18"/>
              </w:rPr>
              <w:t xml:space="preserve"> 42,469,536.11 </w:t>
            </w:r>
          </w:p>
        </w:tc>
        <w:tc>
          <w:tcPr>
            <w:tcW w:w="421" w:type="pct"/>
            <w:vAlign w:val="center"/>
          </w:tcPr>
          <w:p w:rsidR="00597370" w:rsidRDefault="00597370">
            <w:pPr>
              <w:jc w:val="center"/>
              <w:rPr>
                <w:rFonts w:asciiTheme="minorEastAsia" w:eastAsiaTheme="minorEastAsia" w:hAnsiTheme="minorEastAsia"/>
                <w:sz w:val="18"/>
                <w:szCs w:val="18"/>
              </w:rPr>
            </w:pPr>
          </w:p>
        </w:tc>
        <w:tc>
          <w:tcPr>
            <w:tcW w:w="812" w:type="pct"/>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42,469,536.11</w:t>
            </w:r>
          </w:p>
        </w:tc>
      </w:tr>
      <w:tr w:rsidR="00597370">
        <w:trPr>
          <w:cantSplit/>
        </w:trPr>
        <w:tc>
          <w:tcPr>
            <w:tcW w:w="945" w:type="pct"/>
            <w:vAlign w:val="center"/>
          </w:tcPr>
          <w:p w:rsidR="00597370" w:rsidRDefault="003C2EEE">
            <w:pPr>
              <w:pStyle w:val="Style106"/>
              <w:rPr>
                <w:sz w:val="18"/>
                <w:szCs w:val="18"/>
              </w:rPr>
            </w:pPr>
            <w:r>
              <w:rPr>
                <w:sz w:val="18"/>
                <w:szCs w:val="18"/>
              </w:rPr>
              <w:t>110</w:t>
            </w:r>
            <w:r>
              <w:rPr>
                <w:rFonts w:hint="eastAsia"/>
                <w:sz w:val="18"/>
                <w:szCs w:val="18"/>
              </w:rPr>
              <w:t>kV</w:t>
            </w:r>
            <w:r>
              <w:rPr>
                <w:sz w:val="18"/>
                <w:szCs w:val="18"/>
              </w:rPr>
              <w:t>及以下节能型变压器智能化工厂技改项目</w:t>
            </w:r>
          </w:p>
        </w:tc>
        <w:tc>
          <w:tcPr>
            <w:tcW w:w="809" w:type="pct"/>
            <w:vAlign w:val="bottom"/>
          </w:tcPr>
          <w:p w:rsidR="00597370" w:rsidRDefault="00597370">
            <w:pPr>
              <w:ind w:right="105"/>
              <w:jc w:val="right"/>
              <w:rPr>
                <w:sz w:val="18"/>
                <w:szCs w:val="18"/>
              </w:rPr>
            </w:pPr>
          </w:p>
        </w:tc>
        <w:tc>
          <w:tcPr>
            <w:tcW w:w="468" w:type="pct"/>
            <w:vAlign w:val="bottom"/>
          </w:tcPr>
          <w:p w:rsidR="00597370" w:rsidRDefault="00597370">
            <w:pPr>
              <w:ind w:right="73"/>
              <w:jc w:val="right"/>
              <w:rPr>
                <w:sz w:val="18"/>
                <w:szCs w:val="18"/>
              </w:rPr>
            </w:pPr>
          </w:p>
        </w:tc>
        <w:tc>
          <w:tcPr>
            <w:tcW w:w="791" w:type="pct"/>
            <w:vAlign w:val="bottom"/>
          </w:tcPr>
          <w:p w:rsidR="00597370" w:rsidRDefault="00597370">
            <w:pPr>
              <w:ind w:right="73"/>
              <w:jc w:val="right"/>
              <w:rPr>
                <w:sz w:val="18"/>
                <w:szCs w:val="18"/>
              </w:rPr>
            </w:pPr>
          </w:p>
        </w:tc>
        <w:tc>
          <w:tcPr>
            <w:tcW w:w="753" w:type="pct"/>
            <w:vAlign w:val="bottom"/>
          </w:tcPr>
          <w:p w:rsidR="00597370" w:rsidRDefault="003C2EEE">
            <w:pPr>
              <w:jc w:val="right"/>
              <w:rPr>
                <w:rFonts w:asciiTheme="minorEastAsia" w:eastAsiaTheme="minorEastAsia" w:hAnsiTheme="minorEastAsia"/>
                <w:sz w:val="18"/>
                <w:szCs w:val="18"/>
              </w:rPr>
            </w:pPr>
            <w:r>
              <w:rPr>
                <w:sz w:val="18"/>
                <w:szCs w:val="18"/>
              </w:rPr>
              <w:t xml:space="preserve"> 17,950,569.76 </w:t>
            </w:r>
          </w:p>
        </w:tc>
        <w:tc>
          <w:tcPr>
            <w:tcW w:w="421" w:type="pct"/>
            <w:vAlign w:val="center"/>
          </w:tcPr>
          <w:p w:rsidR="00597370" w:rsidRDefault="00597370">
            <w:pPr>
              <w:jc w:val="center"/>
              <w:rPr>
                <w:rFonts w:asciiTheme="minorEastAsia" w:eastAsiaTheme="minorEastAsia" w:hAnsiTheme="minorEastAsia"/>
                <w:sz w:val="18"/>
                <w:szCs w:val="18"/>
              </w:rPr>
            </w:pPr>
          </w:p>
        </w:tc>
        <w:tc>
          <w:tcPr>
            <w:tcW w:w="812" w:type="pct"/>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17,950,569.76</w:t>
            </w:r>
          </w:p>
        </w:tc>
      </w:tr>
      <w:tr w:rsidR="00597370">
        <w:trPr>
          <w:cantSplit/>
        </w:trPr>
        <w:tc>
          <w:tcPr>
            <w:tcW w:w="945" w:type="pct"/>
            <w:vAlign w:val="center"/>
          </w:tcPr>
          <w:p w:rsidR="00597370" w:rsidRDefault="003C2EEE">
            <w:pPr>
              <w:pStyle w:val="Style106"/>
              <w:rPr>
                <w:sz w:val="18"/>
                <w:szCs w:val="18"/>
              </w:rPr>
            </w:pPr>
            <w:r>
              <w:rPr>
                <w:rFonts w:hint="eastAsia"/>
                <w:sz w:val="18"/>
                <w:szCs w:val="18"/>
              </w:rPr>
              <w:t>研发中心及信息化建设项目</w:t>
            </w:r>
          </w:p>
        </w:tc>
        <w:tc>
          <w:tcPr>
            <w:tcW w:w="809" w:type="pct"/>
            <w:vAlign w:val="bottom"/>
          </w:tcPr>
          <w:p w:rsidR="00597370" w:rsidRDefault="00597370">
            <w:pPr>
              <w:ind w:right="105"/>
              <w:jc w:val="right"/>
              <w:rPr>
                <w:sz w:val="18"/>
                <w:szCs w:val="18"/>
              </w:rPr>
            </w:pPr>
          </w:p>
        </w:tc>
        <w:tc>
          <w:tcPr>
            <w:tcW w:w="468" w:type="pct"/>
            <w:vAlign w:val="bottom"/>
          </w:tcPr>
          <w:p w:rsidR="00597370" w:rsidRDefault="00597370">
            <w:pPr>
              <w:ind w:right="73"/>
              <w:jc w:val="right"/>
              <w:rPr>
                <w:sz w:val="18"/>
                <w:szCs w:val="18"/>
              </w:rPr>
            </w:pPr>
          </w:p>
        </w:tc>
        <w:tc>
          <w:tcPr>
            <w:tcW w:w="791" w:type="pct"/>
            <w:vAlign w:val="bottom"/>
          </w:tcPr>
          <w:p w:rsidR="00597370" w:rsidRDefault="00597370">
            <w:pPr>
              <w:ind w:right="73"/>
              <w:jc w:val="right"/>
              <w:rPr>
                <w:sz w:val="18"/>
                <w:szCs w:val="18"/>
              </w:rPr>
            </w:pPr>
          </w:p>
        </w:tc>
        <w:tc>
          <w:tcPr>
            <w:tcW w:w="753" w:type="pct"/>
            <w:vAlign w:val="bottom"/>
          </w:tcPr>
          <w:p w:rsidR="00597370" w:rsidRDefault="003C2EEE">
            <w:pPr>
              <w:jc w:val="right"/>
              <w:rPr>
                <w:rFonts w:asciiTheme="minorEastAsia" w:eastAsiaTheme="minorEastAsia" w:hAnsiTheme="minorEastAsia"/>
                <w:sz w:val="18"/>
                <w:szCs w:val="18"/>
              </w:rPr>
            </w:pPr>
            <w:r>
              <w:rPr>
                <w:sz w:val="18"/>
                <w:szCs w:val="18"/>
              </w:rPr>
              <w:t xml:space="preserve"> 5,865,013.51 </w:t>
            </w:r>
          </w:p>
        </w:tc>
        <w:tc>
          <w:tcPr>
            <w:tcW w:w="421" w:type="pct"/>
            <w:vAlign w:val="center"/>
          </w:tcPr>
          <w:p w:rsidR="00597370" w:rsidRDefault="00597370">
            <w:pPr>
              <w:jc w:val="center"/>
              <w:rPr>
                <w:rFonts w:asciiTheme="minorEastAsia" w:eastAsiaTheme="minorEastAsia" w:hAnsiTheme="minorEastAsia"/>
                <w:sz w:val="18"/>
                <w:szCs w:val="18"/>
              </w:rPr>
            </w:pPr>
          </w:p>
        </w:tc>
        <w:tc>
          <w:tcPr>
            <w:tcW w:w="812" w:type="pct"/>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5,865,013.51</w:t>
            </w:r>
          </w:p>
        </w:tc>
      </w:tr>
      <w:tr w:rsidR="00597370">
        <w:trPr>
          <w:cantSplit/>
        </w:trPr>
        <w:tc>
          <w:tcPr>
            <w:tcW w:w="945" w:type="pct"/>
            <w:vAlign w:val="center"/>
          </w:tcPr>
          <w:p w:rsidR="00597370" w:rsidRDefault="003C2EEE">
            <w:pPr>
              <w:pStyle w:val="Style106"/>
              <w:rPr>
                <w:sz w:val="18"/>
                <w:szCs w:val="18"/>
              </w:rPr>
            </w:pPr>
            <w:r>
              <w:rPr>
                <w:rFonts w:hint="eastAsia"/>
                <w:sz w:val="18"/>
                <w:szCs w:val="18"/>
              </w:rPr>
              <w:t>其他项目</w:t>
            </w:r>
          </w:p>
        </w:tc>
        <w:tc>
          <w:tcPr>
            <w:tcW w:w="809" w:type="pct"/>
            <w:vAlign w:val="bottom"/>
          </w:tcPr>
          <w:p w:rsidR="00597370" w:rsidRDefault="003C2EEE">
            <w:pPr>
              <w:ind w:right="105"/>
              <w:jc w:val="right"/>
              <w:rPr>
                <w:sz w:val="18"/>
                <w:szCs w:val="18"/>
              </w:rPr>
            </w:pPr>
            <w:r>
              <w:rPr>
                <w:sz w:val="18"/>
                <w:szCs w:val="18"/>
              </w:rPr>
              <w:t>9,955,169.68</w:t>
            </w:r>
          </w:p>
        </w:tc>
        <w:tc>
          <w:tcPr>
            <w:tcW w:w="468" w:type="pct"/>
            <w:vAlign w:val="bottom"/>
          </w:tcPr>
          <w:p w:rsidR="00597370" w:rsidRDefault="003C2EEE">
            <w:pPr>
              <w:ind w:right="73"/>
              <w:jc w:val="right"/>
              <w:rPr>
                <w:sz w:val="18"/>
                <w:szCs w:val="18"/>
              </w:rPr>
            </w:pPr>
            <w:r>
              <w:rPr>
                <w:sz w:val="18"/>
                <w:szCs w:val="18"/>
              </w:rPr>
              <w:t xml:space="preserve"> - </w:t>
            </w:r>
          </w:p>
        </w:tc>
        <w:tc>
          <w:tcPr>
            <w:tcW w:w="791" w:type="pct"/>
            <w:vAlign w:val="bottom"/>
          </w:tcPr>
          <w:p w:rsidR="00597370" w:rsidRDefault="003C2EEE">
            <w:pPr>
              <w:ind w:right="73"/>
              <w:jc w:val="right"/>
              <w:rPr>
                <w:sz w:val="18"/>
                <w:szCs w:val="18"/>
              </w:rPr>
            </w:pPr>
            <w:r>
              <w:rPr>
                <w:sz w:val="18"/>
                <w:szCs w:val="18"/>
              </w:rPr>
              <w:t>9,955,169.68</w:t>
            </w:r>
          </w:p>
        </w:tc>
        <w:tc>
          <w:tcPr>
            <w:tcW w:w="753" w:type="pct"/>
            <w:vAlign w:val="bottom"/>
          </w:tcPr>
          <w:p w:rsidR="00597370" w:rsidRDefault="003C2EEE">
            <w:pPr>
              <w:jc w:val="right"/>
              <w:rPr>
                <w:rFonts w:asciiTheme="minorEastAsia" w:eastAsiaTheme="minorEastAsia" w:hAnsiTheme="minorEastAsia"/>
                <w:sz w:val="18"/>
                <w:szCs w:val="18"/>
              </w:rPr>
            </w:pPr>
            <w:r>
              <w:rPr>
                <w:sz w:val="18"/>
                <w:szCs w:val="18"/>
              </w:rPr>
              <w:t xml:space="preserve"> 6,417,559.68 </w:t>
            </w:r>
          </w:p>
        </w:tc>
        <w:tc>
          <w:tcPr>
            <w:tcW w:w="421" w:type="pct"/>
            <w:vAlign w:val="center"/>
          </w:tcPr>
          <w:p w:rsidR="00597370" w:rsidRDefault="00597370">
            <w:pPr>
              <w:jc w:val="center"/>
              <w:rPr>
                <w:rFonts w:asciiTheme="minorEastAsia" w:eastAsiaTheme="minorEastAsia" w:hAnsiTheme="minorEastAsia"/>
                <w:sz w:val="18"/>
                <w:szCs w:val="18"/>
              </w:rPr>
            </w:pPr>
          </w:p>
        </w:tc>
        <w:tc>
          <w:tcPr>
            <w:tcW w:w="812" w:type="pct"/>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6,417,559.68</w:t>
            </w:r>
          </w:p>
        </w:tc>
      </w:tr>
      <w:tr w:rsidR="00597370">
        <w:trPr>
          <w:cantSplit/>
        </w:trPr>
        <w:tc>
          <w:tcPr>
            <w:tcW w:w="945" w:type="pct"/>
            <w:vAlign w:val="center"/>
          </w:tcPr>
          <w:p w:rsidR="00597370" w:rsidRDefault="003C2EEE">
            <w:pPr>
              <w:jc w:val="center"/>
              <w:rPr>
                <w:color w:val="000000" w:themeColor="text1"/>
                <w:sz w:val="18"/>
                <w:szCs w:val="18"/>
              </w:rPr>
            </w:pPr>
            <w:r>
              <w:rPr>
                <w:rFonts w:hint="eastAsia"/>
                <w:color w:val="000000" w:themeColor="text1"/>
                <w:sz w:val="18"/>
                <w:szCs w:val="18"/>
              </w:rPr>
              <w:t>合计</w:t>
            </w:r>
          </w:p>
        </w:tc>
        <w:tc>
          <w:tcPr>
            <w:tcW w:w="809" w:type="pct"/>
            <w:vAlign w:val="bottom"/>
          </w:tcPr>
          <w:p w:rsidR="00597370" w:rsidRDefault="003C2EEE">
            <w:pPr>
              <w:ind w:right="105"/>
              <w:jc w:val="right"/>
              <w:rPr>
                <w:sz w:val="18"/>
                <w:szCs w:val="18"/>
              </w:rPr>
            </w:pPr>
            <w:r>
              <w:rPr>
                <w:sz w:val="18"/>
                <w:szCs w:val="18"/>
              </w:rPr>
              <w:t>304,657,035.73</w:t>
            </w:r>
          </w:p>
        </w:tc>
        <w:tc>
          <w:tcPr>
            <w:tcW w:w="468" w:type="pct"/>
            <w:vAlign w:val="bottom"/>
          </w:tcPr>
          <w:p w:rsidR="00597370" w:rsidRDefault="003C2EEE">
            <w:pPr>
              <w:ind w:right="73"/>
              <w:jc w:val="right"/>
              <w:rPr>
                <w:sz w:val="18"/>
                <w:szCs w:val="18"/>
              </w:rPr>
            </w:pPr>
            <w:r>
              <w:rPr>
                <w:sz w:val="18"/>
                <w:szCs w:val="18"/>
              </w:rPr>
              <w:t xml:space="preserve"> - </w:t>
            </w:r>
          </w:p>
        </w:tc>
        <w:tc>
          <w:tcPr>
            <w:tcW w:w="791" w:type="pct"/>
            <w:vAlign w:val="bottom"/>
          </w:tcPr>
          <w:p w:rsidR="00597370" w:rsidRDefault="003C2EEE">
            <w:pPr>
              <w:ind w:right="73"/>
              <w:jc w:val="right"/>
              <w:rPr>
                <w:sz w:val="18"/>
                <w:szCs w:val="18"/>
              </w:rPr>
            </w:pPr>
            <w:r>
              <w:rPr>
                <w:sz w:val="18"/>
                <w:szCs w:val="18"/>
              </w:rPr>
              <w:t>304,657,035.73</w:t>
            </w:r>
          </w:p>
        </w:tc>
        <w:tc>
          <w:tcPr>
            <w:tcW w:w="753" w:type="pct"/>
            <w:vAlign w:val="bottom"/>
          </w:tcPr>
          <w:p w:rsidR="00597370" w:rsidRDefault="003C2EEE">
            <w:pPr>
              <w:jc w:val="right"/>
              <w:rPr>
                <w:rFonts w:asciiTheme="minorEastAsia" w:eastAsiaTheme="minorEastAsia" w:hAnsiTheme="minorEastAsia"/>
                <w:sz w:val="18"/>
                <w:szCs w:val="18"/>
              </w:rPr>
            </w:pPr>
            <w:r>
              <w:rPr>
                <w:sz w:val="18"/>
                <w:szCs w:val="18"/>
              </w:rPr>
              <w:t xml:space="preserve"> 376,194,776.83 </w:t>
            </w:r>
          </w:p>
        </w:tc>
        <w:tc>
          <w:tcPr>
            <w:tcW w:w="421" w:type="pct"/>
            <w:vAlign w:val="center"/>
          </w:tcPr>
          <w:p w:rsidR="00597370" w:rsidRDefault="00597370">
            <w:pPr>
              <w:jc w:val="center"/>
              <w:rPr>
                <w:rFonts w:asciiTheme="minorEastAsia" w:eastAsiaTheme="minorEastAsia" w:hAnsiTheme="minorEastAsia"/>
                <w:sz w:val="18"/>
                <w:szCs w:val="18"/>
              </w:rPr>
            </w:pPr>
          </w:p>
        </w:tc>
        <w:tc>
          <w:tcPr>
            <w:tcW w:w="812" w:type="pct"/>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376,194,776.83</w:t>
            </w:r>
          </w:p>
        </w:tc>
      </w:tr>
    </w:tbl>
    <w:p w:rsidR="00597370" w:rsidRDefault="00597370">
      <w:pPr>
        <w:rPr>
          <w:color w:val="000000" w:themeColor="text1"/>
        </w:rPr>
      </w:pPr>
    </w:p>
    <w:p w:rsidR="00597370" w:rsidRDefault="003C2EEE">
      <w:pPr>
        <w:pStyle w:val="Style110"/>
        <w:numPr>
          <w:ilvl w:val="0"/>
          <w:numId w:val="65"/>
        </w:numPr>
        <w:tabs>
          <w:tab w:val="left" w:pos="588"/>
        </w:tabs>
        <w:rPr>
          <w:rFonts w:ascii="宋体" w:hAnsi="宋体"/>
          <w:color w:val="000000" w:themeColor="text1"/>
          <w:szCs w:val="21"/>
        </w:rPr>
      </w:pPr>
      <w:r>
        <w:rPr>
          <w:rFonts w:ascii="宋体" w:hAnsi="宋体" w:hint="eastAsia"/>
          <w:color w:val="000000" w:themeColor="text1"/>
          <w:szCs w:val="21"/>
        </w:rPr>
        <w:t>重要在建工程项目本期变动情况</w:t>
      </w:r>
    </w:p>
    <w:sdt>
      <w:sdtPr>
        <w:rPr>
          <w:color w:val="000000" w:themeColor="text1"/>
        </w:rPr>
        <w:alias w:val="是否适用：重要在建工程项目本期变动情况[双击切换]"/>
        <w:tag w:val="_GBC_ec2dd768673145d4bb9d3c31a6fa701a"/>
        <w:id w:val="193417283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在建工程项目变动情况"/>
          <w:tag w:val="_GBC_29f36690ce0d4e8bbec5f76711e80456"/>
          <w:id w:val="-8198090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财务附注：在建工程项目变动情况"/>
          <w:tag w:val="_GBC_6fab639954e742c1bd6f75b3c51ecaf8"/>
          <w:id w:val="-4705926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165"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4A0" w:firstRow="1" w:lastRow="0" w:firstColumn="1" w:lastColumn="0" w:noHBand="0" w:noVBand="1"/>
      </w:tblPr>
      <w:tblGrid>
        <w:gridCol w:w="1039"/>
        <w:gridCol w:w="1096"/>
        <w:gridCol w:w="952"/>
        <w:gridCol w:w="828"/>
        <w:gridCol w:w="1187"/>
        <w:gridCol w:w="284"/>
        <w:gridCol w:w="1112"/>
        <w:gridCol w:w="436"/>
        <w:gridCol w:w="436"/>
        <w:gridCol w:w="512"/>
        <w:gridCol w:w="512"/>
        <w:gridCol w:w="363"/>
        <w:gridCol w:w="357"/>
      </w:tblGrid>
      <w:tr w:rsidR="00597370">
        <w:trPr>
          <w:cantSplit/>
        </w:trPr>
        <w:sdt>
          <w:sdtPr>
            <w:rPr>
              <w:color w:val="000000" w:themeColor="text1"/>
              <w:sz w:val="15"/>
              <w:szCs w:val="15"/>
            </w:rPr>
            <w:tag w:val="_PLD_911d5911af294d4f9d2b6b16b5f6c08b"/>
            <w:id w:val="1533545994"/>
          </w:sdtPr>
          <w:sdtEndPr/>
          <w:sdtContent>
            <w:tc>
              <w:tcPr>
                <w:tcW w:w="570" w:type="pct"/>
                <w:shd w:val="clear" w:color="auto" w:fill="auto"/>
                <w:vAlign w:val="center"/>
              </w:tcPr>
              <w:p w:rsidR="00597370" w:rsidRDefault="003C2EEE">
                <w:pPr>
                  <w:ind w:right="105"/>
                  <w:jc w:val="center"/>
                  <w:rPr>
                    <w:color w:val="000000" w:themeColor="text1"/>
                    <w:sz w:val="15"/>
                    <w:szCs w:val="15"/>
                  </w:rPr>
                </w:pPr>
                <w:r>
                  <w:rPr>
                    <w:rFonts w:hint="eastAsia"/>
                    <w:color w:val="000000" w:themeColor="text1"/>
                    <w:sz w:val="15"/>
                    <w:szCs w:val="15"/>
                  </w:rPr>
                  <w:t>项目名称</w:t>
                </w:r>
              </w:p>
            </w:tc>
          </w:sdtContent>
        </w:sdt>
        <w:sdt>
          <w:sdtPr>
            <w:rPr>
              <w:color w:val="000000" w:themeColor="text1"/>
              <w:sz w:val="15"/>
              <w:szCs w:val="15"/>
            </w:rPr>
            <w:tag w:val="_PLD_667404be40294d63b853abf58a9d185f"/>
            <w:id w:val="-603186963"/>
          </w:sdtPr>
          <w:sdtEndPr/>
          <w:sdtContent>
            <w:tc>
              <w:tcPr>
                <w:tcW w:w="601" w:type="pct"/>
                <w:shd w:val="clear" w:color="auto" w:fill="auto"/>
                <w:vAlign w:val="center"/>
              </w:tcPr>
              <w:p w:rsidR="00597370" w:rsidRDefault="003C2EEE">
                <w:pPr>
                  <w:ind w:right="105"/>
                  <w:jc w:val="center"/>
                  <w:rPr>
                    <w:color w:val="000000" w:themeColor="text1"/>
                    <w:sz w:val="15"/>
                    <w:szCs w:val="15"/>
                  </w:rPr>
                </w:pPr>
                <w:r>
                  <w:rPr>
                    <w:rFonts w:hint="eastAsia"/>
                    <w:color w:val="000000" w:themeColor="text1"/>
                    <w:sz w:val="15"/>
                    <w:szCs w:val="15"/>
                  </w:rPr>
                  <w:t>预算数</w:t>
                </w:r>
              </w:p>
            </w:tc>
          </w:sdtContent>
        </w:sdt>
        <w:sdt>
          <w:sdtPr>
            <w:rPr>
              <w:color w:val="000000" w:themeColor="text1"/>
              <w:sz w:val="15"/>
              <w:szCs w:val="15"/>
            </w:rPr>
            <w:tag w:val="_PLD_25c75ebdcb434964b5f5e8b512151b0b"/>
            <w:id w:val="-1697690101"/>
          </w:sdtPr>
          <w:sdtEndPr/>
          <w:sdtContent>
            <w:tc>
              <w:tcPr>
                <w:tcW w:w="522" w:type="pct"/>
                <w:shd w:val="clear" w:color="auto" w:fill="auto"/>
                <w:vAlign w:val="center"/>
              </w:tcPr>
              <w:p w:rsidR="00597370" w:rsidRDefault="003C2EEE">
                <w:pPr>
                  <w:ind w:right="105"/>
                  <w:jc w:val="center"/>
                  <w:rPr>
                    <w:color w:val="000000" w:themeColor="text1"/>
                    <w:sz w:val="15"/>
                    <w:szCs w:val="15"/>
                  </w:rPr>
                </w:pPr>
                <w:r>
                  <w:rPr>
                    <w:rFonts w:hint="eastAsia"/>
                    <w:color w:val="000000" w:themeColor="text1"/>
                    <w:sz w:val="15"/>
                    <w:szCs w:val="15"/>
                  </w:rPr>
                  <w:t>期初</w:t>
                </w:r>
              </w:p>
              <w:p w:rsidR="00597370" w:rsidRDefault="003C2EEE">
                <w:pPr>
                  <w:ind w:right="105"/>
                  <w:jc w:val="center"/>
                  <w:rPr>
                    <w:color w:val="000000" w:themeColor="text1"/>
                    <w:sz w:val="15"/>
                    <w:szCs w:val="15"/>
                  </w:rPr>
                </w:pPr>
                <w:r>
                  <w:rPr>
                    <w:rFonts w:hint="eastAsia"/>
                    <w:color w:val="000000" w:themeColor="text1"/>
                    <w:sz w:val="15"/>
                    <w:szCs w:val="15"/>
                  </w:rPr>
                  <w:t>余额</w:t>
                </w:r>
              </w:p>
            </w:tc>
          </w:sdtContent>
        </w:sdt>
        <w:sdt>
          <w:sdtPr>
            <w:rPr>
              <w:color w:val="000000" w:themeColor="text1"/>
              <w:sz w:val="15"/>
              <w:szCs w:val="15"/>
            </w:rPr>
            <w:tag w:val="_PLD_0117182ae7e24536a0996423ddcfa5f0"/>
            <w:id w:val="1037008247"/>
          </w:sdtPr>
          <w:sdtEndPr/>
          <w:sdtContent>
            <w:tc>
              <w:tcPr>
                <w:tcW w:w="454" w:type="pct"/>
                <w:shd w:val="clear" w:color="auto" w:fill="auto"/>
                <w:vAlign w:val="center"/>
              </w:tcPr>
              <w:p w:rsidR="00597370" w:rsidRDefault="003C2EEE">
                <w:pPr>
                  <w:ind w:right="105"/>
                  <w:jc w:val="center"/>
                  <w:rPr>
                    <w:color w:val="000000" w:themeColor="text1"/>
                    <w:sz w:val="15"/>
                    <w:szCs w:val="15"/>
                  </w:rPr>
                </w:pPr>
                <w:r>
                  <w:rPr>
                    <w:rFonts w:hint="eastAsia"/>
                    <w:color w:val="000000" w:themeColor="text1"/>
                    <w:sz w:val="15"/>
                    <w:szCs w:val="15"/>
                  </w:rPr>
                  <w:t>本期增加金额</w:t>
                </w:r>
              </w:p>
            </w:tc>
          </w:sdtContent>
        </w:sdt>
        <w:sdt>
          <w:sdtPr>
            <w:rPr>
              <w:color w:val="000000" w:themeColor="text1"/>
              <w:sz w:val="15"/>
              <w:szCs w:val="15"/>
            </w:rPr>
            <w:tag w:val="_PLD_6db4feaec90f4eeeb4ed5fb04d298657"/>
            <w:id w:val="-1661377571"/>
          </w:sdtPr>
          <w:sdtEndPr/>
          <w:sdtContent>
            <w:tc>
              <w:tcPr>
                <w:tcW w:w="651" w:type="pct"/>
                <w:shd w:val="clear" w:color="auto" w:fill="auto"/>
                <w:vAlign w:val="center"/>
              </w:tcPr>
              <w:p w:rsidR="00597370" w:rsidRDefault="003C2EEE">
                <w:pPr>
                  <w:ind w:right="73"/>
                  <w:jc w:val="center"/>
                  <w:rPr>
                    <w:color w:val="000000" w:themeColor="text1"/>
                    <w:sz w:val="15"/>
                    <w:szCs w:val="15"/>
                  </w:rPr>
                </w:pPr>
                <w:r>
                  <w:rPr>
                    <w:rFonts w:hint="eastAsia"/>
                    <w:color w:val="000000" w:themeColor="text1"/>
                    <w:sz w:val="15"/>
                    <w:szCs w:val="15"/>
                  </w:rPr>
                  <w:t>本期转入固定资产金额</w:t>
                </w:r>
              </w:p>
            </w:tc>
          </w:sdtContent>
        </w:sdt>
        <w:sdt>
          <w:sdtPr>
            <w:rPr>
              <w:color w:val="000000" w:themeColor="text1"/>
              <w:sz w:val="15"/>
              <w:szCs w:val="15"/>
            </w:rPr>
            <w:tag w:val="_PLD_1fe85c3ed6f84f6f85209149a9931055"/>
            <w:id w:val="1748843459"/>
          </w:sdtPr>
          <w:sdtEndPr/>
          <w:sdtContent>
            <w:tc>
              <w:tcPr>
                <w:tcW w:w="156" w:type="pct"/>
                <w:shd w:val="clear" w:color="auto" w:fill="auto"/>
                <w:vAlign w:val="center"/>
              </w:tcPr>
              <w:p w:rsidR="00597370" w:rsidRDefault="003C2EEE">
                <w:pPr>
                  <w:ind w:right="73"/>
                  <w:jc w:val="center"/>
                  <w:rPr>
                    <w:color w:val="000000" w:themeColor="text1"/>
                    <w:sz w:val="15"/>
                    <w:szCs w:val="15"/>
                  </w:rPr>
                </w:pPr>
                <w:r>
                  <w:rPr>
                    <w:rFonts w:hint="eastAsia"/>
                    <w:color w:val="000000" w:themeColor="text1"/>
                    <w:sz w:val="15"/>
                    <w:szCs w:val="15"/>
                  </w:rPr>
                  <w:t>本期其他减少金额</w:t>
                </w:r>
              </w:p>
            </w:tc>
          </w:sdtContent>
        </w:sdt>
        <w:sdt>
          <w:sdtPr>
            <w:rPr>
              <w:color w:val="000000" w:themeColor="text1"/>
              <w:sz w:val="15"/>
              <w:szCs w:val="15"/>
            </w:rPr>
            <w:tag w:val="_PLD_7954fe4b89f644d29865af249dfe8c3f"/>
            <w:id w:val="-328759056"/>
          </w:sdtPr>
          <w:sdtEndPr/>
          <w:sdtContent>
            <w:tc>
              <w:tcPr>
                <w:tcW w:w="610" w:type="pct"/>
                <w:vAlign w:val="center"/>
              </w:tcPr>
              <w:p w:rsidR="00597370" w:rsidRDefault="003C2EEE">
                <w:pPr>
                  <w:jc w:val="center"/>
                  <w:rPr>
                    <w:color w:val="000000" w:themeColor="text1"/>
                    <w:sz w:val="15"/>
                    <w:szCs w:val="15"/>
                  </w:rPr>
                </w:pPr>
                <w:r>
                  <w:rPr>
                    <w:rFonts w:hint="eastAsia"/>
                    <w:color w:val="000000" w:themeColor="text1"/>
                    <w:sz w:val="15"/>
                    <w:szCs w:val="15"/>
                  </w:rPr>
                  <w:t>期末</w:t>
                </w:r>
              </w:p>
              <w:p w:rsidR="00597370" w:rsidRDefault="003C2EEE">
                <w:pPr>
                  <w:jc w:val="center"/>
                  <w:rPr>
                    <w:color w:val="000000" w:themeColor="text1"/>
                    <w:sz w:val="15"/>
                    <w:szCs w:val="15"/>
                  </w:rPr>
                </w:pPr>
                <w:r>
                  <w:rPr>
                    <w:rFonts w:hint="eastAsia"/>
                    <w:color w:val="000000" w:themeColor="text1"/>
                    <w:sz w:val="15"/>
                    <w:szCs w:val="15"/>
                  </w:rPr>
                  <w:t>余额</w:t>
                </w:r>
              </w:p>
            </w:tc>
          </w:sdtContent>
        </w:sdt>
        <w:sdt>
          <w:sdtPr>
            <w:rPr>
              <w:color w:val="000000" w:themeColor="text1"/>
              <w:sz w:val="15"/>
              <w:szCs w:val="15"/>
            </w:rPr>
            <w:tag w:val="_PLD_d9aa12b28eda4362b90372032218ea1a"/>
            <w:id w:val="-1264147821"/>
          </w:sdtPr>
          <w:sdtEndPr/>
          <w:sdtContent>
            <w:tc>
              <w:tcPr>
                <w:tcW w:w="239" w:type="pct"/>
                <w:shd w:val="clear" w:color="auto" w:fill="auto"/>
                <w:vAlign w:val="center"/>
              </w:tcPr>
              <w:p w:rsidR="00597370" w:rsidRDefault="003C2EEE">
                <w:pPr>
                  <w:jc w:val="center"/>
                  <w:rPr>
                    <w:color w:val="000000" w:themeColor="text1"/>
                    <w:sz w:val="15"/>
                    <w:szCs w:val="15"/>
                  </w:rPr>
                </w:pPr>
                <w:r>
                  <w:rPr>
                    <w:rFonts w:hint="eastAsia"/>
                    <w:color w:val="000000" w:themeColor="text1"/>
                    <w:sz w:val="15"/>
                    <w:szCs w:val="15"/>
                  </w:rPr>
                  <w:t>工程累计投入占预算比例(%)</w:t>
                </w:r>
              </w:p>
            </w:tc>
          </w:sdtContent>
        </w:sdt>
        <w:sdt>
          <w:sdtPr>
            <w:rPr>
              <w:color w:val="000000" w:themeColor="text1"/>
              <w:sz w:val="15"/>
              <w:szCs w:val="15"/>
            </w:rPr>
            <w:tag w:val="_PLD_9e610c25eba14177abc9b359511cb935"/>
            <w:id w:val="1120274165"/>
          </w:sdtPr>
          <w:sdtEndPr/>
          <w:sdtContent>
            <w:tc>
              <w:tcPr>
                <w:tcW w:w="239" w:type="pct"/>
                <w:shd w:val="clear" w:color="auto" w:fill="auto"/>
                <w:vAlign w:val="center"/>
              </w:tcPr>
              <w:p w:rsidR="00597370" w:rsidRDefault="003C2EEE">
                <w:pPr>
                  <w:jc w:val="center"/>
                  <w:rPr>
                    <w:color w:val="000000" w:themeColor="text1"/>
                    <w:sz w:val="15"/>
                    <w:szCs w:val="15"/>
                  </w:rPr>
                </w:pPr>
                <w:r>
                  <w:rPr>
                    <w:rFonts w:hint="eastAsia"/>
                    <w:color w:val="000000" w:themeColor="text1"/>
                    <w:sz w:val="15"/>
                    <w:szCs w:val="15"/>
                  </w:rPr>
                  <w:t>工程进度</w:t>
                </w:r>
              </w:p>
            </w:tc>
          </w:sdtContent>
        </w:sdt>
        <w:sdt>
          <w:sdtPr>
            <w:rPr>
              <w:color w:val="000000" w:themeColor="text1"/>
              <w:sz w:val="15"/>
              <w:szCs w:val="15"/>
            </w:rPr>
            <w:tag w:val="_PLD_e89a95ddf6ab4a6abe2d40f64c95699a"/>
            <w:id w:val="1062518355"/>
          </w:sdtPr>
          <w:sdtEndPr/>
          <w:sdtContent>
            <w:tc>
              <w:tcPr>
                <w:tcW w:w="281" w:type="pct"/>
                <w:shd w:val="clear" w:color="auto" w:fill="auto"/>
                <w:vAlign w:val="center"/>
              </w:tcPr>
              <w:p w:rsidR="00597370" w:rsidRDefault="003C2EEE">
                <w:pPr>
                  <w:jc w:val="center"/>
                  <w:rPr>
                    <w:color w:val="000000" w:themeColor="text1"/>
                    <w:sz w:val="15"/>
                    <w:szCs w:val="15"/>
                  </w:rPr>
                </w:pPr>
                <w:r>
                  <w:rPr>
                    <w:rFonts w:hint="eastAsia"/>
                    <w:color w:val="000000" w:themeColor="text1"/>
                    <w:sz w:val="15"/>
                    <w:szCs w:val="15"/>
                  </w:rPr>
                  <w:t>利息资本化累计金额</w:t>
                </w:r>
              </w:p>
            </w:tc>
          </w:sdtContent>
        </w:sdt>
        <w:sdt>
          <w:sdtPr>
            <w:rPr>
              <w:color w:val="000000" w:themeColor="text1"/>
              <w:sz w:val="15"/>
              <w:szCs w:val="15"/>
            </w:rPr>
            <w:tag w:val="_PLD_211048c05b944d8f9bfd1d37edfd2f6d"/>
            <w:id w:val="-498037436"/>
          </w:sdtPr>
          <w:sdtEndPr/>
          <w:sdtContent>
            <w:tc>
              <w:tcPr>
                <w:tcW w:w="281" w:type="pct"/>
                <w:shd w:val="clear" w:color="auto" w:fill="auto"/>
                <w:vAlign w:val="center"/>
              </w:tcPr>
              <w:p w:rsidR="00597370" w:rsidRDefault="003C2EEE">
                <w:pPr>
                  <w:jc w:val="center"/>
                  <w:rPr>
                    <w:color w:val="000000" w:themeColor="text1"/>
                    <w:sz w:val="15"/>
                    <w:szCs w:val="15"/>
                  </w:rPr>
                </w:pPr>
                <w:r>
                  <w:rPr>
                    <w:rFonts w:hint="eastAsia"/>
                    <w:color w:val="000000" w:themeColor="text1"/>
                    <w:sz w:val="15"/>
                    <w:szCs w:val="15"/>
                  </w:rPr>
                  <w:t>其中：本期利息资本</w:t>
                </w:r>
                <w:proofErr w:type="gramStart"/>
                <w:r>
                  <w:rPr>
                    <w:rFonts w:hint="eastAsia"/>
                    <w:color w:val="000000" w:themeColor="text1"/>
                    <w:sz w:val="15"/>
                    <w:szCs w:val="15"/>
                  </w:rPr>
                  <w:t>化金额</w:t>
                </w:r>
                <w:proofErr w:type="gramEnd"/>
              </w:p>
            </w:tc>
          </w:sdtContent>
        </w:sdt>
        <w:sdt>
          <w:sdtPr>
            <w:rPr>
              <w:color w:val="000000" w:themeColor="text1"/>
              <w:sz w:val="15"/>
              <w:szCs w:val="15"/>
            </w:rPr>
            <w:tag w:val="_PLD_2cbfddfcd5e6493ba68633d99551c05f"/>
            <w:id w:val="-1103876530"/>
          </w:sdtPr>
          <w:sdtEndPr/>
          <w:sdtContent>
            <w:tc>
              <w:tcPr>
                <w:tcW w:w="199" w:type="pct"/>
                <w:shd w:val="clear" w:color="auto" w:fill="auto"/>
                <w:vAlign w:val="center"/>
              </w:tcPr>
              <w:p w:rsidR="00597370" w:rsidRDefault="003C2EEE">
                <w:pPr>
                  <w:jc w:val="center"/>
                  <w:rPr>
                    <w:color w:val="000000" w:themeColor="text1"/>
                    <w:sz w:val="15"/>
                    <w:szCs w:val="15"/>
                  </w:rPr>
                </w:pPr>
                <w:r>
                  <w:rPr>
                    <w:rFonts w:hint="eastAsia"/>
                    <w:color w:val="000000" w:themeColor="text1"/>
                    <w:sz w:val="15"/>
                    <w:szCs w:val="15"/>
                  </w:rPr>
                  <w:t>本期利息资本化率(%)</w:t>
                </w:r>
              </w:p>
            </w:tc>
          </w:sdtContent>
        </w:sdt>
        <w:sdt>
          <w:sdtPr>
            <w:rPr>
              <w:color w:val="000000" w:themeColor="text1"/>
              <w:sz w:val="15"/>
              <w:szCs w:val="15"/>
            </w:rPr>
            <w:tag w:val="_PLD_39440674746d4382a4f99328187752a9"/>
            <w:id w:val="-1180352100"/>
          </w:sdtPr>
          <w:sdtEndPr/>
          <w:sdtContent>
            <w:tc>
              <w:tcPr>
                <w:tcW w:w="196" w:type="pct"/>
                <w:shd w:val="clear" w:color="auto" w:fill="auto"/>
                <w:vAlign w:val="center"/>
              </w:tcPr>
              <w:p w:rsidR="00597370" w:rsidRDefault="003C2EEE">
                <w:pPr>
                  <w:jc w:val="center"/>
                  <w:rPr>
                    <w:color w:val="000000" w:themeColor="text1"/>
                    <w:sz w:val="15"/>
                    <w:szCs w:val="15"/>
                  </w:rPr>
                </w:pPr>
                <w:r>
                  <w:rPr>
                    <w:rFonts w:hint="eastAsia"/>
                    <w:color w:val="000000" w:themeColor="text1"/>
                    <w:sz w:val="15"/>
                    <w:szCs w:val="15"/>
                  </w:rPr>
                  <w:t>资金来源</w:t>
                </w:r>
              </w:p>
            </w:tc>
          </w:sdtContent>
        </w:sdt>
      </w:tr>
      <w:tr w:rsidR="00597370">
        <w:trPr>
          <w:cantSplit/>
        </w:trPr>
        <w:tc>
          <w:tcPr>
            <w:tcW w:w="570" w:type="pct"/>
            <w:shd w:val="clear" w:color="auto" w:fill="auto"/>
            <w:vAlign w:val="center"/>
          </w:tcPr>
          <w:p w:rsidR="00597370" w:rsidRDefault="003C2EEE">
            <w:pPr>
              <w:ind w:right="105"/>
              <w:rPr>
                <w:sz w:val="15"/>
                <w:szCs w:val="15"/>
              </w:rPr>
            </w:pPr>
            <w:r>
              <w:rPr>
                <w:rFonts w:hint="eastAsia"/>
                <w:color w:val="000000"/>
                <w:sz w:val="15"/>
                <w:szCs w:val="15"/>
              </w:rPr>
              <w:t>八万吨高端磁性新材料项目</w:t>
            </w:r>
          </w:p>
        </w:tc>
        <w:tc>
          <w:tcPr>
            <w:tcW w:w="601" w:type="pct"/>
            <w:shd w:val="clear" w:color="auto" w:fill="auto"/>
            <w:vAlign w:val="center"/>
          </w:tcPr>
          <w:p w:rsidR="00597370" w:rsidRDefault="003C2EEE">
            <w:pPr>
              <w:jc w:val="right"/>
              <w:rPr>
                <w:bCs w:val="0"/>
                <w:color w:val="000000"/>
                <w:sz w:val="15"/>
                <w:szCs w:val="15"/>
              </w:rPr>
            </w:pPr>
            <w:r>
              <w:rPr>
                <w:rFonts w:hint="eastAsia"/>
                <w:color w:val="000000"/>
                <w:sz w:val="15"/>
                <w:szCs w:val="15"/>
              </w:rPr>
              <w:t>83,528.00</w:t>
            </w:r>
          </w:p>
        </w:tc>
        <w:tc>
          <w:tcPr>
            <w:tcW w:w="522" w:type="pct"/>
            <w:shd w:val="clear" w:color="auto" w:fill="auto"/>
            <w:vAlign w:val="center"/>
          </w:tcPr>
          <w:p w:rsidR="00597370" w:rsidRDefault="003C2EEE">
            <w:pPr>
              <w:jc w:val="right"/>
              <w:rPr>
                <w:color w:val="000000"/>
                <w:sz w:val="15"/>
                <w:szCs w:val="15"/>
              </w:rPr>
            </w:pPr>
            <w:r>
              <w:rPr>
                <w:rFonts w:hint="eastAsia"/>
                <w:color w:val="000000"/>
                <w:sz w:val="15"/>
                <w:szCs w:val="15"/>
              </w:rPr>
              <w:t>15,782.79</w:t>
            </w:r>
          </w:p>
        </w:tc>
        <w:tc>
          <w:tcPr>
            <w:tcW w:w="454" w:type="pct"/>
            <w:shd w:val="clear" w:color="auto" w:fill="auto"/>
            <w:vAlign w:val="center"/>
          </w:tcPr>
          <w:p w:rsidR="00597370" w:rsidRDefault="003C2EEE">
            <w:pPr>
              <w:jc w:val="right"/>
              <w:rPr>
                <w:color w:val="000000"/>
                <w:sz w:val="15"/>
                <w:szCs w:val="15"/>
              </w:rPr>
            </w:pPr>
            <w:r>
              <w:rPr>
                <w:rFonts w:hint="eastAsia"/>
                <w:color w:val="000000"/>
                <w:sz w:val="15"/>
                <w:szCs w:val="15"/>
              </w:rPr>
              <w:t>3,746.35</w:t>
            </w:r>
          </w:p>
        </w:tc>
        <w:tc>
          <w:tcPr>
            <w:tcW w:w="651" w:type="pct"/>
            <w:shd w:val="clear" w:color="auto" w:fill="auto"/>
            <w:vAlign w:val="center"/>
          </w:tcPr>
          <w:p w:rsidR="00597370" w:rsidRDefault="003C2EEE">
            <w:pPr>
              <w:jc w:val="right"/>
              <w:rPr>
                <w:color w:val="000000"/>
                <w:sz w:val="15"/>
                <w:szCs w:val="15"/>
              </w:rPr>
            </w:pPr>
            <w:r>
              <w:rPr>
                <w:rFonts w:hint="eastAsia"/>
                <w:color w:val="000000"/>
                <w:sz w:val="15"/>
                <w:szCs w:val="15"/>
              </w:rPr>
              <w:t>8,816.96</w:t>
            </w:r>
          </w:p>
        </w:tc>
        <w:tc>
          <w:tcPr>
            <w:tcW w:w="156" w:type="pct"/>
            <w:shd w:val="clear" w:color="auto" w:fill="auto"/>
            <w:vAlign w:val="center"/>
          </w:tcPr>
          <w:p w:rsidR="00597370" w:rsidRDefault="00597370">
            <w:pPr>
              <w:jc w:val="right"/>
              <w:rPr>
                <w:color w:val="000000"/>
                <w:sz w:val="15"/>
                <w:szCs w:val="15"/>
              </w:rPr>
            </w:pPr>
          </w:p>
        </w:tc>
        <w:tc>
          <w:tcPr>
            <w:tcW w:w="610" w:type="pct"/>
            <w:vAlign w:val="center"/>
          </w:tcPr>
          <w:p w:rsidR="00597370" w:rsidRDefault="003C2EEE">
            <w:pPr>
              <w:jc w:val="right"/>
              <w:rPr>
                <w:color w:val="000000"/>
                <w:sz w:val="15"/>
                <w:szCs w:val="15"/>
              </w:rPr>
            </w:pPr>
            <w:r>
              <w:rPr>
                <w:rFonts w:hint="eastAsia"/>
                <w:color w:val="000000"/>
                <w:sz w:val="15"/>
                <w:szCs w:val="15"/>
              </w:rPr>
              <w:t>10,712.17</w:t>
            </w:r>
          </w:p>
        </w:tc>
        <w:tc>
          <w:tcPr>
            <w:tcW w:w="239" w:type="pct"/>
            <w:shd w:val="clear" w:color="auto" w:fill="auto"/>
            <w:vAlign w:val="center"/>
          </w:tcPr>
          <w:p w:rsidR="00597370" w:rsidRDefault="003C2EEE">
            <w:pPr>
              <w:jc w:val="right"/>
              <w:rPr>
                <w:sz w:val="15"/>
                <w:szCs w:val="15"/>
              </w:rPr>
            </w:pPr>
            <w:r>
              <w:rPr>
                <w:sz w:val="15"/>
                <w:szCs w:val="15"/>
              </w:rPr>
              <w:t xml:space="preserve"> 57.32 </w:t>
            </w:r>
          </w:p>
        </w:tc>
        <w:tc>
          <w:tcPr>
            <w:tcW w:w="239" w:type="pct"/>
            <w:shd w:val="clear" w:color="auto" w:fill="auto"/>
            <w:vAlign w:val="center"/>
          </w:tcPr>
          <w:p w:rsidR="00597370" w:rsidRDefault="003C2EEE">
            <w:pPr>
              <w:pStyle w:val="Style106"/>
              <w:jc w:val="right"/>
              <w:rPr>
                <w:sz w:val="15"/>
                <w:szCs w:val="15"/>
              </w:rPr>
            </w:pPr>
            <w:r>
              <w:rPr>
                <w:sz w:val="15"/>
                <w:szCs w:val="15"/>
              </w:rPr>
              <w:t xml:space="preserve"> 67.56 </w:t>
            </w:r>
          </w:p>
        </w:tc>
        <w:tc>
          <w:tcPr>
            <w:tcW w:w="281" w:type="pct"/>
            <w:shd w:val="clear" w:color="auto" w:fill="auto"/>
            <w:vAlign w:val="center"/>
          </w:tcPr>
          <w:p w:rsidR="00597370" w:rsidRDefault="003C2EEE">
            <w:pPr>
              <w:jc w:val="center"/>
              <w:rPr>
                <w:sz w:val="15"/>
                <w:szCs w:val="15"/>
              </w:rPr>
            </w:pPr>
            <w:r>
              <w:rPr>
                <w:rFonts w:hint="eastAsia"/>
                <w:color w:val="000000"/>
                <w:sz w:val="15"/>
                <w:szCs w:val="15"/>
              </w:rPr>
              <w:t>631.84</w:t>
            </w:r>
          </w:p>
        </w:tc>
        <w:tc>
          <w:tcPr>
            <w:tcW w:w="281" w:type="pct"/>
            <w:shd w:val="clear" w:color="auto" w:fill="auto"/>
            <w:vAlign w:val="center"/>
          </w:tcPr>
          <w:p w:rsidR="00597370" w:rsidRDefault="003C2EEE">
            <w:pPr>
              <w:jc w:val="center"/>
              <w:rPr>
                <w:sz w:val="15"/>
                <w:szCs w:val="15"/>
              </w:rPr>
            </w:pPr>
            <w:r>
              <w:rPr>
                <w:rFonts w:hint="eastAsia"/>
                <w:color w:val="000000"/>
                <w:sz w:val="15"/>
                <w:szCs w:val="15"/>
              </w:rPr>
              <w:t>398.22</w:t>
            </w:r>
          </w:p>
        </w:tc>
        <w:tc>
          <w:tcPr>
            <w:tcW w:w="199" w:type="pct"/>
            <w:shd w:val="clear" w:color="auto" w:fill="auto"/>
            <w:vAlign w:val="center"/>
          </w:tcPr>
          <w:p w:rsidR="00597370" w:rsidRDefault="003C2EEE">
            <w:pPr>
              <w:jc w:val="center"/>
              <w:rPr>
                <w:sz w:val="15"/>
                <w:szCs w:val="15"/>
              </w:rPr>
            </w:pPr>
            <w:r>
              <w:rPr>
                <w:rFonts w:hint="eastAsia"/>
                <w:color w:val="000000"/>
                <w:sz w:val="15"/>
                <w:szCs w:val="15"/>
              </w:rPr>
              <w:t>2.85</w:t>
            </w:r>
          </w:p>
        </w:tc>
        <w:tc>
          <w:tcPr>
            <w:tcW w:w="196" w:type="pct"/>
            <w:shd w:val="clear" w:color="auto" w:fill="auto"/>
          </w:tcPr>
          <w:p w:rsidR="00597370" w:rsidRDefault="003C2EEE">
            <w:pPr>
              <w:pStyle w:val="Style106"/>
              <w:rPr>
                <w:sz w:val="15"/>
                <w:szCs w:val="15"/>
              </w:rPr>
            </w:pPr>
            <w:r>
              <w:rPr>
                <w:rFonts w:hint="eastAsia"/>
                <w:color w:val="000000"/>
                <w:sz w:val="15"/>
                <w:szCs w:val="15"/>
              </w:rPr>
              <w:t>自筹资金</w:t>
            </w:r>
          </w:p>
        </w:tc>
      </w:tr>
      <w:tr w:rsidR="00597370">
        <w:trPr>
          <w:cantSplit/>
        </w:trPr>
        <w:tc>
          <w:tcPr>
            <w:tcW w:w="570" w:type="pct"/>
            <w:shd w:val="clear" w:color="auto" w:fill="auto"/>
            <w:vAlign w:val="center"/>
          </w:tcPr>
          <w:p w:rsidR="00597370" w:rsidRDefault="003C2EEE">
            <w:pPr>
              <w:ind w:right="105"/>
              <w:rPr>
                <w:sz w:val="15"/>
                <w:szCs w:val="15"/>
              </w:rPr>
            </w:pPr>
            <w:r>
              <w:rPr>
                <w:rFonts w:hint="eastAsia"/>
                <w:color w:val="000000"/>
                <w:sz w:val="15"/>
                <w:szCs w:val="15"/>
              </w:rPr>
              <w:t>低铁损高磁感硅钢铁心智能制造项目</w:t>
            </w:r>
          </w:p>
        </w:tc>
        <w:tc>
          <w:tcPr>
            <w:tcW w:w="601" w:type="pct"/>
            <w:shd w:val="clear" w:color="auto" w:fill="auto"/>
            <w:vAlign w:val="center"/>
          </w:tcPr>
          <w:p w:rsidR="00597370" w:rsidRDefault="003C2EEE">
            <w:pPr>
              <w:jc w:val="right"/>
              <w:rPr>
                <w:color w:val="000000"/>
                <w:sz w:val="15"/>
                <w:szCs w:val="15"/>
              </w:rPr>
            </w:pPr>
            <w:r>
              <w:rPr>
                <w:rFonts w:hint="eastAsia"/>
                <w:color w:val="000000"/>
                <w:sz w:val="15"/>
                <w:szCs w:val="15"/>
              </w:rPr>
              <w:t>20,100.00</w:t>
            </w:r>
          </w:p>
        </w:tc>
        <w:tc>
          <w:tcPr>
            <w:tcW w:w="522" w:type="pct"/>
            <w:shd w:val="clear" w:color="auto" w:fill="auto"/>
            <w:vAlign w:val="center"/>
          </w:tcPr>
          <w:p w:rsidR="00597370" w:rsidRDefault="003C2EEE">
            <w:pPr>
              <w:jc w:val="right"/>
              <w:rPr>
                <w:color w:val="000000"/>
                <w:sz w:val="15"/>
                <w:szCs w:val="15"/>
              </w:rPr>
            </w:pPr>
            <w:r>
              <w:rPr>
                <w:rFonts w:hint="eastAsia"/>
                <w:color w:val="000000"/>
                <w:sz w:val="15"/>
                <w:szCs w:val="15"/>
              </w:rPr>
              <w:t>4,828.30</w:t>
            </w:r>
          </w:p>
        </w:tc>
        <w:tc>
          <w:tcPr>
            <w:tcW w:w="454" w:type="pct"/>
            <w:shd w:val="clear" w:color="auto" w:fill="auto"/>
            <w:vAlign w:val="center"/>
          </w:tcPr>
          <w:p w:rsidR="00597370" w:rsidRDefault="003C2EEE">
            <w:pPr>
              <w:jc w:val="right"/>
              <w:rPr>
                <w:color w:val="000000"/>
                <w:sz w:val="15"/>
                <w:szCs w:val="15"/>
              </w:rPr>
            </w:pPr>
            <w:r>
              <w:rPr>
                <w:rFonts w:hint="eastAsia"/>
                <w:color w:val="000000"/>
                <w:sz w:val="15"/>
                <w:szCs w:val="15"/>
              </w:rPr>
              <w:t xml:space="preserve"> </w:t>
            </w:r>
            <w:r>
              <w:rPr>
                <w:rStyle w:val="font11"/>
                <w:rFonts w:hint="default"/>
                <w:sz w:val="15"/>
                <w:szCs w:val="15"/>
              </w:rPr>
              <w:t xml:space="preserve">-  </w:t>
            </w:r>
          </w:p>
        </w:tc>
        <w:tc>
          <w:tcPr>
            <w:tcW w:w="651" w:type="pct"/>
            <w:shd w:val="clear" w:color="auto" w:fill="auto"/>
            <w:vAlign w:val="center"/>
          </w:tcPr>
          <w:p w:rsidR="00597370" w:rsidRDefault="003C2EEE">
            <w:pPr>
              <w:jc w:val="right"/>
              <w:rPr>
                <w:color w:val="000000"/>
                <w:sz w:val="15"/>
                <w:szCs w:val="15"/>
              </w:rPr>
            </w:pPr>
            <w:r>
              <w:rPr>
                <w:rFonts w:hint="eastAsia"/>
                <w:color w:val="000000"/>
                <w:sz w:val="15"/>
                <w:szCs w:val="15"/>
              </w:rPr>
              <w:t>4,626.52</w:t>
            </w:r>
          </w:p>
        </w:tc>
        <w:tc>
          <w:tcPr>
            <w:tcW w:w="156" w:type="pct"/>
            <w:shd w:val="clear" w:color="auto" w:fill="auto"/>
            <w:vAlign w:val="center"/>
          </w:tcPr>
          <w:p w:rsidR="00597370" w:rsidRDefault="00597370">
            <w:pPr>
              <w:jc w:val="right"/>
              <w:rPr>
                <w:color w:val="000000"/>
                <w:sz w:val="15"/>
                <w:szCs w:val="15"/>
              </w:rPr>
            </w:pPr>
          </w:p>
        </w:tc>
        <w:tc>
          <w:tcPr>
            <w:tcW w:w="610" w:type="pct"/>
            <w:vAlign w:val="center"/>
          </w:tcPr>
          <w:p w:rsidR="00597370" w:rsidRDefault="003C2EEE">
            <w:pPr>
              <w:jc w:val="right"/>
              <w:rPr>
                <w:color w:val="000000"/>
                <w:sz w:val="15"/>
                <w:szCs w:val="15"/>
              </w:rPr>
            </w:pPr>
            <w:r>
              <w:rPr>
                <w:rFonts w:hint="eastAsia"/>
                <w:color w:val="000000"/>
                <w:sz w:val="15"/>
                <w:szCs w:val="15"/>
              </w:rPr>
              <w:t>201.78</w:t>
            </w:r>
          </w:p>
        </w:tc>
        <w:tc>
          <w:tcPr>
            <w:tcW w:w="239" w:type="pct"/>
            <w:shd w:val="clear" w:color="auto" w:fill="auto"/>
            <w:vAlign w:val="center"/>
          </w:tcPr>
          <w:p w:rsidR="00597370" w:rsidRDefault="003C2EEE">
            <w:pPr>
              <w:jc w:val="right"/>
              <w:rPr>
                <w:sz w:val="15"/>
                <w:szCs w:val="15"/>
              </w:rPr>
            </w:pPr>
            <w:r>
              <w:rPr>
                <w:sz w:val="15"/>
                <w:szCs w:val="15"/>
              </w:rPr>
              <w:t xml:space="preserve"> 75.59 </w:t>
            </w:r>
          </w:p>
        </w:tc>
        <w:tc>
          <w:tcPr>
            <w:tcW w:w="239" w:type="pct"/>
            <w:shd w:val="clear" w:color="auto" w:fill="auto"/>
            <w:vAlign w:val="center"/>
          </w:tcPr>
          <w:p w:rsidR="00597370" w:rsidRDefault="003C2EEE">
            <w:pPr>
              <w:pStyle w:val="Style106"/>
              <w:jc w:val="right"/>
              <w:rPr>
                <w:sz w:val="15"/>
                <w:szCs w:val="15"/>
              </w:rPr>
            </w:pPr>
            <w:r>
              <w:rPr>
                <w:sz w:val="15"/>
                <w:szCs w:val="15"/>
              </w:rPr>
              <w:t xml:space="preserve"> 83.14 </w:t>
            </w:r>
          </w:p>
        </w:tc>
        <w:tc>
          <w:tcPr>
            <w:tcW w:w="281" w:type="pct"/>
            <w:shd w:val="clear" w:color="auto" w:fill="auto"/>
            <w:vAlign w:val="center"/>
          </w:tcPr>
          <w:p w:rsidR="00597370" w:rsidRDefault="00597370">
            <w:pPr>
              <w:jc w:val="center"/>
              <w:rPr>
                <w:sz w:val="15"/>
                <w:szCs w:val="15"/>
              </w:rPr>
            </w:pPr>
          </w:p>
        </w:tc>
        <w:tc>
          <w:tcPr>
            <w:tcW w:w="281" w:type="pct"/>
            <w:shd w:val="clear" w:color="auto" w:fill="auto"/>
            <w:vAlign w:val="center"/>
          </w:tcPr>
          <w:p w:rsidR="00597370" w:rsidRDefault="00597370">
            <w:pPr>
              <w:jc w:val="center"/>
              <w:rPr>
                <w:sz w:val="15"/>
                <w:szCs w:val="15"/>
              </w:rPr>
            </w:pPr>
          </w:p>
        </w:tc>
        <w:tc>
          <w:tcPr>
            <w:tcW w:w="199" w:type="pct"/>
            <w:shd w:val="clear" w:color="auto" w:fill="auto"/>
            <w:vAlign w:val="center"/>
          </w:tcPr>
          <w:p w:rsidR="00597370" w:rsidRDefault="00597370">
            <w:pPr>
              <w:jc w:val="center"/>
              <w:rPr>
                <w:sz w:val="15"/>
                <w:szCs w:val="15"/>
              </w:rPr>
            </w:pPr>
          </w:p>
        </w:tc>
        <w:tc>
          <w:tcPr>
            <w:tcW w:w="196" w:type="pct"/>
            <w:shd w:val="clear" w:color="auto" w:fill="auto"/>
          </w:tcPr>
          <w:p w:rsidR="00597370" w:rsidRDefault="003C2EEE">
            <w:pPr>
              <w:pStyle w:val="Style106"/>
              <w:rPr>
                <w:sz w:val="15"/>
                <w:szCs w:val="15"/>
              </w:rPr>
            </w:pPr>
            <w:r>
              <w:rPr>
                <w:rFonts w:hint="eastAsia"/>
                <w:color w:val="000000"/>
                <w:sz w:val="15"/>
                <w:szCs w:val="15"/>
              </w:rPr>
              <w:t>募集资金及自筹资金</w:t>
            </w:r>
          </w:p>
        </w:tc>
      </w:tr>
      <w:tr w:rsidR="00597370">
        <w:trPr>
          <w:cantSplit/>
        </w:trPr>
        <w:tc>
          <w:tcPr>
            <w:tcW w:w="570" w:type="pct"/>
            <w:shd w:val="clear" w:color="auto" w:fill="auto"/>
            <w:vAlign w:val="center"/>
          </w:tcPr>
          <w:p w:rsidR="00597370" w:rsidRDefault="003C2EEE">
            <w:pPr>
              <w:ind w:right="105"/>
              <w:rPr>
                <w:sz w:val="15"/>
                <w:szCs w:val="15"/>
              </w:rPr>
            </w:pPr>
            <w:r>
              <w:rPr>
                <w:rFonts w:hint="eastAsia"/>
                <w:color w:val="000000"/>
                <w:sz w:val="15"/>
                <w:szCs w:val="15"/>
              </w:rPr>
              <w:t>研发中心及信息化建设项目</w:t>
            </w:r>
          </w:p>
        </w:tc>
        <w:tc>
          <w:tcPr>
            <w:tcW w:w="601" w:type="pct"/>
            <w:shd w:val="clear" w:color="auto" w:fill="auto"/>
            <w:vAlign w:val="center"/>
          </w:tcPr>
          <w:p w:rsidR="00597370" w:rsidRDefault="003C2EEE">
            <w:pPr>
              <w:jc w:val="right"/>
              <w:rPr>
                <w:color w:val="000000"/>
                <w:sz w:val="15"/>
                <w:szCs w:val="15"/>
              </w:rPr>
            </w:pPr>
            <w:r>
              <w:rPr>
                <w:rFonts w:hint="eastAsia"/>
                <w:color w:val="000000"/>
                <w:sz w:val="15"/>
                <w:szCs w:val="15"/>
              </w:rPr>
              <w:t>6,250.00</w:t>
            </w:r>
          </w:p>
        </w:tc>
        <w:tc>
          <w:tcPr>
            <w:tcW w:w="522" w:type="pct"/>
            <w:shd w:val="clear" w:color="auto" w:fill="auto"/>
            <w:vAlign w:val="center"/>
          </w:tcPr>
          <w:p w:rsidR="00597370" w:rsidRDefault="003C2EEE">
            <w:pPr>
              <w:jc w:val="right"/>
              <w:rPr>
                <w:color w:val="000000"/>
                <w:sz w:val="15"/>
                <w:szCs w:val="15"/>
              </w:rPr>
            </w:pPr>
            <w:r>
              <w:rPr>
                <w:rFonts w:hint="eastAsia"/>
                <w:color w:val="000000"/>
                <w:sz w:val="15"/>
                <w:szCs w:val="15"/>
              </w:rPr>
              <w:t>586.5</w:t>
            </w:r>
          </w:p>
        </w:tc>
        <w:tc>
          <w:tcPr>
            <w:tcW w:w="454" w:type="pct"/>
            <w:shd w:val="clear" w:color="auto" w:fill="auto"/>
            <w:vAlign w:val="center"/>
          </w:tcPr>
          <w:p w:rsidR="00597370" w:rsidRDefault="003C2EEE">
            <w:pPr>
              <w:jc w:val="right"/>
              <w:rPr>
                <w:color w:val="000000"/>
                <w:sz w:val="15"/>
                <w:szCs w:val="15"/>
              </w:rPr>
            </w:pPr>
            <w:r>
              <w:rPr>
                <w:rFonts w:hint="eastAsia"/>
                <w:color w:val="000000"/>
                <w:sz w:val="15"/>
                <w:szCs w:val="15"/>
              </w:rPr>
              <w:t>648.44</w:t>
            </w:r>
          </w:p>
        </w:tc>
        <w:tc>
          <w:tcPr>
            <w:tcW w:w="651" w:type="pct"/>
            <w:shd w:val="clear" w:color="auto" w:fill="auto"/>
            <w:vAlign w:val="center"/>
          </w:tcPr>
          <w:p w:rsidR="00597370" w:rsidRDefault="003C2EEE">
            <w:pPr>
              <w:jc w:val="right"/>
              <w:rPr>
                <w:color w:val="000000"/>
                <w:sz w:val="15"/>
                <w:szCs w:val="15"/>
              </w:rPr>
            </w:pPr>
            <w:r>
              <w:rPr>
                <w:rFonts w:hint="eastAsia"/>
                <w:color w:val="000000"/>
                <w:sz w:val="15"/>
                <w:szCs w:val="15"/>
              </w:rPr>
              <w:t>1,234.95</w:t>
            </w:r>
          </w:p>
        </w:tc>
        <w:tc>
          <w:tcPr>
            <w:tcW w:w="156" w:type="pct"/>
            <w:shd w:val="clear" w:color="auto" w:fill="auto"/>
            <w:vAlign w:val="center"/>
          </w:tcPr>
          <w:p w:rsidR="00597370" w:rsidRDefault="00597370">
            <w:pPr>
              <w:jc w:val="right"/>
              <w:rPr>
                <w:color w:val="000000"/>
                <w:sz w:val="15"/>
                <w:szCs w:val="15"/>
              </w:rPr>
            </w:pPr>
          </w:p>
        </w:tc>
        <w:tc>
          <w:tcPr>
            <w:tcW w:w="610" w:type="pct"/>
            <w:vAlign w:val="center"/>
          </w:tcPr>
          <w:p w:rsidR="00597370" w:rsidRDefault="003C2EEE">
            <w:pPr>
              <w:jc w:val="right"/>
              <w:rPr>
                <w:color w:val="000000"/>
                <w:sz w:val="15"/>
                <w:szCs w:val="15"/>
              </w:rPr>
            </w:pPr>
            <w:r>
              <w:rPr>
                <w:rFonts w:hint="eastAsia"/>
                <w:color w:val="000000"/>
                <w:sz w:val="15"/>
                <w:szCs w:val="15"/>
              </w:rPr>
              <w:t xml:space="preserve"> </w:t>
            </w:r>
            <w:r>
              <w:rPr>
                <w:rStyle w:val="font11"/>
                <w:rFonts w:hint="default"/>
                <w:sz w:val="15"/>
                <w:szCs w:val="15"/>
              </w:rPr>
              <w:t xml:space="preserve">-  </w:t>
            </w:r>
          </w:p>
        </w:tc>
        <w:tc>
          <w:tcPr>
            <w:tcW w:w="239" w:type="pct"/>
            <w:shd w:val="clear" w:color="auto" w:fill="auto"/>
            <w:vAlign w:val="center"/>
          </w:tcPr>
          <w:p w:rsidR="00597370" w:rsidRDefault="003C2EEE">
            <w:pPr>
              <w:jc w:val="right"/>
              <w:rPr>
                <w:sz w:val="15"/>
                <w:szCs w:val="15"/>
              </w:rPr>
            </w:pPr>
            <w:r>
              <w:rPr>
                <w:sz w:val="15"/>
                <w:szCs w:val="15"/>
              </w:rPr>
              <w:t xml:space="preserve"> 55.43 </w:t>
            </w:r>
          </w:p>
        </w:tc>
        <w:tc>
          <w:tcPr>
            <w:tcW w:w="239" w:type="pct"/>
            <w:shd w:val="clear" w:color="auto" w:fill="auto"/>
            <w:vAlign w:val="center"/>
          </w:tcPr>
          <w:p w:rsidR="00597370" w:rsidRDefault="003C2EEE">
            <w:pPr>
              <w:pStyle w:val="Style106"/>
              <w:jc w:val="right"/>
              <w:rPr>
                <w:sz w:val="15"/>
                <w:szCs w:val="15"/>
              </w:rPr>
            </w:pPr>
            <w:r>
              <w:rPr>
                <w:sz w:val="15"/>
                <w:szCs w:val="15"/>
              </w:rPr>
              <w:t xml:space="preserve"> 58.81 </w:t>
            </w:r>
          </w:p>
        </w:tc>
        <w:tc>
          <w:tcPr>
            <w:tcW w:w="281" w:type="pct"/>
            <w:shd w:val="clear" w:color="auto" w:fill="auto"/>
            <w:vAlign w:val="center"/>
          </w:tcPr>
          <w:p w:rsidR="00597370" w:rsidRDefault="00597370">
            <w:pPr>
              <w:jc w:val="center"/>
              <w:rPr>
                <w:sz w:val="15"/>
                <w:szCs w:val="15"/>
              </w:rPr>
            </w:pPr>
          </w:p>
        </w:tc>
        <w:tc>
          <w:tcPr>
            <w:tcW w:w="281" w:type="pct"/>
            <w:shd w:val="clear" w:color="auto" w:fill="auto"/>
            <w:vAlign w:val="center"/>
          </w:tcPr>
          <w:p w:rsidR="00597370" w:rsidRDefault="00597370">
            <w:pPr>
              <w:jc w:val="center"/>
              <w:rPr>
                <w:sz w:val="15"/>
                <w:szCs w:val="15"/>
              </w:rPr>
            </w:pPr>
          </w:p>
        </w:tc>
        <w:tc>
          <w:tcPr>
            <w:tcW w:w="199" w:type="pct"/>
            <w:shd w:val="clear" w:color="auto" w:fill="auto"/>
            <w:vAlign w:val="center"/>
          </w:tcPr>
          <w:p w:rsidR="00597370" w:rsidRDefault="00597370">
            <w:pPr>
              <w:jc w:val="center"/>
              <w:rPr>
                <w:sz w:val="15"/>
                <w:szCs w:val="15"/>
              </w:rPr>
            </w:pPr>
          </w:p>
        </w:tc>
        <w:tc>
          <w:tcPr>
            <w:tcW w:w="196" w:type="pct"/>
            <w:shd w:val="clear" w:color="auto" w:fill="auto"/>
          </w:tcPr>
          <w:p w:rsidR="00597370" w:rsidRDefault="003C2EEE">
            <w:pPr>
              <w:pStyle w:val="Style106"/>
              <w:rPr>
                <w:sz w:val="15"/>
                <w:szCs w:val="15"/>
              </w:rPr>
            </w:pPr>
            <w:r>
              <w:rPr>
                <w:rFonts w:hint="eastAsia"/>
                <w:color w:val="000000"/>
                <w:sz w:val="15"/>
                <w:szCs w:val="15"/>
              </w:rPr>
              <w:t>募集资金</w:t>
            </w:r>
          </w:p>
        </w:tc>
      </w:tr>
      <w:tr w:rsidR="00597370">
        <w:trPr>
          <w:cantSplit/>
        </w:trPr>
        <w:tc>
          <w:tcPr>
            <w:tcW w:w="570" w:type="pct"/>
            <w:shd w:val="clear" w:color="auto" w:fill="auto"/>
            <w:vAlign w:val="center"/>
          </w:tcPr>
          <w:p w:rsidR="00597370" w:rsidRDefault="003C2EEE">
            <w:pPr>
              <w:ind w:right="105"/>
              <w:rPr>
                <w:sz w:val="15"/>
                <w:szCs w:val="15"/>
              </w:rPr>
            </w:pPr>
            <w:r>
              <w:rPr>
                <w:rFonts w:hint="eastAsia"/>
                <w:color w:val="000000"/>
                <w:sz w:val="15"/>
                <w:szCs w:val="15"/>
              </w:rPr>
              <w:t>智能成套电气设备产业基地建设项目</w:t>
            </w:r>
          </w:p>
        </w:tc>
        <w:tc>
          <w:tcPr>
            <w:tcW w:w="601" w:type="pct"/>
            <w:shd w:val="clear" w:color="auto" w:fill="auto"/>
            <w:vAlign w:val="center"/>
          </w:tcPr>
          <w:p w:rsidR="00597370" w:rsidRDefault="003C2EEE">
            <w:pPr>
              <w:jc w:val="right"/>
              <w:rPr>
                <w:color w:val="000000"/>
                <w:sz w:val="15"/>
                <w:szCs w:val="15"/>
              </w:rPr>
            </w:pPr>
            <w:r>
              <w:rPr>
                <w:rFonts w:hint="eastAsia"/>
                <w:color w:val="000000"/>
                <w:sz w:val="15"/>
                <w:szCs w:val="15"/>
              </w:rPr>
              <w:t>24,268.47</w:t>
            </w:r>
          </w:p>
        </w:tc>
        <w:tc>
          <w:tcPr>
            <w:tcW w:w="522" w:type="pct"/>
            <w:shd w:val="clear" w:color="auto" w:fill="auto"/>
            <w:vAlign w:val="center"/>
          </w:tcPr>
          <w:p w:rsidR="00597370" w:rsidRDefault="003C2EEE">
            <w:pPr>
              <w:jc w:val="right"/>
              <w:rPr>
                <w:color w:val="000000"/>
                <w:sz w:val="15"/>
                <w:szCs w:val="15"/>
              </w:rPr>
            </w:pPr>
            <w:r>
              <w:rPr>
                <w:rFonts w:hint="eastAsia"/>
                <w:color w:val="000000"/>
                <w:sz w:val="15"/>
                <w:szCs w:val="15"/>
              </w:rPr>
              <w:t>9,738.13</w:t>
            </w:r>
          </w:p>
        </w:tc>
        <w:tc>
          <w:tcPr>
            <w:tcW w:w="454" w:type="pct"/>
            <w:shd w:val="clear" w:color="auto" w:fill="auto"/>
            <w:vAlign w:val="center"/>
          </w:tcPr>
          <w:p w:rsidR="00597370" w:rsidRDefault="003C2EEE">
            <w:pPr>
              <w:jc w:val="right"/>
              <w:rPr>
                <w:color w:val="000000"/>
                <w:sz w:val="15"/>
                <w:szCs w:val="15"/>
              </w:rPr>
            </w:pPr>
            <w:r>
              <w:rPr>
                <w:rFonts w:hint="eastAsia"/>
                <w:color w:val="000000"/>
                <w:sz w:val="15"/>
                <w:szCs w:val="15"/>
              </w:rPr>
              <w:t>276.27</w:t>
            </w:r>
          </w:p>
        </w:tc>
        <w:tc>
          <w:tcPr>
            <w:tcW w:w="651" w:type="pct"/>
            <w:shd w:val="clear" w:color="auto" w:fill="auto"/>
            <w:vAlign w:val="center"/>
          </w:tcPr>
          <w:p w:rsidR="00597370" w:rsidRDefault="003C2EEE">
            <w:pPr>
              <w:jc w:val="right"/>
              <w:rPr>
                <w:color w:val="000000"/>
                <w:sz w:val="15"/>
                <w:szCs w:val="15"/>
              </w:rPr>
            </w:pPr>
            <w:r>
              <w:rPr>
                <w:rFonts w:hint="eastAsia"/>
                <w:color w:val="000000"/>
                <w:sz w:val="15"/>
                <w:szCs w:val="15"/>
              </w:rPr>
              <w:t>10,014.40</w:t>
            </w:r>
          </w:p>
        </w:tc>
        <w:tc>
          <w:tcPr>
            <w:tcW w:w="156" w:type="pct"/>
            <w:shd w:val="clear" w:color="auto" w:fill="auto"/>
            <w:vAlign w:val="center"/>
          </w:tcPr>
          <w:p w:rsidR="00597370" w:rsidRDefault="00597370">
            <w:pPr>
              <w:jc w:val="right"/>
              <w:rPr>
                <w:color w:val="000000"/>
                <w:sz w:val="15"/>
                <w:szCs w:val="15"/>
              </w:rPr>
            </w:pPr>
          </w:p>
        </w:tc>
        <w:tc>
          <w:tcPr>
            <w:tcW w:w="610" w:type="pct"/>
            <w:vAlign w:val="center"/>
          </w:tcPr>
          <w:p w:rsidR="00597370" w:rsidRDefault="003C2EEE">
            <w:pPr>
              <w:jc w:val="right"/>
              <w:rPr>
                <w:color w:val="000000"/>
                <w:sz w:val="15"/>
                <w:szCs w:val="15"/>
              </w:rPr>
            </w:pPr>
            <w:r>
              <w:rPr>
                <w:rFonts w:hint="eastAsia"/>
                <w:color w:val="000000"/>
                <w:sz w:val="15"/>
                <w:szCs w:val="15"/>
              </w:rPr>
              <w:t xml:space="preserve"> </w:t>
            </w:r>
            <w:r>
              <w:rPr>
                <w:rStyle w:val="font11"/>
                <w:rFonts w:hint="default"/>
                <w:sz w:val="15"/>
                <w:szCs w:val="15"/>
              </w:rPr>
              <w:t xml:space="preserve">-  </w:t>
            </w:r>
          </w:p>
        </w:tc>
        <w:tc>
          <w:tcPr>
            <w:tcW w:w="239" w:type="pct"/>
            <w:shd w:val="clear" w:color="auto" w:fill="auto"/>
            <w:vAlign w:val="center"/>
          </w:tcPr>
          <w:p w:rsidR="00597370" w:rsidRDefault="003C2EEE">
            <w:pPr>
              <w:jc w:val="right"/>
              <w:rPr>
                <w:sz w:val="15"/>
                <w:szCs w:val="15"/>
              </w:rPr>
            </w:pPr>
            <w:r>
              <w:rPr>
                <w:sz w:val="15"/>
                <w:szCs w:val="15"/>
              </w:rPr>
              <w:t xml:space="preserve"> 86.81 </w:t>
            </w:r>
          </w:p>
        </w:tc>
        <w:tc>
          <w:tcPr>
            <w:tcW w:w="239" w:type="pct"/>
            <w:shd w:val="clear" w:color="auto" w:fill="auto"/>
            <w:vAlign w:val="center"/>
          </w:tcPr>
          <w:p w:rsidR="00597370" w:rsidRDefault="003C2EEE">
            <w:pPr>
              <w:pStyle w:val="Style106"/>
              <w:jc w:val="right"/>
              <w:rPr>
                <w:sz w:val="15"/>
                <w:szCs w:val="15"/>
              </w:rPr>
            </w:pPr>
            <w:r>
              <w:rPr>
                <w:sz w:val="15"/>
                <w:szCs w:val="15"/>
              </w:rPr>
              <w:t>91.07</w:t>
            </w:r>
          </w:p>
        </w:tc>
        <w:tc>
          <w:tcPr>
            <w:tcW w:w="281" w:type="pct"/>
            <w:shd w:val="clear" w:color="auto" w:fill="auto"/>
            <w:vAlign w:val="center"/>
          </w:tcPr>
          <w:p w:rsidR="00597370" w:rsidRDefault="00597370">
            <w:pPr>
              <w:jc w:val="center"/>
              <w:rPr>
                <w:sz w:val="15"/>
                <w:szCs w:val="15"/>
              </w:rPr>
            </w:pPr>
          </w:p>
        </w:tc>
        <w:tc>
          <w:tcPr>
            <w:tcW w:w="281" w:type="pct"/>
            <w:shd w:val="clear" w:color="auto" w:fill="auto"/>
            <w:vAlign w:val="center"/>
          </w:tcPr>
          <w:p w:rsidR="00597370" w:rsidRDefault="00597370">
            <w:pPr>
              <w:jc w:val="center"/>
              <w:rPr>
                <w:sz w:val="15"/>
                <w:szCs w:val="15"/>
              </w:rPr>
            </w:pPr>
          </w:p>
        </w:tc>
        <w:tc>
          <w:tcPr>
            <w:tcW w:w="199" w:type="pct"/>
            <w:shd w:val="clear" w:color="auto" w:fill="auto"/>
            <w:vAlign w:val="center"/>
          </w:tcPr>
          <w:p w:rsidR="00597370" w:rsidRDefault="00597370">
            <w:pPr>
              <w:jc w:val="center"/>
              <w:rPr>
                <w:sz w:val="15"/>
                <w:szCs w:val="15"/>
              </w:rPr>
            </w:pPr>
          </w:p>
        </w:tc>
        <w:tc>
          <w:tcPr>
            <w:tcW w:w="196" w:type="pct"/>
            <w:shd w:val="clear" w:color="auto" w:fill="auto"/>
          </w:tcPr>
          <w:p w:rsidR="00597370" w:rsidRDefault="003C2EEE">
            <w:pPr>
              <w:pStyle w:val="Style106"/>
              <w:rPr>
                <w:sz w:val="15"/>
                <w:szCs w:val="15"/>
              </w:rPr>
            </w:pPr>
            <w:r>
              <w:rPr>
                <w:rFonts w:hint="eastAsia"/>
                <w:color w:val="000000"/>
                <w:sz w:val="15"/>
                <w:szCs w:val="15"/>
              </w:rPr>
              <w:t>募集资金</w:t>
            </w:r>
          </w:p>
        </w:tc>
      </w:tr>
      <w:tr w:rsidR="00597370">
        <w:trPr>
          <w:cantSplit/>
        </w:trPr>
        <w:tc>
          <w:tcPr>
            <w:tcW w:w="570" w:type="pct"/>
            <w:shd w:val="clear" w:color="auto" w:fill="auto"/>
            <w:vAlign w:val="center"/>
          </w:tcPr>
          <w:p w:rsidR="00597370" w:rsidRDefault="003C2EEE">
            <w:pPr>
              <w:ind w:right="105"/>
              <w:rPr>
                <w:sz w:val="15"/>
                <w:szCs w:val="15"/>
              </w:rPr>
            </w:pPr>
            <w:r>
              <w:rPr>
                <w:rFonts w:hint="eastAsia"/>
                <w:color w:val="000000"/>
                <w:sz w:val="15"/>
                <w:szCs w:val="15"/>
              </w:rPr>
              <w:lastRenderedPageBreak/>
              <w:t>110kV及以下节能型变压器智能化工厂技改项目</w:t>
            </w:r>
          </w:p>
        </w:tc>
        <w:tc>
          <w:tcPr>
            <w:tcW w:w="601" w:type="pct"/>
            <w:shd w:val="clear" w:color="auto" w:fill="auto"/>
            <w:vAlign w:val="center"/>
          </w:tcPr>
          <w:p w:rsidR="00597370" w:rsidRDefault="003C2EEE">
            <w:pPr>
              <w:jc w:val="right"/>
              <w:rPr>
                <w:color w:val="000000"/>
                <w:sz w:val="15"/>
                <w:szCs w:val="15"/>
              </w:rPr>
            </w:pPr>
            <w:r>
              <w:rPr>
                <w:rFonts w:hint="eastAsia"/>
                <w:color w:val="000000"/>
                <w:sz w:val="15"/>
                <w:szCs w:val="15"/>
              </w:rPr>
              <w:t>11,818.17</w:t>
            </w:r>
          </w:p>
        </w:tc>
        <w:tc>
          <w:tcPr>
            <w:tcW w:w="522" w:type="pct"/>
            <w:shd w:val="clear" w:color="auto" w:fill="auto"/>
            <w:vAlign w:val="center"/>
          </w:tcPr>
          <w:p w:rsidR="00597370" w:rsidRDefault="003C2EEE">
            <w:pPr>
              <w:jc w:val="right"/>
              <w:rPr>
                <w:color w:val="000000"/>
                <w:sz w:val="15"/>
                <w:szCs w:val="15"/>
              </w:rPr>
            </w:pPr>
            <w:r>
              <w:rPr>
                <w:rFonts w:hint="eastAsia"/>
                <w:color w:val="000000"/>
                <w:sz w:val="15"/>
                <w:szCs w:val="15"/>
              </w:rPr>
              <w:t>1,795.06</w:t>
            </w:r>
          </w:p>
        </w:tc>
        <w:tc>
          <w:tcPr>
            <w:tcW w:w="454" w:type="pct"/>
            <w:shd w:val="clear" w:color="auto" w:fill="auto"/>
            <w:vAlign w:val="center"/>
          </w:tcPr>
          <w:p w:rsidR="00597370" w:rsidRDefault="003C2EEE">
            <w:pPr>
              <w:jc w:val="right"/>
              <w:rPr>
                <w:color w:val="000000"/>
                <w:sz w:val="15"/>
                <w:szCs w:val="15"/>
              </w:rPr>
            </w:pPr>
            <w:r>
              <w:rPr>
                <w:rFonts w:hint="eastAsia"/>
                <w:color w:val="000000"/>
                <w:sz w:val="15"/>
                <w:szCs w:val="15"/>
              </w:rPr>
              <w:t>6,451.66</w:t>
            </w:r>
          </w:p>
        </w:tc>
        <w:tc>
          <w:tcPr>
            <w:tcW w:w="651" w:type="pct"/>
            <w:shd w:val="clear" w:color="auto" w:fill="auto"/>
            <w:vAlign w:val="center"/>
          </w:tcPr>
          <w:p w:rsidR="00597370" w:rsidRDefault="003C2EEE">
            <w:pPr>
              <w:jc w:val="right"/>
              <w:rPr>
                <w:color w:val="000000"/>
                <w:sz w:val="15"/>
                <w:szCs w:val="15"/>
              </w:rPr>
            </w:pPr>
            <w:r>
              <w:rPr>
                <w:rFonts w:hint="eastAsia"/>
                <w:color w:val="000000"/>
                <w:sz w:val="15"/>
                <w:szCs w:val="15"/>
              </w:rPr>
              <w:t>8,246.71</w:t>
            </w:r>
          </w:p>
        </w:tc>
        <w:tc>
          <w:tcPr>
            <w:tcW w:w="156" w:type="pct"/>
            <w:shd w:val="clear" w:color="auto" w:fill="auto"/>
            <w:vAlign w:val="center"/>
          </w:tcPr>
          <w:p w:rsidR="00597370" w:rsidRDefault="00597370">
            <w:pPr>
              <w:jc w:val="right"/>
              <w:rPr>
                <w:color w:val="000000"/>
                <w:sz w:val="15"/>
                <w:szCs w:val="15"/>
              </w:rPr>
            </w:pPr>
          </w:p>
        </w:tc>
        <w:tc>
          <w:tcPr>
            <w:tcW w:w="610" w:type="pct"/>
            <w:vAlign w:val="center"/>
          </w:tcPr>
          <w:p w:rsidR="00597370" w:rsidRDefault="003C2EEE">
            <w:pPr>
              <w:jc w:val="right"/>
              <w:rPr>
                <w:color w:val="000000"/>
                <w:sz w:val="15"/>
                <w:szCs w:val="15"/>
              </w:rPr>
            </w:pPr>
            <w:r>
              <w:rPr>
                <w:rFonts w:hint="eastAsia"/>
                <w:color w:val="000000"/>
                <w:sz w:val="15"/>
                <w:szCs w:val="15"/>
              </w:rPr>
              <w:t xml:space="preserve"> </w:t>
            </w:r>
            <w:r>
              <w:rPr>
                <w:rStyle w:val="font11"/>
                <w:rFonts w:hint="default"/>
                <w:sz w:val="15"/>
                <w:szCs w:val="15"/>
              </w:rPr>
              <w:t xml:space="preserve">-  </w:t>
            </w:r>
          </w:p>
        </w:tc>
        <w:tc>
          <w:tcPr>
            <w:tcW w:w="239" w:type="pct"/>
            <w:shd w:val="clear" w:color="auto" w:fill="auto"/>
            <w:vAlign w:val="center"/>
          </w:tcPr>
          <w:p w:rsidR="00597370" w:rsidRDefault="003C2EEE">
            <w:pPr>
              <w:jc w:val="right"/>
              <w:rPr>
                <w:sz w:val="15"/>
                <w:szCs w:val="15"/>
              </w:rPr>
            </w:pPr>
            <w:r>
              <w:rPr>
                <w:sz w:val="15"/>
                <w:szCs w:val="15"/>
              </w:rPr>
              <w:t xml:space="preserve"> 52.55 </w:t>
            </w:r>
          </w:p>
        </w:tc>
        <w:tc>
          <w:tcPr>
            <w:tcW w:w="239" w:type="pct"/>
            <w:shd w:val="clear" w:color="auto" w:fill="auto"/>
            <w:vAlign w:val="center"/>
          </w:tcPr>
          <w:p w:rsidR="00597370" w:rsidRDefault="003C2EEE">
            <w:pPr>
              <w:pStyle w:val="Style106"/>
              <w:jc w:val="right"/>
              <w:rPr>
                <w:sz w:val="15"/>
                <w:szCs w:val="15"/>
              </w:rPr>
            </w:pPr>
            <w:r>
              <w:rPr>
                <w:sz w:val="15"/>
                <w:szCs w:val="15"/>
              </w:rPr>
              <w:t xml:space="preserve"> 74.19 </w:t>
            </w:r>
          </w:p>
        </w:tc>
        <w:tc>
          <w:tcPr>
            <w:tcW w:w="281" w:type="pct"/>
            <w:shd w:val="clear" w:color="auto" w:fill="auto"/>
            <w:vAlign w:val="center"/>
          </w:tcPr>
          <w:p w:rsidR="00597370" w:rsidRDefault="00597370">
            <w:pPr>
              <w:jc w:val="center"/>
              <w:rPr>
                <w:sz w:val="15"/>
                <w:szCs w:val="15"/>
              </w:rPr>
            </w:pPr>
          </w:p>
        </w:tc>
        <w:tc>
          <w:tcPr>
            <w:tcW w:w="281" w:type="pct"/>
            <w:shd w:val="clear" w:color="auto" w:fill="auto"/>
            <w:vAlign w:val="center"/>
          </w:tcPr>
          <w:p w:rsidR="00597370" w:rsidRDefault="00597370">
            <w:pPr>
              <w:jc w:val="center"/>
              <w:rPr>
                <w:sz w:val="15"/>
                <w:szCs w:val="15"/>
              </w:rPr>
            </w:pPr>
          </w:p>
        </w:tc>
        <w:tc>
          <w:tcPr>
            <w:tcW w:w="199" w:type="pct"/>
            <w:shd w:val="clear" w:color="auto" w:fill="auto"/>
            <w:vAlign w:val="center"/>
          </w:tcPr>
          <w:p w:rsidR="00597370" w:rsidRDefault="00597370">
            <w:pPr>
              <w:jc w:val="center"/>
              <w:rPr>
                <w:sz w:val="15"/>
                <w:szCs w:val="15"/>
              </w:rPr>
            </w:pPr>
          </w:p>
        </w:tc>
        <w:tc>
          <w:tcPr>
            <w:tcW w:w="196" w:type="pct"/>
            <w:shd w:val="clear" w:color="auto" w:fill="auto"/>
          </w:tcPr>
          <w:p w:rsidR="00597370" w:rsidRDefault="003C2EEE">
            <w:pPr>
              <w:pStyle w:val="Style106"/>
              <w:rPr>
                <w:sz w:val="15"/>
                <w:szCs w:val="15"/>
              </w:rPr>
            </w:pPr>
            <w:r>
              <w:rPr>
                <w:rFonts w:hint="eastAsia"/>
                <w:color w:val="000000"/>
                <w:sz w:val="15"/>
                <w:szCs w:val="15"/>
              </w:rPr>
              <w:t>募集资金及自有资金（厂房安全整改项目用自有资金支付）</w:t>
            </w:r>
          </w:p>
        </w:tc>
      </w:tr>
      <w:tr w:rsidR="00597370">
        <w:trPr>
          <w:cantSplit/>
        </w:trPr>
        <w:tc>
          <w:tcPr>
            <w:tcW w:w="570" w:type="pct"/>
            <w:shd w:val="clear" w:color="auto" w:fill="auto"/>
            <w:vAlign w:val="center"/>
          </w:tcPr>
          <w:p w:rsidR="00597370" w:rsidRDefault="003C2EEE">
            <w:pPr>
              <w:ind w:right="105"/>
              <w:rPr>
                <w:sz w:val="15"/>
                <w:szCs w:val="15"/>
              </w:rPr>
            </w:pPr>
            <w:proofErr w:type="gramStart"/>
            <w:r>
              <w:rPr>
                <w:rFonts w:hint="eastAsia"/>
                <w:color w:val="000000"/>
                <w:sz w:val="15"/>
                <w:szCs w:val="15"/>
              </w:rPr>
              <w:t>智控设备</w:t>
            </w:r>
            <w:proofErr w:type="gramEnd"/>
            <w:r>
              <w:rPr>
                <w:rFonts w:hint="eastAsia"/>
                <w:color w:val="000000"/>
                <w:sz w:val="15"/>
                <w:szCs w:val="15"/>
              </w:rPr>
              <w:t>及金属制品智能工厂建设项目（一期）</w:t>
            </w:r>
          </w:p>
        </w:tc>
        <w:tc>
          <w:tcPr>
            <w:tcW w:w="601" w:type="pct"/>
            <w:shd w:val="clear" w:color="auto" w:fill="auto"/>
            <w:vAlign w:val="center"/>
          </w:tcPr>
          <w:p w:rsidR="00597370" w:rsidRDefault="003C2EEE">
            <w:pPr>
              <w:jc w:val="right"/>
              <w:rPr>
                <w:color w:val="000000"/>
                <w:sz w:val="15"/>
                <w:szCs w:val="15"/>
              </w:rPr>
            </w:pPr>
            <w:r>
              <w:rPr>
                <w:rFonts w:hint="eastAsia"/>
                <w:color w:val="000000"/>
                <w:sz w:val="15"/>
                <w:szCs w:val="15"/>
              </w:rPr>
              <w:t>24,800.87</w:t>
            </w:r>
          </w:p>
        </w:tc>
        <w:tc>
          <w:tcPr>
            <w:tcW w:w="522" w:type="pct"/>
            <w:shd w:val="clear" w:color="auto" w:fill="auto"/>
            <w:vAlign w:val="center"/>
          </w:tcPr>
          <w:p w:rsidR="00597370" w:rsidRDefault="003C2EEE">
            <w:pPr>
              <w:jc w:val="right"/>
              <w:rPr>
                <w:color w:val="000000"/>
                <w:sz w:val="15"/>
                <w:szCs w:val="15"/>
              </w:rPr>
            </w:pPr>
            <w:r>
              <w:rPr>
                <w:rFonts w:hint="eastAsia"/>
                <w:color w:val="000000"/>
                <w:sz w:val="15"/>
                <w:szCs w:val="15"/>
              </w:rPr>
              <w:t>4,246.95</w:t>
            </w:r>
          </w:p>
        </w:tc>
        <w:tc>
          <w:tcPr>
            <w:tcW w:w="454" w:type="pct"/>
            <w:shd w:val="clear" w:color="auto" w:fill="auto"/>
            <w:vAlign w:val="center"/>
          </w:tcPr>
          <w:p w:rsidR="00597370" w:rsidRDefault="003C2EEE">
            <w:pPr>
              <w:jc w:val="right"/>
              <w:rPr>
                <w:color w:val="000000"/>
                <w:sz w:val="15"/>
                <w:szCs w:val="15"/>
              </w:rPr>
            </w:pPr>
            <w:r>
              <w:rPr>
                <w:rFonts w:hint="eastAsia"/>
                <w:color w:val="000000"/>
                <w:sz w:val="15"/>
                <w:szCs w:val="15"/>
              </w:rPr>
              <w:t>14,309.29</w:t>
            </w:r>
          </w:p>
        </w:tc>
        <w:tc>
          <w:tcPr>
            <w:tcW w:w="651" w:type="pct"/>
            <w:shd w:val="clear" w:color="auto" w:fill="auto"/>
            <w:vAlign w:val="center"/>
          </w:tcPr>
          <w:p w:rsidR="00597370" w:rsidRDefault="003C2EEE">
            <w:pPr>
              <w:jc w:val="right"/>
              <w:rPr>
                <w:color w:val="000000"/>
                <w:sz w:val="15"/>
                <w:szCs w:val="15"/>
              </w:rPr>
            </w:pPr>
            <w:r>
              <w:rPr>
                <w:rFonts w:hint="eastAsia"/>
                <w:color w:val="000000"/>
                <w:sz w:val="15"/>
                <w:szCs w:val="15"/>
              </w:rPr>
              <w:t>0</w:t>
            </w:r>
          </w:p>
        </w:tc>
        <w:tc>
          <w:tcPr>
            <w:tcW w:w="156" w:type="pct"/>
            <w:shd w:val="clear" w:color="auto" w:fill="auto"/>
            <w:vAlign w:val="center"/>
          </w:tcPr>
          <w:p w:rsidR="00597370" w:rsidRDefault="003C2EEE">
            <w:pPr>
              <w:jc w:val="right"/>
              <w:rPr>
                <w:color w:val="000000"/>
                <w:sz w:val="15"/>
                <w:szCs w:val="15"/>
              </w:rPr>
            </w:pPr>
            <w:r>
              <w:rPr>
                <w:rFonts w:hint="eastAsia"/>
                <w:color w:val="000000"/>
                <w:sz w:val="15"/>
                <w:szCs w:val="15"/>
              </w:rPr>
              <w:t>0</w:t>
            </w:r>
          </w:p>
        </w:tc>
        <w:tc>
          <w:tcPr>
            <w:tcW w:w="610" w:type="pct"/>
            <w:vAlign w:val="center"/>
          </w:tcPr>
          <w:p w:rsidR="00597370" w:rsidRDefault="003C2EEE">
            <w:pPr>
              <w:jc w:val="right"/>
              <w:rPr>
                <w:color w:val="000000"/>
                <w:sz w:val="15"/>
                <w:szCs w:val="15"/>
              </w:rPr>
            </w:pPr>
            <w:r>
              <w:rPr>
                <w:rFonts w:hint="eastAsia"/>
                <w:color w:val="000000"/>
                <w:sz w:val="15"/>
                <w:szCs w:val="15"/>
              </w:rPr>
              <w:t>18,556.24</w:t>
            </w:r>
          </w:p>
        </w:tc>
        <w:tc>
          <w:tcPr>
            <w:tcW w:w="239" w:type="pct"/>
            <w:shd w:val="clear" w:color="auto" w:fill="auto"/>
            <w:vAlign w:val="center"/>
          </w:tcPr>
          <w:p w:rsidR="00597370" w:rsidRDefault="003C2EEE">
            <w:pPr>
              <w:jc w:val="right"/>
              <w:rPr>
                <w:sz w:val="15"/>
                <w:szCs w:val="15"/>
              </w:rPr>
            </w:pPr>
            <w:r>
              <w:rPr>
                <w:sz w:val="15"/>
                <w:szCs w:val="15"/>
              </w:rPr>
              <w:t xml:space="preserve"> 71.50 </w:t>
            </w:r>
          </w:p>
        </w:tc>
        <w:tc>
          <w:tcPr>
            <w:tcW w:w="239" w:type="pct"/>
            <w:shd w:val="clear" w:color="auto" w:fill="auto"/>
            <w:vAlign w:val="center"/>
          </w:tcPr>
          <w:p w:rsidR="00597370" w:rsidRDefault="003C2EEE">
            <w:pPr>
              <w:pStyle w:val="Style106"/>
              <w:jc w:val="right"/>
              <w:rPr>
                <w:sz w:val="15"/>
                <w:szCs w:val="15"/>
              </w:rPr>
            </w:pPr>
            <w:r>
              <w:rPr>
                <w:sz w:val="15"/>
                <w:szCs w:val="15"/>
              </w:rPr>
              <w:t xml:space="preserve"> 74.87 </w:t>
            </w:r>
          </w:p>
        </w:tc>
        <w:tc>
          <w:tcPr>
            <w:tcW w:w="281" w:type="pct"/>
            <w:shd w:val="clear" w:color="auto" w:fill="auto"/>
            <w:vAlign w:val="center"/>
          </w:tcPr>
          <w:p w:rsidR="00597370" w:rsidRDefault="00597370">
            <w:pPr>
              <w:jc w:val="center"/>
              <w:rPr>
                <w:sz w:val="15"/>
                <w:szCs w:val="15"/>
              </w:rPr>
            </w:pPr>
          </w:p>
        </w:tc>
        <w:tc>
          <w:tcPr>
            <w:tcW w:w="281" w:type="pct"/>
            <w:shd w:val="clear" w:color="auto" w:fill="auto"/>
            <w:vAlign w:val="center"/>
          </w:tcPr>
          <w:p w:rsidR="00597370" w:rsidRDefault="00597370">
            <w:pPr>
              <w:jc w:val="center"/>
              <w:rPr>
                <w:sz w:val="15"/>
                <w:szCs w:val="15"/>
              </w:rPr>
            </w:pPr>
          </w:p>
        </w:tc>
        <w:tc>
          <w:tcPr>
            <w:tcW w:w="199" w:type="pct"/>
            <w:shd w:val="clear" w:color="auto" w:fill="auto"/>
            <w:vAlign w:val="center"/>
          </w:tcPr>
          <w:p w:rsidR="00597370" w:rsidRDefault="00597370">
            <w:pPr>
              <w:jc w:val="center"/>
              <w:rPr>
                <w:sz w:val="15"/>
                <w:szCs w:val="15"/>
              </w:rPr>
            </w:pPr>
          </w:p>
        </w:tc>
        <w:tc>
          <w:tcPr>
            <w:tcW w:w="196" w:type="pct"/>
            <w:shd w:val="clear" w:color="auto" w:fill="auto"/>
          </w:tcPr>
          <w:p w:rsidR="00597370" w:rsidRDefault="003C2EEE">
            <w:pPr>
              <w:pStyle w:val="Style106"/>
              <w:rPr>
                <w:sz w:val="15"/>
                <w:szCs w:val="15"/>
              </w:rPr>
            </w:pPr>
            <w:r>
              <w:rPr>
                <w:rFonts w:hint="eastAsia"/>
                <w:color w:val="000000"/>
                <w:sz w:val="15"/>
                <w:szCs w:val="15"/>
              </w:rPr>
              <w:t>募集资金及自筹资金</w:t>
            </w:r>
          </w:p>
        </w:tc>
      </w:tr>
      <w:tr w:rsidR="00597370">
        <w:trPr>
          <w:cantSplit/>
          <w:trHeight w:val="497"/>
        </w:trPr>
        <w:tc>
          <w:tcPr>
            <w:tcW w:w="570" w:type="pct"/>
            <w:shd w:val="clear" w:color="auto" w:fill="auto"/>
            <w:vAlign w:val="center"/>
          </w:tcPr>
          <w:p w:rsidR="00597370" w:rsidRDefault="003C2EEE">
            <w:pPr>
              <w:ind w:right="105"/>
              <w:jc w:val="center"/>
              <w:rPr>
                <w:color w:val="000000" w:themeColor="text1"/>
                <w:sz w:val="15"/>
                <w:szCs w:val="15"/>
              </w:rPr>
            </w:pPr>
            <w:r>
              <w:rPr>
                <w:rFonts w:hint="eastAsia"/>
                <w:color w:val="000000" w:themeColor="text1"/>
                <w:sz w:val="15"/>
                <w:szCs w:val="15"/>
              </w:rPr>
              <w:t>合计</w:t>
            </w:r>
          </w:p>
        </w:tc>
        <w:tc>
          <w:tcPr>
            <w:tcW w:w="601" w:type="pct"/>
            <w:shd w:val="clear" w:color="auto" w:fill="auto"/>
            <w:vAlign w:val="center"/>
          </w:tcPr>
          <w:p w:rsidR="00597370" w:rsidRDefault="003C2EEE">
            <w:pPr>
              <w:jc w:val="right"/>
              <w:rPr>
                <w:color w:val="000000"/>
                <w:sz w:val="15"/>
                <w:szCs w:val="15"/>
              </w:rPr>
            </w:pPr>
            <w:r>
              <w:rPr>
                <w:rFonts w:hint="eastAsia"/>
                <w:color w:val="000000"/>
                <w:sz w:val="15"/>
                <w:szCs w:val="15"/>
              </w:rPr>
              <w:t xml:space="preserve"> 170,765.51 </w:t>
            </w:r>
          </w:p>
        </w:tc>
        <w:tc>
          <w:tcPr>
            <w:tcW w:w="522" w:type="pct"/>
            <w:shd w:val="clear" w:color="auto" w:fill="auto"/>
            <w:vAlign w:val="center"/>
          </w:tcPr>
          <w:p w:rsidR="00597370" w:rsidRDefault="003C2EEE">
            <w:pPr>
              <w:jc w:val="right"/>
              <w:rPr>
                <w:color w:val="000000"/>
                <w:sz w:val="15"/>
                <w:szCs w:val="15"/>
              </w:rPr>
            </w:pPr>
            <w:r>
              <w:rPr>
                <w:rFonts w:hint="eastAsia"/>
                <w:color w:val="000000"/>
                <w:sz w:val="15"/>
                <w:szCs w:val="15"/>
              </w:rPr>
              <w:t xml:space="preserve"> 36,977.73 </w:t>
            </w:r>
          </w:p>
        </w:tc>
        <w:tc>
          <w:tcPr>
            <w:tcW w:w="454" w:type="pct"/>
            <w:shd w:val="clear" w:color="auto" w:fill="auto"/>
            <w:vAlign w:val="center"/>
          </w:tcPr>
          <w:p w:rsidR="00597370" w:rsidRDefault="003C2EEE">
            <w:pPr>
              <w:jc w:val="right"/>
              <w:rPr>
                <w:color w:val="000000"/>
                <w:sz w:val="15"/>
                <w:szCs w:val="15"/>
              </w:rPr>
            </w:pPr>
            <w:r>
              <w:rPr>
                <w:rFonts w:hint="eastAsia"/>
                <w:color w:val="000000"/>
                <w:sz w:val="15"/>
                <w:szCs w:val="15"/>
              </w:rPr>
              <w:t xml:space="preserve"> 25,432.01 </w:t>
            </w:r>
          </w:p>
        </w:tc>
        <w:tc>
          <w:tcPr>
            <w:tcW w:w="651" w:type="pct"/>
            <w:shd w:val="clear" w:color="auto" w:fill="auto"/>
            <w:vAlign w:val="center"/>
          </w:tcPr>
          <w:p w:rsidR="00597370" w:rsidRDefault="003C2EEE">
            <w:pPr>
              <w:jc w:val="right"/>
              <w:rPr>
                <w:color w:val="000000"/>
                <w:sz w:val="15"/>
                <w:szCs w:val="15"/>
              </w:rPr>
            </w:pPr>
            <w:r>
              <w:rPr>
                <w:rFonts w:hint="eastAsia"/>
                <w:color w:val="000000"/>
                <w:sz w:val="15"/>
                <w:szCs w:val="15"/>
              </w:rPr>
              <w:t xml:space="preserve"> 32,939.54 </w:t>
            </w:r>
          </w:p>
        </w:tc>
        <w:tc>
          <w:tcPr>
            <w:tcW w:w="156" w:type="pct"/>
            <w:shd w:val="clear" w:color="auto" w:fill="auto"/>
            <w:vAlign w:val="center"/>
          </w:tcPr>
          <w:p w:rsidR="00597370" w:rsidRDefault="003C2EEE">
            <w:pPr>
              <w:jc w:val="right"/>
              <w:rPr>
                <w:color w:val="000000"/>
                <w:sz w:val="15"/>
                <w:szCs w:val="15"/>
              </w:rPr>
            </w:pPr>
            <w:r>
              <w:rPr>
                <w:rFonts w:hint="eastAsia"/>
                <w:color w:val="000000"/>
                <w:sz w:val="15"/>
                <w:szCs w:val="15"/>
              </w:rPr>
              <w:t xml:space="preserve"> -   </w:t>
            </w:r>
          </w:p>
        </w:tc>
        <w:tc>
          <w:tcPr>
            <w:tcW w:w="610" w:type="pct"/>
            <w:vAlign w:val="center"/>
          </w:tcPr>
          <w:p w:rsidR="00597370" w:rsidRDefault="003C2EEE">
            <w:pPr>
              <w:jc w:val="right"/>
              <w:rPr>
                <w:color w:val="000000"/>
                <w:sz w:val="15"/>
                <w:szCs w:val="15"/>
              </w:rPr>
            </w:pPr>
            <w:r>
              <w:rPr>
                <w:rFonts w:hint="eastAsia"/>
                <w:color w:val="000000"/>
                <w:sz w:val="15"/>
                <w:szCs w:val="15"/>
              </w:rPr>
              <w:t xml:space="preserve"> 29,470.19 </w:t>
            </w:r>
          </w:p>
        </w:tc>
        <w:tc>
          <w:tcPr>
            <w:tcW w:w="239" w:type="pct"/>
            <w:shd w:val="clear" w:color="auto" w:fill="auto"/>
            <w:vAlign w:val="center"/>
          </w:tcPr>
          <w:p w:rsidR="00597370" w:rsidRDefault="003C2EEE">
            <w:pPr>
              <w:ind w:right="174"/>
              <w:jc w:val="center"/>
              <w:rPr>
                <w:color w:val="000000" w:themeColor="text1"/>
                <w:sz w:val="15"/>
                <w:szCs w:val="15"/>
              </w:rPr>
            </w:pPr>
            <w:r>
              <w:rPr>
                <w:color w:val="000000" w:themeColor="text1"/>
                <w:sz w:val="15"/>
                <w:szCs w:val="15"/>
              </w:rPr>
              <w:t>/</w:t>
            </w:r>
          </w:p>
        </w:tc>
        <w:tc>
          <w:tcPr>
            <w:tcW w:w="239" w:type="pct"/>
            <w:shd w:val="clear" w:color="auto" w:fill="auto"/>
            <w:vAlign w:val="center"/>
          </w:tcPr>
          <w:p w:rsidR="00597370" w:rsidRDefault="003C2EEE">
            <w:pPr>
              <w:ind w:right="174"/>
              <w:jc w:val="center"/>
              <w:rPr>
                <w:color w:val="000000" w:themeColor="text1"/>
                <w:sz w:val="15"/>
                <w:szCs w:val="15"/>
              </w:rPr>
            </w:pPr>
            <w:r>
              <w:rPr>
                <w:color w:val="000000" w:themeColor="text1"/>
                <w:sz w:val="15"/>
                <w:szCs w:val="15"/>
              </w:rPr>
              <w:t>/</w:t>
            </w:r>
          </w:p>
        </w:tc>
        <w:tc>
          <w:tcPr>
            <w:tcW w:w="281" w:type="pct"/>
            <w:shd w:val="clear" w:color="auto" w:fill="auto"/>
            <w:vAlign w:val="center"/>
          </w:tcPr>
          <w:p w:rsidR="00597370" w:rsidRDefault="003C2EEE">
            <w:pPr>
              <w:jc w:val="center"/>
              <w:rPr>
                <w:sz w:val="15"/>
                <w:szCs w:val="15"/>
              </w:rPr>
            </w:pPr>
            <w:r>
              <w:rPr>
                <w:rFonts w:hint="eastAsia"/>
                <w:color w:val="000000"/>
                <w:sz w:val="15"/>
                <w:szCs w:val="15"/>
              </w:rPr>
              <w:t>631.84</w:t>
            </w:r>
          </w:p>
        </w:tc>
        <w:tc>
          <w:tcPr>
            <w:tcW w:w="281" w:type="pct"/>
            <w:shd w:val="clear" w:color="auto" w:fill="auto"/>
            <w:vAlign w:val="center"/>
          </w:tcPr>
          <w:p w:rsidR="00597370" w:rsidRDefault="003C2EEE">
            <w:pPr>
              <w:jc w:val="center"/>
              <w:rPr>
                <w:sz w:val="15"/>
                <w:szCs w:val="15"/>
              </w:rPr>
            </w:pPr>
            <w:r>
              <w:rPr>
                <w:rFonts w:hint="eastAsia"/>
                <w:color w:val="000000"/>
                <w:sz w:val="15"/>
                <w:szCs w:val="15"/>
              </w:rPr>
              <w:t>398.22</w:t>
            </w:r>
          </w:p>
        </w:tc>
        <w:tc>
          <w:tcPr>
            <w:tcW w:w="199" w:type="pct"/>
            <w:shd w:val="clear" w:color="auto" w:fill="auto"/>
            <w:vAlign w:val="center"/>
          </w:tcPr>
          <w:p w:rsidR="00597370" w:rsidRDefault="003C2EEE">
            <w:pPr>
              <w:ind w:right="174"/>
              <w:jc w:val="center"/>
              <w:rPr>
                <w:color w:val="000000" w:themeColor="text1"/>
                <w:sz w:val="15"/>
                <w:szCs w:val="15"/>
              </w:rPr>
            </w:pPr>
            <w:r>
              <w:rPr>
                <w:color w:val="000000" w:themeColor="text1"/>
                <w:sz w:val="15"/>
                <w:szCs w:val="15"/>
              </w:rPr>
              <w:t>/</w:t>
            </w:r>
          </w:p>
        </w:tc>
        <w:tc>
          <w:tcPr>
            <w:tcW w:w="196" w:type="pct"/>
            <w:shd w:val="clear" w:color="auto" w:fill="auto"/>
            <w:vAlign w:val="center"/>
          </w:tcPr>
          <w:p w:rsidR="00597370" w:rsidRDefault="003C2EEE">
            <w:pPr>
              <w:ind w:right="174"/>
              <w:jc w:val="center"/>
              <w:rPr>
                <w:color w:val="000000" w:themeColor="text1"/>
                <w:sz w:val="15"/>
                <w:szCs w:val="15"/>
              </w:rPr>
            </w:pPr>
            <w:r>
              <w:rPr>
                <w:color w:val="000000" w:themeColor="text1"/>
                <w:sz w:val="15"/>
                <w:szCs w:val="15"/>
              </w:rPr>
              <w:t>/</w:t>
            </w:r>
          </w:p>
        </w:tc>
      </w:tr>
    </w:tbl>
    <w:p w:rsidR="00597370" w:rsidRDefault="003C2EEE">
      <w:pPr>
        <w:snapToGrid w:val="0"/>
        <w:spacing w:line="360" w:lineRule="auto"/>
        <w:rPr>
          <w:color w:val="000000" w:themeColor="text1"/>
        </w:rPr>
      </w:pPr>
      <w:r>
        <w:rPr>
          <w:rFonts w:hint="eastAsia"/>
          <w:color w:val="000000" w:themeColor="text1"/>
        </w:rPr>
        <w:t>说明：</w:t>
      </w:r>
    </w:p>
    <w:p w:rsidR="00597370" w:rsidRDefault="003C2EEE">
      <w:pPr>
        <w:numPr>
          <w:ilvl w:val="0"/>
          <w:numId w:val="66"/>
        </w:numPr>
        <w:snapToGrid w:val="0"/>
        <w:spacing w:line="360" w:lineRule="auto"/>
        <w:rPr>
          <w:color w:val="000000" w:themeColor="text1"/>
        </w:rPr>
      </w:pPr>
      <w:r>
        <w:rPr>
          <w:rFonts w:hint="eastAsia"/>
          <w:color w:val="000000" w:themeColor="text1"/>
        </w:rPr>
        <w:t>在建工程预算数包括建筑工程投资、设备及安装投资、工程预备费、流动资金；</w:t>
      </w:r>
    </w:p>
    <w:p w:rsidR="00597370" w:rsidRDefault="003C2EEE">
      <w:pPr>
        <w:numPr>
          <w:ilvl w:val="0"/>
          <w:numId w:val="66"/>
        </w:numPr>
        <w:snapToGrid w:val="0"/>
        <w:spacing w:line="360" w:lineRule="auto"/>
        <w:rPr>
          <w:color w:val="000000" w:themeColor="text1"/>
        </w:rPr>
      </w:pPr>
      <w:r>
        <w:rPr>
          <w:rFonts w:hint="eastAsia"/>
          <w:color w:val="000000" w:themeColor="text1"/>
        </w:rPr>
        <w:t>在建工程预算数是含税金额；</w:t>
      </w:r>
    </w:p>
    <w:p w:rsidR="00597370" w:rsidRDefault="003C2EEE">
      <w:pPr>
        <w:numPr>
          <w:ilvl w:val="0"/>
          <w:numId w:val="66"/>
        </w:numPr>
        <w:snapToGrid w:val="0"/>
        <w:spacing w:line="360" w:lineRule="auto"/>
        <w:rPr>
          <w:color w:val="000000" w:themeColor="text1"/>
        </w:rPr>
      </w:pPr>
      <w:r>
        <w:rPr>
          <w:rFonts w:hint="eastAsia"/>
          <w:color w:val="000000" w:themeColor="text1"/>
        </w:rPr>
        <w:t>工程累计投入占预算比例中的工程累计投入为在建工程累计发生额（不含税），预算数与实际投入数存在数据统计口径差异。</w:t>
      </w:r>
    </w:p>
    <w:p w:rsidR="00597370" w:rsidRDefault="003C2EEE">
      <w:pPr>
        <w:pStyle w:val="Style110"/>
        <w:numPr>
          <w:ilvl w:val="0"/>
          <w:numId w:val="65"/>
        </w:numPr>
        <w:tabs>
          <w:tab w:val="left" w:pos="588"/>
        </w:tabs>
        <w:rPr>
          <w:rFonts w:ascii="宋体" w:hAnsi="宋体"/>
          <w:color w:val="000000" w:themeColor="text1"/>
          <w:szCs w:val="21"/>
        </w:rPr>
      </w:pPr>
      <w:bookmarkStart w:id="286" w:name="_Hlk167958414"/>
      <w:r>
        <w:rPr>
          <w:rFonts w:ascii="宋体" w:hAnsi="宋体" w:hint="eastAsia"/>
          <w:color w:val="000000" w:themeColor="text1"/>
          <w:szCs w:val="21"/>
        </w:rPr>
        <w:t>本期计提在建工程减值准备情况</w:t>
      </w:r>
    </w:p>
    <w:sdt>
      <w:sdtPr>
        <w:rPr>
          <w:color w:val="000000" w:themeColor="text1"/>
        </w:rPr>
        <w:alias w:val="是否适用：本期计提在建工程减值准备情况[双击切换]"/>
        <w:tag w:val="_GBC_7dd31cf4784347cd87139a8c2548b22d"/>
        <w:id w:val="162380640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65"/>
        </w:numPr>
        <w:tabs>
          <w:tab w:val="left" w:pos="588"/>
        </w:tabs>
        <w:rPr>
          <w:rFonts w:ascii="宋体" w:hAnsi="宋体"/>
          <w:color w:val="000000" w:themeColor="text1"/>
          <w:szCs w:val="21"/>
        </w:rPr>
      </w:pPr>
      <w:bookmarkStart w:id="287" w:name="_Hlk153461314"/>
      <w:r>
        <w:rPr>
          <w:rFonts w:ascii="宋体" w:hAnsi="宋体" w:hint="eastAsia"/>
          <w:color w:val="000000" w:themeColor="text1"/>
          <w:szCs w:val="21"/>
        </w:rPr>
        <w:t>在建工程的减值测试情况</w:t>
      </w:r>
    </w:p>
    <w:sdt>
      <w:sdtPr>
        <w:rPr>
          <w:color w:val="000000" w:themeColor="text1"/>
        </w:rPr>
        <w:alias w:val="是否适用：减值测试情况[双击切换]"/>
        <w:tag w:val="_GBC_f6d4bcf1dee14a709974326281981b12"/>
        <w:id w:val="87072989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86"/>
    <w:bookmarkEnd w:id="287"/>
    <w:p w:rsidR="00597370" w:rsidRDefault="003C2EEE">
      <w:pPr>
        <w:rPr>
          <w:color w:val="000000" w:themeColor="text1"/>
        </w:rPr>
      </w:pPr>
      <w:r>
        <w:rPr>
          <w:rFonts w:hint="eastAsia"/>
          <w:color w:val="000000" w:themeColor="text1"/>
        </w:rPr>
        <w:t>其他说明</w:t>
      </w:r>
    </w:p>
    <w:sdt>
      <w:sdtPr>
        <w:rPr>
          <w:color w:val="000000" w:themeColor="text1"/>
        </w:rPr>
        <w:alias w:val="是否适用：在建工程的说明[双击切换]"/>
        <w:tag w:val="_GBC_c0ffdfbb304348758da855627ba6d858"/>
        <w:id w:val="-114758416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6"/>
        <w:ind w:left="105"/>
        <w:rPr>
          <w:color w:val="000000" w:themeColor="text1"/>
        </w:rPr>
      </w:pPr>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7513394c89064aa4af7416380cac2b8b"/>
        <w:id w:val="-132734894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6"/>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d65242ae61fc4539a837823d579d5278"/>
        <w:id w:val="12689777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6"/>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f1769ac510c74b92a7112b305df2c3f7"/>
        <w:id w:val="-16643123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6"/>
        <w:ind w:left="105"/>
        <w:rPr>
          <w:color w:val="000000" w:themeColor="text1"/>
        </w:rPr>
      </w:pPr>
      <w:r>
        <w:rPr>
          <w:rFonts w:hint="eastAsia"/>
          <w:color w:val="000000" w:themeColor="text1"/>
        </w:rPr>
        <w:lastRenderedPageBreak/>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06882ec4f24944798867cc8ed17af277"/>
        <w:id w:val="3463478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在建工程的说明[双击切换]"/>
        <w:tag w:val="_GBC_c0ffdfbb304348758da855627ba6d858"/>
        <w:id w:val="-153835075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在建工程的说明"/>
        <w:tag w:val="_GBC_eaac445d9f29415cb063476e51d4f873"/>
        <w:id w:val="-663540258"/>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597370">
      <w:pPr>
        <w:rPr>
          <w:color w:val="000000" w:themeColor="text1"/>
        </w:rPr>
      </w:pPr>
    </w:p>
    <w:p w:rsidR="00597370" w:rsidRDefault="003C2EEE">
      <w:pPr>
        <w:pStyle w:val="Style110"/>
        <w:rPr>
          <w:rFonts w:ascii="宋体" w:hAnsi="宋体"/>
          <w:color w:val="000000" w:themeColor="text1"/>
        </w:rPr>
      </w:pPr>
      <w:bookmarkStart w:id="288" w:name="_Hlk11683481"/>
      <w:r>
        <w:rPr>
          <w:rFonts w:ascii="宋体" w:hAnsi="宋体" w:hint="eastAsia"/>
          <w:color w:val="000000" w:themeColor="text1"/>
        </w:rPr>
        <w:t>工程物资</w:t>
      </w:r>
    </w:p>
    <w:sdt>
      <w:sdtPr>
        <w:rPr>
          <w:color w:val="000000" w:themeColor="text1"/>
        </w:rPr>
        <w:alias w:val="是否适用：工程物资[双击切换]"/>
        <w:tag w:val="_GBC_0d711628566c4b08b883151766986b20"/>
        <w:id w:val="-5440174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jc w:val="right"/>
        <w:rPr>
          <w:color w:val="000000" w:themeColor="text1"/>
        </w:rPr>
      </w:pPr>
      <w:r>
        <w:rPr>
          <w:rFonts w:hint="eastAsia"/>
          <w:color w:val="000000" w:themeColor="text1"/>
        </w:rPr>
        <w:t>单位：</w:t>
      </w:r>
      <w:sdt>
        <w:sdtPr>
          <w:rPr>
            <w:rFonts w:hint="eastAsia"/>
            <w:color w:val="000000" w:themeColor="text1"/>
          </w:rPr>
          <w:alias w:val="单位：财务附注：工程物资"/>
          <w:tag w:val="_GBC_9e438118345a414ebb42540883d9d901"/>
          <w:id w:val="19025587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工程物资"/>
          <w:tag w:val="_GBC_e98a8ba0f9c641038d6bc5d4e3b304b0"/>
          <w:id w:val="-17493392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880"/>
        <w:gridCol w:w="1486"/>
        <w:gridCol w:w="498"/>
        <w:gridCol w:w="1486"/>
        <w:gridCol w:w="1486"/>
        <w:gridCol w:w="501"/>
        <w:gridCol w:w="1486"/>
      </w:tblGrid>
      <w:tr w:rsidR="00597370">
        <w:sdt>
          <w:sdtPr>
            <w:rPr>
              <w:color w:val="000000" w:themeColor="text1"/>
            </w:rPr>
            <w:tag w:val="_PLD_47bf651b1b034a418fb1db38150aa4b4"/>
            <w:id w:val="326336828"/>
          </w:sdtPr>
          <w:sdtEndPr/>
          <w:sdtContent>
            <w:tc>
              <w:tcPr>
                <w:tcW w:w="1065" w:type="pct"/>
                <w:vMerge w:val="restar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rPr>
              <w:color w:val="000000" w:themeColor="text1"/>
            </w:rPr>
            <w:tag w:val="_PLD_48ff352fed3842f39a85665d17954846"/>
            <w:id w:val="794955670"/>
          </w:sdtPr>
          <w:sdtEndPr/>
          <w:sdtContent>
            <w:tc>
              <w:tcPr>
                <w:tcW w:w="1966" w:type="pct"/>
                <w:gridSpan w:val="3"/>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rPr>
              <w:color w:val="000000" w:themeColor="text1"/>
            </w:rPr>
            <w:tag w:val="_PLD_c9bc4b861b7e44ed860c437763dc3d4e"/>
            <w:id w:val="1098365838"/>
          </w:sdtPr>
          <w:sdtEndPr/>
          <w:sdtContent>
            <w:tc>
              <w:tcPr>
                <w:tcW w:w="1968" w:type="pct"/>
                <w:gridSpan w:val="3"/>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597370">
        <w:tc>
          <w:tcPr>
            <w:tcW w:w="1065" w:type="pct"/>
            <w:vMerge/>
            <w:vAlign w:val="center"/>
          </w:tcPr>
          <w:p w:rsidR="00597370" w:rsidRDefault="00597370">
            <w:pPr>
              <w:autoSpaceDE w:val="0"/>
              <w:autoSpaceDN w:val="0"/>
              <w:adjustRightInd w:val="0"/>
              <w:snapToGrid w:val="0"/>
              <w:spacing w:line="240" w:lineRule="atLeast"/>
              <w:jc w:val="center"/>
              <w:rPr>
                <w:color w:val="000000" w:themeColor="text1"/>
              </w:rPr>
            </w:pPr>
          </w:p>
        </w:tc>
        <w:sdt>
          <w:sdtPr>
            <w:rPr>
              <w:color w:val="000000" w:themeColor="text1"/>
            </w:rPr>
            <w:tag w:val="_PLD_8f94fed53e7d4891bdfe09802cfa0368"/>
            <w:id w:val="-1554688545"/>
          </w:sdtPr>
          <w:sdtEndPr/>
          <w:sdtContent>
            <w:tc>
              <w:tcPr>
                <w:tcW w:w="842"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账面余额</w:t>
                </w:r>
              </w:p>
            </w:tc>
          </w:sdtContent>
        </w:sdt>
        <w:sdt>
          <w:sdtPr>
            <w:rPr>
              <w:color w:val="000000" w:themeColor="text1"/>
            </w:rPr>
            <w:tag w:val="_PLD_19c2095293fa4d6a9f54d246020cfdfd"/>
            <w:id w:val="-1756431733"/>
          </w:sdtPr>
          <w:sdtEndPr/>
          <w:sdtContent>
            <w:tc>
              <w:tcPr>
                <w:tcW w:w="282"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减值准备</w:t>
                </w:r>
              </w:p>
            </w:tc>
          </w:sdtContent>
        </w:sdt>
        <w:sdt>
          <w:sdtPr>
            <w:rPr>
              <w:color w:val="000000" w:themeColor="text1"/>
            </w:rPr>
            <w:tag w:val="_PLD_4fd09ced029a4cbf99f63c809ae7a8b5"/>
            <w:id w:val="617110474"/>
          </w:sdtPr>
          <w:sdtEndPr/>
          <w:sdtContent>
            <w:tc>
              <w:tcPr>
                <w:tcW w:w="842"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账面价值</w:t>
                </w:r>
              </w:p>
            </w:tc>
          </w:sdtContent>
        </w:sdt>
        <w:sdt>
          <w:sdtPr>
            <w:rPr>
              <w:color w:val="000000" w:themeColor="text1"/>
            </w:rPr>
            <w:tag w:val="_PLD_4195ac1a320648fa9510729303ab773b"/>
            <w:id w:val="-1531874888"/>
          </w:sdtPr>
          <w:sdtEndPr/>
          <w:sdtContent>
            <w:tc>
              <w:tcPr>
                <w:tcW w:w="842"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账面余额</w:t>
                </w:r>
              </w:p>
            </w:tc>
          </w:sdtContent>
        </w:sdt>
        <w:sdt>
          <w:sdtPr>
            <w:rPr>
              <w:color w:val="000000" w:themeColor="text1"/>
            </w:rPr>
            <w:tag w:val="_PLD_abb3aec78259484caf3e737ff1d5aeae"/>
            <w:id w:val="114487310"/>
          </w:sdtPr>
          <w:sdtEndPr/>
          <w:sdtContent>
            <w:tc>
              <w:tcPr>
                <w:tcW w:w="284"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减值准备</w:t>
                </w:r>
              </w:p>
            </w:tc>
          </w:sdtContent>
        </w:sdt>
        <w:sdt>
          <w:sdtPr>
            <w:rPr>
              <w:color w:val="000000" w:themeColor="text1"/>
            </w:rPr>
            <w:tag w:val="_PLD_58b22922dcb74a3689b431da73c3c35b"/>
            <w:id w:val="-1236003785"/>
          </w:sdtPr>
          <w:sdtEndPr/>
          <w:sdtContent>
            <w:tc>
              <w:tcPr>
                <w:tcW w:w="842"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账面价值</w:t>
                </w:r>
              </w:p>
            </w:tc>
          </w:sdtContent>
        </w:sdt>
      </w:tr>
      <w:tr w:rsidR="00597370">
        <w:tc>
          <w:tcPr>
            <w:tcW w:w="1065" w:type="pct"/>
          </w:tcPr>
          <w:p w:rsidR="00597370" w:rsidRDefault="003C2EEE">
            <w:pPr>
              <w:autoSpaceDE w:val="0"/>
              <w:autoSpaceDN w:val="0"/>
              <w:adjustRightInd w:val="0"/>
              <w:snapToGrid w:val="0"/>
              <w:spacing w:line="240" w:lineRule="atLeast"/>
            </w:pPr>
            <w:r>
              <w:rPr>
                <w:rFonts w:hint="eastAsia"/>
              </w:rPr>
              <w:t>八万吨高端磁性新材料项目工程用材料</w:t>
            </w:r>
          </w:p>
        </w:tc>
        <w:tc>
          <w:tcPr>
            <w:tcW w:w="842" w:type="pct"/>
            <w:vAlign w:val="bottom"/>
          </w:tcPr>
          <w:p w:rsidR="00597370" w:rsidRDefault="003C2EEE">
            <w:pPr>
              <w:jc w:val="right"/>
            </w:pPr>
            <w:r>
              <w:rPr>
                <w:rFonts w:hint="eastAsia"/>
                <w:color w:val="000000"/>
              </w:rPr>
              <w:t xml:space="preserve"> </w:t>
            </w:r>
            <w:r>
              <w:rPr>
                <w:color w:val="000000"/>
              </w:rPr>
              <w:t>1,377,580.76</w:t>
            </w:r>
            <w:r>
              <w:rPr>
                <w:rFonts w:hint="eastAsia"/>
                <w:color w:val="000000"/>
              </w:rPr>
              <w:t xml:space="preserve"> </w:t>
            </w:r>
          </w:p>
        </w:tc>
        <w:tc>
          <w:tcPr>
            <w:tcW w:w="282" w:type="pct"/>
            <w:vAlign w:val="bottom"/>
          </w:tcPr>
          <w:p w:rsidR="00597370" w:rsidRDefault="00597370">
            <w:pPr>
              <w:jc w:val="right"/>
            </w:pPr>
          </w:p>
        </w:tc>
        <w:tc>
          <w:tcPr>
            <w:tcW w:w="842" w:type="pct"/>
            <w:vAlign w:val="bottom"/>
          </w:tcPr>
          <w:p w:rsidR="00597370" w:rsidRDefault="003C2EEE">
            <w:pPr>
              <w:jc w:val="right"/>
            </w:pPr>
            <w:r>
              <w:rPr>
                <w:rFonts w:hint="eastAsia"/>
                <w:color w:val="000000"/>
              </w:rPr>
              <w:t xml:space="preserve"> </w:t>
            </w:r>
            <w:r>
              <w:rPr>
                <w:color w:val="000000"/>
              </w:rPr>
              <w:t>1,377,580.76</w:t>
            </w:r>
            <w:r>
              <w:rPr>
                <w:rFonts w:hint="eastAsia"/>
                <w:color w:val="000000"/>
              </w:rPr>
              <w:t xml:space="preserve"> </w:t>
            </w:r>
          </w:p>
        </w:tc>
        <w:tc>
          <w:tcPr>
            <w:tcW w:w="842" w:type="pct"/>
            <w:vAlign w:val="bottom"/>
          </w:tcPr>
          <w:p w:rsidR="00597370" w:rsidRDefault="003C2EEE">
            <w:pPr>
              <w:jc w:val="right"/>
            </w:pPr>
            <w:r>
              <w:t>1,612,357.92</w:t>
            </w:r>
          </w:p>
        </w:tc>
        <w:tc>
          <w:tcPr>
            <w:tcW w:w="284" w:type="pct"/>
            <w:vAlign w:val="bottom"/>
          </w:tcPr>
          <w:p w:rsidR="00597370" w:rsidRDefault="00597370">
            <w:pPr>
              <w:jc w:val="right"/>
            </w:pPr>
          </w:p>
        </w:tc>
        <w:tc>
          <w:tcPr>
            <w:tcW w:w="842" w:type="pct"/>
            <w:vAlign w:val="bottom"/>
          </w:tcPr>
          <w:p w:rsidR="00597370" w:rsidRDefault="003C2EEE">
            <w:pPr>
              <w:jc w:val="right"/>
            </w:pPr>
            <w:r>
              <w:t>1,612,357.92</w:t>
            </w:r>
          </w:p>
        </w:tc>
      </w:tr>
      <w:tr w:rsidR="00597370">
        <w:tc>
          <w:tcPr>
            <w:tcW w:w="1065"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842" w:type="pct"/>
            <w:vAlign w:val="bottom"/>
          </w:tcPr>
          <w:p w:rsidR="00597370" w:rsidRDefault="003C2EEE">
            <w:pPr>
              <w:jc w:val="right"/>
            </w:pPr>
            <w:r>
              <w:rPr>
                <w:rFonts w:hint="eastAsia"/>
                <w:color w:val="000000"/>
              </w:rPr>
              <w:t xml:space="preserve"> 1,377,580.76 </w:t>
            </w:r>
          </w:p>
        </w:tc>
        <w:tc>
          <w:tcPr>
            <w:tcW w:w="282" w:type="pct"/>
            <w:vAlign w:val="bottom"/>
          </w:tcPr>
          <w:p w:rsidR="00597370" w:rsidRDefault="003C2EEE">
            <w:pPr>
              <w:jc w:val="right"/>
            </w:pPr>
            <w:r>
              <w:rPr>
                <w:rFonts w:hint="eastAsia"/>
                <w:color w:val="000000"/>
              </w:rPr>
              <w:t xml:space="preserve"> -   </w:t>
            </w:r>
          </w:p>
        </w:tc>
        <w:tc>
          <w:tcPr>
            <w:tcW w:w="842" w:type="pct"/>
            <w:vAlign w:val="bottom"/>
          </w:tcPr>
          <w:p w:rsidR="00597370" w:rsidRDefault="003C2EEE">
            <w:pPr>
              <w:jc w:val="right"/>
            </w:pPr>
            <w:r>
              <w:rPr>
                <w:rFonts w:hint="eastAsia"/>
                <w:color w:val="000000"/>
              </w:rPr>
              <w:t xml:space="preserve"> 1,377,580.76 </w:t>
            </w:r>
          </w:p>
        </w:tc>
        <w:tc>
          <w:tcPr>
            <w:tcW w:w="842" w:type="pct"/>
            <w:vAlign w:val="bottom"/>
          </w:tcPr>
          <w:p w:rsidR="00597370" w:rsidRDefault="003C2EEE">
            <w:pPr>
              <w:jc w:val="right"/>
            </w:pPr>
            <w:r>
              <w:t>1,612,357.92</w:t>
            </w:r>
          </w:p>
        </w:tc>
        <w:tc>
          <w:tcPr>
            <w:tcW w:w="284" w:type="pct"/>
            <w:vAlign w:val="bottom"/>
          </w:tcPr>
          <w:p w:rsidR="00597370" w:rsidRDefault="00597370">
            <w:pPr>
              <w:jc w:val="right"/>
            </w:pPr>
          </w:p>
        </w:tc>
        <w:tc>
          <w:tcPr>
            <w:tcW w:w="842" w:type="pct"/>
            <w:vAlign w:val="bottom"/>
          </w:tcPr>
          <w:p w:rsidR="00597370" w:rsidRDefault="003C2EEE">
            <w:pPr>
              <w:jc w:val="right"/>
            </w:pPr>
            <w:r>
              <w:t>1,612,357.92</w:t>
            </w:r>
          </w:p>
        </w:tc>
      </w:tr>
    </w:tbl>
    <w:p w:rsidR="00597370" w:rsidRDefault="003C2EEE">
      <w:pPr>
        <w:rPr>
          <w:color w:val="000000" w:themeColor="text1"/>
        </w:rPr>
      </w:pPr>
      <w:r>
        <w:rPr>
          <w:rFonts w:hint="eastAsia"/>
          <w:color w:val="000000" w:themeColor="text1"/>
        </w:rPr>
        <w:t>其他说明：</w:t>
      </w:r>
    </w:p>
    <w:sdt>
      <w:sdtPr>
        <w:rPr>
          <w:color w:val="000000" w:themeColor="text1"/>
        </w:rPr>
        <w:alias w:val="工程物资的说明"/>
        <w:tag w:val="_GBC_6e6a056654d34f4baea4f3cf22bcb183"/>
        <w:id w:val="-913469751"/>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bookmarkEnd w:id="288"/>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生产性生物资产</w:t>
      </w:r>
    </w:p>
    <w:p w:rsidR="00597370" w:rsidRDefault="003C2EEE">
      <w:pPr>
        <w:pStyle w:val="4"/>
        <w:numPr>
          <w:ilvl w:val="0"/>
          <w:numId w:val="67"/>
        </w:numPr>
        <w:tabs>
          <w:tab w:val="left" w:pos="602"/>
          <w:tab w:val="left" w:pos="798"/>
        </w:tabs>
        <w:rPr>
          <w:rFonts w:ascii="宋体" w:hAnsi="宋体"/>
          <w:color w:val="000000" w:themeColor="text1"/>
          <w:kern w:val="0"/>
          <w:szCs w:val="21"/>
        </w:rPr>
      </w:pPr>
      <w:r>
        <w:rPr>
          <w:rFonts w:ascii="宋体" w:hAnsi="宋体" w:hint="eastAsia"/>
          <w:color w:val="000000" w:themeColor="text1"/>
          <w:kern w:val="0"/>
          <w:szCs w:val="21"/>
        </w:rPr>
        <w:t>采用成本计量模式的生产性生物资产</w:t>
      </w:r>
    </w:p>
    <w:sdt>
      <w:sdtPr>
        <w:rPr>
          <w:rFonts w:hint="eastAsia"/>
          <w:color w:val="000000" w:themeColor="text1"/>
        </w:rPr>
        <w:alias w:val="是否适用：财务附注：以成本计量的生产性生物资产[双击切换]"/>
        <w:tag w:val="_GBC_fca5101d9b46492484acd605f0ade969"/>
        <w:id w:val="65002432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MACROBUTTON  SnrToggleCheckbox □适用</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67"/>
        </w:numPr>
        <w:tabs>
          <w:tab w:val="left" w:pos="602"/>
          <w:tab w:val="left" w:pos="798"/>
        </w:tabs>
        <w:rPr>
          <w:rFonts w:ascii="宋体" w:hAnsi="宋体"/>
          <w:color w:val="000000" w:themeColor="text1"/>
          <w:kern w:val="0"/>
          <w:szCs w:val="21"/>
        </w:rPr>
      </w:pPr>
      <w:bookmarkStart w:id="289" w:name="_Hlk153461442"/>
      <w:bookmarkStart w:id="290" w:name="_Hlk167958925"/>
      <w:r>
        <w:rPr>
          <w:rFonts w:ascii="宋体" w:hAnsi="宋体" w:hint="eastAsia"/>
          <w:color w:val="000000" w:themeColor="text1"/>
          <w:kern w:val="0"/>
          <w:szCs w:val="21"/>
        </w:rPr>
        <w:t>采用成本计量模式的生产性生物资产的减值测试情况</w:t>
      </w:r>
    </w:p>
    <w:sdt>
      <w:sdtPr>
        <w:rPr>
          <w:color w:val="000000" w:themeColor="text1"/>
        </w:rPr>
        <w:alias w:val="是否适用：减值测试情况[双击切换]"/>
        <w:tag w:val="_GBC_9e260b0f45a84f50898aaf872db0ca84"/>
        <w:id w:val="52862109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89"/>
    <w:bookmarkEnd w:id="290"/>
    <w:p w:rsidR="00597370" w:rsidRDefault="003C2EEE">
      <w:pPr>
        <w:pStyle w:val="5"/>
        <w:ind w:left="105"/>
        <w:rPr>
          <w:color w:val="000000" w:themeColor="text1"/>
        </w:rPr>
      </w:pPr>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b5e1ea5a12024b7989d9fc78e03f15b9"/>
        <w:id w:val="133387389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abf00afd3ca047e29d92548a5cec7794"/>
        <w:id w:val="56476349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6b5dd4e5962940499477d21cc3775165"/>
        <w:id w:val="4516802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b9a83f7a8ead4fda9f9f8c2081f6c710"/>
        <w:id w:val="136995169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67"/>
        </w:numPr>
        <w:tabs>
          <w:tab w:val="left" w:pos="602"/>
          <w:tab w:val="left" w:pos="798"/>
        </w:tabs>
        <w:rPr>
          <w:rFonts w:ascii="宋体" w:hAnsi="宋体"/>
          <w:color w:val="000000" w:themeColor="text1"/>
          <w:kern w:val="0"/>
          <w:szCs w:val="21"/>
        </w:rPr>
      </w:pPr>
      <w:r>
        <w:rPr>
          <w:rFonts w:ascii="宋体" w:hAnsi="宋体" w:hint="eastAsia"/>
          <w:color w:val="000000" w:themeColor="text1"/>
          <w:kern w:val="0"/>
          <w:szCs w:val="21"/>
        </w:rPr>
        <w:t>采用公允价值计量模式的生产性生物资产</w:t>
      </w:r>
    </w:p>
    <w:sdt>
      <w:sdtPr>
        <w:rPr>
          <w:color w:val="000000" w:themeColor="text1"/>
        </w:rPr>
        <w:alias w:val="是否适用：财务附注：以公允价值计量的生产性生物资产[双击切换]"/>
        <w:tag w:val="_GBC_3a67921e606f4abca6478a1ffb759394"/>
        <w:id w:val="121014823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rPr>
          <w:color w:val="000000" w:themeColor="text1"/>
        </w:rPr>
      </w:pPr>
      <w:r>
        <w:rPr>
          <w:rFonts w:hint="eastAsia"/>
          <w:color w:val="000000" w:themeColor="text1"/>
        </w:rPr>
        <w:t>其他说明</w:t>
      </w:r>
    </w:p>
    <w:sdt>
      <w:sdtPr>
        <w:rPr>
          <w:color w:val="000000" w:themeColor="text1"/>
        </w:rPr>
        <w:alias w:val="是否适用：生产性生物资产的说明[双击切换]"/>
        <w:tag w:val="_GBC_48247874e2c54937aabce9db1308bea7"/>
        <w:id w:val="1602064081"/>
        <w:placeholder>
          <w:docPart w:val="GBC22222222222222222222222222222"/>
        </w:placeholder>
      </w:sdtPr>
      <w:sdtEndPr/>
      <w:sdtContent>
        <w:p w:rsidR="00597370" w:rsidRDefault="003C2EEE">
          <w:pPr>
            <w:autoSpaceDE w:val="0"/>
            <w:autoSpaceDN w:val="0"/>
            <w:adjustRightInd w:val="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油气资产</w:t>
      </w:r>
    </w:p>
    <w:p w:rsidR="00597370" w:rsidRDefault="003C2EEE">
      <w:pPr>
        <w:pStyle w:val="Style110"/>
        <w:numPr>
          <w:ilvl w:val="0"/>
          <w:numId w:val="68"/>
        </w:numPr>
        <w:rPr>
          <w:color w:val="000000" w:themeColor="text1"/>
        </w:rPr>
      </w:pPr>
      <w:r>
        <w:rPr>
          <w:rFonts w:hint="eastAsia"/>
          <w:color w:val="000000" w:themeColor="text1"/>
        </w:rPr>
        <w:t>油气资产情况</w:t>
      </w:r>
    </w:p>
    <w:sdt>
      <w:sdtPr>
        <w:rPr>
          <w:color w:val="000000" w:themeColor="text1"/>
        </w:rPr>
        <w:alias w:val="是否适用：油气资产[双击切换]"/>
        <w:tag w:val="_GBC_7dce41817eb749dba0d132424020d250"/>
        <w:id w:val="142583731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68"/>
        </w:numPr>
        <w:rPr>
          <w:color w:val="000000" w:themeColor="text1"/>
        </w:rPr>
      </w:pPr>
      <w:bookmarkStart w:id="291" w:name="_Hlk167959265"/>
      <w:bookmarkStart w:id="292" w:name="_Hlk153461604"/>
      <w:r>
        <w:rPr>
          <w:rFonts w:hint="eastAsia"/>
          <w:color w:val="000000" w:themeColor="text1"/>
        </w:rPr>
        <w:t>油气资产的减值测试情况</w:t>
      </w:r>
    </w:p>
    <w:sdt>
      <w:sdtPr>
        <w:rPr>
          <w:color w:val="000000" w:themeColor="text1"/>
        </w:rPr>
        <w:alias w:val="是否适用：减值测试情况[双击切换]"/>
        <w:tag w:val="_GBC_3d3afd59d9f741639537a668ab2d0ccf"/>
        <w:id w:val="95191214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rPr>
          <w:color w:val="000000" w:themeColor="text1"/>
        </w:rPr>
      </w:pPr>
      <w:bookmarkStart w:id="293" w:name="_Hlk167959495"/>
      <w:bookmarkEnd w:id="291"/>
      <w:bookmarkEnd w:id="292"/>
      <w:r>
        <w:rPr>
          <w:rFonts w:hint="eastAsia"/>
          <w:color w:val="000000" w:themeColor="text1"/>
        </w:rPr>
        <w:t>其他说明：</w:t>
      </w:r>
    </w:p>
    <w:p w:rsidR="00597370" w:rsidRDefault="006840ED">
      <w:pPr>
        <w:autoSpaceDE w:val="0"/>
        <w:autoSpaceDN w:val="0"/>
        <w:adjustRightInd w:val="0"/>
        <w:rPr>
          <w:color w:val="000000" w:themeColor="text1"/>
        </w:rPr>
      </w:pPr>
      <w:sdt>
        <w:sdtPr>
          <w:rPr>
            <w:color w:val="000000" w:themeColor="text1"/>
          </w:rPr>
          <w:alias w:val="油气资产的说明"/>
          <w:tag w:val="_GBC_f691a34a4bb64e549c6319049096f28b"/>
          <w:id w:val="439424480"/>
          <w:placeholder>
            <w:docPart w:val="GBC22222222222222222222222222222"/>
          </w:placeholder>
        </w:sdtPr>
        <w:sdtEndPr/>
        <w:sdtContent>
          <w:r w:rsidR="003C2EEE">
            <w:rPr>
              <w:rFonts w:hint="eastAsia"/>
              <w:color w:val="000000" w:themeColor="text1"/>
            </w:rPr>
            <w:t>无</w:t>
          </w:r>
        </w:sdtContent>
      </w:sdt>
    </w:p>
    <w:p w:rsidR="00597370" w:rsidRDefault="003C2EEE">
      <w:pPr>
        <w:pStyle w:val="5"/>
        <w:ind w:left="105"/>
        <w:rPr>
          <w:color w:val="000000" w:themeColor="text1"/>
        </w:rPr>
      </w:pPr>
      <w:r>
        <w:rPr>
          <w:rFonts w:hint="eastAsia"/>
          <w:color w:val="000000" w:themeColor="text1"/>
        </w:rPr>
        <w:lastRenderedPageBreak/>
        <w:t>可收回金额按公允价值减去处置费用后的净额确定</w:t>
      </w:r>
    </w:p>
    <w:bookmarkEnd w:id="293" w:displacedByCustomXml="next"/>
    <w:sdt>
      <w:sdtPr>
        <w:rPr>
          <w:color w:val="000000" w:themeColor="text1"/>
        </w:rPr>
        <w:alias w:val="是否适用：可收回金额按公允价值减去处置费用后的净额确定[双击切换]"/>
        <w:tag w:val="_GBC_487fa5b22be544b997fc12f3c097c7e6"/>
        <w:id w:val="-188879289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acd1b86a2d8c4644ae48b0eda904cf77"/>
        <w:id w:val="55837096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27f73a2004c842fc80579a1dd0d303e6"/>
        <w:id w:val="-33176035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4bd124137462490ea247e192e9d3c241"/>
        <w:id w:val="-31332715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rPr>
          <w:color w:val="000000" w:themeColor="text1"/>
        </w:rPr>
      </w:pPr>
      <w:r>
        <w:rPr>
          <w:rFonts w:hint="eastAsia"/>
          <w:color w:val="000000" w:themeColor="text1"/>
        </w:rPr>
        <w:t>其他说明：</w:t>
      </w:r>
    </w:p>
    <w:p w:rsidR="00597370" w:rsidRDefault="006840ED">
      <w:pPr>
        <w:autoSpaceDE w:val="0"/>
        <w:autoSpaceDN w:val="0"/>
        <w:adjustRightInd w:val="0"/>
        <w:rPr>
          <w:color w:val="000000" w:themeColor="text1"/>
        </w:rPr>
      </w:pPr>
      <w:sdt>
        <w:sdtPr>
          <w:rPr>
            <w:color w:val="000000" w:themeColor="text1"/>
          </w:rPr>
          <w:alias w:val="油气资产的说明"/>
          <w:tag w:val="_GBC_f691a34a4bb64e549c6319049096f28b"/>
          <w:id w:val="667296094"/>
          <w:placeholder>
            <w:docPart w:val="GBC22222222222222222222222222222"/>
          </w:placeholder>
        </w:sdtPr>
        <w:sdtEndPr/>
        <w:sdtContent>
          <w:r w:rsidR="003C2EEE">
            <w:rPr>
              <w:rFonts w:hint="eastAsia"/>
              <w:color w:val="000000" w:themeColor="text1"/>
            </w:rPr>
            <w:t>无</w:t>
          </w:r>
        </w:sdtContent>
      </w:sdt>
    </w:p>
    <w:p w:rsidR="00597370" w:rsidRDefault="00597370">
      <w:pPr>
        <w:snapToGrid w:val="0"/>
        <w:spacing w:line="240" w:lineRule="atLeast"/>
        <w:rPr>
          <w:color w:val="000000" w:themeColor="text1"/>
        </w:rPr>
      </w:pPr>
    </w:p>
    <w:sdt>
      <w:sdtPr>
        <w:rPr>
          <w:rFonts w:ascii="宋体" w:hAnsi="宋体" w:cs="宋体" w:hint="eastAsia"/>
          <w:b w:val="0"/>
          <w:bCs w:val="0"/>
          <w:color w:val="000000" w:themeColor="text1"/>
          <w:kern w:val="0"/>
          <w:szCs w:val="21"/>
        </w:rPr>
        <w:alias w:val="模块:使用权资产"/>
        <w:tag w:val="_SEC_42126bf96c7241e38ff33aae0d98dae2"/>
        <w:id w:val="-293445271"/>
        <w:placeholder>
          <w:docPart w:val="GBC22222222222222222222222222222"/>
        </w:placeholder>
      </w:sdtPr>
      <w:sdtEndPr/>
      <w:sdtConten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使用权资产</w:t>
          </w:r>
        </w:p>
        <w:p w:rsidR="00597370" w:rsidRDefault="003C2EEE">
          <w:pPr>
            <w:pStyle w:val="Style110"/>
            <w:numPr>
              <w:ilvl w:val="0"/>
              <w:numId w:val="69"/>
            </w:numPr>
            <w:rPr>
              <w:color w:val="000000" w:themeColor="text1"/>
            </w:rPr>
          </w:pPr>
          <w:r>
            <w:rPr>
              <w:rFonts w:hint="eastAsia"/>
              <w:color w:val="000000" w:themeColor="text1"/>
            </w:rPr>
            <w:t>使用权资产情况</w:t>
          </w:r>
        </w:p>
        <w:bookmarkStart w:id="294" w:name="_Hlk11679747" w:displacedByCustomXml="next"/>
        <w:sdt>
          <w:sdtPr>
            <w:rPr>
              <w:color w:val="000000" w:themeColor="text1"/>
            </w:rPr>
            <w:alias w:val="是否适用：使用权资产[双击切换]"/>
            <w:tag w:val="_GBC_3ac132175b304712af4889ae3914ef7d"/>
            <w:id w:val="190965762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jc w:val="right"/>
            <w:rPr>
              <w:color w:val="000000" w:themeColor="text1"/>
            </w:rPr>
          </w:pPr>
          <w:r>
            <w:rPr>
              <w:rFonts w:hint="eastAsia"/>
              <w:color w:val="000000" w:themeColor="text1"/>
            </w:rPr>
            <w:t>单位：</w:t>
          </w:r>
          <w:sdt>
            <w:sdtPr>
              <w:rPr>
                <w:rFonts w:hint="eastAsia"/>
                <w:color w:val="000000" w:themeColor="text1"/>
              </w:rPr>
              <w:alias w:val="单位：使用权资产"/>
              <w:tag w:val="_GBC_126de13c7c92490d95bdebd7efe2d59b"/>
              <w:id w:val="117052640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使用权资产"/>
              <w:tag w:val="_GBC_bb9e8b7096ab49fc95311a6c81431e95"/>
              <w:id w:val="9331765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2202"/>
            <w:gridCol w:w="2103"/>
            <w:gridCol w:w="1754"/>
          </w:tblGrid>
          <w:tr w:rsidR="00597370">
            <w:trPr>
              <w:trHeight w:val="284"/>
            </w:trPr>
            <w:sdt>
              <w:sdtPr>
                <w:rPr>
                  <w:color w:val="000000" w:themeColor="text1"/>
                </w:rPr>
                <w:tag w:val="_PLD_e7cc7a86c52f4dc596615cce534e6d6a"/>
                <w:id w:val="-55402802"/>
              </w:sdtPr>
              <w:sdtEndPr/>
              <w:sdtContent>
                <w:tc>
                  <w:tcPr>
                    <w:tcW w:w="1566" w:type="pct"/>
                    <w:shd w:val="clear" w:color="auto" w:fill="auto"/>
                    <w:vAlign w:val="center"/>
                  </w:tcPr>
                  <w:p w:rsidR="00597370" w:rsidRDefault="003C2EEE">
                    <w:pPr>
                      <w:spacing w:line="240" w:lineRule="atLeast"/>
                      <w:jc w:val="center"/>
                      <w:rPr>
                        <w:color w:val="000000" w:themeColor="text1"/>
                      </w:rPr>
                    </w:pPr>
                    <w:r>
                      <w:rPr>
                        <w:rFonts w:hint="eastAsia"/>
                        <w:color w:val="000000" w:themeColor="text1"/>
                      </w:rPr>
                      <w:t>项目</w:t>
                    </w:r>
                  </w:p>
                </w:tc>
              </w:sdtContent>
            </w:sdt>
            <w:sdt>
              <w:sdtPr>
                <w:alias w:val="使用权资产明细-项目"/>
                <w:tag w:val="_GBC_ea9ffc7b81304e04ad88fe7fcccf7ec1"/>
                <w:id w:val="-1307466724"/>
              </w:sdtPr>
              <w:sdtEndPr/>
              <w:sdtContent>
                <w:tc>
                  <w:tcPr>
                    <w:tcW w:w="1248" w:type="pct"/>
                    <w:shd w:val="clear" w:color="auto" w:fill="auto"/>
                    <w:vAlign w:val="center"/>
                  </w:tcPr>
                  <w:p w:rsidR="00597370" w:rsidRDefault="003C2EEE">
                    <w:pPr>
                      <w:spacing w:line="240" w:lineRule="atLeast"/>
                      <w:jc w:val="center"/>
                    </w:pPr>
                    <w:r>
                      <w:rPr>
                        <w:rFonts w:hint="eastAsia"/>
                      </w:rPr>
                      <w:t>房屋建筑物</w:t>
                    </w:r>
                  </w:p>
                </w:tc>
              </w:sdtContent>
            </w:sdt>
            <w:sdt>
              <w:sdtPr>
                <w:rPr>
                  <w:color w:val="000000" w:themeColor="text1"/>
                </w:rPr>
                <w:alias w:val="使用权资产明细-项目"/>
                <w:tag w:val="_GBC_ea9ffc7b81304e04ad88fe7fcccf7ec1"/>
                <w:id w:val="414910698"/>
              </w:sdtPr>
              <w:sdtEndPr/>
              <w:sdtContent>
                <w:tc>
                  <w:tcPr>
                    <w:tcW w:w="1192" w:type="pct"/>
                    <w:shd w:val="clear" w:color="auto" w:fill="auto"/>
                    <w:vAlign w:val="center"/>
                  </w:tcPr>
                  <w:p w:rsidR="00597370" w:rsidRDefault="003C2EEE">
                    <w:pPr>
                      <w:spacing w:line="240" w:lineRule="atLeast"/>
                      <w:jc w:val="center"/>
                      <w:rPr>
                        <w:color w:val="000000" w:themeColor="text1"/>
                      </w:rPr>
                    </w:pPr>
                    <w:r>
                      <w:rPr>
                        <w:rFonts w:hint="eastAsia"/>
                        <w:color w:val="000000" w:themeColor="text1"/>
                      </w:rPr>
                      <w:t>运输工具</w:t>
                    </w:r>
                  </w:p>
                </w:tc>
              </w:sdtContent>
            </w:sdt>
            <w:sdt>
              <w:sdtPr>
                <w:rPr>
                  <w:color w:val="000000" w:themeColor="text1"/>
                </w:rPr>
                <w:tag w:val="_PLD_8404013d36434d0f94f9d2e0e06379db"/>
                <w:id w:val="1376278480"/>
              </w:sdtPr>
              <w:sdtEndPr/>
              <w:sdtContent>
                <w:tc>
                  <w:tcPr>
                    <w:tcW w:w="994" w:type="pct"/>
                    <w:shd w:val="clear" w:color="auto" w:fill="auto"/>
                    <w:vAlign w:val="center"/>
                  </w:tcPr>
                  <w:p w:rsidR="00597370" w:rsidRDefault="003C2EEE">
                    <w:pPr>
                      <w:spacing w:line="240" w:lineRule="atLeast"/>
                      <w:jc w:val="center"/>
                      <w:rPr>
                        <w:color w:val="000000" w:themeColor="text1"/>
                      </w:rPr>
                    </w:pPr>
                    <w:r>
                      <w:rPr>
                        <w:color w:val="000000" w:themeColor="text1"/>
                      </w:rPr>
                      <w:t>合计</w:t>
                    </w:r>
                  </w:p>
                </w:tc>
              </w:sdtContent>
            </w:sdt>
          </w:tr>
          <w:tr w:rsidR="00597370">
            <w:trPr>
              <w:trHeight w:val="284"/>
            </w:trPr>
            <w:sdt>
              <w:sdtPr>
                <w:rPr>
                  <w:color w:val="000000" w:themeColor="text1"/>
                </w:rPr>
                <w:tag w:val="_PLD_8a1172a4974b4db489d9ace1c9b06ff9"/>
                <w:id w:val="698056856"/>
              </w:sdtPr>
              <w:sdtEndPr/>
              <w:sdtContent>
                <w:tc>
                  <w:tcPr>
                    <w:tcW w:w="5000" w:type="pct"/>
                    <w:gridSpan w:val="4"/>
                    <w:shd w:val="clear" w:color="auto" w:fill="auto"/>
                    <w:vAlign w:val="center"/>
                  </w:tcPr>
                  <w:p w:rsidR="00597370" w:rsidRDefault="003C2EEE">
                    <w:pPr>
                      <w:spacing w:line="240" w:lineRule="atLeast"/>
                      <w:rPr>
                        <w:color w:val="000000" w:themeColor="text1"/>
                      </w:rPr>
                    </w:pPr>
                    <w:r>
                      <w:rPr>
                        <w:color w:val="000000" w:themeColor="text1"/>
                      </w:rPr>
                      <w:t>一、</w:t>
                    </w:r>
                    <w:r>
                      <w:rPr>
                        <w:rFonts w:hint="eastAsia"/>
                        <w:color w:val="000000" w:themeColor="text1"/>
                      </w:rPr>
                      <w:t>账面</w:t>
                    </w:r>
                    <w:r>
                      <w:rPr>
                        <w:color w:val="000000" w:themeColor="text1"/>
                      </w:rPr>
                      <w:t>原</w:t>
                    </w:r>
                    <w:r>
                      <w:rPr>
                        <w:rFonts w:hint="eastAsia"/>
                        <w:color w:val="000000" w:themeColor="text1"/>
                      </w:rPr>
                      <w:t>值</w:t>
                    </w:r>
                  </w:p>
                </w:tc>
              </w:sdtContent>
            </w:sdt>
          </w:tr>
          <w:tr w:rsidR="00597370">
            <w:trPr>
              <w:trHeight w:val="284"/>
            </w:trPr>
            <w:tc>
              <w:tcPr>
                <w:tcW w:w="1566" w:type="pct"/>
                <w:shd w:val="clear" w:color="auto" w:fill="auto"/>
                <w:vAlign w:val="center"/>
              </w:tcPr>
              <w:p w:rsidR="00597370" w:rsidRDefault="003C2EEE">
                <w:pPr>
                  <w:spacing w:line="240" w:lineRule="atLeast"/>
                  <w:rPr>
                    <w:color w:val="000000" w:themeColor="text1"/>
                  </w:rPr>
                </w:pPr>
                <w:r>
                  <w:rPr>
                    <w:color w:val="000000" w:themeColor="text1"/>
                  </w:rPr>
                  <w:t>1.</w:t>
                </w:r>
                <w:r>
                  <w:rPr>
                    <w:rFonts w:hint="eastAsia"/>
                    <w:color w:val="000000" w:themeColor="text1"/>
                  </w:rPr>
                  <w:t>期</w:t>
                </w:r>
                <w:r>
                  <w:rPr>
                    <w:color w:val="000000" w:themeColor="text1"/>
                  </w:rPr>
                  <w:t>初余额</w:t>
                </w:r>
              </w:p>
            </w:tc>
            <w:tc>
              <w:tcPr>
                <w:tcW w:w="1248" w:type="pct"/>
                <w:shd w:val="clear" w:color="auto" w:fill="auto"/>
              </w:tcPr>
              <w:p w:rsidR="00597370" w:rsidRDefault="003C2EEE">
                <w:pPr>
                  <w:spacing w:line="240" w:lineRule="atLeast"/>
                  <w:ind w:firstLineChars="200" w:firstLine="420"/>
                  <w:jc w:val="right"/>
                  <w:rPr>
                    <w:color w:val="000000" w:themeColor="text1"/>
                  </w:rPr>
                </w:pPr>
                <w:r>
                  <w:rPr>
                    <w:color w:val="000000" w:themeColor="text1"/>
                  </w:rPr>
                  <w:t>11,069,607.91</w:t>
                </w:r>
              </w:p>
            </w:tc>
            <w:tc>
              <w:tcPr>
                <w:tcW w:w="1192" w:type="pct"/>
                <w:shd w:val="clear" w:color="auto" w:fill="auto"/>
              </w:tcPr>
              <w:p w:rsidR="00597370" w:rsidRDefault="003C2EEE">
                <w:pPr>
                  <w:spacing w:line="240" w:lineRule="atLeast"/>
                  <w:ind w:firstLineChars="200" w:firstLine="420"/>
                  <w:jc w:val="right"/>
                  <w:rPr>
                    <w:color w:val="000000" w:themeColor="text1"/>
                  </w:rPr>
                </w:pPr>
                <w:r>
                  <w:rPr>
                    <w:rStyle w:val="Style149"/>
                    <w:color w:val="000000" w:themeColor="text1"/>
                  </w:rPr>
                  <w:t>807,105.21</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11,876,713.12</w:t>
                </w: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rPr>
                    <w:color w:val="000000" w:themeColor="text1"/>
                  </w:rPr>
                </w:pPr>
                <w:r>
                  <w:rPr>
                    <w:color w:val="000000" w:themeColor="text1"/>
                  </w:rPr>
                  <w:t>2.本期增加</w:t>
                </w:r>
                <w:r>
                  <w:rPr>
                    <w:rFonts w:hint="eastAsia"/>
                    <w:color w:val="000000" w:themeColor="text1"/>
                  </w:rPr>
                  <w:t>金额</w:t>
                </w:r>
              </w:p>
            </w:tc>
            <w:tc>
              <w:tcPr>
                <w:tcW w:w="1248" w:type="pct"/>
                <w:shd w:val="clear" w:color="auto" w:fill="auto"/>
              </w:tcPr>
              <w:p w:rsidR="00597370" w:rsidRDefault="003C2EEE">
                <w:pPr>
                  <w:spacing w:line="240" w:lineRule="atLeast"/>
                  <w:jc w:val="right"/>
                  <w:rPr>
                    <w:color w:val="000000" w:themeColor="text1"/>
                  </w:rPr>
                </w:pPr>
                <w:r>
                  <w:rPr>
                    <w:color w:val="000000" w:themeColor="text1"/>
                  </w:rPr>
                  <w:t>265,805.53</w:t>
                </w: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265,805.53</w:t>
                </w:r>
                <w:r>
                  <w:rPr>
                    <w:rStyle w:val="Style149"/>
                    <w:rFonts w:hint="eastAsia"/>
                    <w:color w:val="000000" w:themeColor="text1"/>
                  </w:rPr>
                  <w:t xml:space="preserve">　</w:t>
                </w:r>
              </w:p>
            </w:tc>
          </w:tr>
          <w:tr w:rsidR="00597370">
            <w:trPr>
              <w:trHeight w:val="284"/>
            </w:trPr>
            <w:tc>
              <w:tcPr>
                <w:tcW w:w="1566" w:type="pct"/>
                <w:shd w:val="clear" w:color="auto" w:fill="auto"/>
              </w:tcPr>
              <w:p w:rsidR="00597370" w:rsidRDefault="003C2EEE">
                <w:pPr>
                  <w:spacing w:line="240" w:lineRule="atLeast"/>
                </w:pPr>
                <w:r>
                  <w:rPr>
                    <w:rStyle w:val="Style149"/>
                    <w:rFonts w:hint="eastAsia"/>
                  </w:rPr>
                  <w:t>租赁</w:t>
                </w:r>
              </w:p>
            </w:tc>
            <w:tc>
              <w:tcPr>
                <w:tcW w:w="1248" w:type="pct"/>
                <w:shd w:val="clear" w:color="auto" w:fill="auto"/>
              </w:tcPr>
              <w:p w:rsidR="00597370" w:rsidRDefault="00597370">
                <w:pPr>
                  <w:spacing w:line="240" w:lineRule="atLeast"/>
                  <w:jc w:val="right"/>
                </w:pPr>
              </w:p>
            </w:tc>
            <w:tc>
              <w:tcPr>
                <w:tcW w:w="1192" w:type="pct"/>
                <w:shd w:val="clear" w:color="auto" w:fill="auto"/>
              </w:tcPr>
              <w:p w:rsidR="00597370" w:rsidRDefault="003C2EEE">
                <w:pPr>
                  <w:spacing w:line="240" w:lineRule="atLeast"/>
                  <w:jc w:val="right"/>
                </w:pPr>
                <w:r>
                  <w:rPr>
                    <w:rStyle w:val="Style149"/>
                    <w:rFonts w:hint="eastAsia"/>
                  </w:rPr>
                  <w:t xml:space="preserve">　</w:t>
                </w:r>
              </w:p>
            </w:tc>
            <w:tc>
              <w:tcPr>
                <w:tcW w:w="994" w:type="pct"/>
                <w:shd w:val="clear" w:color="auto" w:fill="auto"/>
              </w:tcPr>
              <w:p w:rsidR="00597370" w:rsidRDefault="003C2EEE">
                <w:pPr>
                  <w:spacing w:line="240" w:lineRule="atLeast"/>
                  <w:jc w:val="right"/>
                </w:pPr>
                <w:r>
                  <w:rPr>
                    <w:rStyle w:val="Style149"/>
                    <w:rFonts w:hint="eastAsia"/>
                  </w:rPr>
                  <w:t xml:space="preserve">　</w:t>
                </w:r>
              </w:p>
            </w:tc>
          </w:tr>
          <w:tr w:rsidR="00597370">
            <w:trPr>
              <w:trHeight w:val="284"/>
            </w:trPr>
            <w:tc>
              <w:tcPr>
                <w:tcW w:w="1566" w:type="pct"/>
                <w:shd w:val="clear" w:color="auto" w:fill="auto"/>
              </w:tcPr>
              <w:p w:rsidR="00597370" w:rsidRDefault="003C2EEE">
                <w:pPr>
                  <w:spacing w:line="240" w:lineRule="atLeast"/>
                  <w:rPr>
                    <w:color w:val="000000" w:themeColor="text1"/>
                  </w:rPr>
                </w:pPr>
                <w:r>
                  <w:rPr>
                    <w:rStyle w:val="Style149"/>
                    <w:color w:val="000000" w:themeColor="text1"/>
                  </w:rPr>
                  <w:t>3.本期减少金额</w:t>
                </w:r>
              </w:p>
            </w:tc>
            <w:tc>
              <w:tcPr>
                <w:tcW w:w="1248" w:type="pct"/>
                <w:shd w:val="clear" w:color="auto" w:fill="auto"/>
              </w:tcPr>
              <w:p w:rsidR="00597370" w:rsidRDefault="00597370">
                <w:pPr>
                  <w:spacing w:line="240" w:lineRule="atLeast"/>
                  <w:jc w:val="right"/>
                  <w:rPr>
                    <w:color w:val="000000" w:themeColor="text1"/>
                  </w:rPr>
                </w:pP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rPr>
                    <w:color w:val="000000" w:themeColor="text1"/>
                  </w:rPr>
                </w:pPr>
                <w:r>
                  <w:rPr>
                    <w:color w:val="000000" w:themeColor="text1"/>
                  </w:rPr>
                  <w:t>4.期末余额</w:t>
                </w:r>
              </w:p>
            </w:tc>
            <w:tc>
              <w:tcPr>
                <w:tcW w:w="1248" w:type="pct"/>
                <w:shd w:val="clear" w:color="auto" w:fill="auto"/>
              </w:tcPr>
              <w:p w:rsidR="00597370" w:rsidRDefault="003C2EEE">
                <w:pPr>
                  <w:spacing w:line="240" w:lineRule="atLeast"/>
                  <w:jc w:val="right"/>
                  <w:rPr>
                    <w:color w:val="000000" w:themeColor="text1"/>
                  </w:rPr>
                </w:pPr>
                <w:r>
                  <w:rPr>
                    <w:color w:val="000000" w:themeColor="text1"/>
                  </w:rPr>
                  <w:t>11,335,413.44</w:t>
                </w:r>
              </w:p>
            </w:tc>
            <w:tc>
              <w:tcPr>
                <w:tcW w:w="1192" w:type="pct"/>
                <w:shd w:val="clear" w:color="auto" w:fill="auto"/>
              </w:tcPr>
              <w:p w:rsidR="00597370" w:rsidRDefault="003C2EEE">
                <w:pPr>
                  <w:spacing w:line="240" w:lineRule="atLeast"/>
                  <w:jc w:val="right"/>
                  <w:rPr>
                    <w:color w:val="000000" w:themeColor="text1"/>
                  </w:rPr>
                </w:pPr>
                <w:r>
                  <w:rPr>
                    <w:rStyle w:val="Style149"/>
                    <w:color w:val="000000" w:themeColor="text1"/>
                  </w:rPr>
                  <w:t>807,105.21</w:t>
                </w: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12,142,518.65</w:t>
                </w:r>
                <w:r>
                  <w:rPr>
                    <w:rStyle w:val="Style149"/>
                    <w:rFonts w:hint="eastAsia"/>
                    <w:color w:val="000000" w:themeColor="text1"/>
                  </w:rPr>
                  <w:t xml:space="preserve">　</w:t>
                </w:r>
              </w:p>
            </w:tc>
          </w:tr>
          <w:tr w:rsidR="00597370">
            <w:trPr>
              <w:trHeight w:val="284"/>
            </w:trPr>
            <w:tc>
              <w:tcPr>
                <w:tcW w:w="5000" w:type="pct"/>
                <w:gridSpan w:val="4"/>
                <w:shd w:val="clear" w:color="auto" w:fill="auto"/>
                <w:vAlign w:val="center"/>
              </w:tcPr>
              <w:p w:rsidR="00597370" w:rsidRDefault="003C2EEE">
                <w:pPr>
                  <w:spacing w:line="240" w:lineRule="atLeast"/>
                  <w:rPr>
                    <w:color w:val="000000" w:themeColor="text1"/>
                  </w:rPr>
                </w:pPr>
                <w:r>
                  <w:rPr>
                    <w:rFonts w:hint="eastAsia"/>
                    <w:color w:val="000000" w:themeColor="text1"/>
                  </w:rPr>
                  <w:t>二、累计折旧</w:t>
                </w:r>
                <w:sdt>
                  <w:sdtPr>
                    <w:rPr>
                      <w:color w:val="000000" w:themeColor="text1"/>
                    </w:rPr>
                    <w:tag w:val="_PLD_c5fd254e7ed54ab8b2346f3d57a1cc54"/>
                    <w:id w:val="-1415858600"/>
                    <w:showingPlcHdr/>
                  </w:sdtPr>
                  <w:sdtEndPr/>
                  <w:sdtContent>
                    <w:r>
                      <w:rPr>
                        <w:color w:val="000000" w:themeColor="text1"/>
                      </w:rPr>
                      <w:t xml:space="preserve">     </w:t>
                    </w:r>
                  </w:sdtContent>
                </w:sdt>
              </w:p>
            </w:tc>
          </w:tr>
          <w:tr w:rsidR="00597370">
            <w:trPr>
              <w:trHeight w:val="284"/>
            </w:trPr>
            <w:tc>
              <w:tcPr>
                <w:tcW w:w="1566" w:type="pct"/>
                <w:shd w:val="clear" w:color="auto" w:fill="auto"/>
                <w:vAlign w:val="center"/>
              </w:tcPr>
              <w:p w:rsidR="00597370" w:rsidRDefault="003C2EEE">
                <w:pPr>
                  <w:spacing w:line="240" w:lineRule="atLeast"/>
                </w:pPr>
                <w:r>
                  <w:t>1.期初余额</w:t>
                </w:r>
              </w:p>
            </w:tc>
            <w:tc>
              <w:tcPr>
                <w:tcW w:w="1248" w:type="pct"/>
                <w:shd w:val="clear" w:color="auto" w:fill="auto"/>
              </w:tcPr>
              <w:p w:rsidR="00597370" w:rsidRDefault="003C2EEE">
                <w:pPr>
                  <w:spacing w:line="240" w:lineRule="atLeast"/>
                  <w:jc w:val="right"/>
                  <w:rPr>
                    <w:color w:val="000000" w:themeColor="text1"/>
                  </w:rPr>
                </w:pPr>
                <w:r>
                  <w:rPr>
                    <w:color w:val="000000" w:themeColor="text1"/>
                  </w:rPr>
                  <w:t>2,815,723.20</w:t>
                </w:r>
              </w:p>
            </w:tc>
            <w:tc>
              <w:tcPr>
                <w:tcW w:w="1192" w:type="pct"/>
                <w:shd w:val="clear" w:color="auto" w:fill="auto"/>
              </w:tcPr>
              <w:p w:rsidR="00597370" w:rsidRDefault="003C2EEE">
                <w:pPr>
                  <w:spacing w:line="240" w:lineRule="atLeast"/>
                  <w:jc w:val="right"/>
                  <w:rPr>
                    <w:color w:val="000000" w:themeColor="text1"/>
                  </w:rPr>
                </w:pPr>
                <w:r>
                  <w:rPr>
                    <w:rStyle w:val="Style149"/>
                    <w:color w:val="000000" w:themeColor="text1"/>
                  </w:rPr>
                  <w:t>21,813.65</w:t>
                </w: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2,837,536.85</w:t>
                </w: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pPr>
                <w:r>
                  <w:t>2.本期增加金额</w:t>
                </w:r>
              </w:p>
            </w:tc>
            <w:tc>
              <w:tcPr>
                <w:tcW w:w="1248" w:type="pct"/>
                <w:shd w:val="clear" w:color="auto" w:fill="auto"/>
              </w:tcPr>
              <w:p w:rsidR="00597370" w:rsidRDefault="003C2EEE">
                <w:pPr>
                  <w:spacing w:line="240" w:lineRule="atLeast"/>
                  <w:jc w:val="right"/>
                  <w:rPr>
                    <w:color w:val="000000" w:themeColor="text1"/>
                  </w:rPr>
                </w:pPr>
                <w:r>
                  <w:rPr>
                    <w:color w:val="000000" w:themeColor="text1"/>
                  </w:rPr>
                  <w:t>1,775,486.28</w:t>
                </w:r>
              </w:p>
            </w:tc>
            <w:tc>
              <w:tcPr>
                <w:tcW w:w="1192" w:type="pct"/>
                <w:shd w:val="clear" w:color="auto" w:fill="auto"/>
              </w:tcPr>
              <w:p w:rsidR="00597370" w:rsidRDefault="003C2EEE">
                <w:pPr>
                  <w:spacing w:line="240" w:lineRule="atLeast"/>
                  <w:jc w:val="right"/>
                  <w:rPr>
                    <w:color w:val="000000" w:themeColor="text1"/>
                  </w:rPr>
                </w:pPr>
                <w:r>
                  <w:rPr>
                    <w:rStyle w:val="Style149"/>
                    <w:color w:val="000000" w:themeColor="text1"/>
                  </w:rPr>
                  <w:t>130,881.90</w:t>
                </w: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1,906,368.18</w:t>
                </w: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rPr>
                    <w:color w:val="000000" w:themeColor="text1"/>
                  </w:rPr>
                </w:pPr>
                <w:r>
                  <w:rPr>
                    <w:color w:val="000000" w:themeColor="text1"/>
                  </w:rPr>
                  <w:t>(1)计提</w:t>
                </w:r>
              </w:p>
            </w:tc>
            <w:tc>
              <w:tcPr>
                <w:tcW w:w="1248" w:type="pct"/>
                <w:shd w:val="clear" w:color="auto" w:fill="auto"/>
              </w:tcPr>
              <w:p w:rsidR="00597370" w:rsidRDefault="003C2EEE">
                <w:pPr>
                  <w:spacing w:line="240" w:lineRule="atLeast"/>
                  <w:jc w:val="right"/>
                  <w:rPr>
                    <w:color w:val="000000" w:themeColor="text1"/>
                  </w:rPr>
                </w:pPr>
                <w:r>
                  <w:rPr>
                    <w:color w:val="000000" w:themeColor="text1"/>
                  </w:rPr>
                  <w:t>1,775,486.28</w:t>
                </w:r>
              </w:p>
            </w:tc>
            <w:tc>
              <w:tcPr>
                <w:tcW w:w="1192" w:type="pct"/>
                <w:shd w:val="clear" w:color="auto" w:fill="auto"/>
              </w:tcPr>
              <w:p w:rsidR="00597370" w:rsidRDefault="003C2EEE">
                <w:pPr>
                  <w:spacing w:line="240" w:lineRule="atLeast"/>
                  <w:jc w:val="right"/>
                  <w:rPr>
                    <w:color w:val="000000" w:themeColor="text1"/>
                  </w:rPr>
                </w:pPr>
                <w:r>
                  <w:rPr>
                    <w:rStyle w:val="Style149"/>
                    <w:color w:val="000000" w:themeColor="text1"/>
                  </w:rPr>
                  <w:t>130,881.90</w:t>
                </w: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1,906,368.18</w:t>
                </w:r>
                <w:r>
                  <w:rPr>
                    <w:rStyle w:val="Style149"/>
                    <w:rFonts w:hint="eastAsia"/>
                    <w:color w:val="000000" w:themeColor="text1"/>
                  </w:rPr>
                  <w:t xml:space="preserve">　</w:t>
                </w:r>
              </w:p>
            </w:tc>
          </w:tr>
          <w:tr w:rsidR="00597370">
            <w:trPr>
              <w:trHeight w:val="284"/>
            </w:trPr>
            <w:tc>
              <w:tcPr>
                <w:tcW w:w="1566" w:type="pct"/>
                <w:shd w:val="clear" w:color="auto" w:fill="auto"/>
              </w:tcPr>
              <w:p w:rsidR="00597370" w:rsidRDefault="003C2EEE">
                <w:pPr>
                  <w:spacing w:line="240" w:lineRule="atLeast"/>
                </w:pPr>
                <w:r>
                  <w:rPr>
                    <w:rStyle w:val="Style149"/>
                  </w:rPr>
                  <w:t>3.本期减少金额</w:t>
                </w:r>
                <w:r>
                  <w:rPr>
                    <w:rStyle w:val="Style149"/>
                    <w:rFonts w:hint="eastAsia"/>
                  </w:rPr>
                  <w:t xml:space="preserve">　</w:t>
                </w:r>
              </w:p>
            </w:tc>
            <w:tc>
              <w:tcPr>
                <w:tcW w:w="1248" w:type="pct"/>
                <w:shd w:val="clear" w:color="auto" w:fill="auto"/>
              </w:tcPr>
              <w:p w:rsidR="00597370" w:rsidRDefault="00597370">
                <w:pPr>
                  <w:spacing w:line="240" w:lineRule="atLeast"/>
                  <w:jc w:val="right"/>
                </w:pPr>
              </w:p>
            </w:tc>
            <w:tc>
              <w:tcPr>
                <w:tcW w:w="1192" w:type="pct"/>
                <w:shd w:val="clear" w:color="auto" w:fill="auto"/>
              </w:tcPr>
              <w:p w:rsidR="00597370" w:rsidRDefault="003C2EEE">
                <w:pPr>
                  <w:spacing w:line="240" w:lineRule="atLeast"/>
                  <w:jc w:val="right"/>
                </w:pPr>
                <w:r>
                  <w:rPr>
                    <w:rStyle w:val="Style149"/>
                    <w:rFonts w:hint="eastAsia"/>
                  </w:rPr>
                  <w:t xml:space="preserve">　</w:t>
                </w:r>
              </w:p>
            </w:tc>
            <w:tc>
              <w:tcPr>
                <w:tcW w:w="994" w:type="pct"/>
                <w:shd w:val="clear" w:color="auto" w:fill="auto"/>
              </w:tcPr>
              <w:p w:rsidR="00597370" w:rsidRDefault="003C2EEE">
                <w:pPr>
                  <w:spacing w:line="240" w:lineRule="atLeast"/>
                  <w:jc w:val="right"/>
                </w:pPr>
                <w:r>
                  <w:rPr>
                    <w:rStyle w:val="Style149"/>
                    <w:rFonts w:hint="eastAsia"/>
                  </w:rPr>
                  <w:t xml:space="preserve">　</w:t>
                </w:r>
              </w:p>
            </w:tc>
          </w:tr>
          <w:tr w:rsidR="00597370">
            <w:trPr>
              <w:trHeight w:val="284"/>
            </w:trPr>
            <w:tc>
              <w:tcPr>
                <w:tcW w:w="1566" w:type="pct"/>
                <w:shd w:val="clear" w:color="auto" w:fill="auto"/>
              </w:tcPr>
              <w:p w:rsidR="00597370" w:rsidRDefault="003C2EEE">
                <w:pPr>
                  <w:spacing w:line="240" w:lineRule="atLeast"/>
                  <w:rPr>
                    <w:color w:val="000000" w:themeColor="text1"/>
                  </w:rPr>
                </w:pPr>
                <w:r>
                  <w:rPr>
                    <w:rStyle w:val="Style149"/>
                    <w:color w:val="000000" w:themeColor="text1"/>
                  </w:rPr>
                  <w:t>(1)处置</w:t>
                </w:r>
              </w:p>
            </w:tc>
            <w:tc>
              <w:tcPr>
                <w:tcW w:w="1248" w:type="pct"/>
                <w:shd w:val="clear" w:color="auto" w:fill="auto"/>
              </w:tcPr>
              <w:p w:rsidR="00597370" w:rsidRDefault="00597370">
                <w:pPr>
                  <w:spacing w:line="240" w:lineRule="atLeast"/>
                  <w:jc w:val="right"/>
                  <w:rPr>
                    <w:color w:val="000000" w:themeColor="text1"/>
                  </w:rPr>
                </w:pP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rPr>
                    <w:color w:val="000000" w:themeColor="text1"/>
                  </w:rPr>
                </w:pPr>
                <w:r>
                  <w:rPr>
                    <w:color w:val="000000" w:themeColor="text1"/>
                  </w:rPr>
                  <w:t>4.期末余额</w:t>
                </w:r>
              </w:p>
            </w:tc>
            <w:tc>
              <w:tcPr>
                <w:tcW w:w="1248" w:type="pct"/>
                <w:shd w:val="clear" w:color="auto" w:fill="auto"/>
              </w:tcPr>
              <w:p w:rsidR="00597370" w:rsidRDefault="003C2EEE">
                <w:pPr>
                  <w:spacing w:line="240" w:lineRule="atLeast"/>
                  <w:jc w:val="right"/>
                  <w:rPr>
                    <w:color w:val="000000" w:themeColor="text1"/>
                  </w:rPr>
                </w:pPr>
                <w:r>
                  <w:rPr>
                    <w:color w:val="000000" w:themeColor="text1"/>
                  </w:rPr>
                  <w:t>4,591,209.48</w:t>
                </w:r>
              </w:p>
            </w:tc>
            <w:tc>
              <w:tcPr>
                <w:tcW w:w="1192" w:type="pct"/>
                <w:shd w:val="clear" w:color="auto" w:fill="auto"/>
              </w:tcPr>
              <w:p w:rsidR="00597370" w:rsidRDefault="003C2EEE">
                <w:pPr>
                  <w:spacing w:line="240" w:lineRule="atLeast"/>
                  <w:jc w:val="right"/>
                  <w:rPr>
                    <w:color w:val="000000" w:themeColor="text1"/>
                  </w:rPr>
                </w:pPr>
                <w:r>
                  <w:rPr>
                    <w:rStyle w:val="Style149"/>
                    <w:color w:val="000000" w:themeColor="text1"/>
                  </w:rPr>
                  <w:t>152,695.55</w:t>
                </w: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4,743,905.03</w:t>
                </w:r>
                <w:r>
                  <w:rPr>
                    <w:rStyle w:val="Style149"/>
                    <w:rFonts w:hint="eastAsia"/>
                    <w:color w:val="000000" w:themeColor="text1"/>
                  </w:rPr>
                  <w:t xml:space="preserve">　</w:t>
                </w:r>
              </w:p>
            </w:tc>
          </w:tr>
          <w:tr w:rsidR="00597370">
            <w:trPr>
              <w:trHeight w:val="284"/>
            </w:trPr>
            <w:sdt>
              <w:sdtPr>
                <w:rPr>
                  <w:color w:val="000000" w:themeColor="text1"/>
                </w:rPr>
                <w:tag w:val="_PLD_977579b288954e92aacbdc72b4e58579"/>
                <w:id w:val="-1335600271"/>
              </w:sdtPr>
              <w:sdtEndPr/>
              <w:sdtContent>
                <w:tc>
                  <w:tcPr>
                    <w:tcW w:w="5000" w:type="pct"/>
                    <w:gridSpan w:val="4"/>
                    <w:shd w:val="clear" w:color="auto" w:fill="auto"/>
                    <w:vAlign w:val="center"/>
                  </w:tcPr>
                  <w:p w:rsidR="00597370" w:rsidRDefault="003C2EEE">
                    <w:pPr>
                      <w:spacing w:line="240" w:lineRule="atLeast"/>
                      <w:rPr>
                        <w:color w:val="000000" w:themeColor="text1"/>
                      </w:rPr>
                    </w:pPr>
                    <w:r>
                      <w:rPr>
                        <w:color w:val="000000" w:themeColor="text1"/>
                      </w:rPr>
                      <w:t>三、减值准备</w:t>
                    </w:r>
                  </w:p>
                </w:tc>
              </w:sdtContent>
            </w:sdt>
          </w:tr>
          <w:tr w:rsidR="00597370">
            <w:trPr>
              <w:trHeight w:val="284"/>
            </w:trPr>
            <w:tc>
              <w:tcPr>
                <w:tcW w:w="1566" w:type="pct"/>
                <w:shd w:val="clear" w:color="auto" w:fill="auto"/>
                <w:vAlign w:val="center"/>
              </w:tcPr>
              <w:p w:rsidR="00597370" w:rsidRDefault="003C2EEE">
                <w:pPr>
                  <w:spacing w:line="240" w:lineRule="atLeast"/>
                  <w:jc w:val="both"/>
                  <w:rPr>
                    <w:color w:val="000000" w:themeColor="text1"/>
                  </w:rPr>
                </w:pPr>
                <w:r>
                  <w:rPr>
                    <w:rFonts w:hint="eastAsia"/>
                    <w:color w:val="000000" w:themeColor="text1"/>
                  </w:rPr>
                  <w:t>1.期</w:t>
                </w:r>
                <w:r>
                  <w:rPr>
                    <w:color w:val="000000" w:themeColor="text1"/>
                  </w:rPr>
                  <w:t>初余额</w:t>
                </w:r>
              </w:p>
            </w:tc>
            <w:tc>
              <w:tcPr>
                <w:tcW w:w="1248" w:type="pct"/>
                <w:shd w:val="clear" w:color="auto" w:fill="auto"/>
              </w:tcPr>
              <w:p w:rsidR="00597370" w:rsidRDefault="00597370">
                <w:pPr>
                  <w:spacing w:line="240" w:lineRule="atLeast"/>
                  <w:jc w:val="right"/>
                  <w:rPr>
                    <w:color w:val="000000" w:themeColor="text1"/>
                  </w:rPr>
                </w:pP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jc w:val="both"/>
                  <w:rPr>
                    <w:color w:val="000000" w:themeColor="text1"/>
                  </w:rPr>
                </w:pPr>
                <w:r>
                  <w:rPr>
                    <w:color w:val="000000" w:themeColor="text1"/>
                  </w:rPr>
                  <w:t>2.本期增加</w:t>
                </w:r>
                <w:r>
                  <w:rPr>
                    <w:rFonts w:hint="eastAsia"/>
                    <w:color w:val="000000" w:themeColor="text1"/>
                  </w:rPr>
                  <w:t>金额</w:t>
                </w:r>
              </w:p>
            </w:tc>
            <w:tc>
              <w:tcPr>
                <w:tcW w:w="1248" w:type="pct"/>
                <w:shd w:val="clear" w:color="auto" w:fill="auto"/>
              </w:tcPr>
              <w:p w:rsidR="00597370" w:rsidRDefault="00597370">
                <w:pPr>
                  <w:spacing w:line="240" w:lineRule="atLeast"/>
                  <w:jc w:val="right"/>
                  <w:rPr>
                    <w:color w:val="000000" w:themeColor="text1"/>
                  </w:rPr>
                </w:pP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jc w:val="both"/>
                  <w:rPr>
                    <w:color w:val="000000" w:themeColor="text1"/>
                  </w:rPr>
                </w:pPr>
                <w:r>
                  <w:rPr>
                    <w:color w:val="000000" w:themeColor="text1"/>
                  </w:rPr>
                  <w:t>(1)计提</w:t>
                </w:r>
              </w:p>
            </w:tc>
            <w:tc>
              <w:tcPr>
                <w:tcW w:w="1248" w:type="pct"/>
                <w:shd w:val="clear" w:color="auto" w:fill="auto"/>
              </w:tcPr>
              <w:p w:rsidR="00597370" w:rsidRDefault="00597370">
                <w:pPr>
                  <w:spacing w:line="240" w:lineRule="atLeast"/>
                  <w:jc w:val="right"/>
                  <w:rPr>
                    <w:color w:val="000000" w:themeColor="text1"/>
                  </w:rPr>
                </w:pP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ind w:firstLineChars="200" w:firstLine="420"/>
                  <w:rPr>
                    <w:color w:val="000000" w:themeColor="text1"/>
                  </w:rPr>
                </w:pPr>
                <w:r>
                  <w:rPr>
                    <w:rFonts w:hint="eastAsia"/>
                    <w:color w:val="000000" w:themeColor="text1"/>
                  </w:rPr>
                  <w:t>3.</w:t>
                </w:r>
                <w:r>
                  <w:rPr>
                    <w:color w:val="000000" w:themeColor="text1"/>
                  </w:rPr>
                  <w:t>本期减少</w:t>
                </w:r>
                <w:r>
                  <w:rPr>
                    <w:rFonts w:hint="eastAsia"/>
                    <w:color w:val="000000" w:themeColor="text1"/>
                  </w:rPr>
                  <w:t>金额</w:t>
                </w:r>
              </w:p>
            </w:tc>
            <w:tc>
              <w:tcPr>
                <w:tcW w:w="1248" w:type="pct"/>
                <w:shd w:val="clear" w:color="auto" w:fill="auto"/>
              </w:tcPr>
              <w:p w:rsidR="00597370" w:rsidRDefault="00597370">
                <w:pPr>
                  <w:spacing w:line="240" w:lineRule="atLeast"/>
                  <w:jc w:val="right"/>
                  <w:rPr>
                    <w:color w:val="000000" w:themeColor="text1"/>
                  </w:rPr>
                </w:pP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ind w:firstLineChars="300" w:firstLine="630"/>
                  <w:rPr>
                    <w:color w:val="000000" w:themeColor="text1"/>
                  </w:rPr>
                </w:pPr>
                <w:r>
                  <w:rPr>
                    <w:color w:val="000000" w:themeColor="text1"/>
                  </w:rPr>
                  <w:t>(1)</w:t>
                </w:r>
                <w:r>
                  <w:rPr>
                    <w:rFonts w:hint="eastAsia"/>
                    <w:color w:val="000000" w:themeColor="text1"/>
                  </w:rPr>
                  <w:t>处置</w:t>
                </w:r>
              </w:p>
            </w:tc>
            <w:tc>
              <w:tcPr>
                <w:tcW w:w="1248" w:type="pct"/>
                <w:shd w:val="clear" w:color="auto" w:fill="auto"/>
              </w:tcPr>
              <w:p w:rsidR="00597370" w:rsidRDefault="00597370">
                <w:pPr>
                  <w:spacing w:line="240" w:lineRule="atLeast"/>
                  <w:jc w:val="right"/>
                  <w:rPr>
                    <w:color w:val="000000" w:themeColor="text1"/>
                  </w:rPr>
                </w:pP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ind w:firstLineChars="200" w:firstLine="420"/>
                  <w:rPr>
                    <w:color w:val="000000" w:themeColor="text1"/>
                  </w:rPr>
                </w:pPr>
                <w:r>
                  <w:rPr>
                    <w:rFonts w:hint="eastAsia"/>
                    <w:color w:val="000000" w:themeColor="text1"/>
                  </w:rPr>
                  <w:t>4.</w:t>
                </w:r>
                <w:r>
                  <w:rPr>
                    <w:color w:val="000000" w:themeColor="text1"/>
                  </w:rPr>
                  <w:t>期末余额</w:t>
                </w:r>
              </w:p>
            </w:tc>
            <w:tc>
              <w:tcPr>
                <w:tcW w:w="1248" w:type="pct"/>
                <w:shd w:val="clear" w:color="auto" w:fill="auto"/>
              </w:tcPr>
              <w:p w:rsidR="00597370" w:rsidRDefault="00597370">
                <w:pPr>
                  <w:spacing w:line="240" w:lineRule="atLeast"/>
                  <w:jc w:val="right"/>
                  <w:rPr>
                    <w:color w:val="000000" w:themeColor="text1"/>
                  </w:rPr>
                </w:pPr>
              </w:p>
            </w:tc>
            <w:tc>
              <w:tcPr>
                <w:tcW w:w="1192"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rFonts w:hint="eastAsia"/>
                    <w:color w:val="000000" w:themeColor="text1"/>
                  </w:rPr>
                  <w:t xml:space="preserve">　</w:t>
                </w:r>
              </w:p>
            </w:tc>
          </w:tr>
          <w:tr w:rsidR="00597370">
            <w:trPr>
              <w:trHeight w:val="284"/>
            </w:trPr>
            <w:sdt>
              <w:sdtPr>
                <w:rPr>
                  <w:color w:val="000000" w:themeColor="text1"/>
                </w:rPr>
                <w:tag w:val="_PLD_a609076f16da4fedb37d9fc1d72dfd8f"/>
                <w:id w:val="1529991025"/>
              </w:sdtPr>
              <w:sdtEndPr/>
              <w:sdtContent>
                <w:tc>
                  <w:tcPr>
                    <w:tcW w:w="5000" w:type="pct"/>
                    <w:gridSpan w:val="4"/>
                    <w:shd w:val="clear" w:color="auto" w:fill="auto"/>
                    <w:vAlign w:val="center"/>
                  </w:tcPr>
                  <w:p w:rsidR="00597370" w:rsidRDefault="003C2EEE">
                    <w:pPr>
                      <w:spacing w:line="240" w:lineRule="atLeast"/>
                      <w:rPr>
                        <w:color w:val="000000" w:themeColor="text1"/>
                      </w:rPr>
                    </w:pPr>
                    <w:r>
                      <w:rPr>
                        <w:color w:val="000000" w:themeColor="text1"/>
                      </w:rPr>
                      <w:t>四、账面价值</w:t>
                    </w:r>
                  </w:p>
                </w:tc>
              </w:sdtContent>
            </w:sdt>
          </w:tr>
          <w:tr w:rsidR="00597370">
            <w:trPr>
              <w:trHeight w:val="284"/>
            </w:trPr>
            <w:tc>
              <w:tcPr>
                <w:tcW w:w="1566" w:type="pct"/>
                <w:shd w:val="clear" w:color="auto" w:fill="auto"/>
                <w:vAlign w:val="center"/>
              </w:tcPr>
              <w:p w:rsidR="00597370" w:rsidRDefault="003C2EEE">
                <w:pPr>
                  <w:spacing w:line="240" w:lineRule="atLeast"/>
                  <w:rPr>
                    <w:color w:val="000000" w:themeColor="text1"/>
                  </w:rPr>
                </w:pPr>
                <w:r>
                  <w:rPr>
                    <w:color w:val="000000" w:themeColor="text1"/>
                  </w:rPr>
                  <w:t xml:space="preserve">    1.期末账面价值</w:t>
                </w:r>
              </w:p>
            </w:tc>
            <w:tc>
              <w:tcPr>
                <w:tcW w:w="1248" w:type="pct"/>
                <w:shd w:val="clear" w:color="auto" w:fill="auto"/>
              </w:tcPr>
              <w:p w:rsidR="00597370" w:rsidRDefault="003C2EEE">
                <w:pPr>
                  <w:spacing w:line="240" w:lineRule="atLeast"/>
                  <w:jc w:val="right"/>
                  <w:rPr>
                    <w:color w:val="000000" w:themeColor="text1"/>
                  </w:rPr>
                </w:pPr>
                <w:r>
                  <w:rPr>
                    <w:color w:val="000000" w:themeColor="text1"/>
                  </w:rPr>
                  <w:t>6,744,203.96</w:t>
                </w:r>
              </w:p>
            </w:tc>
            <w:tc>
              <w:tcPr>
                <w:tcW w:w="1192" w:type="pct"/>
                <w:shd w:val="clear" w:color="auto" w:fill="auto"/>
              </w:tcPr>
              <w:p w:rsidR="00597370" w:rsidRDefault="003C2EEE">
                <w:pPr>
                  <w:spacing w:line="240" w:lineRule="atLeast"/>
                  <w:jc w:val="right"/>
                  <w:rPr>
                    <w:color w:val="000000" w:themeColor="text1"/>
                  </w:rPr>
                </w:pPr>
                <w:r>
                  <w:rPr>
                    <w:rStyle w:val="Style149"/>
                    <w:color w:val="000000" w:themeColor="text1"/>
                  </w:rPr>
                  <w:t>654,409.66</w:t>
                </w:r>
                <w:r>
                  <w:rPr>
                    <w:rStyle w:val="Style149"/>
                    <w:rFonts w:hint="eastAsia"/>
                    <w:color w:val="000000" w:themeColor="text1"/>
                  </w:rPr>
                  <w:t xml:space="preserve">　</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7,398,613.61</w:t>
                </w:r>
                <w:r>
                  <w:rPr>
                    <w:rStyle w:val="Style149"/>
                    <w:rFonts w:hint="eastAsia"/>
                    <w:color w:val="000000" w:themeColor="text1"/>
                  </w:rPr>
                  <w:t xml:space="preserve">　</w:t>
                </w:r>
              </w:p>
            </w:tc>
          </w:tr>
          <w:tr w:rsidR="00597370">
            <w:trPr>
              <w:trHeight w:val="284"/>
            </w:trPr>
            <w:tc>
              <w:tcPr>
                <w:tcW w:w="1566" w:type="pct"/>
                <w:shd w:val="clear" w:color="auto" w:fill="auto"/>
                <w:vAlign w:val="center"/>
              </w:tcPr>
              <w:p w:rsidR="00597370" w:rsidRDefault="003C2EEE">
                <w:pPr>
                  <w:spacing w:line="240" w:lineRule="atLeast"/>
                  <w:rPr>
                    <w:color w:val="000000" w:themeColor="text1"/>
                  </w:rPr>
                </w:pPr>
                <w:r>
                  <w:rPr>
                    <w:color w:val="000000" w:themeColor="text1"/>
                  </w:rPr>
                  <w:t xml:space="preserve">    2.期初账面价值</w:t>
                </w:r>
              </w:p>
            </w:tc>
            <w:tc>
              <w:tcPr>
                <w:tcW w:w="1248" w:type="pct"/>
                <w:shd w:val="clear" w:color="auto" w:fill="auto"/>
              </w:tcPr>
              <w:p w:rsidR="00597370" w:rsidRDefault="003C2EEE">
                <w:pPr>
                  <w:spacing w:line="240" w:lineRule="atLeast"/>
                  <w:jc w:val="right"/>
                  <w:rPr>
                    <w:color w:val="000000" w:themeColor="text1"/>
                  </w:rPr>
                </w:pPr>
                <w:r>
                  <w:rPr>
                    <w:color w:val="000000" w:themeColor="text1"/>
                  </w:rPr>
                  <w:t>8,253,884.71</w:t>
                </w:r>
              </w:p>
            </w:tc>
            <w:tc>
              <w:tcPr>
                <w:tcW w:w="1192" w:type="pct"/>
                <w:shd w:val="clear" w:color="auto" w:fill="auto"/>
              </w:tcPr>
              <w:p w:rsidR="00597370" w:rsidRDefault="003C2EEE">
                <w:pPr>
                  <w:spacing w:line="240" w:lineRule="atLeast"/>
                  <w:jc w:val="right"/>
                  <w:rPr>
                    <w:color w:val="000000" w:themeColor="text1"/>
                  </w:rPr>
                </w:pPr>
                <w:r>
                  <w:rPr>
                    <w:rStyle w:val="Style149"/>
                    <w:color w:val="000000" w:themeColor="text1"/>
                  </w:rPr>
                  <w:t>785,291.56</w:t>
                </w:r>
              </w:p>
            </w:tc>
            <w:tc>
              <w:tcPr>
                <w:tcW w:w="994" w:type="pct"/>
                <w:shd w:val="clear" w:color="auto" w:fill="auto"/>
              </w:tcPr>
              <w:p w:rsidR="00597370" w:rsidRDefault="003C2EEE">
                <w:pPr>
                  <w:spacing w:line="240" w:lineRule="atLeast"/>
                  <w:jc w:val="right"/>
                  <w:rPr>
                    <w:color w:val="000000" w:themeColor="text1"/>
                  </w:rPr>
                </w:pPr>
                <w:r>
                  <w:rPr>
                    <w:rStyle w:val="Style149"/>
                    <w:color w:val="000000" w:themeColor="text1"/>
                  </w:rPr>
                  <w:t>9,039,176.27</w:t>
                </w:r>
              </w:p>
            </w:tc>
          </w:tr>
        </w:tbl>
        <w:p w:rsidR="00597370" w:rsidRDefault="006840ED">
          <w:pPr>
            <w:autoSpaceDE w:val="0"/>
            <w:autoSpaceDN w:val="0"/>
            <w:adjustRightInd w:val="0"/>
            <w:rPr>
              <w:color w:val="000000" w:themeColor="text1"/>
            </w:rPr>
          </w:pPr>
        </w:p>
      </w:sdtContent>
    </w:sdt>
    <w:p w:rsidR="00597370" w:rsidRDefault="003C2EEE">
      <w:pPr>
        <w:pStyle w:val="Style110"/>
        <w:numPr>
          <w:ilvl w:val="0"/>
          <w:numId w:val="69"/>
        </w:numPr>
        <w:rPr>
          <w:color w:val="000000" w:themeColor="text1"/>
        </w:rPr>
      </w:pPr>
      <w:bookmarkStart w:id="295" w:name="_Hlk167959535"/>
      <w:bookmarkStart w:id="296" w:name="_Hlk153461708"/>
      <w:bookmarkEnd w:id="294"/>
      <w:r>
        <w:rPr>
          <w:rFonts w:hint="eastAsia"/>
          <w:color w:val="000000" w:themeColor="text1"/>
        </w:rPr>
        <w:t>使用权资产的减值测试情况</w:t>
      </w:r>
    </w:p>
    <w:sdt>
      <w:sdtPr>
        <w:rPr>
          <w:color w:val="000000" w:themeColor="text1"/>
        </w:rPr>
        <w:alias w:val="是否适用：减值测试情况[双击切换]"/>
        <w:tag w:val="_GBC_d79f93753a2c43fc80991be4c588d144"/>
        <w:id w:val="128036771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1"/>
        <w:ind w:left="105"/>
        <w:rPr>
          <w:color w:val="000000" w:themeColor="text1"/>
        </w:rPr>
      </w:pPr>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87173e9d0eaa4dc6b7427ce8a5fc94a1"/>
        <w:id w:val="83202535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1"/>
        <w:ind w:left="105"/>
        <w:rPr>
          <w:color w:val="000000" w:themeColor="text1"/>
        </w:rPr>
      </w:pPr>
      <w:r>
        <w:rPr>
          <w:rFonts w:hint="eastAsia"/>
          <w:color w:val="000000" w:themeColor="text1"/>
        </w:rPr>
        <w:lastRenderedPageBreak/>
        <w:t>可收回金额按预计未来现金流量的现值确定</w:t>
      </w:r>
    </w:p>
    <w:sdt>
      <w:sdtPr>
        <w:rPr>
          <w:rFonts w:hint="eastAsia"/>
          <w:color w:val="000000" w:themeColor="text1"/>
        </w:rPr>
        <w:alias w:val="是否适用：可收回金额按预计未来现金流量的现值确定[双击切换]"/>
        <w:tag w:val="_GBC_5eb826f59c8b43e3bf83f9eadabef2dd"/>
        <w:id w:val="147178408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1"/>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cc7b04d5e5f04dc8aaa6bffb35ad2f5f"/>
        <w:id w:val="-47259865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1"/>
        <w:ind w:left="105"/>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15fcd21decf14abeb0df6558134f2158"/>
        <w:id w:val="-7300825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rPr>
          <w:color w:val="000000" w:themeColor="text1"/>
        </w:rPr>
      </w:pPr>
      <w:bookmarkStart w:id="297" w:name="_Hlk167959640"/>
      <w:bookmarkEnd w:id="295"/>
      <w:bookmarkEnd w:id="296"/>
      <w:r>
        <w:rPr>
          <w:rFonts w:hint="eastAsia"/>
          <w:color w:val="000000" w:themeColor="text1"/>
        </w:rPr>
        <w:t>其他说明：</w:t>
      </w:r>
    </w:p>
    <w:p w:rsidR="00597370" w:rsidRDefault="006840ED">
      <w:pPr>
        <w:rPr>
          <w:color w:val="000000" w:themeColor="text1"/>
        </w:rPr>
      </w:pPr>
      <w:sdt>
        <w:sdtPr>
          <w:rPr>
            <w:color w:val="000000" w:themeColor="text1"/>
          </w:rPr>
          <w:alias w:val="使用权资产其他说明"/>
          <w:tag w:val="_GBC_30439a7674b44ef39168f8672c6df2c9"/>
          <w:id w:val="-307550313"/>
          <w:placeholder>
            <w:docPart w:val="GBC22222222222222222222222222222"/>
          </w:placeholder>
        </w:sdtPr>
        <w:sdtEndPr/>
        <w:sdtContent>
          <w:r w:rsidR="003C2EEE">
            <w:rPr>
              <w:rFonts w:hint="eastAsia"/>
              <w:color w:val="000000" w:themeColor="text1"/>
            </w:rPr>
            <w:t>无</w:t>
          </w:r>
        </w:sdtContent>
      </w:sdt>
    </w:p>
    <w:bookmarkEnd w:id="297"/>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无形资产</w:t>
      </w:r>
    </w:p>
    <w:p w:rsidR="00597370" w:rsidRDefault="003C2EEE">
      <w:pPr>
        <w:pStyle w:val="Style110"/>
        <w:numPr>
          <w:ilvl w:val="0"/>
          <w:numId w:val="70"/>
        </w:numPr>
        <w:tabs>
          <w:tab w:val="left" w:pos="602"/>
        </w:tabs>
        <w:rPr>
          <w:rFonts w:ascii="宋体" w:hAnsi="宋体"/>
          <w:color w:val="000000" w:themeColor="text1"/>
          <w:szCs w:val="21"/>
        </w:rPr>
      </w:pPr>
      <w:r>
        <w:rPr>
          <w:rFonts w:ascii="宋体" w:hAnsi="宋体" w:hint="eastAsia"/>
          <w:color w:val="000000" w:themeColor="text1"/>
          <w:szCs w:val="21"/>
        </w:rPr>
        <w:t>无形资产情况</w:t>
      </w:r>
    </w:p>
    <w:p w:rsidR="00597370" w:rsidRDefault="006840ED">
      <w:pPr>
        <w:rPr>
          <w:color w:val="000000" w:themeColor="text1"/>
        </w:rPr>
      </w:pPr>
      <w:sdt>
        <w:sdtPr>
          <w:rPr>
            <w:rFonts w:hint="eastAsia"/>
            <w:color w:val="000000" w:themeColor="text1"/>
          </w:rPr>
          <w:alias w:val="是否适用：无形资产情况[双击切换]"/>
          <w:tag w:val="_GBC_0882d05501f84259b91efc5f2eae98cf"/>
          <w:id w:val="714852084"/>
          <w:lock w:val="contentLocked"/>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w:instrText>
          </w:r>
          <w:r w:rsidR="003C2EEE">
            <w:rPr>
              <w:rFonts w:hint="eastAsia"/>
              <w:color w:val="000000" w:themeColor="text1"/>
            </w:rPr>
            <w:instrText>MACROBUTTON  SnrToggleCheckbox √适用</w:instrText>
          </w:r>
          <w:r w:rsidR="003C2EEE">
            <w:rPr>
              <w:color w:val="000000" w:themeColor="text1"/>
            </w:rPr>
            <w:instrText xml:space="preserve">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无形资产情况"/>
          <w:tag w:val="_GBC_e04514c8858e489490302ba7c2e1448a"/>
          <w:id w:val="-2367791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无形资产情况"/>
          <w:tag w:val="_GBC_5ac7324577934f838e3655199c980c1c"/>
          <w:id w:val="-20121311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1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639"/>
        <w:gridCol w:w="1539"/>
        <w:gridCol w:w="1436"/>
        <w:gridCol w:w="1233"/>
        <w:gridCol w:w="1638"/>
      </w:tblGrid>
      <w:tr w:rsidR="00597370">
        <w:trPr>
          <w:trHeight w:val="284"/>
        </w:trPr>
        <w:sdt>
          <w:sdtPr>
            <w:rPr>
              <w:color w:val="000000" w:themeColor="text1"/>
              <w:sz w:val="18"/>
              <w:szCs w:val="18"/>
            </w:rPr>
            <w:tag w:val="_PLD_16e062da10ef4301a1526b8633f88a31"/>
            <w:id w:val="1938634302"/>
          </w:sdtPr>
          <w:sdtEndPr/>
          <w:sdtContent>
            <w:tc>
              <w:tcPr>
                <w:tcW w:w="758"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项目</w:t>
                </w:r>
              </w:p>
            </w:tc>
          </w:sdtContent>
        </w:sdt>
        <w:sdt>
          <w:sdtPr>
            <w:rPr>
              <w:color w:val="000000" w:themeColor="text1"/>
              <w:sz w:val="18"/>
              <w:szCs w:val="18"/>
            </w:rPr>
            <w:tag w:val="_PLD_8b465b50cb10415c8931fdb66ee29ca3"/>
            <w:id w:val="696812744"/>
          </w:sdtPr>
          <w:sdtEndPr/>
          <w:sdtContent>
            <w:tc>
              <w:tcPr>
                <w:tcW w:w="929"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土地使用权</w:t>
                </w:r>
              </w:p>
            </w:tc>
          </w:sdtContent>
        </w:sdt>
        <w:sdt>
          <w:sdtPr>
            <w:rPr>
              <w:color w:val="000000" w:themeColor="text1"/>
              <w:sz w:val="18"/>
              <w:szCs w:val="18"/>
            </w:rPr>
            <w:tag w:val="_PLD_55a0c34977f7438f8a4e60b2ec43e654"/>
            <w:id w:val="1146005059"/>
          </w:sdtPr>
          <w:sdtEndPr/>
          <w:sdtContent>
            <w:tc>
              <w:tcPr>
                <w:tcW w:w="872"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软件</w:t>
                </w:r>
              </w:p>
            </w:tc>
          </w:sdtContent>
        </w:sdt>
        <w:sdt>
          <w:sdtPr>
            <w:rPr>
              <w:color w:val="000000" w:themeColor="text1"/>
              <w:sz w:val="18"/>
              <w:szCs w:val="18"/>
            </w:rPr>
            <w:tag w:val="_PLD_624f8e9465f646f5a305cf5fc59a830c"/>
            <w:id w:val="-1039047389"/>
          </w:sdtPr>
          <w:sdtEndPr/>
          <w:sdtContent>
            <w:tc>
              <w:tcPr>
                <w:tcW w:w="814"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专利技术</w:t>
                </w:r>
              </w:p>
            </w:tc>
          </w:sdtContent>
        </w:sdt>
        <w:sdt>
          <w:sdtPr>
            <w:rPr>
              <w:color w:val="000000" w:themeColor="text1"/>
              <w:sz w:val="18"/>
              <w:szCs w:val="18"/>
            </w:rPr>
            <w:alias w:val="无形资产明细－项目"/>
            <w:tag w:val="_GBC_ee2531f58c0a420e83919cd1efe46139"/>
            <w:id w:val="1042022494"/>
          </w:sdtPr>
          <w:sdtEndPr>
            <w:rPr>
              <w:rFonts w:hint="eastAsia"/>
            </w:rPr>
          </w:sdtEndPr>
          <w:sdtContent>
            <w:tc>
              <w:tcPr>
                <w:tcW w:w="699"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其他</w:t>
                </w:r>
              </w:p>
            </w:tc>
          </w:sdtContent>
        </w:sdt>
        <w:sdt>
          <w:sdtPr>
            <w:rPr>
              <w:color w:val="000000" w:themeColor="text1"/>
              <w:sz w:val="18"/>
              <w:szCs w:val="18"/>
            </w:rPr>
            <w:tag w:val="_PLD_57620ddc57e34012a99d49f2280a99e2"/>
            <w:id w:val="1888597290"/>
          </w:sdtPr>
          <w:sdtEndPr/>
          <w:sdtContent>
            <w:tc>
              <w:tcPr>
                <w:tcW w:w="928" w:type="pct"/>
                <w:shd w:val="clear" w:color="auto" w:fill="auto"/>
                <w:vAlign w:val="center"/>
              </w:tcPr>
              <w:p w:rsidR="00597370" w:rsidRDefault="003C2EEE">
                <w:pPr>
                  <w:jc w:val="center"/>
                  <w:rPr>
                    <w:color w:val="000000" w:themeColor="text1"/>
                    <w:sz w:val="18"/>
                    <w:szCs w:val="18"/>
                  </w:rPr>
                </w:pPr>
                <w:r>
                  <w:rPr>
                    <w:color w:val="000000" w:themeColor="text1"/>
                    <w:sz w:val="18"/>
                    <w:szCs w:val="18"/>
                  </w:rPr>
                  <w:t>合计</w:t>
                </w:r>
              </w:p>
            </w:tc>
          </w:sdtContent>
        </w:sdt>
      </w:tr>
      <w:tr w:rsidR="00597370">
        <w:trPr>
          <w:trHeight w:val="284"/>
        </w:trPr>
        <w:sdt>
          <w:sdtPr>
            <w:rPr>
              <w:color w:val="000000" w:themeColor="text1"/>
              <w:sz w:val="18"/>
              <w:szCs w:val="18"/>
            </w:rPr>
            <w:tag w:val="_PLD_97ce5956782c457c89e9607c943b01d4"/>
            <w:id w:val="1583110565"/>
          </w:sdtPr>
          <w:sdtEndPr/>
          <w:sdtContent>
            <w:tc>
              <w:tcPr>
                <w:tcW w:w="5000" w:type="pct"/>
                <w:gridSpan w:val="6"/>
                <w:shd w:val="clear" w:color="auto" w:fill="auto"/>
                <w:vAlign w:val="center"/>
              </w:tcPr>
              <w:p w:rsidR="00597370" w:rsidRDefault="003C2EEE">
                <w:pPr>
                  <w:rPr>
                    <w:color w:val="000000" w:themeColor="text1"/>
                    <w:sz w:val="18"/>
                    <w:szCs w:val="18"/>
                  </w:rPr>
                </w:pPr>
                <w:r>
                  <w:rPr>
                    <w:color w:val="000000" w:themeColor="text1"/>
                    <w:sz w:val="18"/>
                    <w:szCs w:val="18"/>
                  </w:rPr>
                  <w:t>一、</w:t>
                </w:r>
                <w:r>
                  <w:rPr>
                    <w:rFonts w:hint="eastAsia"/>
                    <w:color w:val="000000" w:themeColor="text1"/>
                    <w:sz w:val="18"/>
                    <w:szCs w:val="18"/>
                  </w:rPr>
                  <w:t>账面原值</w:t>
                </w:r>
              </w:p>
            </w:tc>
          </w:sdtContent>
        </w:sdt>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1.</w:t>
            </w:r>
            <w:r>
              <w:rPr>
                <w:rFonts w:hint="eastAsia"/>
                <w:color w:val="000000" w:themeColor="text1"/>
                <w:sz w:val="18"/>
                <w:szCs w:val="18"/>
              </w:rPr>
              <w:t>期</w:t>
            </w:r>
            <w:r>
              <w:rPr>
                <w:color w:val="000000" w:themeColor="text1"/>
                <w:sz w:val="18"/>
                <w:szCs w:val="18"/>
              </w:rPr>
              <w:t>初余额</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136,567,078.94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2,100,315.87 </w:t>
            </w:r>
          </w:p>
        </w:tc>
        <w:tc>
          <w:tcPr>
            <w:tcW w:w="814" w:type="pct"/>
            <w:shd w:val="clear" w:color="auto" w:fill="auto"/>
            <w:vAlign w:val="bottom"/>
          </w:tcPr>
          <w:p w:rsidR="00597370" w:rsidRDefault="003C2EEE">
            <w:pPr>
              <w:jc w:val="right"/>
              <w:rPr>
                <w:sz w:val="18"/>
                <w:szCs w:val="18"/>
              </w:rPr>
            </w:pPr>
            <w:r>
              <w:rPr>
                <w:rFonts w:hint="eastAsia"/>
                <w:color w:val="000000"/>
                <w:sz w:val="18"/>
                <w:szCs w:val="18"/>
              </w:rPr>
              <w:t xml:space="preserve"> 37,623.76 </w:t>
            </w:r>
          </w:p>
        </w:tc>
        <w:tc>
          <w:tcPr>
            <w:tcW w:w="699" w:type="pct"/>
            <w:shd w:val="clear" w:color="auto" w:fill="auto"/>
            <w:vAlign w:val="bottom"/>
          </w:tcPr>
          <w:p w:rsidR="00597370" w:rsidRDefault="003C2EEE">
            <w:pPr>
              <w:jc w:val="right"/>
              <w:rPr>
                <w:sz w:val="18"/>
                <w:szCs w:val="18"/>
              </w:rPr>
            </w:pPr>
            <w:r>
              <w:rPr>
                <w:rFonts w:hint="eastAsia"/>
                <w:color w:val="000000"/>
                <w:sz w:val="18"/>
                <w:szCs w:val="18"/>
              </w:rPr>
              <w:t xml:space="preserve"> 100,000.00 </w:t>
            </w: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138,805,018.57 </w:t>
            </w: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2.本期增加</w:t>
            </w:r>
            <w:r>
              <w:rPr>
                <w:rFonts w:hint="eastAsia"/>
                <w:color w:val="000000" w:themeColor="text1"/>
                <w:sz w:val="18"/>
                <w:szCs w:val="18"/>
              </w:rPr>
              <w:t>金额</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106,876,063.90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14,240,382.01 </w:t>
            </w:r>
          </w:p>
        </w:tc>
        <w:tc>
          <w:tcPr>
            <w:tcW w:w="814" w:type="pct"/>
            <w:shd w:val="clear" w:color="auto" w:fill="auto"/>
            <w:vAlign w:val="bottom"/>
          </w:tcPr>
          <w:p w:rsidR="00597370" w:rsidRDefault="003C2EEE">
            <w:pPr>
              <w:jc w:val="right"/>
              <w:rPr>
                <w:sz w:val="18"/>
                <w:szCs w:val="18"/>
              </w:rPr>
            </w:pPr>
            <w:r>
              <w:rPr>
                <w:rFonts w:hint="eastAsia"/>
                <w:color w:val="000000"/>
                <w:sz w:val="18"/>
                <w:szCs w:val="18"/>
              </w:rPr>
              <w:t xml:space="preserve"> 8,616,500.00 </w:t>
            </w: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129,732,945.91 </w:t>
            </w: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(1)</w:t>
            </w:r>
            <w:r>
              <w:rPr>
                <w:rFonts w:hint="eastAsia"/>
                <w:color w:val="000000" w:themeColor="text1"/>
                <w:sz w:val="18"/>
                <w:szCs w:val="18"/>
              </w:rPr>
              <w:t>购置</w:t>
            </w:r>
          </w:p>
        </w:tc>
        <w:tc>
          <w:tcPr>
            <w:tcW w:w="929" w:type="pct"/>
            <w:shd w:val="clear" w:color="auto" w:fill="auto"/>
            <w:vAlign w:val="bottom"/>
          </w:tcPr>
          <w:p w:rsidR="00597370" w:rsidRDefault="00597370">
            <w:pPr>
              <w:jc w:val="right"/>
              <w:rPr>
                <w:sz w:val="18"/>
                <w:szCs w:val="18"/>
              </w:rPr>
            </w:pP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12,434,745.06 </w:t>
            </w:r>
          </w:p>
        </w:tc>
        <w:tc>
          <w:tcPr>
            <w:tcW w:w="814" w:type="pct"/>
            <w:shd w:val="clear" w:color="auto" w:fill="auto"/>
            <w:vAlign w:val="bottom"/>
          </w:tcPr>
          <w:p w:rsidR="00597370" w:rsidRDefault="00597370">
            <w:pPr>
              <w:jc w:val="right"/>
              <w:rPr>
                <w:sz w:val="18"/>
                <w:szCs w:val="18"/>
              </w:rPr>
            </w:pP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12,434,745.06 </w:t>
            </w: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2)</w:t>
            </w:r>
            <w:r>
              <w:rPr>
                <w:rFonts w:hint="eastAsia"/>
                <w:color w:val="000000" w:themeColor="text1"/>
                <w:sz w:val="18"/>
                <w:szCs w:val="18"/>
              </w:rPr>
              <w:t>内部研发</w:t>
            </w:r>
          </w:p>
        </w:tc>
        <w:tc>
          <w:tcPr>
            <w:tcW w:w="929" w:type="pct"/>
            <w:shd w:val="clear" w:color="auto" w:fill="auto"/>
            <w:vAlign w:val="bottom"/>
          </w:tcPr>
          <w:p w:rsidR="00597370" w:rsidRDefault="00597370">
            <w:pPr>
              <w:jc w:val="right"/>
              <w:rPr>
                <w:sz w:val="18"/>
                <w:szCs w:val="18"/>
              </w:rPr>
            </w:pPr>
          </w:p>
        </w:tc>
        <w:tc>
          <w:tcPr>
            <w:tcW w:w="872" w:type="pct"/>
            <w:shd w:val="clear" w:color="auto" w:fill="auto"/>
            <w:vAlign w:val="bottom"/>
          </w:tcPr>
          <w:p w:rsidR="00597370" w:rsidRDefault="00597370">
            <w:pPr>
              <w:jc w:val="right"/>
              <w:rPr>
                <w:sz w:val="18"/>
                <w:szCs w:val="18"/>
              </w:rPr>
            </w:pPr>
          </w:p>
        </w:tc>
        <w:tc>
          <w:tcPr>
            <w:tcW w:w="814" w:type="pct"/>
            <w:shd w:val="clear" w:color="auto" w:fill="auto"/>
            <w:vAlign w:val="bottom"/>
          </w:tcPr>
          <w:p w:rsidR="00597370" w:rsidRDefault="00597370">
            <w:pPr>
              <w:jc w:val="right"/>
              <w:rPr>
                <w:sz w:val="18"/>
                <w:szCs w:val="18"/>
              </w:rPr>
            </w:pP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597370">
            <w:pPr>
              <w:jc w:val="right"/>
              <w:rPr>
                <w:sz w:val="18"/>
                <w:szCs w:val="18"/>
              </w:rPr>
            </w:pPr>
          </w:p>
        </w:tc>
      </w:tr>
      <w:tr w:rsidR="00597370">
        <w:trPr>
          <w:trHeight w:val="284"/>
        </w:trPr>
        <w:tc>
          <w:tcPr>
            <w:tcW w:w="758" w:type="pct"/>
            <w:shd w:val="clear" w:color="auto" w:fill="auto"/>
          </w:tcPr>
          <w:p w:rsidR="00597370" w:rsidRDefault="003C2EEE">
            <w:pPr>
              <w:rPr>
                <w:color w:val="000000" w:themeColor="text1"/>
                <w:sz w:val="18"/>
                <w:szCs w:val="18"/>
              </w:rPr>
            </w:pPr>
            <w:r>
              <w:rPr>
                <w:rFonts w:hint="eastAsia"/>
                <w:color w:val="000000" w:themeColor="text1"/>
                <w:sz w:val="18"/>
                <w:szCs w:val="18"/>
              </w:rPr>
              <w:t>(</w:t>
            </w:r>
            <w:r>
              <w:rPr>
                <w:color w:val="000000" w:themeColor="text1"/>
                <w:sz w:val="18"/>
                <w:szCs w:val="18"/>
              </w:rPr>
              <w:t>3</w:t>
            </w:r>
            <w:r>
              <w:rPr>
                <w:rFonts w:hint="eastAsia"/>
                <w:color w:val="000000" w:themeColor="text1"/>
                <w:sz w:val="18"/>
                <w:szCs w:val="18"/>
              </w:rPr>
              <w:t>)企</w:t>
            </w:r>
            <w:r>
              <w:rPr>
                <w:color w:val="000000" w:themeColor="text1"/>
                <w:sz w:val="18"/>
                <w:szCs w:val="18"/>
              </w:rPr>
              <w:t>业合并增加</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106,876,063.90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1,805,636.95 </w:t>
            </w:r>
          </w:p>
        </w:tc>
        <w:tc>
          <w:tcPr>
            <w:tcW w:w="814" w:type="pct"/>
            <w:shd w:val="clear" w:color="auto" w:fill="auto"/>
            <w:vAlign w:val="bottom"/>
          </w:tcPr>
          <w:p w:rsidR="00597370" w:rsidRDefault="003C2EEE">
            <w:pPr>
              <w:jc w:val="right"/>
              <w:rPr>
                <w:sz w:val="18"/>
                <w:szCs w:val="18"/>
              </w:rPr>
            </w:pPr>
            <w:r>
              <w:rPr>
                <w:rFonts w:hint="eastAsia"/>
                <w:color w:val="000000"/>
                <w:sz w:val="18"/>
                <w:szCs w:val="18"/>
              </w:rPr>
              <w:t xml:space="preserve"> 8,616,500.00 </w:t>
            </w: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117,298,200.85 </w:t>
            </w: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 xml:space="preserve"> 3.本期减少</w:t>
            </w:r>
            <w:r>
              <w:rPr>
                <w:rFonts w:hint="eastAsia"/>
                <w:color w:val="000000" w:themeColor="text1"/>
                <w:sz w:val="18"/>
                <w:szCs w:val="18"/>
              </w:rPr>
              <w:t>金额</w:t>
            </w:r>
          </w:p>
        </w:tc>
        <w:tc>
          <w:tcPr>
            <w:tcW w:w="929" w:type="pct"/>
            <w:shd w:val="clear" w:color="auto" w:fill="auto"/>
            <w:vAlign w:val="bottom"/>
          </w:tcPr>
          <w:p w:rsidR="00597370" w:rsidRDefault="00597370">
            <w:pPr>
              <w:jc w:val="right"/>
              <w:rPr>
                <w:sz w:val="18"/>
                <w:szCs w:val="18"/>
              </w:rPr>
            </w:pPr>
          </w:p>
        </w:tc>
        <w:tc>
          <w:tcPr>
            <w:tcW w:w="872" w:type="pct"/>
            <w:shd w:val="clear" w:color="auto" w:fill="auto"/>
            <w:vAlign w:val="bottom"/>
          </w:tcPr>
          <w:p w:rsidR="00597370" w:rsidRDefault="00597370">
            <w:pPr>
              <w:jc w:val="right"/>
              <w:rPr>
                <w:sz w:val="18"/>
                <w:szCs w:val="18"/>
              </w:rPr>
            </w:pPr>
          </w:p>
        </w:tc>
        <w:tc>
          <w:tcPr>
            <w:tcW w:w="814" w:type="pct"/>
            <w:shd w:val="clear" w:color="auto" w:fill="auto"/>
            <w:vAlign w:val="bottom"/>
          </w:tcPr>
          <w:p w:rsidR="00597370" w:rsidRDefault="00597370">
            <w:pPr>
              <w:jc w:val="right"/>
              <w:rPr>
                <w:sz w:val="18"/>
                <w:szCs w:val="18"/>
              </w:rPr>
            </w:pP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1</w:t>
            </w:r>
            <w:r>
              <w:rPr>
                <w:color w:val="000000" w:themeColor="text1"/>
                <w:sz w:val="18"/>
                <w:szCs w:val="18"/>
              </w:rPr>
              <w:t>)</w:t>
            </w:r>
            <w:r>
              <w:rPr>
                <w:rFonts w:hint="eastAsia"/>
                <w:color w:val="000000" w:themeColor="text1"/>
                <w:sz w:val="18"/>
                <w:szCs w:val="18"/>
              </w:rPr>
              <w:t>处置</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 xml:space="preserve"> 4.期末余额</w:t>
            </w:r>
          </w:p>
        </w:tc>
        <w:tc>
          <w:tcPr>
            <w:tcW w:w="929" w:type="pct"/>
            <w:shd w:val="clear" w:color="auto" w:fill="auto"/>
          </w:tcPr>
          <w:p w:rsidR="00597370" w:rsidRDefault="003C2EEE">
            <w:pPr>
              <w:jc w:val="right"/>
              <w:rPr>
                <w:sz w:val="18"/>
                <w:szCs w:val="18"/>
              </w:rPr>
            </w:pPr>
            <w:r>
              <w:rPr>
                <w:rFonts w:hint="eastAsia"/>
                <w:color w:val="000000"/>
                <w:sz w:val="18"/>
                <w:szCs w:val="18"/>
              </w:rPr>
              <w:t xml:space="preserve"> 243,443,142.84 </w:t>
            </w:r>
          </w:p>
        </w:tc>
        <w:tc>
          <w:tcPr>
            <w:tcW w:w="872" w:type="pct"/>
            <w:shd w:val="clear" w:color="auto" w:fill="auto"/>
          </w:tcPr>
          <w:p w:rsidR="00597370" w:rsidRDefault="003C2EEE">
            <w:pPr>
              <w:jc w:val="right"/>
              <w:rPr>
                <w:sz w:val="18"/>
                <w:szCs w:val="18"/>
              </w:rPr>
            </w:pPr>
            <w:r>
              <w:rPr>
                <w:rFonts w:hint="eastAsia"/>
                <w:color w:val="000000"/>
                <w:sz w:val="18"/>
                <w:szCs w:val="18"/>
              </w:rPr>
              <w:t xml:space="preserve"> 16,340,697.88 </w:t>
            </w:r>
          </w:p>
        </w:tc>
        <w:tc>
          <w:tcPr>
            <w:tcW w:w="814" w:type="pct"/>
            <w:shd w:val="clear" w:color="auto" w:fill="auto"/>
          </w:tcPr>
          <w:p w:rsidR="00597370" w:rsidRDefault="003C2EEE">
            <w:pPr>
              <w:jc w:val="right"/>
              <w:rPr>
                <w:sz w:val="18"/>
                <w:szCs w:val="18"/>
              </w:rPr>
            </w:pPr>
            <w:r>
              <w:rPr>
                <w:rFonts w:hint="eastAsia"/>
                <w:color w:val="000000"/>
                <w:sz w:val="18"/>
                <w:szCs w:val="18"/>
              </w:rPr>
              <w:t xml:space="preserve"> 8,654,123.76 </w:t>
            </w:r>
          </w:p>
        </w:tc>
        <w:tc>
          <w:tcPr>
            <w:tcW w:w="699" w:type="pct"/>
            <w:shd w:val="clear" w:color="auto" w:fill="auto"/>
          </w:tcPr>
          <w:p w:rsidR="00597370" w:rsidRDefault="003C2EEE">
            <w:pPr>
              <w:jc w:val="right"/>
              <w:rPr>
                <w:sz w:val="18"/>
                <w:szCs w:val="18"/>
              </w:rPr>
            </w:pPr>
            <w:r>
              <w:rPr>
                <w:rFonts w:hint="eastAsia"/>
                <w:color w:val="000000"/>
                <w:sz w:val="18"/>
                <w:szCs w:val="18"/>
              </w:rPr>
              <w:t xml:space="preserve"> 100,000.00 </w:t>
            </w:r>
          </w:p>
        </w:tc>
        <w:tc>
          <w:tcPr>
            <w:tcW w:w="928" w:type="pct"/>
            <w:shd w:val="clear" w:color="auto" w:fill="auto"/>
          </w:tcPr>
          <w:p w:rsidR="00597370" w:rsidRDefault="003C2EEE">
            <w:pPr>
              <w:jc w:val="right"/>
              <w:rPr>
                <w:sz w:val="18"/>
                <w:szCs w:val="18"/>
              </w:rPr>
            </w:pPr>
            <w:r>
              <w:rPr>
                <w:rFonts w:hint="eastAsia"/>
                <w:color w:val="000000"/>
                <w:sz w:val="18"/>
                <w:szCs w:val="18"/>
              </w:rPr>
              <w:t xml:space="preserve"> 268,537,964.48 </w:t>
            </w:r>
          </w:p>
        </w:tc>
      </w:tr>
      <w:tr w:rsidR="00597370">
        <w:trPr>
          <w:trHeight w:val="284"/>
        </w:trPr>
        <w:sdt>
          <w:sdtPr>
            <w:rPr>
              <w:color w:val="000000" w:themeColor="text1"/>
              <w:sz w:val="18"/>
              <w:szCs w:val="18"/>
            </w:rPr>
            <w:tag w:val="_PLD_3d92ef615d3b41e5abb58e018e2db72b"/>
            <w:id w:val="1445578993"/>
          </w:sdtPr>
          <w:sdtEndPr/>
          <w:sdtContent>
            <w:tc>
              <w:tcPr>
                <w:tcW w:w="5000" w:type="pct"/>
                <w:gridSpan w:val="6"/>
                <w:shd w:val="clear" w:color="auto" w:fill="auto"/>
                <w:vAlign w:val="center"/>
              </w:tcPr>
              <w:p w:rsidR="00597370" w:rsidRDefault="003C2EEE">
                <w:pPr>
                  <w:rPr>
                    <w:color w:val="000000" w:themeColor="text1"/>
                    <w:sz w:val="18"/>
                    <w:szCs w:val="18"/>
                  </w:rPr>
                </w:pPr>
                <w:r>
                  <w:rPr>
                    <w:color w:val="000000" w:themeColor="text1"/>
                    <w:sz w:val="18"/>
                    <w:szCs w:val="18"/>
                  </w:rPr>
                  <w:t>二、累计</w:t>
                </w:r>
                <w:r>
                  <w:rPr>
                    <w:rFonts w:hint="eastAsia"/>
                    <w:color w:val="000000" w:themeColor="text1"/>
                    <w:sz w:val="18"/>
                    <w:szCs w:val="18"/>
                  </w:rPr>
                  <w:t>摊销</w:t>
                </w:r>
              </w:p>
            </w:tc>
          </w:sdtContent>
        </w:sdt>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1.期</w:t>
            </w:r>
            <w:r>
              <w:rPr>
                <w:color w:val="000000" w:themeColor="text1"/>
                <w:sz w:val="18"/>
                <w:szCs w:val="18"/>
              </w:rPr>
              <w:t>初余额</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12,203,174.51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976,977.77 </w:t>
            </w:r>
          </w:p>
        </w:tc>
        <w:tc>
          <w:tcPr>
            <w:tcW w:w="814" w:type="pct"/>
            <w:shd w:val="clear" w:color="auto" w:fill="auto"/>
            <w:vAlign w:val="bottom"/>
          </w:tcPr>
          <w:p w:rsidR="00597370" w:rsidRDefault="003C2EEE">
            <w:pPr>
              <w:jc w:val="right"/>
              <w:rPr>
                <w:sz w:val="18"/>
                <w:szCs w:val="18"/>
              </w:rPr>
            </w:pPr>
            <w:r>
              <w:rPr>
                <w:rFonts w:hint="eastAsia"/>
                <w:color w:val="000000"/>
                <w:sz w:val="18"/>
                <w:szCs w:val="18"/>
              </w:rPr>
              <w:t xml:space="preserve"> 3,762.36 </w:t>
            </w:r>
          </w:p>
        </w:tc>
        <w:tc>
          <w:tcPr>
            <w:tcW w:w="699" w:type="pct"/>
            <w:shd w:val="clear" w:color="auto" w:fill="auto"/>
            <w:vAlign w:val="bottom"/>
          </w:tcPr>
          <w:p w:rsidR="00597370" w:rsidRDefault="003C2EEE">
            <w:pPr>
              <w:jc w:val="right"/>
              <w:rPr>
                <w:sz w:val="18"/>
                <w:szCs w:val="18"/>
              </w:rPr>
            </w:pPr>
            <w:r>
              <w:rPr>
                <w:rFonts w:hint="eastAsia"/>
                <w:color w:val="000000"/>
                <w:sz w:val="18"/>
                <w:szCs w:val="18"/>
              </w:rPr>
              <w:t xml:space="preserve"> 100,000.00 </w:t>
            </w: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13,283,914.64 </w:t>
            </w: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2.本期增加</w:t>
            </w:r>
            <w:r>
              <w:rPr>
                <w:rFonts w:hint="eastAsia"/>
                <w:color w:val="000000" w:themeColor="text1"/>
                <w:sz w:val="18"/>
                <w:szCs w:val="18"/>
              </w:rPr>
              <w:t>金额</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20,071,157.74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1,755,778.39 </w:t>
            </w:r>
          </w:p>
        </w:tc>
        <w:tc>
          <w:tcPr>
            <w:tcW w:w="814" w:type="pct"/>
            <w:shd w:val="clear" w:color="auto" w:fill="auto"/>
            <w:vAlign w:val="bottom"/>
          </w:tcPr>
          <w:p w:rsidR="00597370" w:rsidRDefault="003C2EEE">
            <w:pPr>
              <w:jc w:val="right"/>
              <w:rPr>
                <w:sz w:val="18"/>
                <w:szCs w:val="18"/>
              </w:rPr>
            </w:pPr>
            <w:r>
              <w:rPr>
                <w:rFonts w:hint="eastAsia"/>
                <w:color w:val="000000"/>
                <w:sz w:val="18"/>
                <w:szCs w:val="18"/>
              </w:rPr>
              <w:t xml:space="preserve"> 684,012.36 </w:t>
            </w: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22,510,948.49 </w:t>
            </w: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（1）</w:t>
            </w:r>
            <w:r>
              <w:rPr>
                <w:color w:val="000000" w:themeColor="text1"/>
                <w:sz w:val="18"/>
                <w:szCs w:val="18"/>
              </w:rPr>
              <w:t>计提</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2,700,001.10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270,924.63 </w:t>
            </w:r>
          </w:p>
        </w:tc>
        <w:tc>
          <w:tcPr>
            <w:tcW w:w="814" w:type="pct"/>
            <w:shd w:val="clear" w:color="auto" w:fill="auto"/>
            <w:vAlign w:val="bottom"/>
          </w:tcPr>
          <w:p w:rsidR="00597370" w:rsidRDefault="003C2EEE">
            <w:pPr>
              <w:jc w:val="right"/>
              <w:rPr>
                <w:sz w:val="18"/>
                <w:szCs w:val="18"/>
              </w:rPr>
            </w:pPr>
            <w:r>
              <w:rPr>
                <w:rFonts w:hint="eastAsia"/>
                <w:color w:val="000000"/>
                <w:sz w:val="18"/>
                <w:szCs w:val="18"/>
              </w:rPr>
              <w:t xml:space="preserve"> 684,012.36 </w:t>
            </w: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3,654,938.09 </w:t>
            </w:r>
          </w:p>
        </w:tc>
      </w:tr>
      <w:tr w:rsidR="00597370">
        <w:trPr>
          <w:trHeight w:val="284"/>
        </w:trPr>
        <w:tc>
          <w:tcPr>
            <w:tcW w:w="758" w:type="pct"/>
            <w:shd w:val="clear" w:color="auto" w:fill="auto"/>
          </w:tcPr>
          <w:p w:rsidR="00597370" w:rsidRDefault="003C2EEE">
            <w:pPr>
              <w:rPr>
                <w:sz w:val="18"/>
                <w:szCs w:val="18"/>
              </w:rPr>
            </w:pPr>
            <w:r>
              <w:rPr>
                <w:sz w:val="18"/>
                <w:szCs w:val="18"/>
              </w:rPr>
              <w:t>(2)企业合并增加</w:t>
            </w:r>
            <w:r>
              <w:rPr>
                <w:rFonts w:hint="eastAsia"/>
                <w:sz w:val="18"/>
                <w:szCs w:val="18"/>
              </w:rPr>
              <w:t xml:space="preserve">　</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17,371,156.64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1,484,853.76 </w:t>
            </w:r>
          </w:p>
        </w:tc>
        <w:tc>
          <w:tcPr>
            <w:tcW w:w="814" w:type="pct"/>
            <w:shd w:val="clear" w:color="auto" w:fill="auto"/>
            <w:vAlign w:val="bottom"/>
          </w:tcPr>
          <w:p w:rsidR="00597370" w:rsidRDefault="00597370">
            <w:pPr>
              <w:jc w:val="right"/>
              <w:rPr>
                <w:sz w:val="18"/>
                <w:szCs w:val="18"/>
              </w:rPr>
            </w:pP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18,856,010.40 </w:t>
            </w: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3.</w:t>
            </w:r>
            <w:r>
              <w:rPr>
                <w:color w:val="000000" w:themeColor="text1"/>
                <w:sz w:val="18"/>
                <w:szCs w:val="18"/>
              </w:rPr>
              <w:t>本期减少</w:t>
            </w:r>
            <w:r>
              <w:rPr>
                <w:rFonts w:hint="eastAsia"/>
                <w:color w:val="000000" w:themeColor="text1"/>
                <w:sz w:val="18"/>
                <w:szCs w:val="18"/>
              </w:rPr>
              <w:t>金额</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 xml:space="preserve"> (</w:t>
            </w:r>
            <w:r>
              <w:rPr>
                <w:rFonts w:hint="eastAsia"/>
                <w:color w:val="000000" w:themeColor="text1"/>
                <w:sz w:val="18"/>
                <w:szCs w:val="18"/>
              </w:rPr>
              <w:t>1</w:t>
            </w:r>
            <w:r>
              <w:rPr>
                <w:color w:val="000000" w:themeColor="text1"/>
                <w:sz w:val="18"/>
                <w:szCs w:val="18"/>
              </w:rPr>
              <w:t>)</w:t>
            </w:r>
            <w:r>
              <w:rPr>
                <w:rFonts w:hint="eastAsia"/>
                <w:color w:val="000000" w:themeColor="text1"/>
                <w:sz w:val="18"/>
                <w:szCs w:val="18"/>
              </w:rPr>
              <w:t>处置</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4.</w:t>
            </w:r>
            <w:r>
              <w:rPr>
                <w:color w:val="000000" w:themeColor="text1"/>
                <w:sz w:val="18"/>
                <w:szCs w:val="18"/>
              </w:rPr>
              <w:t>期末余额</w:t>
            </w:r>
          </w:p>
        </w:tc>
        <w:tc>
          <w:tcPr>
            <w:tcW w:w="929" w:type="pct"/>
            <w:shd w:val="clear" w:color="auto" w:fill="auto"/>
          </w:tcPr>
          <w:p w:rsidR="00597370" w:rsidRDefault="003C2EEE">
            <w:pPr>
              <w:jc w:val="right"/>
              <w:rPr>
                <w:sz w:val="18"/>
                <w:szCs w:val="18"/>
              </w:rPr>
            </w:pPr>
            <w:r>
              <w:rPr>
                <w:rFonts w:hint="eastAsia"/>
                <w:color w:val="000000"/>
                <w:sz w:val="18"/>
                <w:szCs w:val="18"/>
              </w:rPr>
              <w:t xml:space="preserve"> 32,274,332.25 </w:t>
            </w:r>
          </w:p>
        </w:tc>
        <w:tc>
          <w:tcPr>
            <w:tcW w:w="872" w:type="pct"/>
            <w:shd w:val="clear" w:color="auto" w:fill="auto"/>
          </w:tcPr>
          <w:p w:rsidR="00597370" w:rsidRDefault="003C2EEE">
            <w:pPr>
              <w:jc w:val="right"/>
              <w:rPr>
                <w:sz w:val="18"/>
                <w:szCs w:val="18"/>
              </w:rPr>
            </w:pPr>
            <w:r>
              <w:rPr>
                <w:rFonts w:hint="eastAsia"/>
                <w:color w:val="000000"/>
                <w:sz w:val="18"/>
                <w:szCs w:val="18"/>
              </w:rPr>
              <w:t xml:space="preserve"> 2,732,756.16 </w:t>
            </w:r>
          </w:p>
        </w:tc>
        <w:tc>
          <w:tcPr>
            <w:tcW w:w="814" w:type="pct"/>
            <w:shd w:val="clear" w:color="auto" w:fill="auto"/>
          </w:tcPr>
          <w:p w:rsidR="00597370" w:rsidRDefault="003C2EEE">
            <w:pPr>
              <w:jc w:val="right"/>
              <w:rPr>
                <w:sz w:val="18"/>
                <w:szCs w:val="18"/>
              </w:rPr>
            </w:pPr>
            <w:r>
              <w:rPr>
                <w:rFonts w:hint="eastAsia"/>
                <w:color w:val="000000"/>
                <w:sz w:val="18"/>
                <w:szCs w:val="18"/>
              </w:rPr>
              <w:t xml:space="preserve"> 687,774.72 </w:t>
            </w:r>
          </w:p>
        </w:tc>
        <w:tc>
          <w:tcPr>
            <w:tcW w:w="699" w:type="pct"/>
            <w:shd w:val="clear" w:color="auto" w:fill="auto"/>
          </w:tcPr>
          <w:p w:rsidR="00597370" w:rsidRDefault="003C2EEE">
            <w:pPr>
              <w:jc w:val="right"/>
              <w:rPr>
                <w:sz w:val="18"/>
                <w:szCs w:val="18"/>
              </w:rPr>
            </w:pPr>
            <w:r>
              <w:rPr>
                <w:rFonts w:hint="eastAsia"/>
                <w:color w:val="000000"/>
                <w:sz w:val="18"/>
                <w:szCs w:val="18"/>
              </w:rPr>
              <w:t xml:space="preserve"> 100,000.00 </w:t>
            </w:r>
          </w:p>
        </w:tc>
        <w:tc>
          <w:tcPr>
            <w:tcW w:w="928" w:type="pct"/>
            <w:shd w:val="clear" w:color="auto" w:fill="auto"/>
          </w:tcPr>
          <w:p w:rsidR="00597370" w:rsidRDefault="003C2EEE">
            <w:pPr>
              <w:jc w:val="right"/>
              <w:rPr>
                <w:sz w:val="18"/>
                <w:szCs w:val="18"/>
              </w:rPr>
            </w:pPr>
            <w:r>
              <w:rPr>
                <w:rFonts w:hint="eastAsia"/>
                <w:color w:val="000000"/>
                <w:sz w:val="18"/>
                <w:szCs w:val="18"/>
              </w:rPr>
              <w:t xml:space="preserve"> 35,794,863.13 </w:t>
            </w:r>
          </w:p>
        </w:tc>
      </w:tr>
      <w:tr w:rsidR="00597370">
        <w:trPr>
          <w:trHeight w:val="284"/>
        </w:trPr>
        <w:sdt>
          <w:sdtPr>
            <w:rPr>
              <w:color w:val="000000" w:themeColor="text1"/>
              <w:sz w:val="18"/>
              <w:szCs w:val="18"/>
            </w:rPr>
            <w:tag w:val="_PLD_100d3bc56cc142c1b30c3998528f8af2"/>
            <w:id w:val="1057825268"/>
          </w:sdtPr>
          <w:sdtEndPr/>
          <w:sdtContent>
            <w:tc>
              <w:tcPr>
                <w:tcW w:w="5000" w:type="pct"/>
                <w:gridSpan w:val="6"/>
                <w:shd w:val="clear" w:color="auto" w:fill="auto"/>
                <w:vAlign w:val="center"/>
              </w:tcPr>
              <w:p w:rsidR="00597370" w:rsidRDefault="003C2EEE">
                <w:pPr>
                  <w:rPr>
                    <w:color w:val="000000" w:themeColor="text1"/>
                    <w:sz w:val="18"/>
                    <w:szCs w:val="18"/>
                  </w:rPr>
                </w:pPr>
                <w:r>
                  <w:rPr>
                    <w:color w:val="000000" w:themeColor="text1"/>
                    <w:sz w:val="18"/>
                    <w:szCs w:val="18"/>
                  </w:rPr>
                  <w:t>三、减值准备</w:t>
                </w:r>
              </w:p>
            </w:tc>
          </w:sdtContent>
        </w:sdt>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1.期</w:t>
            </w:r>
            <w:r>
              <w:rPr>
                <w:color w:val="000000" w:themeColor="text1"/>
                <w:sz w:val="18"/>
                <w:szCs w:val="18"/>
              </w:rPr>
              <w:t>初余额</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2.本期增加</w:t>
            </w:r>
            <w:r>
              <w:rPr>
                <w:rFonts w:hint="eastAsia"/>
                <w:color w:val="000000" w:themeColor="text1"/>
                <w:sz w:val="18"/>
                <w:szCs w:val="18"/>
              </w:rPr>
              <w:t>金额</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（1）</w:t>
            </w:r>
            <w:r>
              <w:rPr>
                <w:color w:val="000000" w:themeColor="text1"/>
                <w:sz w:val="18"/>
                <w:szCs w:val="18"/>
              </w:rPr>
              <w:t>计提</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3.</w:t>
            </w:r>
            <w:r>
              <w:rPr>
                <w:color w:val="000000" w:themeColor="text1"/>
                <w:sz w:val="18"/>
                <w:szCs w:val="18"/>
              </w:rPr>
              <w:t>本期减少</w:t>
            </w:r>
            <w:r>
              <w:rPr>
                <w:rFonts w:hint="eastAsia"/>
                <w:color w:val="000000" w:themeColor="text1"/>
                <w:sz w:val="18"/>
                <w:szCs w:val="18"/>
              </w:rPr>
              <w:t>金额</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w:t>
            </w:r>
            <w:r>
              <w:rPr>
                <w:rFonts w:hint="eastAsia"/>
                <w:color w:val="000000" w:themeColor="text1"/>
                <w:sz w:val="18"/>
                <w:szCs w:val="18"/>
              </w:rPr>
              <w:t>1</w:t>
            </w:r>
            <w:r>
              <w:rPr>
                <w:color w:val="000000" w:themeColor="text1"/>
                <w:sz w:val="18"/>
                <w:szCs w:val="18"/>
              </w:rPr>
              <w:t>)</w:t>
            </w:r>
            <w:r>
              <w:rPr>
                <w:rFonts w:hint="eastAsia"/>
                <w:color w:val="000000" w:themeColor="text1"/>
                <w:sz w:val="18"/>
                <w:szCs w:val="18"/>
              </w:rPr>
              <w:t>处置</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4.</w:t>
            </w:r>
            <w:r>
              <w:rPr>
                <w:color w:val="000000" w:themeColor="text1"/>
                <w:sz w:val="18"/>
                <w:szCs w:val="18"/>
              </w:rPr>
              <w:t>期末余额</w:t>
            </w:r>
          </w:p>
        </w:tc>
        <w:tc>
          <w:tcPr>
            <w:tcW w:w="929" w:type="pct"/>
            <w:shd w:val="clear" w:color="auto" w:fill="auto"/>
          </w:tcPr>
          <w:p w:rsidR="00597370" w:rsidRDefault="00597370">
            <w:pPr>
              <w:jc w:val="right"/>
              <w:rPr>
                <w:sz w:val="18"/>
                <w:szCs w:val="18"/>
              </w:rPr>
            </w:pPr>
          </w:p>
        </w:tc>
        <w:tc>
          <w:tcPr>
            <w:tcW w:w="872" w:type="pct"/>
            <w:shd w:val="clear" w:color="auto" w:fill="auto"/>
          </w:tcPr>
          <w:p w:rsidR="00597370" w:rsidRDefault="00597370">
            <w:pPr>
              <w:jc w:val="right"/>
              <w:rPr>
                <w:sz w:val="18"/>
                <w:szCs w:val="18"/>
              </w:rPr>
            </w:pPr>
          </w:p>
        </w:tc>
        <w:tc>
          <w:tcPr>
            <w:tcW w:w="814" w:type="pct"/>
            <w:shd w:val="clear" w:color="auto" w:fill="auto"/>
          </w:tcPr>
          <w:p w:rsidR="00597370" w:rsidRDefault="00597370">
            <w:pPr>
              <w:jc w:val="right"/>
              <w:rPr>
                <w:sz w:val="18"/>
                <w:szCs w:val="18"/>
              </w:rPr>
            </w:pPr>
          </w:p>
        </w:tc>
        <w:tc>
          <w:tcPr>
            <w:tcW w:w="699" w:type="pct"/>
            <w:shd w:val="clear" w:color="auto" w:fill="auto"/>
          </w:tcPr>
          <w:p w:rsidR="00597370" w:rsidRDefault="00597370">
            <w:pPr>
              <w:jc w:val="right"/>
              <w:rPr>
                <w:sz w:val="18"/>
                <w:szCs w:val="18"/>
              </w:rPr>
            </w:pPr>
          </w:p>
        </w:tc>
        <w:tc>
          <w:tcPr>
            <w:tcW w:w="928" w:type="pct"/>
            <w:shd w:val="clear" w:color="auto" w:fill="auto"/>
          </w:tcPr>
          <w:p w:rsidR="00597370" w:rsidRDefault="00597370">
            <w:pPr>
              <w:jc w:val="right"/>
              <w:rPr>
                <w:sz w:val="18"/>
                <w:szCs w:val="18"/>
              </w:rPr>
            </w:pPr>
          </w:p>
        </w:tc>
      </w:tr>
      <w:tr w:rsidR="00597370">
        <w:trPr>
          <w:trHeight w:val="284"/>
        </w:trPr>
        <w:sdt>
          <w:sdtPr>
            <w:rPr>
              <w:color w:val="000000" w:themeColor="text1"/>
              <w:sz w:val="18"/>
              <w:szCs w:val="18"/>
            </w:rPr>
            <w:tag w:val="_PLD_77aceef1b70d43c0846f7e8f529b7784"/>
            <w:id w:val="-749114021"/>
          </w:sdtPr>
          <w:sdtEndPr/>
          <w:sdtContent>
            <w:tc>
              <w:tcPr>
                <w:tcW w:w="5000" w:type="pct"/>
                <w:gridSpan w:val="6"/>
                <w:shd w:val="clear" w:color="auto" w:fill="auto"/>
                <w:vAlign w:val="center"/>
              </w:tcPr>
              <w:p w:rsidR="00597370" w:rsidRDefault="003C2EEE">
                <w:pPr>
                  <w:rPr>
                    <w:color w:val="000000" w:themeColor="text1"/>
                    <w:sz w:val="18"/>
                    <w:szCs w:val="18"/>
                  </w:rPr>
                </w:pPr>
                <w:r>
                  <w:rPr>
                    <w:color w:val="000000" w:themeColor="text1"/>
                    <w:sz w:val="18"/>
                    <w:szCs w:val="18"/>
                  </w:rPr>
                  <w:t>四、账面价值</w:t>
                </w:r>
              </w:p>
            </w:tc>
          </w:sdtContent>
        </w:sdt>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1.期末账面价值</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211,168,810.59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13,607,941.72 </w:t>
            </w:r>
          </w:p>
        </w:tc>
        <w:tc>
          <w:tcPr>
            <w:tcW w:w="814" w:type="pct"/>
            <w:shd w:val="clear" w:color="auto" w:fill="auto"/>
            <w:vAlign w:val="bottom"/>
          </w:tcPr>
          <w:p w:rsidR="00597370" w:rsidRDefault="003C2EEE">
            <w:pPr>
              <w:jc w:val="right"/>
              <w:rPr>
                <w:sz w:val="18"/>
                <w:szCs w:val="18"/>
              </w:rPr>
            </w:pPr>
            <w:r>
              <w:rPr>
                <w:rFonts w:hint="eastAsia"/>
                <w:color w:val="000000"/>
                <w:sz w:val="18"/>
                <w:szCs w:val="18"/>
              </w:rPr>
              <w:t xml:space="preserve"> 7,966,349.04 </w:t>
            </w: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232,743,101.35 </w:t>
            </w:r>
          </w:p>
        </w:tc>
      </w:tr>
      <w:tr w:rsidR="00597370">
        <w:trPr>
          <w:trHeight w:val="284"/>
        </w:trPr>
        <w:tc>
          <w:tcPr>
            <w:tcW w:w="758" w:type="pct"/>
            <w:shd w:val="clear" w:color="auto" w:fill="auto"/>
            <w:vAlign w:val="center"/>
          </w:tcPr>
          <w:p w:rsidR="00597370" w:rsidRDefault="003C2EEE">
            <w:pPr>
              <w:rPr>
                <w:color w:val="000000" w:themeColor="text1"/>
                <w:sz w:val="18"/>
                <w:szCs w:val="18"/>
              </w:rPr>
            </w:pPr>
            <w:r>
              <w:rPr>
                <w:color w:val="000000" w:themeColor="text1"/>
                <w:sz w:val="18"/>
                <w:szCs w:val="18"/>
              </w:rPr>
              <w:t xml:space="preserve"> 2.</w:t>
            </w:r>
            <w:r>
              <w:rPr>
                <w:rFonts w:hint="eastAsia"/>
                <w:color w:val="000000" w:themeColor="text1"/>
                <w:sz w:val="18"/>
                <w:szCs w:val="18"/>
              </w:rPr>
              <w:t>期初</w:t>
            </w:r>
            <w:r>
              <w:rPr>
                <w:color w:val="000000" w:themeColor="text1"/>
                <w:sz w:val="18"/>
                <w:szCs w:val="18"/>
              </w:rPr>
              <w:t>账面价值</w:t>
            </w:r>
          </w:p>
        </w:tc>
        <w:tc>
          <w:tcPr>
            <w:tcW w:w="929" w:type="pct"/>
            <w:shd w:val="clear" w:color="auto" w:fill="auto"/>
            <w:vAlign w:val="bottom"/>
          </w:tcPr>
          <w:p w:rsidR="00597370" w:rsidRDefault="003C2EEE">
            <w:pPr>
              <w:jc w:val="right"/>
              <w:rPr>
                <w:sz w:val="18"/>
                <w:szCs w:val="18"/>
              </w:rPr>
            </w:pPr>
            <w:r>
              <w:rPr>
                <w:rFonts w:hint="eastAsia"/>
                <w:color w:val="000000"/>
                <w:sz w:val="18"/>
                <w:szCs w:val="18"/>
              </w:rPr>
              <w:t xml:space="preserve"> 124,363,904.43 </w:t>
            </w:r>
          </w:p>
        </w:tc>
        <w:tc>
          <w:tcPr>
            <w:tcW w:w="872" w:type="pct"/>
            <w:shd w:val="clear" w:color="auto" w:fill="auto"/>
            <w:vAlign w:val="bottom"/>
          </w:tcPr>
          <w:p w:rsidR="00597370" w:rsidRDefault="003C2EEE">
            <w:pPr>
              <w:jc w:val="right"/>
              <w:rPr>
                <w:sz w:val="18"/>
                <w:szCs w:val="18"/>
              </w:rPr>
            </w:pPr>
            <w:r>
              <w:rPr>
                <w:rFonts w:hint="eastAsia"/>
                <w:color w:val="000000"/>
                <w:sz w:val="18"/>
                <w:szCs w:val="18"/>
              </w:rPr>
              <w:t xml:space="preserve"> 1,123,338.10 </w:t>
            </w:r>
          </w:p>
        </w:tc>
        <w:tc>
          <w:tcPr>
            <w:tcW w:w="814" w:type="pct"/>
            <w:shd w:val="clear" w:color="auto" w:fill="auto"/>
            <w:vAlign w:val="bottom"/>
          </w:tcPr>
          <w:p w:rsidR="00597370" w:rsidRDefault="003C2EEE">
            <w:pPr>
              <w:jc w:val="right"/>
              <w:rPr>
                <w:sz w:val="18"/>
                <w:szCs w:val="18"/>
              </w:rPr>
            </w:pPr>
            <w:r>
              <w:rPr>
                <w:rFonts w:hint="eastAsia"/>
                <w:color w:val="000000"/>
                <w:sz w:val="18"/>
                <w:szCs w:val="18"/>
              </w:rPr>
              <w:t xml:space="preserve"> 33,861.40 </w:t>
            </w:r>
          </w:p>
        </w:tc>
        <w:tc>
          <w:tcPr>
            <w:tcW w:w="699" w:type="pct"/>
            <w:shd w:val="clear" w:color="auto" w:fill="auto"/>
            <w:vAlign w:val="bottom"/>
          </w:tcPr>
          <w:p w:rsidR="00597370" w:rsidRDefault="00597370">
            <w:pPr>
              <w:jc w:val="right"/>
              <w:rPr>
                <w:sz w:val="18"/>
                <w:szCs w:val="18"/>
              </w:rPr>
            </w:pPr>
          </w:p>
        </w:tc>
        <w:tc>
          <w:tcPr>
            <w:tcW w:w="928" w:type="pct"/>
            <w:shd w:val="clear" w:color="auto" w:fill="auto"/>
            <w:vAlign w:val="bottom"/>
          </w:tcPr>
          <w:p w:rsidR="00597370" w:rsidRDefault="003C2EEE">
            <w:pPr>
              <w:jc w:val="right"/>
              <w:rPr>
                <w:sz w:val="18"/>
                <w:szCs w:val="18"/>
              </w:rPr>
            </w:pPr>
            <w:r>
              <w:rPr>
                <w:rFonts w:hint="eastAsia"/>
                <w:color w:val="000000"/>
                <w:sz w:val="18"/>
                <w:szCs w:val="18"/>
              </w:rPr>
              <w:t xml:space="preserve"> 125,521,103.93 </w:t>
            </w:r>
          </w:p>
        </w:tc>
      </w:tr>
    </w:tbl>
    <w:p w:rsidR="00597370" w:rsidRDefault="003C2EEE">
      <w:pPr>
        <w:snapToGrid w:val="0"/>
        <w:spacing w:line="240" w:lineRule="atLeast"/>
        <w:rPr>
          <w:color w:val="000000" w:themeColor="text1"/>
        </w:rPr>
      </w:pPr>
      <w:r>
        <w:rPr>
          <w:rFonts w:hint="eastAsia"/>
          <w:color w:val="000000" w:themeColor="text1"/>
        </w:rPr>
        <w:lastRenderedPageBreak/>
        <w:t>本期末通过公司内部研发形成的无形资产占无形资产余额的比例</w:t>
      </w:r>
      <w:sdt>
        <w:sdtPr>
          <w:rPr>
            <w:color w:val="000000" w:themeColor="text1"/>
          </w:rPr>
          <w:alias w:val="通过公司内部研发形成的无形资产占无形资产账面价值的比例"/>
          <w:tag w:val="_GBC_4eb0f3140a674bd1899e2bd836d51bbb"/>
          <w:id w:val="-1563399482"/>
          <w:placeholder>
            <w:docPart w:val="GBC22222222222222222222222222222"/>
          </w:placeholder>
        </w:sdtPr>
        <w:sdtEndPr/>
        <w:sdtContent>
          <w:r>
            <w:rPr>
              <w:color w:val="000000" w:themeColor="text1"/>
            </w:rPr>
            <w:t>0</w:t>
          </w:r>
        </w:sdtContent>
      </w:sdt>
      <w:r>
        <w:rPr>
          <w:rFonts w:hint="eastAsia"/>
          <w:color w:val="000000" w:themeColor="text1"/>
        </w:rPr>
        <w:t>%</w:t>
      </w:r>
    </w:p>
    <w:p w:rsidR="00597370" w:rsidRDefault="003C2EEE">
      <w:pPr>
        <w:pStyle w:val="Style110"/>
        <w:numPr>
          <w:ilvl w:val="0"/>
          <w:numId w:val="70"/>
        </w:numPr>
        <w:tabs>
          <w:tab w:val="left" w:pos="602"/>
        </w:tabs>
        <w:rPr>
          <w:rFonts w:ascii="宋体" w:hAnsi="宋体"/>
          <w:color w:val="000000" w:themeColor="text1"/>
          <w:szCs w:val="21"/>
        </w:rPr>
      </w:pPr>
      <w:bookmarkStart w:id="298" w:name="_Hlk169705970"/>
      <w:r>
        <w:rPr>
          <w:rFonts w:ascii="宋体" w:hAnsi="宋体" w:hint="eastAsia"/>
          <w:color w:val="000000" w:themeColor="text1"/>
          <w:szCs w:val="21"/>
        </w:rPr>
        <w:t>确认为无形资产的数据资源</w:t>
      </w:r>
    </w:p>
    <w:sdt>
      <w:sdtPr>
        <w:rPr>
          <w:color w:val="000000" w:themeColor="text1"/>
        </w:rPr>
        <w:alias w:val="是否适用：确认为无形资产的数据资源[双击切换]"/>
        <w:tag w:val="_GBC_69d13d4234a148729542b163082d1cd0"/>
        <w:id w:val="-175789611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98"/>
    <w:p w:rsidR="00597370" w:rsidRDefault="003C2EEE">
      <w:pPr>
        <w:pStyle w:val="Style110"/>
        <w:numPr>
          <w:ilvl w:val="0"/>
          <w:numId w:val="70"/>
        </w:numPr>
        <w:tabs>
          <w:tab w:val="left" w:pos="602"/>
        </w:tabs>
        <w:rPr>
          <w:rFonts w:ascii="宋体" w:hAnsi="宋体"/>
          <w:color w:val="000000" w:themeColor="text1"/>
          <w:szCs w:val="21"/>
        </w:rPr>
      </w:pPr>
      <w:r>
        <w:rPr>
          <w:rFonts w:ascii="宋体" w:hAnsi="宋体" w:hint="eastAsia"/>
          <w:color w:val="000000" w:themeColor="text1"/>
          <w:szCs w:val="21"/>
        </w:rPr>
        <w:t>未办妥产权证书的土地使用权情况</w:t>
      </w:r>
    </w:p>
    <w:sdt>
      <w:sdtPr>
        <w:rPr>
          <w:color w:val="000000" w:themeColor="text1"/>
        </w:rPr>
        <w:alias w:val="是否适用：未办妥产权证书的土地使用权情况[双击切换]"/>
        <w:tag w:val="_GBC_e8ff0641401a44f19fe64ad31dc15c58"/>
        <w:id w:val="179023666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3C2EEE">
      <w:pPr>
        <w:pStyle w:val="Style110"/>
        <w:numPr>
          <w:ilvl w:val="0"/>
          <w:numId w:val="70"/>
        </w:numPr>
        <w:tabs>
          <w:tab w:val="left" w:pos="602"/>
        </w:tabs>
        <w:rPr>
          <w:rFonts w:ascii="宋体" w:hAnsi="宋体"/>
          <w:color w:val="000000" w:themeColor="text1"/>
          <w:szCs w:val="21"/>
        </w:rPr>
      </w:pPr>
      <w:bookmarkStart w:id="299" w:name="_Hlk153461844"/>
      <w:bookmarkStart w:id="300" w:name="_Hlk167959697"/>
      <w:r>
        <w:rPr>
          <w:rFonts w:ascii="宋体" w:hAnsi="宋体" w:hint="eastAsia"/>
          <w:color w:val="000000" w:themeColor="text1"/>
          <w:szCs w:val="21"/>
        </w:rPr>
        <w:t>无形资产的减值测试情况</w:t>
      </w:r>
    </w:p>
    <w:sdt>
      <w:sdtPr>
        <w:rPr>
          <w:color w:val="000000" w:themeColor="text1"/>
        </w:rPr>
        <w:alias w:val="是否适用：减值测试情况[双击切换]"/>
        <w:tag w:val="_GBC_6523dfc219a7467fb60857d0ff4fbd37"/>
        <w:id w:val="22634788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299"/>
    <w:bookmarkEnd w:id="300"/>
    <w:p w:rsidR="00597370" w:rsidRDefault="003C2EEE">
      <w:pPr>
        <w:rPr>
          <w:color w:val="000000" w:themeColor="text1"/>
        </w:rPr>
      </w:pPr>
      <w:r>
        <w:rPr>
          <w:rFonts w:hint="eastAsia"/>
          <w:color w:val="000000" w:themeColor="text1"/>
        </w:rPr>
        <w:t>其他说明：</w:t>
      </w:r>
    </w:p>
    <w:sdt>
      <w:sdtPr>
        <w:rPr>
          <w:color w:val="000000" w:themeColor="text1"/>
        </w:rPr>
        <w:alias w:val="是否适用：无形资产的说明[双击切换]"/>
        <w:tag w:val="_GBC_dc3c687f3c2c457e9024304c14129458"/>
        <w:id w:val="-111235919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f4fe856c170443488a17bafaa8a2eec3"/>
        <w:id w:val="-100535384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a0aee2bc137245588f61bc0118445322"/>
        <w:id w:val="-152376960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680f426397484a9db57f2f5deefe3ef4"/>
        <w:id w:val="77398647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5"/>
        <w:ind w:left="105"/>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ec946cba8d9f4948a126b5cd90295fb0"/>
        <w:id w:val="14872334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无形资产的说明[双击切换]"/>
        <w:tag w:val="_GBC_dc3c687f3c2c457e9024304c14129458"/>
        <w:id w:val="-53511919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无形资产的说明"/>
        <w:tag w:val="_GBC_1f281f7116944d4bacd2204d25895376"/>
        <w:id w:val="1157655634"/>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商誉</w:t>
      </w:r>
    </w:p>
    <w:p w:rsidR="00597370" w:rsidRDefault="003C2EEE">
      <w:pPr>
        <w:pStyle w:val="4"/>
        <w:numPr>
          <w:ilvl w:val="0"/>
          <w:numId w:val="71"/>
        </w:numPr>
        <w:tabs>
          <w:tab w:val="left" w:pos="588"/>
        </w:tabs>
        <w:rPr>
          <w:rFonts w:ascii="宋体" w:hAnsi="宋体"/>
          <w:color w:val="000000" w:themeColor="text1"/>
        </w:rPr>
      </w:pPr>
      <w:r>
        <w:rPr>
          <w:rFonts w:ascii="宋体" w:hAnsi="宋体" w:hint="eastAsia"/>
          <w:color w:val="000000" w:themeColor="text1"/>
        </w:rPr>
        <w:t>商誉账面原值</w:t>
      </w:r>
    </w:p>
    <w:sdt>
      <w:sdtPr>
        <w:rPr>
          <w:color w:val="000000" w:themeColor="text1"/>
        </w:rPr>
        <w:alias w:val="是否适用：商誉账面原值[双击切换]"/>
        <w:tag w:val="_GBC_e2a869d440cf4b7f9f592f3e22cea85d"/>
        <w:id w:val="-70509807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商誉"/>
          <w:tag w:val="_GBC_4797b6084eb24fe79f24d181640f3283"/>
          <w:id w:val="-222676333"/>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商誉"/>
          <w:tag w:val="_GBC_7cd9149d9bea4da8974b80b14b1c0e44"/>
          <w:id w:val="173443207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451"/>
        <w:gridCol w:w="1177"/>
        <w:gridCol w:w="1609"/>
        <w:gridCol w:w="1456"/>
        <w:gridCol w:w="2130"/>
      </w:tblGrid>
      <w:tr w:rsidR="00597370">
        <w:trPr>
          <w:trHeight w:val="397"/>
          <w:jc w:val="center"/>
        </w:trPr>
        <w:sdt>
          <w:sdtPr>
            <w:rPr>
              <w:color w:val="000000" w:themeColor="text1"/>
            </w:rPr>
            <w:tag w:val="_PLD_b248be5460bf4bb299c4579815256238"/>
            <w:id w:val="-1152599238"/>
          </w:sdtPr>
          <w:sdtEndPr/>
          <w:sdtContent>
            <w:tc>
              <w:tcPr>
                <w:tcW w:w="1389" w:type="pct"/>
                <w:vMerge w:val="restart"/>
                <w:shd w:val="clear" w:color="auto" w:fill="auto"/>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被投资单位名称或形成商誉的事项</w:t>
                </w:r>
              </w:p>
            </w:tc>
          </w:sdtContent>
        </w:sdt>
        <w:sdt>
          <w:sdtPr>
            <w:rPr>
              <w:color w:val="000000" w:themeColor="text1"/>
            </w:rPr>
            <w:tag w:val="_PLD_a25f69a57b624da887f74ab27a20ba0b"/>
            <w:id w:val="376442999"/>
          </w:sdtPr>
          <w:sdtEndPr/>
          <w:sdtContent>
            <w:tc>
              <w:tcPr>
                <w:tcW w:w="667" w:type="pct"/>
                <w:vMerge w:val="restart"/>
                <w:shd w:val="clear" w:color="auto" w:fill="auto"/>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期初余额</w:t>
                </w:r>
              </w:p>
            </w:tc>
          </w:sdtContent>
        </w:sdt>
        <w:sdt>
          <w:sdtPr>
            <w:rPr>
              <w:color w:val="000000" w:themeColor="text1"/>
            </w:rPr>
            <w:tag w:val="_PLD_c348d952dc8b438289897d2014b7d310"/>
            <w:id w:val="-444310456"/>
          </w:sdtPr>
          <w:sdtEndPr/>
          <w:sdtContent>
            <w:tc>
              <w:tcPr>
                <w:tcW w:w="912" w:type="pct"/>
                <w:shd w:val="clear" w:color="auto" w:fill="auto"/>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本期增加</w:t>
                </w:r>
              </w:p>
            </w:tc>
          </w:sdtContent>
        </w:sdt>
        <w:sdt>
          <w:sdtPr>
            <w:rPr>
              <w:color w:val="000000" w:themeColor="text1"/>
            </w:rPr>
            <w:tag w:val="_PLD_5560c6ea7650430a8c304ee861d4bc25"/>
            <w:id w:val="-1821570243"/>
          </w:sdtPr>
          <w:sdtEndPr/>
          <w:sdtContent>
            <w:tc>
              <w:tcPr>
                <w:tcW w:w="825" w:type="pct"/>
                <w:shd w:val="clear" w:color="auto" w:fill="auto"/>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本期减少</w:t>
                </w:r>
              </w:p>
            </w:tc>
          </w:sdtContent>
        </w:sdt>
        <w:sdt>
          <w:sdtPr>
            <w:rPr>
              <w:color w:val="000000" w:themeColor="text1"/>
            </w:rPr>
            <w:tag w:val="_PLD_075635973edd4d94a997d2ed78e56d8b"/>
            <w:id w:val="1862238526"/>
          </w:sdtPr>
          <w:sdtEndPr/>
          <w:sdtContent>
            <w:tc>
              <w:tcPr>
                <w:tcW w:w="1207" w:type="pct"/>
                <w:vMerge w:val="restart"/>
                <w:shd w:val="clear" w:color="auto" w:fill="auto"/>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期末余额</w:t>
                </w:r>
              </w:p>
            </w:tc>
          </w:sdtContent>
        </w:sdt>
      </w:tr>
      <w:tr w:rsidR="00597370">
        <w:trPr>
          <w:trHeight w:val="397"/>
          <w:jc w:val="center"/>
        </w:trPr>
        <w:tc>
          <w:tcPr>
            <w:tcW w:w="1389" w:type="pct"/>
            <w:vMerge/>
            <w:shd w:val="clear" w:color="auto" w:fill="auto"/>
          </w:tcPr>
          <w:p w:rsidR="00597370" w:rsidRDefault="00597370">
            <w:pPr>
              <w:autoSpaceDE w:val="0"/>
              <w:autoSpaceDN w:val="0"/>
              <w:adjustRightInd w:val="0"/>
              <w:snapToGrid w:val="0"/>
              <w:jc w:val="center"/>
              <w:rPr>
                <w:color w:val="000000" w:themeColor="text1"/>
              </w:rPr>
            </w:pPr>
          </w:p>
        </w:tc>
        <w:tc>
          <w:tcPr>
            <w:tcW w:w="667" w:type="pct"/>
            <w:vMerge/>
            <w:shd w:val="clear" w:color="auto" w:fill="auto"/>
          </w:tcPr>
          <w:p w:rsidR="00597370" w:rsidRDefault="00597370">
            <w:pPr>
              <w:autoSpaceDE w:val="0"/>
              <w:autoSpaceDN w:val="0"/>
              <w:adjustRightInd w:val="0"/>
              <w:snapToGrid w:val="0"/>
              <w:jc w:val="center"/>
              <w:rPr>
                <w:color w:val="000000" w:themeColor="text1"/>
              </w:rPr>
            </w:pPr>
          </w:p>
        </w:tc>
        <w:tc>
          <w:tcPr>
            <w:tcW w:w="912" w:type="pct"/>
            <w:shd w:val="clear" w:color="auto" w:fill="auto"/>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企业合并形成的</w:t>
            </w:r>
          </w:p>
        </w:tc>
        <w:tc>
          <w:tcPr>
            <w:tcW w:w="825" w:type="pct"/>
            <w:shd w:val="clear" w:color="auto" w:fill="auto"/>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处置</w:t>
            </w:r>
          </w:p>
        </w:tc>
        <w:tc>
          <w:tcPr>
            <w:tcW w:w="1207" w:type="pct"/>
            <w:vMerge/>
            <w:shd w:val="clear" w:color="auto" w:fill="auto"/>
          </w:tcPr>
          <w:p w:rsidR="00597370" w:rsidRDefault="00597370">
            <w:pPr>
              <w:autoSpaceDE w:val="0"/>
              <w:autoSpaceDN w:val="0"/>
              <w:adjustRightInd w:val="0"/>
              <w:snapToGrid w:val="0"/>
              <w:jc w:val="center"/>
              <w:rPr>
                <w:color w:val="000000" w:themeColor="text1"/>
              </w:rPr>
            </w:pPr>
          </w:p>
        </w:tc>
      </w:tr>
      <w:tr w:rsidR="00597370">
        <w:trPr>
          <w:trHeight w:val="397"/>
          <w:jc w:val="center"/>
        </w:trPr>
        <w:tc>
          <w:tcPr>
            <w:tcW w:w="1389" w:type="pct"/>
            <w:shd w:val="clear" w:color="auto" w:fill="auto"/>
          </w:tcPr>
          <w:p w:rsidR="00597370" w:rsidRDefault="003C2EEE">
            <w:pPr>
              <w:autoSpaceDE w:val="0"/>
              <w:autoSpaceDN w:val="0"/>
              <w:adjustRightInd w:val="0"/>
              <w:snapToGrid w:val="0"/>
            </w:pPr>
            <w:r>
              <w:rPr>
                <w:rFonts w:hint="eastAsia"/>
              </w:rPr>
              <w:t>收购云南变压器电气股份有限公司79.97%股权</w:t>
            </w:r>
          </w:p>
        </w:tc>
        <w:tc>
          <w:tcPr>
            <w:tcW w:w="667" w:type="pct"/>
            <w:shd w:val="clear" w:color="auto" w:fill="auto"/>
            <w:vAlign w:val="bottom"/>
          </w:tcPr>
          <w:p w:rsidR="00597370" w:rsidRDefault="00597370">
            <w:pPr>
              <w:autoSpaceDE w:val="0"/>
              <w:autoSpaceDN w:val="0"/>
              <w:adjustRightInd w:val="0"/>
              <w:snapToGrid w:val="0"/>
              <w:jc w:val="right"/>
            </w:pPr>
          </w:p>
        </w:tc>
        <w:tc>
          <w:tcPr>
            <w:tcW w:w="912" w:type="pct"/>
            <w:shd w:val="clear" w:color="auto" w:fill="auto"/>
            <w:vAlign w:val="bottom"/>
          </w:tcPr>
          <w:p w:rsidR="00597370" w:rsidRDefault="003C2EEE">
            <w:pPr>
              <w:autoSpaceDE w:val="0"/>
              <w:autoSpaceDN w:val="0"/>
              <w:adjustRightInd w:val="0"/>
              <w:snapToGrid w:val="0"/>
              <w:jc w:val="right"/>
            </w:pPr>
            <w:r>
              <w:t>45,434,900.70</w:t>
            </w:r>
          </w:p>
        </w:tc>
        <w:tc>
          <w:tcPr>
            <w:tcW w:w="825" w:type="pct"/>
            <w:shd w:val="clear" w:color="auto" w:fill="auto"/>
            <w:vAlign w:val="bottom"/>
          </w:tcPr>
          <w:p w:rsidR="00597370" w:rsidRDefault="00597370">
            <w:pPr>
              <w:autoSpaceDE w:val="0"/>
              <w:autoSpaceDN w:val="0"/>
              <w:adjustRightInd w:val="0"/>
              <w:snapToGrid w:val="0"/>
              <w:jc w:val="right"/>
            </w:pPr>
          </w:p>
        </w:tc>
        <w:tc>
          <w:tcPr>
            <w:tcW w:w="1207" w:type="pct"/>
            <w:shd w:val="clear" w:color="auto" w:fill="auto"/>
            <w:vAlign w:val="bottom"/>
          </w:tcPr>
          <w:p w:rsidR="00597370" w:rsidRDefault="003C2EEE">
            <w:pPr>
              <w:autoSpaceDE w:val="0"/>
              <w:autoSpaceDN w:val="0"/>
              <w:adjustRightInd w:val="0"/>
              <w:snapToGrid w:val="0"/>
              <w:jc w:val="right"/>
            </w:pPr>
            <w:r>
              <w:t>45,434,900.70</w:t>
            </w:r>
          </w:p>
        </w:tc>
      </w:tr>
      <w:tr w:rsidR="00597370">
        <w:trPr>
          <w:trHeight w:val="397"/>
          <w:jc w:val="center"/>
        </w:trPr>
        <w:tc>
          <w:tcPr>
            <w:tcW w:w="1389" w:type="pct"/>
            <w:shd w:val="clear" w:color="auto" w:fill="auto"/>
            <w:vAlign w:val="center"/>
          </w:tcPr>
          <w:p w:rsidR="00597370" w:rsidRDefault="003C2EEE">
            <w:pPr>
              <w:autoSpaceDE w:val="0"/>
              <w:autoSpaceDN w:val="0"/>
              <w:adjustRightInd w:val="0"/>
              <w:snapToGrid w:val="0"/>
              <w:jc w:val="center"/>
              <w:rPr>
                <w:color w:val="000000" w:themeColor="text1"/>
                <w:u w:val="double"/>
              </w:rPr>
            </w:pPr>
            <w:r>
              <w:rPr>
                <w:rFonts w:hint="eastAsia"/>
                <w:color w:val="000000" w:themeColor="text1"/>
              </w:rPr>
              <w:t>合计</w:t>
            </w:r>
          </w:p>
        </w:tc>
        <w:tc>
          <w:tcPr>
            <w:tcW w:w="667" w:type="pct"/>
            <w:shd w:val="clear" w:color="auto" w:fill="auto"/>
            <w:vAlign w:val="bottom"/>
          </w:tcPr>
          <w:p w:rsidR="00597370" w:rsidRDefault="00597370">
            <w:pPr>
              <w:jc w:val="right"/>
            </w:pPr>
          </w:p>
        </w:tc>
        <w:tc>
          <w:tcPr>
            <w:tcW w:w="912" w:type="pct"/>
            <w:shd w:val="clear" w:color="auto" w:fill="auto"/>
            <w:vAlign w:val="bottom"/>
          </w:tcPr>
          <w:p w:rsidR="00597370" w:rsidRDefault="003C2EEE">
            <w:pPr>
              <w:jc w:val="right"/>
            </w:pPr>
            <w:r>
              <w:t>45,434,900.70</w:t>
            </w:r>
          </w:p>
        </w:tc>
        <w:tc>
          <w:tcPr>
            <w:tcW w:w="825" w:type="pct"/>
            <w:shd w:val="clear" w:color="auto" w:fill="auto"/>
            <w:vAlign w:val="bottom"/>
          </w:tcPr>
          <w:p w:rsidR="00597370" w:rsidRDefault="00597370">
            <w:pPr>
              <w:jc w:val="right"/>
            </w:pPr>
          </w:p>
        </w:tc>
        <w:tc>
          <w:tcPr>
            <w:tcW w:w="1207" w:type="pct"/>
            <w:shd w:val="clear" w:color="auto" w:fill="auto"/>
            <w:vAlign w:val="bottom"/>
          </w:tcPr>
          <w:p w:rsidR="00597370" w:rsidRDefault="003C2EEE">
            <w:pPr>
              <w:jc w:val="right"/>
            </w:pPr>
            <w:r>
              <w:t>45,434,900.70</w:t>
            </w:r>
          </w:p>
        </w:tc>
      </w:tr>
    </w:tbl>
    <w:p w:rsidR="00597370" w:rsidRDefault="00597370"/>
    <w:p w:rsidR="00597370" w:rsidRDefault="003C2EEE">
      <w:pPr>
        <w:pStyle w:val="4"/>
        <w:numPr>
          <w:ilvl w:val="0"/>
          <w:numId w:val="71"/>
        </w:numPr>
        <w:tabs>
          <w:tab w:val="left" w:pos="588"/>
        </w:tabs>
        <w:rPr>
          <w:rFonts w:ascii="宋体" w:hAnsi="宋体"/>
          <w:color w:val="000000" w:themeColor="text1"/>
        </w:rPr>
      </w:pPr>
      <w:r>
        <w:rPr>
          <w:rFonts w:ascii="宋体" w:hAnsi="宋体" w:hint="eastAsia"/>
          <w:color w:val="000000" w:themeColor="text1"/>
        </w:rPr>
        <w:t>商誉减值准备</w:t>
      </w:r>
    </w:p>
    <w:sdt>
      <w:sdtPr>
        <w:rPr>
          <w:color w:val="000000" w:themeColor="text1"/>
        </w:rPr>
        <w:alias w:val="是否适用：商誉减值准备[双击切换]"/>
        <w:tag w:val="_GBC_743c9a20b5c043668f28664eb36decf8"/>
        <w:id w:val="-213515966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71"/>
        </w:numPr>
        <w:tabs>
          <w:tab w:val="left" w:pos="588"/>
        </w:tabs>
        <w:rPr>
          <w:rFonts w:ascii="宋体" w:hAnsi="宋体"/>
          <w:color w:val="000000" w:themeColor="text1"/>
        </w:rPr>
      </w:pPr>
      <w:bookmarkStart w:id="301" w:name="_Hlk167959929"/>
      <w:r>
        <w:rPr>
          <w:rFonts w:ascii="宋体" w:hAnsi="宋体" w:hint="eastAsia"/>
          <w:color w:val="000000" w:themeColor="text1"/>
        </w:rPr>
        <w:t>商誉所在资产组或资产组组合的相关信息</w:t>
      </w:r>
    </w:p>
    <w:sdt>
      <w:sdtPr>
        <w:rPr>
          <w:rFonts w:hint="eastAsia"/>
          <w:color w:val="000000" w:themeColor="text1"/>
        </w:rPr>
        <w:alias w:val="是否适用：商誉所在资产组或资产组组合的相关信息[双击切换]"/>
        <w:tag w:val="_GBC_3010fdfa06fe41c1b1d500ed6edace89"/>
        <w:id w:val="177520386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302" w:name="_Hlk153462880"/>
      <w:r>
        <w:rPr>
          <w:rFonts w:hint="eastAsia"/>
          <w:color w:val="000000" w:themeColor="text1"/>
        </w:rPr>
        <w:t>资产组或资产组组合发生变化</w:t>
      </w:r>
    </w:p>
    <w:sdt>
      <w:sdtPr>
        <w:rPr>
          <w:color w:val="000000" w:themeColor="text1"/>
        </w:rPr>
        <w:alias w:val="是否适用：资产组或资产组组合发生变化[双击切换]"/>
        <w:tag w:val="_GBC_7123d6208cbb4b6a9f652548afdc778a"/>
        <w:id w:val="95414535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303" w:name="_Hlk152948734"/>
      <w:bookmarkEnd w:id="302"/>
      <w:r>
        <w:rPr>
          <w:rFonts w:hint="eastAsia"/>
          <w:color w:val="000000" w:themeColor="text1"/>
        </w:rPr>
        <w:t>其他说明</w:t>
      </w:r>
    </w:p>
    <w:sdt>
      <w:sdtPr>
        <w:rPr>
          <w:color w:val="000000" w:themeColor="text1"/>
        </w:rPr>
        <w:alias w:val="是否适用：商誉所在资产组或资产组组合的相关信息其他说明[双击切换]"/>
        <w:tag w:val="_GBC_ffeac5265704403bb47e0eefe5c2d04e"/>
        <w:id w:val="9210693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03"/>
    <w:p w:rsidR="00597370" w:rsidRDefault="003C2EEE">
      <w:pPr>
        <w:pStyle w:val="4"/>
        <w:numPr>
          <w:ilvl w:val="0"/>
          <w:numId w:val="71"/>
        </w:numPr>
        <w:tabs>
          <w:tab w:val="left" w:pos="588"/>
        </w:tabs>
        <w:rPr>
          <w:rFonts w:ascii="宋体" w:hAnsi="宋体"/>
          <w:color w:val="000000" w:themeColor="text1"/>
        </w:rPr>
      </w:pPr>
      <w:r>
        <w:rPr>
          <w:rFonts w:ascii="宋体" w:hAnsi="宋体" w:hint="eastAsia"/>
          <w:color w:val="000000" w:themeColor="text1"/>
        </w:rPr>
        <w:t>可收回金额的具体确定方法</w:t>
      </w:r>
    </w:p>
    <w:p w:rsidR="00597370" w:rsidRDefault="003C2EEE">
      <w:pPr>
        <w:rPr>
          <w:color w:val="000000" w:themeColor="text1"/>
        </w:rPr>
      </w:pPr>
      <w:bookmarkStart w:id="304" w:name="_Hlk153463075"/>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c14479181df74e309ba619055f328f4b"/>
        <w:id w:val="161139397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775cb3824be54e48866a569883927f9d"/>
        <w:id w:val="2941942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lastRenderedPageBreak/>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345565131261427b821f225ca476b7f0"/>
        <w:id w:val="168493028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380768c596a145f29f00b98c2c4edba5"/>
        <w:id w:val="-201336133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71"/>
        </w:numPr>
        <w:tabs>
          <w:tab w:val="left" w:pos="588"/>
        </w:tabs>
        <w:rPr>
          <w:rFonts w:ascii="宋体" w:hAnsi="宋体"/>
          <w:color w:val="000000" w:themeColor="text1"/>
        </w:rPr>
      </w:pPr>
      <w:bookmarkStart w:id="305" w:name="_Hlk153463443"/>
      <w:bookmarkEnd w:id="304"/>
      <w:r>
        <w:rPr>
          <w:rFonts w:ascii="宋体" w:hAnsi="宋体" w:hint="eastAsia"/>
          <w:color w:val="000000" w:themeColor="text1"/>
        </w:rPr>
        <w:t>业绩承诺及对应商誉减值情况</w:t>
      </w:r>
    </w:p>
    <w:p w:rsidR="00597370" w:rsidRDefault="003C2EEE">
      <w:pPr>
        <w:rPr>
          <w:color w:val="000000" w:themeColor="text1"/>
        </w:rPr>
      </w:pPr>
      <w:r>
        <w:rPr>
          <w:rFonts w:hint="eastAsia"/>
          <w:color w:val="000000" w:themeColor="text1"/>
        </w:rPr>
        <w:t>形成商誉时存在业绩承诺</w:t>
      </w:r>
      <w:proofErr w:type="gramStart"/>
      <w:r>
        <w:rPr>
          <w:rFonts w:hint="eastAsia"/>
          <w:color w:val="000000" w:themeColor="text1"/>
        </w:rPr>
        <w:t>且报告</w:t>
      </w:r>
      <w:proofErr w:type="gramEnd"/>
      <w:r>
        <w:rPr>
          <w:rFonts w:hint="eastAsia"/>
          <w:color w:val="000000" w:themeColor="text1"/>
        </w:rPr>
        <w:t>期或报告期上一期间处于业绩承诺期内</w:t>
      </w:r>
    </w:p>
    <w:sdt>
      <w:sdtPr>
        <w:rPr>
          <w:color w:val="000000" w:themeColor="text1"/>
        </w:rPr>
        <w:alias w:val="是否适用：业绩承诺完成及对应商誉减值情况[双击切换]"/>
        <w:tag w:val="_GBC_f96eba4c85694a0d9c8987317df03a97"/>
        <w:id w:val="-14543243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01"/>
    <w:bookmarkEnd w:id="305"/>
    <w:p w:rsidR="00597370" w:rsidRDefault="003C2EEE">
      <w:pPr>
        <w:rPr>
          <w:color w:val="000000" w:themeColor="text1"/>
        </w:rPr>
      </w:pPr>
      <w:r>
        <w:rPr>
          <w:rFonts w:hint="eastAsia"/>
          <w:color w:val="000000" w:themeColor="text1"/>
        </w:rPr>
        <w:t>其他说明：</w:t>
      </w:r>
    </w:p>
    <w:sdt>
      <w:sdtPr>
        <w:rPr>
          <w:color w:val="000000" w:themeColor="text1"/>
        </w:rPr>
        <w:alias w:val="是否适用：商誉其他需要说明的事项[双击切换]"/>
        <w:tag w:val="_GBC_6b2c2377a4a6486b9a4ba845bd2192f6"/>
        <w:id w:val="-77463668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长期待摊费用</w:t>
      </w:r>
    </w:p>
    <w:sdt>
      <w:sdtPr>
        <w:rPr>
          <w:color w:val="000000" w:themeColor="text1"/>
        </w:rPr>
        <w:alias w:val="是否适用：长期待摊费用[双击切换]"/>
        <w:tag w:val="_GBC_9bec8f9516c84b19bae2fb8a7292063f"/>
        <w:id w:val="-25274186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长期待摊费用"/>
          <w:tag w:val="_GBC_aa74f67aac374e54a7768a8434ab0c08"/>
          <w:id w:val="21222637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长期待摊费用"/>
          <w:tag w:val="_GBC_767b9b701cf8425c9d588b0398c42e90"/>
          <w:id w:val="-9769857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476"/>
        <w:gridCol w:w="1476"/>
        <w:gridCol w:w="1451"/>
        <w:gridCol w:w="1474"/>
        <w:gridCol w:w="1543"/>
      </w:tblGrid>
      <w:tr w:rsidR="00597370">
        <w:sdt>
          <w:sdtPr>
            <w:rPr>
              <w:color w:val="000000" w:themeColor="text1"/>
            </w:rPr>
            <w:tag w:val="_PLD_20e665ce568e49a5aa1c687384d611b3"/>
            <w:id w:val="1515879272"/>
          </w:sdtPr>
          <w:sdtEndPr/>
          <w:sdtContent>
            <w:tc>
              <w:tcPr>
                <w:tcW w:w="800"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e3597a5d560b48d59d41cd3dc72b1a3a"/>
            <w:id w:val="-1592773721"/>
          </w:sdtPr>
          <w:sdtEndPr/>
          <w:sdtContent>
            <w:tc>
              <w:tcPr>
                <w:tcW w:w="827"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2edffaf8b24b489e97f2d4a6a5ec5711"/>
            <w:id w:val="-595782606"/>
          </w:sdtPr>
          <w:sdtEndPr/>
          <w:sdtContent>
            <w:tc>
              <w:tcPr>
                <w:tcW w:w="827" w:type="pct"/>
                <w:shd w:val="clear" w:color="auto" w:fill="auto"/>
                <w:vAlign w:val="center"/>
              </w:tcPr>
              <w:p w:rsidR="00597370" w:rsidRDefault="003C2EEE">
                <w:pPr>
                  <w:jc w:val="center"/>
                  <w:rPr>
                    <w:color w:val="000000" w:themeColor="text1"/>
                  </w:rPr>
                </w:pPr>
                <w:r>
                  <w:rPr>
                    <w:rFonts w:hint="eastAsia"/>
                    <w:color w:val="000000" w:themeColor="text1"/>
                  </w:rPr>
                  <w:t>本期增加金额</w:t>
                </w:r>
              </w:p>
            </w:tc>
          </w:sdtContent>
        </w:sdt>
        <w:sdt>
          <w:sdtPr>
            <w:rPr>
              <w:color w:val="000000" w:themeColor="text1"/>
            </w:rPr>
            <w:tag w:val="_PLD_f6bc6a07519e4f6cab5889776aa0ecbd"/>
            <w:id w:val="299579687"/>
          </w:sdtPr>
          <w:sdtEndPr/>
          <w:sdtContent>
            <w:tc>
              <w:tcPr>
                <w:tcW w:w="827" w:type="pct"/>
                <w:shd w:val="clear" w:color="auto" w:fill="auto"/>
                <w:vAlign w:val="center"/>
              </w:tcPr>
              <w:p w:rsidR="00597370" w:rsidRDefault="003C2EEE">
                <w:pPr>
                  <w:jc w:val="center"/>
                  <w:rPr>
                    <w:color w:val="000000" w:themeColor="text1"/>
                  </w:rPr>
                </w:pPr>
                <w:r>
                  <w:rPr>
                    <w:rFonts w:hint="eastAsia"/>
                    <w:color w:val="000000" w:themeColor="text1"/>
                  </w:rPr>
                  <w:t>本期摊销金额</w:t>
                </w:r>
              </w:p>
            </w:tc>
          </w:sdtContent>
        </w:sdt>
        <w:sdt>
          <w:sdtPr>
            <w:rPr>
              <w:color w:val="000000" w:themeColor="text1"/>
            </w:rPr>
            <w:tag w:val="_PLD_f987bb682c974016898d37b474ce35c6"/>
            <w:id w:val="-357196504"/>
          </w:sdtPr>
          <w:sdtEndPr/>
          <w:sdtContent>
            <w:tc>
              <w:tcPr>
                <w:tcW w:w="840" w:type="pct"/>
                <w:shd w:val="clear" w:color="auto" w:fill="auto"/>
                <w:vAlign w:val="center"/>
              </w:tcPr>
              <w:p w:rsidR="00597370" w:rsidRDefault="003C2EEE">
                <w:pPr>
                  <w:jc w:val="center"/>
                  <w:rPr>
                    <w:color w:val="000000" w:themeColor="text1"/>
                  </w:rPr>
                </w:pPr>
                <w:r>
                  <w:rPr>
                    <w:rFonts w:hint="eastAsia"/>
                    <w:color w:val="000000" w:themeColor="text1"/>
                  </w:rPr>
                  <w:t>其他减少金额</w:t>
                </w:r>
              </w:p>
            </w:tc>
          </w:sdtContent>
        </w:sdt>
        <w:sdt>
          <w:sdtPr>
            <w:rPr>
              <w:color w:val="000000" w:themeColor="text1"/>
            </w:rPr>
            <w:tag w:val="_PLD_dab738986fbc4bd7b942faf77cb39605"/>
            <w:id w:val="1651249183"/>
          </w:sdtPr>
          <w:sdtEndPr/>
          <w:sdtContent>
            <w:tc>
              <w:tcPr>
                <w:tcW w:w="879"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tr>
      <w:tr w:rsidR="00597370">
        <w:tc>
          <w:tcPr>
            <w:tcW w:w="800" w:type="pct"/>
            <w:shd w:val="clear" w:color="auto" w:fill="auto"/>
            <w:vAlign w:val="center"/>
          </w:tcPr>
          <w:p w:rsidR="00597370" w:rsidRDefault="003C2EEE">
            <w:pPr>
              <w:pStyle w:val="Style106"/>
              <w:jc w:val="both"/>
            </w:pPr>
            <w:r>
              <w:rPr>
                <w:rFonts w:hint="eastAsia"/>
              </w:rPr>
              <w:t>厂房及办公室装修费</w:t>
            </w:r>
          </w:p>
        </w:tc>
        <w:tc>
          <w:tcPr>
            <w:tcW w:w="827" w:type="pct"/>
            <w:shd w:val="clear" w:color="auto" w:fill="auto"/>
            <w:vAlign w:val="bottom"/>
          </w:tcPr>
          <w:p w:rsidR="00597370" w:rsidRDefault="003C2EEE">
            <w:pPr>
              <w:jc w:val="right"/>
            </w:pPr>
            <w:r>
              <w:t>2,429,862.76</w:t>
            </w:r>
          </w:p>
        </w:tc>
        <w:tc>
          <w:tcPr>
            <w:tcW w:w="1497" w:type="dxa"/>
            <w:shd w:val="clear" w:color="auto" w:fill="auto"/>
            <w:vAlign w:val="bottom"/>
          </w:tcPr>
          <w:p w:rsidR="00597370" w:rsidRDefault="003C2EEE">
            <w:pPr>
              <w:jc w:val="right"/>
            </w:pPr>
            <w:r>
              <w:rPr>
                <w:rFonts w:hint="eastAsia"/>
              </w:rPr>
              <w:t xml:space="preserve"> 250,657.32 </w:t>
            </w:r>
          </w:p>
        </w:tc>
        <w:tc>
          <w:tcPr>
            <w:tcW w:w="1497" w:type="dxa"/>
            <w:shd w:val="clear" w:color="auto" w:fill="auto"/>
            <w:vAlign w:val="bottom"/>
          </w:tcPr>
          <w:p w:rsidR="00597370" w:rsidRDefault="003C2EEE">
            <w:pPr>
              <w:jc w:val="right"/>
            </w:pPr>
            <w:r>
              <w:rPr>
                <w:rFonts w:hint="eastAsia"/>
              </w:rPr>
              <w:t xml:space="preserve"> 759,102.72 </w:t>
            </w:r>
          </w:p>
        </w:tc>
        <w:tc>
          <w:tcPr>
            <w:tcW w:w="840" w:type="pct"/>
            <w:shd w:val="clear" w:color="auto" w:fill="auto"/>
            <w:vAlign w:val="bottom"/>
          </w:tcPr>
          <w:p w:rsidR="00597370" w:rsidRDefault="00597370">
            <w:pPr>
              <w:jc w:val="right"/>
            </w:pPr>
          </w:p>
        </w:tc>
        <w:tc>
          <w:tcPr>
            <w:tcW w:w="879" w:type="pct"/>
            <w:shd w:val="clear" w:color="auto" w:fill="auto"/>
            <w:vAlign w:val="bottom"/>
          </w:tcPr>
          <w:p w:rsidR="00597370" w:rsidRDefault="003C2EEE">
            <w:pPr>
              <w:jc w:val="right"/>
            </w:pPr>
            <w:r>
              <w:t>1,921,417.36</w:t>
            </w:r>
          </w:p>
        </w:tc>
      </w:tr>
      <w:tr w:rsidR="00597370">
        <w:tc>
          <w:tcPr>
            <w:tcW w:w="800" w:type="pct"/>
            <w:shd w:val="clear" w:color="auto" w:fill="auto"/>
            <w:vAlign w:val="center"/>
          </w:tcPr>
          <w:p w:rsidR="00597370" w:rsidRDefault="003C2EEE">
            <w:pPr>
              <w:jc w:val="both"/>
            </w:pPr>
            <w:r>
              <w:rPr>
                <w:rFonts w:hint="eastAsia"/>
              </w:rPr>
              <w:t>电缆通道租赁费用</w:t>
            </w:r>
          </w:p>
        </w:tc>
        <w:tc>
          <w:tcPr>
            <w:tcW w:w="827" w:type="pct"/>
            <w:shd w:val="clear" w:color="auto" w:fill="auto"/>
            <w:vAlign w:val="bottom"/>
          </w:tcPr>
          <w:p w:rsidR="00597370" w:rsidRDefault="00597370">
            <w:pPr>
              <w:jc w:val="right"/>
            </w:pPr>
          </w:p>
        </w:tc>
        <w:tc>
          <w:tcPr>
            <w:tcW w:w="827" w:type="pct"/>
            <w:shd w:val="clear" w:color="auto" w:fill="auto"/>
            <w:vAlign w:val="bottom"/>
          </w:tcPr>
          <w:p w:rsidR="00597370" w:rsidRDefault="003C2EEE">
            <w:pPr>
              <w:jc w:val="right"/>
            </w:pPr>
            <w:r>
              <w:t>831,192.00</w:t>
            </w:r>
          </w:p>
        </w:tc>
        <w:tc>
          <w:tcPr>
            <w:tcW w:w="827" w:type="pct"/>
            <w:shd w:val="clear" w:color="auto" w:fill="auto"/>
            <w:vAlign w:val="bottom"/>
          </w:tcPr>
          <w:p w:rsidR="00597370" w:rsidRDefault="003C2EEE">
            <w:pPr>
              <w:jc w:val="right"/>
            </w:pPr>
            <w:r>
              <w:t>14,088.00</w:t>
            </w:r>
          </w:p>
        </w:tc>
        <w:tc>
          <w:tcPr>
            <w:tcW w:w="840" w:type="pct"/>
            <w:shd w:val="clear" w:color="auto" w:fill="auto"/>
            <w:vAlign w:val="bottom"/>
          </w:tcPr>
          <w:p w:rsidR="00597370" w:rsidRDefault="00597370">
            <w:pPr>
              <w:jc w:val="right"/>
            </w:pPr>
          </w:p>
        </w:tc>
        <w:tc>
          <w:tcPr>
            <w:tcW w:w="879" w:type="pct"/>
            <w:shd w:val="clear" w:color="auto" w:fill="auto"/>
            <w:vAlign w:val="bottom"/>
          </w:tcPr>
          <w:p w:rsidR="00597370" w:rsidRDefault="003C2EEE">
            <w:pPr>
              <w:jc w:val="right"/>
            </w:pPr>
            <w:r>
              <w:t>817,104.00</w:t>
            </w:r>
          </w:p>
        </w:tc>
      </w:tr>
      <w:tr w:rsidR="00597370">
        <w:trPr>
          <w:trHeight w:val="551"/>
        </w:trPr>
        <w:tc>
          <w:tcPr>
            <w:tcW w:w="800" w:type="pct"/>
            <w:shd w:val="clear" w:color="auto" w:fill="auto"/>
            <w:vAlign w:val="center"/>
          </w:tcPr>
          <w:p w:rsidR="00597370" w:rsidRDefault="003C2EEE">
            <w:pPr>
              <w:pStyle w:val="Style106"/>
              <w:jc w:val="both"/>
            </w:pPr>
            <w:r>
              <w:rPr>
                <w:rFonts w:hint="eastAsia"/>
              </w:rPr>
              <w:t>其他</w:t>
            </w:r>
          </w:p>
        </w:tc>
        <w:tc>
          <w:tcPr>
            <w:tcW w:w="827" w:type="pct"/>
            <w:shd w:val="clear" w:color="auto" w:fill="auto"/>
            <w:vAlign w:val="bottom"/>
          </w:tcPr>
          <w:p w:rsidR="00597370" w:rsidRDefault="003C2EEE">
            <w:pPr>
              <w:jc w:val="right"/>
            </w:pPr>
            <w:r>
              <w:t>1,416,285.36</w:t>
            </w:r>
          </w:p>
        </w:tc>
        <w:tc>
          <w:tcPr>
            <w:tcW w:w="827" w:type="pct"/>
            <w:shd w:val="clear" w:color="auto" w:fill="auto"/>
            <w:vAlign w:val="bottom"/>
          </w:tcPr>
          <w:p w:rsidR="00597370" w:rsidRDefault="00597370">
            <w:pPr>
              <w:jc w:val="right"/>
            </w:pPr>
          </w:p>
        </w:tc>
        <w:tc>
          <w:tcPr>
            <w:tcW w:w="827" w:type="pct"/>
            <w:shd w:val="clear" w:color="auto" w:fill="auto"/>
            <w:vAlign w:val="bottom"/>
          </w:tcPr>
          <w:p w:rsidR="00597370" w:rsidRDefault="003C2EEE">
            <w:pPr>
              <w:jc w:val="right"/>
            </w:pPr>
            <w:r>
              <w:t>215,603.62</w:t>
            </w:r>
          </w:p>
        </w:tc>
        <w:tc>
          <w:tcPr>
            <w:tcW w:w="840" w:type="pct"/>
            <w:shd w:val="clear" w:color="auto" w:fill="auto"/>
            <w:vAlign w:val="bottom"/>
          </w:tcPr>
          <w:p w:rsidR="00597370" w:rsidRDefault="00597370">
            <w:pPr>
              <w:jc w:val="right"/>
            </w:pPr>
          </w:p>
        </w:tc>
        <w:tc>
          <w:tcPr>
            <w:tcW w:w="879" w:type="pct"/>
            <w:shd w:val="clear" w:color="auto" w:fill="auto"/>
            <w:vAlign w:val="bottom"/>
          </w:tcPr>
          <w:p w:rsidR="00597370" w:rsidRDefault="003C2EEE">
            <w:pPr>
              <w:jc w:val="right"/>
            </w:pPr>
            <w:r>
              <w:t>1,200,681.74</w:t>
            </w:r>
          </w:p>
        </w:tc>
      </w:tr>
      <w:tr w:rsidR="00597370">
        <w:trPr>
          <w:trHeight w:val="556"/>
        </w:trPr>
        <w:tc>
          <w:tcPr>
            <w:tcW w:w="800" w:type="pct"/>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827" w:type="pct"/>
            <w:shd w:val="clear" w:color="auto" w:fill="auto"/>
            <w:vAlign w:val="bottom"/>
          </w:tcPr>
          <w:p w:rsidR="00597370" w:rsidRDefault="003C2EEE">
            <w:pPr>
              <w:jc w:val="right"/>
            </w:pPr>
            <w:r>
              <w:t>3,846,148.12</w:t>
            </w:r>
          </w:p>
        </w:tc>
        <w:tc>
          <w:tcPr>
            <w:tcW w:w="1497" w:type="dxa"/>
            <w:shd w:val="clear" w:color="auto" w:fill="auto"/>
            <w:vAlign w:val="bottom"/>
          </w:tcPr>
          <w:p w:rsidR="00597370" w:rsidRDefault="003C2EEE">
            <w:pPr>
              <w:jc w:val="right"/>
            </w:pPr>
            <w:r>
              <w:rPr>
                <w:rFonts w:hint="eastAsia"/>
              </w:rPr>
              <w:t xml:space="preserve"> 1,081,849.32 </w:t>
            </w:r>
          </w:p>
        </w:tc>
        <w:tc>
          <w:tcPr>
            <w:tcW w:w="1497" w:type="dxa"/>
            <w:shd w:val="clear" w:color="auto" w:fill="auto"/>
            <w:vAlign w:val="bottom"/>
          </w:tcPr>
          <w:p w:rsidR="00597370" w:rsidRDefault="003C2EEE">
            <w:pPr>
              <w:jc w:val="right"/>
            </w:pPr>
            <w:r>
              <w:rPr>
                <w:rFonts w:hint="eastAsia"/>
              </w:rPr>
              <w:t xml:space="preserve"> 988,794.34 </w:t>
            </w:r>
          </w:p>
        </w:tc>
        <w:tc>
          <w:tcPr>
            <w:tcW w:w="840" w:type="pct"/>
            <w:shd w:val="clear" w:color="auto" w:fill="auto"/>
            <w:vAlign w:val="bottom"/>
          </w:tcPr>
          <w:p w:rsidR="00597370" w:rsidRDefault="00597370">
            <w:pPr>
              <w:jc w:val="right"/>
            </w:pPr>
          </w:p>
        </w:tc>
        <w:tc>
          <w:tcPr>
            <w:tcW w:w="879" w:type="pct"/>
            <w:shd w:val="clear" w:color="auto" w:fill="auto"/>
            <w:vAlign w:val="bottom"/>
          </w:tcPr>
          <w:p w:rsidR="00597370" w:rsidRDefault="003C2EEE">
            <w:pPr>
              <w:jc w:val="right"/>
            </w:pPr>
            <w:r>
              <w:t>3,939,203.10</w:t>
            </w:r>
          </w:p>
        </w:tc>
      </w:tr>
    </w:tbl>
    <w:p w:rsidR="00597370" w:rsidRDefault="003C2EEE">
      <w:pPr>
        <w:rPr>
          <w:color w:val="000000" w:themeColor="text1"/>
        </w:rPr>
      </w:pPr>
      <w:r>
        <w:rPr>
          <w:rFonts w:hint="eastAsia"/>
          <w:color w:val="000000" w:themeColor="text1"/>
        </w:rPr>
        <w:t>其他说明：</w:t>
      </w:r>
    </w:p>
    <w:sdt>
      <w:sdtPr>
        <w:rPr>
          <w:color w:val="000000" w:themeColor="text1"/>
        </w:rPr>
        <w:alias w:val="长期待摊费用的说明"/>
        <w:tag w:val="_GBC_5b31c466b60f433faaa37d443fae74be"/>
        <w:id w:val="-746421944"/>
        <w:placeholder>
          <w:docPart w:val="GBC22222222222222222222222222222"/>
        </w:placeholder>
      </w:sdtPr>
      <w:sdtEndPr/>
      <w:sdtContent>
        <w:p w:rsidR="00597370" w:rsidRDefault="003C2EEE">
          <w:pPr>
            <w:pStyle w:val="Style106"/>
          </w:pPr>
          <w:r>
            <w:rPr>
              <w:rFonts w:hint="eastAsia"/>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递延所得税资产/ 递延所得税负债</w:t>
      </w:r>
    </w:p>
    <w:p w:rsidR="00597370" w:rsidRDefault="003C2EEE">
      <w:pPr>
        <w:pStyle w:val="Style110"/>
        <w:numPr>
          <w:ilvl w:val="0"/>
          <w:numId w:val="72"/>
        </w:numPr>
        <w:tabs>
          <w:tab w:val="left" w:pos="588"/>
          <w:tab w:val="left" w:pos="616"/>
        </w:tabs>
        <w:rPr>
          <w:rFonts w:ascii="宋体" w:hAnsi="宋体"/>
          <w:color w:val="000000" w:themeColor="text1"/>
        </w:rPr>
      </w:pPr>
      <w:bookmarkStart w:id="306" w:name="_Toc215903151"/>
      <w:r>
        <w:rPr>
          <w:rFonts w:ascii="宋体" w:hAnsi="宋体" w:hint="eastAsia"/>
          <w:color w:val="000000" w:themeColor="text1"/>
        </w:rPr>
        <w:t>未经</w:t>
      </w:r>
      <w:proofErr w:type="gramStart"/>
      <w:r>
        <w:rPr>
          <w:rFonts w:ascii="宋体" w:hAnsi="宋体" w:hint="eastAsia"/>
          <w:color w:val="000000" w:themeColor="text1"/>
        </w:rPr>
        <w:t>抵销</w:t>
      </w:r>
      <w:proofErr w:type="gramEnd"/>
      <w:r>
        <w:rPr>
          <w:rFonts w:ascii="宋体" w:hAnsi="宋体" w:hint="eastAsia"/>
          <w:color w:val="000000" w:themeColor="text1"/>
        </w:rPr>
        <w:t>的递延所得税资产</w:t>
      </w:r>
    </w:p>
    <w:sdt>
      <w:sdtPr>
        <w:rPr>
          <w:color w:val="000000" w:themeColor="text1"/>
        </w:rPr>
        <w:alias w:val="是否适用：未经抵销的递延所得税资产[双击切换]"/>
        <w:tag w:val="_GBC_fc6e77974a404dc3bef5fc386ae4e1e7"/>
        <w:id w:val="-4916181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已确认的递延所得税资产和递延所得税负债"/>
          <w:tag w:val="_GBC_7be724d3c6f14974914db7d02bb734f9"/>
          <w:id w:val="7390663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bookmarkEnd w:id="306"/>
      <w:sdt>
        <w:sdtPr>
          <w:rPr>
            <w:rFonts w:hint="eastAsia"/>
            <w:color w:val="000000" w:themeColor="text1"/>
          </w:rPr>
          <w:alias w:val="币种：财务附注：已确认的递延所得税资产和递延所得税负债"/>
          <w:tag w:val="_GBC_a48237f045494aa9a0ea8c2cb35b1c0f"/>
          <w:id w:val="-1015733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1"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686"/>
        <w:gridCol w:w="1686"/>
        <w:gridCol w:w="1686"/>
        <w:gridCol w:w="1581"/>
      </w:tblGrid>
      <w:tr w:rsidR="00597370">
        <w:trPr>
          <w:trHeight w:val="285"/>
        </w:trPr>
        <w:sdt>
          <w:sdtPr>
            <w:rPr>
              <w:color w:val="000000" w:themeColor="text1"/>
            </w:rPr>
            <w:tag w:val="_PLD_e45101b3a01946f19f22657bb959574e"/>
            <w:id w:val="1202516021"/>
          </w:sdtPr>
          <w:sdtEndPr/>
          <w:sdtContent>
            <w:tc>
              <w:tcPr>
                <w:tcW w:w="1266" w:type="pct"/>
                <w:vMerge w:val="restar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dd892ffecd234c819059bf10f71b1910"/>
            <w:id w:val="-1751104721"/>
          </w:sdtPr>
          <w:sdtEndPr/>
          <w:sdtContent>
            <w:tc>
              <w:tcPr>
                <w:tcW w:w="1884" w:type="pct"/>
                <w:gridSpan w:val="2"/>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be855fcb002344d6ae2c74083e90b1c1"/>
            <w:id w:val="-1157686141"/>
          </w:sdtPr>
          <w:sdtEndPr/>
          <w:sdtContent>
            <w:tc>
              <w:tcPr>
                <w:tcW w:w="1848" w:type="pct"/>
                <w:gridSpan w:val="2"/>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trHeight w:val="285"/>
        </w:trPr>
        <w:tc>
          <w:tcPr>
            <w:tcW w:w="1266" w:type="pct"/>
            <w:vMerge/>
            <w:shd w:val="clear" w:color="auto" w:fill="auto"/>
            <w:vAlign w:val="center"/>
          </w:tcPr>
          <w:p w:rsidR="00597370" w:rsidRDefault="00597370">
            <w:pPr>
              <w:jc w:val="center"/>
              <w:rPr>
                <w:b/>
                <w:color w:val="000000" w:themeColor="text1"/>
              </w:rPr>
            </w:pPr>
          </w:p>
        </w:tc>
        <w:sdt>
          <w:sdtPr>
            <w:rPr>
              <w:color w:val="000000" w:themeColor="text1"/>
            </w:rPr>
            <w:tag w:val="_PLD_c82eb64547054aa39a1b7bfe7c532e2e"/>
            <w:id w:val="457069723"/>
          </w:sdtPr>
          <w:sdtEndPr/>
          <w:sdtContent>
            <w:tc>
              <w:tcPr>
                <w:tcW w:w="953" w:type="pct"/>
                <w:shd w:val="clear" w:color="auto" w:fill="auto"/>
                <w:vAlign w:val="center"/>
              </w:tcPr>
              <w:p w:rsidR="00597370" w:rsidRDefault="003C2EEE">
                <w:pPr>
                  <w:jc w:val="center"/>
                  <w:rPr>
                    <w:color w:val="000000" w:themeColor="text1"/>
                  </w:rPr>
                </w:pPr>
                <w:r>
                  <w:rPr>
                    <w:rFonts w:hint="eastAsia"/>
                    <w:color w:val="000000" w:themeColor="text1"/>
                  </w:rPr>
                  <w:t>可抵扣暂时性差异</w:t>
                </w:r>
              </w:p>
            </w:tc>
          </w:sdtContent>
        </w:sdt>
        <w:sdt>
          <w:sdtPr>
            <w:rPr>
              <w:color w:val="000000" w:themeColor="text1"/>
            </w:rPr>
            <w:tag w:val="_PLD_ad2e47975c52486d8bfc7fec079252de"/>
            <w:id w:val="272748629"/>
          </w:sdtPr>
          <w:sdtEndPr/>
          <w:sdtContent>
            <w:tc>
              <w:tcPr>
                <w:tcW w:w="931" w:type="pct"/>
                <w:shd w:val="clear" w:color="auto" w:fill="auto"/>
                <w:vAlign w:val="center"/>
              </w:tcPr>
              <w:p w:rsidR="00597370" w:rsidRDefault="003C2EEE">
                <w:pPr>
                  <w:jc w:val="center"/>
                  <w:rPr>
                    <w:color w:val="000000" w:themeColor="text1"/>
                  </w:rPr>
                </w:pPr>
                <w:r>
                  <w:rPr>
                    <w:rFonts w:hint="eastAsia"/>
                    <w:color w:val="000000" w:themeColor="text1"/>
                  </w:rPr>
                  <w:t>递延所得税</w:t>
                </w:r>
              </w:p>
              <w:p w:rsidR="00597370" w:rsidRDefault="003C2EEE">
                <w:pPr>
                  <w:jc w:val="center"/>
                  <w:rPr>
                    <w:color w:val="000000" w:themeColor="text1"/>
                  </w:rPr>
                </w:pPr>
                <w:r>
                  <w:rPr>
                    <w:rFonts w:hint="eastAsia"/>
                    <w:color w:val="000000" w:themeColor="text1"/>
                  </w:rPr>
                  <w:t>资产</w:t>
                </w:r>
              </w:p>
            </w:tc>
          </w:sdtContent>
        </w:sdt>
        <w:sdt>
          <w:sdtPr>
            <w:rPr>
              <w:color w:val="000000" w:themeColor="text1"/>
            </w:rPr>
            <w:tag w:val="_PLD_0e0e7aabb5f8432ea9da8b4066b2e897"/>
            <w:id w:val="-1445303011"/>
          </w:sdtPr>
          <w:sdtEndPr/>
          <w:sdtContent>
            <w:tc>
              <w:tcPr>
                <w:tcW w:w="954" w:type="pct"/>
                <w:shd w:val="clear" w:color="auto" w:fill="auto"/>
                <w:vAlign w:val="center"/>
              </w:tcPr>
              <w:p w:rsidR="00597370" w:rsidRDefault="003C2EEE">
                <w:pPr>
                  <w:jc w:val="center"/>
                  <w:rPr>
                    <w:color w:val="000000" w:themeColor="text1"/>
                  </w:rPr>
                </w:pPr>
                <w:r>
                  <w:rPr>
                    <w:rFonts w:hint="eastAsia"/>
                    <w:color w:val="000000" w:themeColor="text1"/>
                  </w:rPr>
                  <w:t>可抵扣暂时性差异</w:t>
                </w:r>
              </w:p>
            </w:tc>
          </w:sdtContent>
        </w:sdt>
        <w:sdt>
          <w:sdtPr>
            <w:rPr>
              <w:color w:val="000000" w:themeColor="text1"/>
            </w:rPr>
            <w:tag w:val="_PLD_34147e3346eb4b24b314e0dadaab6983"/>
            <w:id w:val="1211995931"/>
          </w:sdtPr>
          <w:sdtEndPr/>
          <w:sdtContent>
            <w:tc>
              <w:tcPr>
                <w:tcW w:w="894" w:type="pct"/>
                <w:shd w:val="clear" w:color="auto" w:fill="auto"/>
                <w:vAlign w:val="center"/>
              </w:tcPr>
              <w:p w:rsidR="00597370" w:rsidRDefault="003C2EEE">
                <w:pPr>
                  <w:jc w:val="center"/>
                  <w:rPr>
                    <w:color w:val="000000" w:themeColor="text1"/>
                  </w:rPr>
                </w:pPr>
                <w:r>
                  <w:rPr>
                    <w:rFonts w:hint="eastAsia"/>
                    <w:color w:val="000000" w:themeColor="text1"/>
                  </w:rPr>
                  <w:t>递延所得税</w:t>
                </w:r>
              </w:p>
              <w:p w:rsidR="00597370" w:rsidRDefault="003C2EEE">
                <w:pPr>
                  <w:jc w:val="center"/>
                  <w:rPr>
                    <w:color w:val="000000" w:themeColor="text1"/>
                  </w:rPr>
                </w:pPr>
                <w:r>
                  <w:rPr>
                    <w:rFonts w:hint="eastAsia"/>
                    <w:color w:val="000000" w:themeColor="text1"/>
                  </w:rPr>
                  <w:t>资产</w:t>
                </w:r>
              </w:p>
            </w:tc>
          </w:sdtContent>
        </w:sdt>
      </w:tr>
      <w:tr w:rsidR="00597370">
        <w:trPr>
          <w:trHeight w:val="432"/>
        </w:trPr>
        <w:tc>
          <w:tcPr>
            <w:tcW w:w="1266" w:type="pct"/>
            <w:shd w:val="clear" w:color="auto" w:fill="auto"/>
            <w:vAlign w:val="center"/>
          </w:tcPr>
          <w:p w:rsidR="00597370" w:rsidRDefault="003C2EEE">
            <w:pPr>
              <w:jc w:val="both"/>
              <w:rPr>
                <w:color w:val="000000" w:themeColor="text1"/>
              </w:rPr>
            </w:pPr>
            <w:r>
              <w:rPr>
                <w:rFonts w:hint="eastAsia"/>
                <w:color w:val="000000"/>
              </w:rPr>
              <w:t>资产减值准备</w:t>
            </w:r>
          </w:p>
        </w:tc>
        <w:tc>
          <w:tcPr>
            <w:tcW w:w="953" w:type="pct"/>
            <w:shd w:val="clear" w:color="auto" w:fill="auto"/>
            <w:vAlign w:val="center"/>
          </w:tcPr>
          <w:p w:rsidR="00597370" w:rsidRDefault="003C2EEE">
            <w:pPr>
              <w:jc w:val="right"/>
              <w:rPr>
                <w:color w:val="000000"/>
              </w:rPr>
            </w:pPr>
            <w:r>
              <w:t>243,810,888.52</w:t>
            </w:r>
          </w:p>
        </w:tc>
        <w:tc>
          <w:tcPr>
            <w:tcW w:w="931" w:type="pct"/>
            <w:shd w:val="clear" w:color="auto" w:fill="auto"/>
            <w:vAlign w:val="center"/>
          </w:tcPr>
          <w:p w:rsidR="00597370" w:rsidRDefault="003C2EEE">
            <w:pPr>
              <w:ind w:right="105"/>
              <w:jc w:val="right"/>
              <w:rPr>
                <w:color w:val="000000"/>
              </w:rPr>
            </w:pPr>
            <w:r>
              <w:t>36,623,989.12</w:t>
            </w:r>
          </w:p>
        </w:tc>
        <w:tc>
          <w:tcPr>
            <w:tcW w:w="954" w:type="pct"/>
            <w:shd w:val="clear" w:color="auto" w:fill="auto"/>
            <w:vAlign w:val="center"/>
          </w:tcPr>
          <w:p w:rsidR="00597370" w:rsidRDefault="003C2EEE">
            <w:pPr>
              <w:jc w:val="right"/>
            </w:pPr>
            <w:r>
              <w:t>122,068,004.53</w:t>
            </w:r>
          </w:p>
        </w:tc>
        <w:tc>
          <w:tcPr>
            <w:tcW w:w="894" w:type="pct"/>
            <w:shd w:val="clear" w:color="auto" w:fill="auto"/>
            <w:vAlign w:val="center"/>
          </w:tcPr>
          <w:p w:rsidR="00597370" w:rsidRDefault="003C2EEE">
            <w:pPr>
              <w:jc w:val="right"/>
            </w:pPr>
            <w:r>
              <w:t>22,454,541.81</w:t>
            </w:r>
          </w:p>
        </w:tc>
      </w:tr>
      <w:tr w:rsidR="00597370">
        <w:trPr>
          <w:trHeight w:val="436"/>
        </w:trPr>
        <w:tc>
          <w:tcPr>
            <w:tcW w:w="1266" w:type="pct"/>
            <w:shd w:val="clear" w:color="auto" w:fill="auto"/>
            <w:vAlign w:val="center"/>
          </w:tcPr>
          <w:p w:rsidR="00597370" w:rsidRDefault="003C2EEE">
            <w:pPr>
              <w:jc w:val="both"/>
              <w:rPr>
                <w:color w:val="000000" w:themeColor="text1"/>
              </w:rPr>
            </w:pPr>
            <w:r>
              <w:rPr>
                <w:rFonts w:hint="eastAsia"/>
                <w:color w:val="000000"/>
              </w:rPr>
              <w:t>预计负债</w:t>
            </w:r>
            <w:r>
              <w:rPr>
                <w:color w:val="000000"/>
              </w:rPr>
              <w:t xml:space="preserve">/租赁负债 </w:t>
            </w:r>
          </w:p>
        </w:tc>
        <w:tc>
          <w:tcPr>
            <w:tcW w:w="953" w:type="pct"/>
            <w:shd w:val="clear" w:color="auto" w:fill="auto"/>
            <w:vAlign w:val="center"/>
          </w:tcPr>
          <w:p w:rsidR="00597370" w:rsidRDefault="003C2EEE">
            <w:pPr>
              <w:jc w:val="right"/>
              <w:rPr>
                <w:color w:val="000000"/>
              </w:rPr>
            </w:pPr>
            <w:r>
              <w:t>6,788,719.10</w:t>
            </w:r>
          </w:p>
        </w:tc>
        <w:tc>
          <w:tcPr>
            <w:tcW w:w="931" w:type="pct"/>
            <w:shd w:val="clear" w:color="auto" w:fill="auto"/>
            <w:vAlign w:val="center"/>
          </w:tcPr>
          <w:p w:rsidR="00597370" w:rsidRDefault="003C2EEE">
            <w:pPr>
              <w:jc w:val="right"/>
              <w:rPr>
                <w:color w:val="000000"/>
              </w:rPr>
            </w:pPr>
            <w:r>
              <w:t>949,599.72</w:t>
            </w:r>
          </w:p>
        </w:tc>
        <w:tc>
          <w:tcPr>
            <w:tcW w:w="954" w:type="pct"/>
            <w:shd w:val="clear" w:color="auto" w:fill="auto"/>
            <w:vAlign w:val="center"/>
          </w:tcPr>
          <w:p w:rsidR="00597370" w:rsidRDefault="003C2EEE">
            <w:pPr>
              <w:jc w:val="right"/>
            </w:pPr>
            <w:r>
              <w:t>7,913,859.34</w:t>
            </w:r>
          </w:p>
        </w:tc>
        <w:tc>
          <w:tcPr>
            <w:tcW w:w="894" w:type="pct"/>
            <w:shd w:val="clear" w:color="auto" w:fill="auto"/>
            <w:vAlign w:val="center"/>
          </w:tcPr>
          <w:p w:rsidR="00597370" w:rsidRDefault="003C2EEE">
            <w:pPr>
              <w:jc w:val="right"/>
            </w:pPr>
            <w:r>
              <w:t>1,187,078.90</w:t>
            </w:r>
          </w:p>
        </w:tc>
      </w:tr>
      <w:tr w:rsidR="00597370">
        <w:trPr>
          <w:trHeight w:val="400"/>
        </w:trPr>
        <w:tc>
          <w:tcPr>
            <w:tcW w:w="1266" w:type="pct"/>
            <w:shd w:val="clear" w:color="auto" w:fill="auto"/>
            <w:vAlign w:val="center"/>
          </w:tcPr>
          <w:p w:rsidR="00597370" w:rsidRDefault="003C2EEE">
            <w:pPr>
              <w:pStyle w:val="Style106"/>
              <w:jc w:val="both"/>
            </w:pPr>
            <w:r>
              <w:rPr>
                <w:rFonts w:hint="eastAsia"/>
                <w:color w:val="000000"/>
              </w:rPr>
              <w:t>可抵扣亏损</w:t>
            </w:r>
          </w:p>
        </w:tc>
        <w:tc>
          <w:tcPr>
            <w:tcW w:w="953" w:type="pct"/>
            <w:shd w:val="clear" w:color="auto" w:fill="auto"/>
            <w:vAlign w:val="center"/>
          </w:tcPr>
          <w:p w:rsidR="00597370" w:rsidRDefault="003C2EEE">
            <w:pPr>
              <w:jc w:val="right"/>
              <w:textAlignment w:val="center"/>
              <w:rPr>
                <w:color w:val="000080"/>
                <w:sz w:val="18"/>
                <w:szCs w:val="18"/>
              </w:rPr>
            </w:pPr>
            <w:r>
              <w:t xml:space="preserve"> 26,168,904.53</w:t>
            </w:r>
            <w:r>
              <w:rPr>
                <w:color w:val="000080"/>
                <w:sz w:val="18"/>
                <w:szCs w:val="18"/>
                <w:lang w:bidi="ar"/>
              </w:rPr>
              <w:t xml:space="preserve"> </w:t>
            </w:r>
          </w:p>
        </w:tc>
        <w:tc>
          <w:tcPr>
            <w:tcW w:w="931" w:type="pct"/>
            <w:shd w:val="clear" w:color="auto" w:fill="auto"/>
            <w:vAlign w:val="center"/>
          </w:tcPr>
          <w:p w:rsidR="00597370" w:rsidRDefault="003C2EEE">
            <w:pPr>
              <w:jc w:val="right"/>
              <w:rPr>
                <w:color w:val="000000"/>
              </w:rPr>
            </w:pPr>
            <w:r>
              <w:t>4,019,233.69</w:t>
            </w:r>
          </w:p>
        </w:tc>
        <w:tc>
          <w:tcPr>
            <w:tcW w:w="954" w:type="pct"/>
            <w:shd w:val="clear" w:color="auto" w:fill="auto"/>
            <w:vAlign w:val="center"/>
          </w:tcPr>
          <w:p w:rsidR="00597370" w:rsidRDefault="003C2EEE">
            <w:pPr>
              <w:jc w:val="right"/>
            </w:pPr>
            <w:r>
              <w:t>5,354,955.91</w:t>
            </w:r>
          </w:p>
        </w:tc>
        <w:tc>
          <w:tcPr>
            <w:tcW w:w="894" w:type="pct"/>
            <w:shd w:val="clear" w:color="auto" w:fill="auto"/>
            <w:vAlign w:val="center"/>
          </w:tcPr>
          <w:p w:rsidR="00597370" w:rsidRDefault="003C2EEE">
            <w:pPr>
              <w:jc w:val="right"/>
            </w:pPr>
            <w:r>
              <w:t>814,047.81</w:t>
            </w:r>
          </w:p>
        </w:tc>
      </w:tr>
      <w:tr w:rsidR="00597370">
        <w:trPr>
          <w:trHeight w:val="422"/>
        </w:trPr>
        <w:tc>
          <w:tcPr>
            <w:tcW w:w="1266" w:type="pct"/>
            <w:shd w:val="clear" w:color="auto" w:fill="auto"/>
            <w:vAlign w:val="center"/>
          </w:tcPr>
          <w:p w:rsidR="00597370" w:rsidRDefault="003C2EEE">
            <w:pPr>
              <w:pStyle w:val="Style106"/>
              <w:jc w:val="both"/>
              <w:rPr>
                <w:color w:val="000000"/>
              </w:rPr>
            </w:pPr>
            <w:r>
              <w:rPr>
                <w:rFonts w:hint="eastAsia"/>
                <w:color w:val="000000"/>
              </w:rPr>
              <w:t>内部交易未实现利润</w:t>
            </w:r>
          </w:p>
        </w:tc>
        <w:tc>
          <w:tcPr>
            <w:tcW w:w="953" w:type="pct"/>
            <w:shd w:val="clear" w:color="auto" w:fill="auto"/>
            <w:vAlign w:val="center"/>
          </w:tcPr>
          <w:p w:rsidR="00597370" w:rsidRDefault="003C2EEE">
            <w:pPr>
              <w:jc w:val="right"/>
              <w:rPr>
                <w:color w:val="000000"/>
              </w:rPr>
            </w:pPr>
            <w:r>
              <w:t>997,472.67</w:t>
            </w:r>
          </w:p>
        </w:tc>
        <w:tc>
          <w:tcPr>
            <w:tcW w:w="931" w:type="pct"/>
            <w:shd w:val="clear" w:color="auto" w:fill="auto"/>
            <w:vAlign w:val="center"/>
          </w:tcPr>
          <w:p w:rsidR="00597370" w:rsidRDefault="003C2EEE">
            <w:pPr>
              <w:jc w:val="right"/>
              <w:rPr>
                <w:color w:val="000000"/>
              </w:rPr>
            </w:pPr>
            <w:r>
              <w:t>149,620.90</w:t>
            </w:r>
          </w:p>
        </w:tc>
        <w:tc>
          <w:tcPr>
            <w:tcW w:w="954" w:type="pct"/>
            <w:shd w:val="clear" w:color="auto" w:fill="auto"/>
            <w:vAlign w:val="center"/>
          </w:tcPr>
          <w:p w:rsidR="00597370" w:rsidRDefault="003C2EEE">
            <w:pPr>
              <w:jc w:val="right"/>
            </w:pPr>
            <w:r>
              <w:t>162,609.76</w:t>
            </w:r>
          </w:p>
        </w:tc>
        <w:tc>
          <w:tcPr>
            <w:tcW w:w="894" w:type="pct"/>
            <w:shd w:val="clear" w:color="auto" w:fill="auto"/>
            <w:vAlign w:val="center"/>
          </w:tcPr>
          <w:p w:rsidR="00597370" w:rsidRDefault="003C2EEE">
            <w:pPr>
              <w:jc w:val="right"/>
            </w:pPr>
            <w:r>
              <w:t>24,490.58</w:t>
            </w:r>
          </w:p>
        </w:tc>
      </w:tr>
      <w:tr w:rsidR="00597370">
        <w:trPr>
          <w:trHeight w:val="397"/>
        </w:trPr>
        <w:tc>
          <w:tcPr>
            <w:tcW w:w="1266" w:type="pct"/>
            <w:shd w:val="clear" w:color="auto" w:fill="auto"/>
            <w:vAlign w:val="center"/>
          </w:tcPr>
          <w:p w:rsidR="00597370" w:rsidRDefault="003C2EEE">
            <w:pPr>
              <w:jc w:val="both"/>
              <w:rPr>
                <w:color w:val="000000" w:themeColor="text1"/>
              </w:rPr>
            </w:pPr>
            <w:r>
              <w:rPr>
                <w:rFonts w:hint="eastAsia"/>
                <w:color w:val="000000" w:themeColor="text1"/>
              </w:rPr>
              <w:t>合计</w:t>
            </w:r>
          </w:p>
        </w:tc>
        <w:tc>
          <w:tcPr>
            <w:tcW w:w="953" w:type="pct"/>
            <w:shd w:val="clear" w:color="auto" w:fill="auto"/>
            <w:vAlign w:val="center"/>
          </w:tcPr>
          <w:p w:rsidR="00597370" w:rsidRDefault="003C2EEE">
            <w:pPr>
              <w:jc w:val="right"/>
              <w:textAlignment w:val="bottom"/>
              <w:rPr>
                <w:color w:val="000000"/>
              </w:rPr>
            </w:pPr>
            <w:r>
              <w:t>277,765,984.82</w:t>
            </w:r>
          </w:p>
        </w:tc>
        <w:tc>
          <w:tcPr>
            <w:tcW w:w="931" w:type="pct"/>
            <w:shd w:val="clear" w:color="auto" w:fill="auto"/>
            <w:vAlign w:val="center"/>
          </w:tcPr>
          <w:p w:rsidR="00597370" w:rsidRDefault="003C2EEE">
            <w:pPr>
              <w:jc w:val="right"/>
              <w:rPr>
                <w:color w:val="000000"/>
              </w:rPr>
            </w:pPr>
            <w:r>
              <w:t>41,742,443.43</w:t>
            </w:r>
          </w:p>
        </w:tc>
        <w:tc>
          <w:tcPr>
            <w:tcW w:w="954" w:type="pct"/>
            <w:shd w:val="clear" w:color="auto" w:fill="auto"/>
            <w:vAlign w:val="center"/>
          </w:tcPr>
          <w:p w:rsidR="00597370" w:rsidRDefault="003C2EEE">
            <w:pPr>
              <w:jc w:val="right"/>
            </w:pPr>
            <w:r>
              <w:t>135,499,429.54</w:t>
            </w:r>
          </w:p>
        </w:tc>
        <w:tc>
          <w:tcPr>
            <w:tcW w:w="894" w:type="pct"/>
            <w:shd w:val="clear" w:color="auto" w:fill="auto"/>
            <w:vAlign w:val="center"/>
          </w:tcPr>
          <w:p w:rsidR="00597370" w:rsidRDefault="003C2EEE">
            <w:pPr>
              <w:jc w:val="right"/>
            </w:pPr>
            <w:r>
              <w:t>24,480,159.10</w:t>
            </w:r>
          </w:p>
        </w:tc>
      </w:tr>
    </w:tbl>
    <w:p w:rsidR="00597370" w:rsidRDefault="00597370">
      <w:pPr>
        <w:rPr>
          <w:color w:val="000000" w:themeColor="text1"/>
        </w:rPr>
      </w:pPr>
    </w:p>
    <w:p w:rsidR="00597370" w:rsidRDefault="003C2EEE">
      <w:pPr>
        <w:pStyle w:val="Style110"/>
        <w:numPr>
          <w:ilvl w:val="0"/>
          <w:numId w:val="72"/>
        </w:numPr>
        <w:tabs>
          <w:tab w:val="left" w:pos="588"/>
          <w:tab w:val="left" w:pos="616"/>
        </w:tabs>
        <w:rPr>
          <w:rFonts w:ascii="宋体" w:hAnsi="宋体"/>
          <w:color w:val="000000" w:themeColor="text1"/>
        </w:rPr>
      </w:pPr>
      <w:bookmarkStart w:id="307" w:name="_Hlk11160621"/>
      <w:r>
        <w:rPr>
          <w:rFonts w:ascii="宋体" w:hAnsi="宋体" w:hint="eastAsia"/>
          <w:color w:val="000000" w:themeColor="text1"/>
        </w:rPr>
        <w:t>未经</w:t>
      </w:r>
      <w:proofErr w:type="gramStart"/>
      <w:r>
        <w:rPr>
          <w:rFonts w:ascii="宋体" w:hAnsi="宋体" w:hint="eastAsia"/>
          <w:color w:val="000000" w:themeColor="text1"/>
        </w:rPr>
        <w:t>抵销</w:t>
      </w:r>
      <w:proofErr w:type="gramEnd"/>
      <w:r>
        <w:rPr>
          <w:rFonts w:ascii="宋体" w:hAnsi="宋体" w:hint="eastAsia"/>
          <w:color w:val="000000" w:themeColor="text1"/>
        </w:rPr>
        <w:t>的递延所得税负债</w:t>
      </w:r>
    </w:p>
    <w:sdt>
      <w:sdtPr>
        <w:rPr>
          <w:color w:val="000000" w:themeColor="text1"/>
        </w:rPr>
        <w:alias w:val="是否适用：未经抵销的递延所得税负债[双击切换]"/>
        <w:tag w:val="_GBC_e9cf2825b61d4a9ca57e90c2ed017173"/>
        <w:id w:val="137380294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未经抵销的递延所得税负债"/>
          <w:tag w:val="_GBC_7fa4a7048e284eb79ceb0dee5165516f"/>
          <w:id w:val="-8129468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未经抵销的递延所得税负债"/>
          <w:tag w:val="_GBC_85beae3a7d624858bfe37a33da15472b"/>
          <w:id w:val="11792337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2"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277"/>
        <w:gridCol w:w="1685"/>
        <w:gridCol w:w="1585"/>
        <w:gridCol w:w="1684"/>
        <w:gridCol w:w="1596"/>
      </w:tblGrid>
      <w:tr w:rsidR="00597370">
        <w:trPr>
          <w:trHeight w:val="397"/>
          <w:jc w:val="center"/>
        </w:trPr>
        <w:bookmarkStart w:id="308" w:name="_Hlk11857349" w:displacedByCustomXml="next"/>
        <w:sdt>
          <w:sdtPr>
            <w:rPr>
              <w:rFonts w:asciiTheme="minorEastAsia" w:eastAsiaTheme="minorEastAsia" w:hAnsiTheme="minorEastAsia"/>
              <w:color w:val="000000" w:themeColor="text1"/>
            </w:rPr>
            <w:tag w:val="_PLD_66ef6111bb2d4b3792b581d6ff38c8d2"/>
            <w:id w:val="-1766301996"/>
          </w:sdtPr>
          <w:sdtEndPr/>
          <w:sdtContent>
            <w:tc>
              <w:tcPr>
                <w:tcW w:w="1289" w:type="pct"/>
                <w:vMerge w:val="restart"/>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color w:val="000000" w:themeColor="text1"/>
            </w:rPr>
            <w:tag w:val="_PLD_b850d4f63866495f80e69799c9ea1b37"/>
            <w:id w:val="1048953861"/>
          </w:sdtPr>
          <w:sdtEndPr/>
          <w:sdtContent>
            <w:tc>
              <w:tcPr>
                <w:tcW w:w="1852" w:type="pct"/>
                <w:gridSpan w:val="2"/>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color w:val="000000" w:themeColor="text1"/>
            </w:rPr>
            <w:tag w:val="_PLD_951c3eee882c4aaa862f620814f6ce4e"/>
            <w:id w:val="1512261807"/>
          </w:sdtPr>
          <w:sdtEndPr/>
          <w:sdtContent>
            <w:tc>
              <w:tcPr>
                <w:tcW w:w="1858" w:type="pct"/>
                <w:gridSpan w:val="2"/>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期初余额</w:t>
                </w:r>
              </w:p>
            </w:tc>
          </w:sdtContent>
        </w:sdt>
      </w:tr>
      <w:tr w:rsidR="00597370">
        <w:trPr>
          <w:trHeight w:val="397"/>
          <w:jc w:val="center"/>
        </w:trPr>
        <w:tc>
          <w:tcPr>
            <w:tcW w:w="1289" w:type="pct"/>
            <w:vMerge/>
            <w:shd w:val="clear" w:color="auto" w:fill="auto"/>
            <w:vAlign w:val="center"/>
          </w:tcPr>
          <w:p w:rsidR="00597370" w:rsidRDefault="00597370">
            <w:pPr>
              <w:jc w:val="center"/>
              <w:rPr>
                <w:rFonts w:asciiTheme="minorEastAsia" w:eastAsiaTheme="minorEastAsia" w:hAnsiTheme="minorEastAsia"/>
                <w:b/>
                <w:color w:val="000000" w:themeColor="text1"/>
              </w:rPr>
            </w:pPr>
          </w:p>
        </w:tc>
        <w:sdt>
          <w:sdtPr>
            <w:rPr>
              <w:rFonts w:asciiTheme="minorEastAsia" w:eastAsiaTheme="minorEastAsia" w:hAnsiTheme="minorEastAsia"/>
              <w:color w:val="000000" w:themeColor="text1"/>
            </w:rPr>
            <w:tag w:val="_PLD_f33e3c528ff14a2bac81ec99970641f6"/>
            <w:id w:val="-935674947"/>
          </w:sdtPr>
          <w:sdtEndPr/>
          <w:sdtContent>
            <w:tc>
              <w:tcPr>
                <w:tcW w:w="954" w:type="pct"/>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应纳税暂时性差异</w:t>
                </w:r>
              </w:p>
            </w:tc>
          </w:sdtContent>
        </w:sdt>
        <w:sdt>
          <w:sdtPr>
            <w:rPr>
              <w:rFonts w:asciiTheme="minorEastAsia" w:eastAsiaTheme="minorEastAsia" w:hAnsiTheme="minorEastAsia"/>
              <w:color w:val="000000" w:themeColor="text1"/>
            </w:rPr>
            <w:tag w:val="_PLD_0cb734f9904e4a57a5107d601b9b38d1"/>
            <w:id w:val="-1272306742"/>
          </w:sdtPr>
          <w:sdtEndPr/>
          <w:sdtContent>
            <w:tc>
              <w:tcPr>
                <w:tcW w:w="897" w:type="pct"/>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递延所得税</w:t>
                </w:r>
              </w:p>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负债</w:t>
                </w:r>
              </w:p>
            </w:tc>
          </w:sdtContent>
        </w:sdt>
        <w:sdt>
          <w:sdtPr>
            <w:rPr>
              <w:rFonts w:asciiTheme="minorEastAsia" w:eastAsiaTheme="minorEastAsia" w:hAnsiTheme="minorEastAsia"/>
              <w:color w:val="000000" w:themeColor="text1"/>
            </w:rPr>
            <w:tag w:val="_PLD_ddf3980c66a840e782386c14bb078052"/>
            <w:id w:val="1234041904"/>
          </w:sdtPr>
          <w:sdtEndPr/>
          <w:sdtContent>
            <w:tc>
              <w:tcPr>
                <w:tcW w:w="954" w:type="pct"/>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应纳税暂时性差异</w:t>
                </w:r>
              </w:p>
            </w:tc>
          </w:sdtContent>
        </w:sdt>
        <w:sdt>
          <w:sdtPr>
            <w:rPr>
              <w:rFonts w:asciiTheme="minorEastAsia" w:eastAsiaTheme="minorEastAsia" w:hAnsiTheme="minorEastAsia"/>
              <w:color w:val="000000" w:themeColor="text1"/>
            </w:rPr>
            <w:tag w:val="_PLD_590dc17e8304449fbff47c3b3cd45eb5"/>
            <w:id w:val="781850626"/>
          </w:sdtPr>
          <w:sdtEndPr/>
          <w:sdtContent>
            <w:tc>
              <w:tcPr>
                <w:tcW w:w="904" w:type="pct"/>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递延所得税</w:t>
                </w:r>
              </w:p>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负债</w:t>
                </w:r>
              </w:p>
            </w:tc>
          </w:sdtContent>
        </w:sdt>
      </w:tr>
      <w:tr w:rsidR="00597370">
        <w:trPr>
          <w:trHeight w:val="397"/>
          <w:jc w:val="center"/>
        </w:trPr>
        <w:tc>
          <w:tcPr>
            <w:tcW w:w="1289" w:type="pct"/>
            <w:shd w:val="clear" w:color="auto" w:fill="auto"/>
            <w:vAlign w:val="center"/>
          </w:tcPr>
          <w:p w:rsidR="00597370" w:rsidRDefault="003C2EEE">
            <w:pPr>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一次性税前扣除的固定资产</w:t>
            </w:r>
          </w:p>
        </w:tc>
        <w:tc>
          <w:tcPr>
            <w:tcW w:w="95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 348,812,884.05 </w:t>
            </w:r>
          </w:p>
        </w:tc>
        <w:tc>
          <w:tcPr>
            <w:tcW w:w="897"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 52,405,842.34 </w:t>
            </w:r>
          </w:p>
        </w:tc>
        <w:tc>
          <w:tcPr>
            <w:tcW w:w="95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308,354,257.78</w:t>
            </w:r>
          </w:p>
        </w:tc>
        <w:tc>
          <w:tcPr>
            <w:tcW w:w="90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46,293,523.15</w:t>
            </w:r>
          </w:p>
        </w:tc>
      </w:tr>
      <w:tr w:rsidR="00597370">
        <w:trPr>
          <w:trHeight w:val="397"/>
          <w:jc w:val="center"/>
        </w:trPr>
        <w:tc>
          <w:tcPr>
            <w:tcW w:w="1289" w:type="pct"/>
            <w:shd w:val="clear" w:color="auto" w:fill="auto"/>
            <w:vAlign w:val="center"/>
          </w:tcPr>
          <w:p w:rsidR="00597370" w:rsidRDefault="003C2EEE">
            <w:pPr>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非同</w:t>
            </w:r>
            <w:proofErr w:type="gramStart"/>
            <w:r>
              <w:rPr>
                <w:rFonts w:asciiTheme="minorEastAsia" w:eastAsiaTheme="minorEastAsia" w:hAnsiTheme="minorEastAsia" w:hint="eastAsia"/>
                <w:color w:val="000000" w:themeColor="text1"/>
              </w:rPr>
              <w:t>一控制</w:t>
            </w:r>
            <w:proofErr w:type="gramEnd"/>
            <w:r>
              <w:rPr>
                <w:rFonts w:asciiTheme="minorEastAsia" w:eastAsiaTheme="minorEastAsia" w:hAnsiTheme="minorEastAsia" w:hint="eastAsia"/>
                <w:color w:val="000000" w:themeColor="text1"/>
              </w:rPr>
              <w:t>企业合并资产评估增值</w:t>
            </w:r>
          </w:p>
        </w:tc>
        <w:tc>
          <w:tcPr>
            <w:tcW w:w="1693" w:type="dxa"/>
            <w:shd w:val="clear" w:color="auto" w:fill="auto"/>
            <w:vAlign w:val="center"/>
          </w:tcPr>
          <w:p w:rsidR="00597370" w:rsidRDefault="003C2EEE">
            <w:pPr>
              <w:jc w:val="right"/>
              <w:textAlignment w:val="bottom"/>
              <w:rPr>
                <w:rFonts w:asciiTheme="minorEastAsia" w:eastAsiaTheme="minorEastAsia" w:hAnsiTheme="minorEastAsia"/>
              </w:rPr>
            </w:pPr>
            <w:r>
              <w:rPr>
                <w:rFonts w:hint="eastAsia"/>
                <w:color w:val="000000"/>
                <w:lang w:bidi="ar"/>
              </w:rPr>
              <w:t>98,493,087.72</w:t>
            </w:r>
          </w:p>
        </w:tc>
        <w:tc>
          <w:tcPr>
            <w:tcW w:w="1591" w:type="dxa"/>
            <w:shd w:val="clear" w:color="auto" w:fill="auto"/>
            <w:vAlign w:val="center"/>
          </w:tcPr>
          <w:p w:rsidR="00597370" w:rsidRDefault="003C2EEE">
            <w:pPr>
              <w:jc w:val="right"/>
              <w:textAlignment w:val="bottom"/>
              <w:rPr>
                <w:rFonts w:asciiTheme="minorEastAsia" w:eastAsiaTheme="minorEastAsia" w:hAnsiTheme="minorEastAsia"/>
              </w:rPr>
            </w:pPr>
            <w:r>
              <w:rPr>
                <w:rFonts w:hint="eastAsia"/>
                <w:color w:val="000000"/>
                <w:lang w:bidi="ar"/>
              </w:rPr>
              <w:t>14,773,963.16</w:t>
            </w:r>
          </w:p>
        </w:tc>
        <w:tc>
          <w:tcPr>
            <w:tcW w:w="954" w:type="pct"/>
            <w:shd w:val="clear" w:color="auto" w:fill="auto"/>
            <w:vAlign w:val="center"/>
          </w:tcPr>
          <w:p w:rsidR="00597370" w:rsidRDefault="00597370">
            <w:pPr>
              <w:jc w:val="right"/>
              <w:rPr>
                <w:rFonts w:asciiTheme="minorEastAsia" w:eastAsiaTheme="minorEastAsia" w:hAnsiTheme="minorEastAsia"/>
              </w:rPr>
            </w:pPr>
          </w:p>
        </w:tc>
        <w:tc>
          <w:tcPr>
            <w:tcW w:w="904" w:type="pct"/>
            <w:shd w:val="clear" w:color="auto" w:fill="auto"/>
            <w:vAlign w:val="center"/>
          </w:tcPr>
          <w:p w:rsidR="00597370" w:rsidRDefault="00597370">
            <w:pPr>
              <w:jc w:val="right"/>
              <w:rPr>
                <w:rFonts w:asciiTheme="minorEastAsia" w:eastAsiaTheme="minorEastAsia" w:hAnsiTheme="minorEastAsia"/>
              </w:rPr>
            </w:pPr>
          </w:p>
        </w:tc>
      </w:tr>
      <w:tr w:rsidR="00597370">
        <w:trPr>
          <w:trHeight w:val="397"/>
          <w:jc w:val="center"/>
        </w:trPr>
        <w:tc>
          <w:tcPr>
            <w:tcW w:w="1289" w:type="pct"/>
            <w:shd w:val="clear" w:color="auto" w:fill="auto"/>
            <w:vAlign w:val="center"/>
          </w:tcPr>
          <w:p w:rsidR="00597370" w:rsidRDefault="003C2EEE">
            <w:pPr>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加速</w:t>
            </w:r>
            <w:r>
              <w:rPr>
                <w:rFonts w:asciiTheme="minorEastAsia" w:eastAsiaTheme="minorEastAsia" w:hAnsiTheme="minorEastAsia"/>
                <w:color w:val="000000" w:themeColor="text1"/>
              </w:rPr>
              <w:t>折旧税前扣除的固定资产</w:t>
            </w:r>
          </w:p>
        </w:tc>
        <w:tc>
          <w:tcPr>
            <w:tcW w:w="95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 11,934,405.33 </w:t>
            </w:r>
          </w:p>
        </w:tc>
        <w:tc>
          <w:tcPr>
            <w:tcW w:w="897"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 1,790,160.80 </w:t>
            </w:r>
          </w:p>
        </w:tc>
        <w:tc>
          <w:tcPr>
            <w:tcW w:w="954" w:type="pct"/>
            <w:shd w:val="clear" w:color="auto" w:fill="auto"/>
            <w:vAlign w:val="center"/>
          </w:tcPr>
          <w:p w:rsidR="00597370" w:rsidRDefault="00597370">
            <w:pPr>
              <w:jc w:val="right"/>
              <w:rPr>
                <w:rFonts w:asciiTheme="minorEastAsia" w:eastAsiaTheme="minorEastAsia" w:hAnsiTheme="minorEastAsia"/>
              </w:rPr>
            </w:pPr>
          </w:p>
        </w:tc>
        <w:tc>
          <w:tcPr>
            <w:tcW w:w="904" w:type="pct"/>
            <w:shd w:val="clear" w:color="auto" w:fill="auto"/>
            <w:vAlign w:val="center"/>
          </w:tcPr>
          <w:p w:rsidR="00597370" w:rsidRDefault="00597370">
            <w:pPr>
              <w:jc w:val="right"/>
              <w:rPr>
                <w:rFonts w:asciiTheme="minorEastAsia" w:eastAsiaTheme="minorEastAsia" w:hAnsiTheme="minorEastAsia"/>
              </w:rPr>
            </w:pPr>
          </w:p>
        </w:tc>
      </w:tr>
      <w:tr w:rsidR="00597370">
        <w:trPr>
          <w:trHeight w:val="397"/>
          <w:jc w:val="center"/>
        </w:trPr>
        <w:tc>
          <w:tcPr>
            <w:tcW w:w="1289" w:type="pct"/>
            <w:shd w:val="clear" w:color="auto" w:fill="auto"/>
            <w:vAlign w:val="center"/>
          </w:tcPr>
          <w:p w:rsidR="00597370" w:rsidRDefault="003C2EEE">
            <w:pPr>
              <w:pStyle w:val="Style106"/>
              <w:jc w:val="both"/>
              <w:rPr>
                <w:rFonts w:asciiTheme="minorEastAsia" w:eastAsiaTheme="minorEastAsia" w:hAnsiTheme="minorEastAsia"/>
              </w:rPr>
            </w:pPr>
            <w:r>
              <w:rPr>
                <w:rFonts w:asciiTheme="minorEastAsia" w:eastAsiaTheme="minorEastAsia" w:hAnsiTheme="minorEastAsia" w:hint="eastAsia"/>
              </w:rPr>
              <w:t>使用权</w:t>
            </w:r>
            <w:r>
              <w:rPr>
                <w:rFonts w:asciiTheme="minorEastAsia" w:eastAsiaTheme="minorEastAsia" w:hAnsiTheme="minorEastAsia"/>
              </w:rPr>
              <w:t>资产</w:t>
            </w:r>
          </w:p>
        </w:tc>
        <w:tc>
          <w:tcPr>
            <w:tcW w:w="95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 5,887,451.13 </w:t>
            </w:r>
          </w:p>
        </w:tc>
        <w:tc>
          <w:tcPr>
            <w:tcW w:w="897"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 883,117.67 </w:t>
            </w:r>
          </w:p>
        </w:tc>
        <w:tc>
          <w:tcPr>
            <w:tcW w:w="95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7,482,779.47</w:t>
            </w:r>
          </w:p>
        </w:tc>
        <w:tc>
          <w:tcPr>
            <w:tcW w:w="90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1,122,416.92</w:t>
            </w:r>
          </w:p>
        </w:tc>
      </w:tr>
      <w:tr w:rsidR="00597370">
        <w:trPr>
          <w:trHeight w:val="397"/>
          <w:jc w:val="center"/>
        </w:trPr>
        <w:tc>
          <w:tcPr>
            <w:tcW w:w="1289" w:type="pct"/>
            <w:shd w:val="clear" w:color="auto" w:fill="auto"/>
            <w:vAlign w:val="center"/>
          </w:tcPr>
          <w:p w:rsidR="00597370" w:rsidRDefault="003C2EEE">
            <w:pPr>
              <w:ind w:right="105"/>
              <w:jc w:val="both"/>
              <w:rPr>
                <w:rFonts w:asciiTheme="minorEastAsia" w:eastAsiaTheme="minorEastAsia" w:hAnsiTheme="minorEastAsia"/>
                <w:color w:val="000000"/>
              </w:rPr>
            </w:pPr>
            <w:r>
              <w:rPr>
                <w:rFonts w:asciiTheme="minorEastAsia" w:eastAsiaTheme="minorEastAsia" w:hAnsiTheme="minorEastAsia" w:hint="eastAsia"/>
                <w:color w:val="000000"/>
              </w:rPr>
              <w:t>其他权益投资公允价值变动</w:t>
            </w:r>
          </w:p>
        </w:tc>
        <w:tc>
          <w:tcPr>
            <w:tcW w:w="954" w:type="pct"/>
            <w:shd w:val="clear" w:color="auto" w:fill="auto"/>
            <w:vAlign w:val="center"/>
          </w:tcPr>
          <w:p w:rsidR="00597370" w:rsidRDefault="003C2EEE">
            <w:pPr>
              <w:jc w:val="right"/>
              <w:rPr>
                <w:rFonts w:asciiTheme="minorEastAsia" w:eastAsiaTheme="minorEastAsia" w:hAnsiTheme="minorEastAsia"/>
                <w:color w:val="000000"/>
              </w:rPr>
            </w:pPr>
            <w:r>
              <w:rPr>
                <w:rFonts w:asciiTheme="minorEastAsia" w:eastAsiaTheme="minorEastAsia" w:hAnsiTheme="minorEastAsia"/>
                <w:color w:val="000000"/>
              </w:rPr>
              <w:t xml:space="preserve"> 13,306,337.10 </w:t>
            </w:r>
          </w:p>
        </w:tc>
        <w:tc>
          <w:tcPr>
            <w:tcW w:w="897" w:type="pct"/>
            <w:shd w:val="clear" w:color="auto" w:fill="auto"/>
            <w:vAlign w:val="center"/>
          </w:tcPr>
          <w:p w:rsidR="00597370" w:rsidRDefault="003C2EEE">
            <w:pPr>
              <w:jc w:val="right"/>
              <w:rPr>
                <w:rFonts w:asciiTheme="minorEastAsia" w:eastAsiaTheme="minorEastAsia" w:hAnsiTheme="minorEastAsia"/>
                <w:color w:val="000000"/>
              </w:rPr>
            </w:pPr>
            <w:r>
              <w:rPr>
                <w:rFonts w:asciiTheme="minorEastAsia" w:eastAsiaTheme="minorEastAsia" w:hAnsiTheme="minorEastAsia"/>
                <w:color w:val="000000"/>
              </w:rPr>
              <w:t xml:space="preserve"> 1,995,950.57 </w:t>
            </w:r>
          </w:p>
        </w:tc>
        <w:tc>
          <w:tcPr>
            <w:tcW w:w="954" w:type="pct"/>
            <w:shd w:val="clear" w:color="auto" w:fill="auto"/>
            <w:vAlign w:val="center"/>
          </w:tcPr>
          <w:p w:rsidR="00597370" w:rsidRDefault="00597370">
            <w:pPr>
              <w:jc w:val="right"/>
              <w:rPr>
                <w:rFonts w:asciiTheme="minorEastAsia" w:eastAsiaTheme="minorEastAsia" w:hAnsiTheme="minorEastAsia"/>
              </w:rPr>
            </w:pPr>
          </w:p>
        </w:tc>
        <w:tc>
          <w:tcPr>
            <w:tcW w:w="904" w:type="pct"/>
            <w:shd w:val="clear" w:color="auto" w:fill="auto"/>
            <w:vAlign w:val="center"/>
          </w:tcPr>
          <w:p w:rsidR="00597370" w:rsidRDefault="00597370">
            <w:pPr>
              <w:jc w:val="right"/>
              <w:rPr>
                <w:rFonts w:asciiTheme="minorEastAsia" w:eastAsiaTheme="minorEastAsia" w:hAnsiTheme="minorEastAsia"/>
              </w:rPr>
            </w:pPr>
          </w:p>
        </w:tc>
      </w:tr>
      <w:tr w:rsidR="00597370">
        <w:trPr>
          <w:trHeight w:val="397"/>
          <w:jc w:val="center"/>
        </w:trPr>
        <w:tc>
          <w:tcPr>
            <w:tcW w:w="1289" w:type="pct"/>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tc>
          <w:tcPr>
            <w:tcW w:w="95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olor w:val="000000"/>
              </w:rPr>
              <w:t xml:space="preserve"> 478,434,165.33 </w:t>
            </w:r>
          </w:p>
        </w:tc>
        <w:tc>
          <w:tcPr>
            <w:tcW w:w="897"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color w:val="000000"/>
              </w:rPr>
              <w:t xml:space="preserve"> 71,849,034.54 </w:t>
            </w:r>
          </w:p>
        </w:tc>
        <w:tc>
          <w:tcPr>
            <w:tcW w:w="95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315,837,037.25</w:t>
            </w:r>
          </w:p>
        </w:tc>
        <w:tc>
          <w:tcPr>
            <w:tcW w:w="904"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47,415,940.07</w:t>
            </w:r>
          </w:p>
        </w:tc>
      </w:tr>
    </w:tbl>
    <w:p w:rsidR="00597370" w:rsidRDefault="00597370">
      <w:pPr>
        <w:rPr>
          <w:color w:val="000000" w:themeColor="text1"/>
        </w:rPr>
      </w:pPr>
    </w:p>
    <w:p w:rsidR="00597370" w:rsidRDefault="003C2EEE">
      <w:pPr>
        <w:pStyle w:val="Style110"/>
        <w:numPr>
          <w:ilvl w:val="0"/>
          <w:numId w:val="72"/>
        </w:numPr>
        <w:tabs>
          <w:tab w:val="left" w:pos="588"/>
          <w:tab w:val="left" w:pos="616"/>
        </w:tabs>
        <w:rPr>
          <w:rFonts w:ascii="宋体" w:hAnsi="宋体"/>
          <w:color w:val="000000" w:themeColor="text1"/>
        </w:rPr>
      </w:pPr>
      <w:bookmarkStart w:id="309" w:name="_Hlk11160645"/>
      <w:bookmarkEnd w:id="307"/>
      <w:bookmarkEnd w:id="308"/>
      <w:r>
        <w:rPr>
          <w:rFonts w:ascii="宋体" w:hAnsi="宋体" w:hint="eastAsia"/>
          <w:color w:val="000000" w:themeColor="text1"/>
        </w:rPr>
        <w:t>以</w:t>
      </w:r>
      <w:proofErr w:type="gramStart"/>
      <w:r>
        <w:rPr>
          <w:rFonts w:ascii="宋体" w:hAnsi="宋体" w:hint="eastAsia"/>
          <w:color w:val="000000" w:themeColor="text1"/>
        </w:rPr>
        <w:t>抵销</w:t>
      </w:r>
      <w:proofErr w:type="gramEnd"/>
      <w:r>
        <w:rPr>
          <w:rFonts w:ascii="宋体" w:hAnsi="宋体" w:hint="eastAsia"/>
          <w:color w:val="000000" w:themeColor="text1"/>
        </w:rPr>
        <w:t>后净额列示的递延所得税资产或负债</w:t>
      </w:r>
    </w:p>
    <w:sdt>
      <w:sdtPr>
        <w:rPr>
          <w:color w:val="000000" w:themeColor="text1"/>
        </w:rPr>
        <w:alias w:val="是否适用：以抵销后净额列示的递延所得税资产或负债[双击切换]"/>
        <w:tag w:val="_GBC_d6419a9d2dc94127a5f6aea72cb2a94d"/>
        <w:id w:val="121206955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72"/>
        </w:numPr>
        <w:tabs>
          <w:tab w:val="left" w:pos="588"/>
          <w:tab w:val="left" w:pos="616"/>
        </w:tabs>
        <w:rPr>
          <w:rFonts w:ascii="宋体" w:hAnsi="宋体"/>
          <w:color w:val="000000" w:themeColor="text1"/>
        </w:rPr>
      </w:pPr>
      <w:bookmarkStart w:id="310" w:name="_Hlk11160660"/>
      <w:bookmarkEnd w:id="309"/>
      <w:r>
        <w:rPr>
          <w:rFonts w:ascii="宋体" w:hAnsi="宋体" w:hint="eastAsia"/>
          <w:color w:val="000000" w:themeColor="text1"/>
        </w:rPr>
        <w:t>未确认递延所得税资产明细</w:t>
      </w:r>
    </w:p>
    <w:sdt>
      <w:sdtPr>
        <w:rPr>
          <w:color w:val="000000" w:themeColor="text1"/>
        </w:rPr>
        <w:alias w:val="是否适用：未确认递延所得税资产明细[双击切换]"/>
        <w:tag w:val="_GBC_f210878b05204277b5f70ed9ae786ea7"/>
        <w:id w:val="115495585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72"/>
        </w:numPr>
        <w:tabs>
          <w:tab w:val="left" w:pos="588"/>
          <w:tab w:val="left" w:pos="616"/>
        </w:tabs>
        <w:rPr>
          <w:rFonts w:ascii="宋体" w:hAnsi="宋体"/>
          <w:color w:val="000000" w:themeColor="text1"/>
        </w:rPr>
      </w:pPr>
      <w:bookmarkStart w:id="311" w:name="_Hlk11160672"/>
      <w:bookmarkEnd w:id="310"/>
      <w:r>
        <w:rPr>
          <w:rFonts w:ascii="宋体" w:hAnsi="宋体" w:hint="eastAsia"/>
          <w:color w:val="000000" w:themeColor="text1"/>
        </w:rPr>
        <w:t>未确认递延所得税资产的可抵扣亏损将于以下年度到期</w:t>
      </w:r>
    </w:p>
    <w:sdt>
      <w:sdtPr>
        <w:rPr>
          <w:color w:val="000000" w:themeColor="text1"/>
        </w:rPr>
        <w:alias w:val="是否适用：未确认递延所得税资产的可抵扣亏损将于以下年度到期[双击切换]"/>
        <w:tag w:val="_GBC_10d31911cedc4147b90ab71d35742bf4"/>
        <w:id w:val="-207596271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11"/>
    <w:p w:rsidR="00597370" w:rsidRDefault="003C2EEE">
      <w:pPr>
        <w:rPr>
          <w:color w:val="000000" w:themeColor="text1"/>
        </w:rPr>
      </w:pPr>
      <w:r>
        <w:rPr>
          <w:rFonts w:hint="eastAsia"/>
          <w:color w:val="000000" w:themeColor="text1"/>
        </w:rPr>
        <w:t>其他说明：</w:t>
      </w:r>
    </w:p>
    <w:sdt>
      <w:sdtPr>
        <w:rPr>
          <w:color w:val="000000" w:themeColor="text1"/>
        </w:rPr>
        <w:alias w:val="是否适用：递延所得税资产和递延所得税负债的说明[双击切换]"/>
        <w:tag w:val="_GBC_06478ceb6b7447a791a4a5cbf8cc7e95"/>
        <w:id w:val="-56649604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bookmarkStart w:id="312" w:name="_Hlk10535308"/>
      <w:r>
        <w:rPr>
          <w:rFonts w:ascii="宋体" w:hAnsi="宋体" w:hint="eastAsia"/>
          <w:color w:val="000000" w:themeColor="text1"/>
          <w:szCs w:val="21"/>
        </w:rPr>
        <w:t>其他非流动资产</w:t>
      </w:r>
    </w:p>
    <w:sdt>
      <w:sdtPr>
        <w:rPr>
          <w:color w:val="000000" w:themeColor="text1"/>
        </w:rPr>
        <w:alias w:val="是否适用：其他非流动资产[双击切换]"/>
        <w:tag w:val="_GBC_227882aeaa9b4aa98d6af8bcac2af7a5"/>
        <w:id w:val="36418510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color w:val="000000" w:themeColor="text1"/>
          </w:rPr>
          <w:alias w:val="单位：财务附注：其他非流动资产"/>
          <w:tag w:val="_GBC_5fd172528c7e4c4c8619b250ae90cdb4"/>
          <w:id w:val="15890394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其他非流动资产"/>
          <w:tag w:val="_GBC_4cd5c26035ba4f7384dee597c98f0cb6"/>
          <w:id w:val="-15852198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4965"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852"/>
        <w:gridCol w:w="1991"/>
        <w:gridCol w:w="601"/>
        <w:gridCol w:w="1656"/>
        <w:gridCol w:w="1591"/>
        <w:gridCol w:w="479"/>
        <w:gridCol w:w="1591"/>
      </w:tblGrid>
      <w:tr w:rsidR="00597370">
        <w:sdt>
          <w:sdtPr>
            <w:rPr>
              <w:color w:val="000000" w:themeColor="text1"/>
            </w:rPr>
            <w:tag w:val="_PLD_a0072e7adb6c49bb95cec91e0b7ec491"/>
            <w:id w:val="358713792"/>
          </w:sdtPr>
          <w:sdtEndPr/>
          <w:sdtContent>
            <w:tc>
              <w:tcPr>
                <w:tcW w:w="513" w:type="pct"/>
                <w:vMerge w:val="restar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9557fd4b49c84b3db8c9ae69c7346562"/>
            <w:id w:val="-425964761"/>
          </w:sdtPr>
          <w:sdtEndPr/>
          <w:sdtContent>
            <w:tc>
              <w:tcPr>
                <w:tcW w:w="2417" w:type="pct"/>
                <w:gridSpan w:val="3"/>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dad73a13c6c344aaa0bec642175f96c3"/>
            <w:id w:val="1958133463"/>
          </w:sdtPr>
          <w:sdtEndPr/>
          <w:sdtContent>
            <w:tc>
              <w:tcPr>
                <w:tcW w:w="2069" w:type="pct"/>
                <w:gridSpan w:val="3"/>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trHeight w:val="90"/>
        </w:trPr>
        <w:tc>
          <w:tcPr>
            <w:tcW w:w="513" w:type="pct"/>
            <w:vMerge/>
            <w:shd w:val="clear" w:color="auto" w:fill="auto"/>
            <w:vAlign w:val="center"/>
          </w:tcPr>
          <w:p w:rsidR="00597370" w:rsidRDefault="00597370">
            <w:pPr>
              <w:jc w:val="center"/>
              <w:rPr>
                <w:color w:val="000000" w:themeColor="text1"/>
              </w:rPr>
            </w:pPr>
          </w:p>
        </w:tc>
        <w:tc>
          <w:tcPr>
            <w:tcW w:w="1163" w:type="pct"/>
            <w:vAlign w:val="center"/>
          </w:tcPr>
          <w:sdt>
            <w:sdtPr>
              <w:rPr>
                <w:rFonts w:hint="eastAsia"/>
                <w:color w:val="000000" w:themeColor="text1"/>
              </w:rPr>
              <w:tag w:val="_PLD_93d316b5ed8d45ea95cfce051b0f999d"/>
              <w:id w:val="-1397201466"/>
            </w:sdtPr>
            <w:sdtEndPr/>
            <w:sdtContent>
              <w:p w:rsidR="00597370" w:rsidRDefault="003C2EEE">
                <w:pPr>
                  <w:jc w:val="center"/>
                  <w:rPr>
                    <w:color w:val="000000" w:themeColor="text1"/>
                  </w:rPr>
                </w:pPr>
                <w:r>
                  <w:rPr>
                    <w:rFonts w:hint="eastAsia"/>
                    <w:color w:val="000000" w:themeColor="text1"/>
                  </w:rPr>
                  <w:t>账面余额</w:t>
                </w:r>
              </w:p>
            </w:sdtContent>
          </w:sdt>
        </w:tc>
        <w:tc>
          <w:tcPr>
            <w:tcW w:w="370" w:type="pct"/>
            <w:vAlign w:val="center"/>
          </w:tcPr>
          <w:sdt>
            <w:sdtPr>
              <w:rPr>
                <w:color w:val="000000" w:themeColor="text1"/>
              </w:rPr>
              <w:tag w:val="_PLD_ce9573e9b47f4859912e77c530974f87"/>
              <w:id w:val="-1008052199"/>
            </w:sdtPr>
            <w:sdtEndPr/>
            <w:sdtContent>
              <w:p w:rsidR="00597370" w:rsidRDefault="003C2EEE">
                <w:pPr>
                  <w:jc w:val="center"/>
                  <w:rPr>
                    <w:color w:val="000000" w:themeColor="text1"/>
                  </w:rPr>
                </w:pPr>
                <w:r>
                  <w:rPr>
                    <w:color w:val="000000" w:themeColor="text1"/>
                  </w:rPr>
                  <w:t>减值准备</w:t>
                </w:r>
              </w:p>
            </w:sdtContent>
          </w:sdt>
        </w:tc>
        <w:tc>
          <w:tcPr>
            <w:tcW w:w="884" w:type="pct"/>
            <w:shd w:val="clear" w:color="auto" w:fill="auto"/>
            <w:vAlign w:val="center"/>
          </w:tcPr>
          <w:sdt>
            <w:sdtPr>
              <w:rPr>
                <w:color w:val="000000" w:themeColor="text1"/>
              </w:rPr>
              <w:tag w:val="_PLD_4b72c2cb7df84a3a9384f2eaa1acaf3a"/>
              <w:id w:val="13497846"/>
            </w:sdtPr>
            <w:sdtEndPr/>
            <w:sdtContent>
              <w:p w:rsidR="00597370" w:rsidRDefault="003C2EEE">
                <w:pPr>
                  <w:jc w:val="center"/>
                  <w:rPr>
                    <w:color w:val="000000" w:themeColor="text1"/>
                  </w:rPr>
                </w:pPr>
                <w:r>
                  <w:rPr>
                    <w:color w:val="000000" w:themeColor="text1"/>
                  </w:rPr>
                  <w:t>账面价值</w:t>
                </w:r>
              </w:p>
            </w:sdtContent>
          </w:sdt>
        </w:tc>
        <w:tc>
          <w:tcPr>
            <w:tcW w:w="884" w:type="pct"/>
            <w:vAlign w:val="center"/>
          </w:tcPr>
          <w:sdt>
            <w:sdtPr>
              <w:rPr>
                <w:color w:val="000000" w:themeColor="text1"/>
              </w:rPr>
              <w:tag w:val="_PLD_31abd03025c54702bba8f28fbcd435be"/>
              <w:id w:val="1273280488"/>
            </w:sdtPr>
            <w:sdtEndPr/>
            <w:sdtContent>
              <w:p w:rsidR="00597370" w:rsidRDefault="003C2EEE">
                <w:pPr>
                  <w:jc w:val="center"/>
                  <w:rPr>
                    <w:color w:val="000000" w:themeColor="text1"/>
                  </w:rPr>
                </w:pPr>
                <w:r>
                  <w:rPr>
                    <w:color w:val="000000" w:themeColor="text1"/>
                  </w:rPr>
                  <w:t>账面余额</w:t>
                </w:r>
              </w:p>
            </w:sdtContent>
          </w:sdt>
        </w:tc>
        <w:tc>
          <w:tcPr>
            <w:tcW w:w="300" w:type="pct"/>
            <w:vAlign w:val="center"/>
          </w:tcPr>
          <w:sdt>
            <w:sdtPr>
              <w:rPr>
                <w:color w:val="000000" w:themeColor="text1"/>
              </w:rPr>
              <w:tag w:val="_PLD_5650816a035d4b9d999e9f87d1506d3b"/>
              <w:id w:val="-1786035363"/>
            </w:sdtPr>
            <w:sdtEndPr/>
            <w:sdtContent>
              <w:p w:rsidR="00597370" w:rsidRDefault="003C2EEE">
                <w:pPr>
                  <w:jc w:val="center"/>
                  <w:rPr>
                    <w:color w:val="000000" w:themeColor="text1"/>
                  </w:rPr>
                </w:pPr>
                <w:r>
                  <w:rPr>
                    <w:color w:val="000000" w:themeColor="text1"/>
                  </w:rPr>
                  <w:t>减值准备</w:t>
                </w:r>
              </w:p>
            </w:sdtContent>
          </w:sdt>
        </w:tc>
        <w:tc>
          <w:tcPr>
            <w:tcW w:w="884" w:type="pct"/>
            <w:shd w:val="clear" w:color="auto" w:fill="auto"/>
            <w:vAlign w:val="center"/>
          </w:tcPr>
          <w:sdt>
            <w:sdtPr>
              <w:rPr>
                <w:color w:val="000000" w:themeColor="text1"/>
              </w:rPr>
              <w:tag w:val="_PLD_76b67d2d1c1543c0b22ec33e5ae8e28a"/>
              <w:id w:val="-2014985422"/>
            </w:sdtPr>
            <w:sdtEndPr/>
            <w:sdtContent>
              <w:p w:rsidR="00597370" w:rsidRDefault="003C2EEE">
                <w:pPr>
                  <w:jc w:val="center"/>
                  <w:rPr>
                    <w:color w:val="000000" w:themeColor="text1"/>
                  </w:rPr>
                </w:pPr>
                <w:r>
                  <w:rPr>
                    <w:color w:val="000000" w:themeColor="text1"/>
                  </w:rPr>
                  <w:t>账面价值</w:t>
                </w:r>
              </w:p>
            </w:sdtContent>
          </w:sdt>
        </w:tc>
      </w:tr>
      <w:tr w:rsidR="00597370">
        <w:tc>
          <w:tcPr>
            <w:tcW w:w="513" w:type="pct"/>
            <w:shd w:val="clear" w:color="auto" w:fill="auto"/>
            <w:vAlign w:val="center"/>
          </w:tcPr>
          <w:p w:rsidR="00597370" w:rsidRDefault="003C2EEE">
            <w:pPr>
              <w:jc w:val="both"/>
              <w:rPr>
                <w:color w:val="000000" w:themeColor="text1"/>
              </w:rPr>
            </w:pPr>
            <w:r>
              <w:rPr>
                <w:rFonts w:hint="eastAsia"/>
                <w:color w:val="000000" w:themeColor="text1"/>
              </w:rPr>
              <w:t>预付工程、设备款</w:t>
            </w:r>
          </w:p>
        </w:tc>
        <w:tc>
          <w:tcPr>
            <w:tcW w:w="1163" w:type="pct"/>
            <w:shd w:val="clear" w:color="auto" w:fill="auto"/>
            <w:vAlign w:val="center"/>
          </w:tcPr>
          <w:p w:rsidR="00597370" w:rsidRDefault="003C2EEE">
            <w:pPr>
              <w:jc w:val="right"/>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color w:val="000000"/>
                <w:sz w:val="22"/>
                <w:szCs w:val="22"/>
                <w:lang w:bidi="ar"/>
              </w:rPr>
              <w:t>11,057,144.79</w:t>
            </w:r>
            <w:r>
              <w:rPr>
                <w:rFonts w:asciiTheme="minorEastAsia" w:eastAsiaTheme="minorEastAsia" w:hAnsiTheme="minorEastAsia" w:cstheme="minorEastAsia" w:hint="eastAsia"/>
                <w:color w:val="000000"/>
                <w:sz w:val="22"/>
                <w:szCs w:val="22"/>
                <w:lang w:bidi="ar"/>
              </w:rPr>
              <w:t xml:space="preserve"> </w:t>
            </w:r>
          </w:p>
        </w:tc>
        <w:tc>
          <w:tcPr>
            <w:tcW w:w="370" w:type="pct"/>
            <w:vAlign w:val="center"/>
          </w:tcPr>
          <w:p w:rsidR="00597370" w:rsidRDefault="00597370">
            <w:pPr>
              <w:jc w:val="right"/>
              <w:rPr>
                <w:rFonts w:asciiTheme="minorEastAsia" w:eastAsiaTheme="minorEastAsia" w:hAnsiTheme="minorEastAsia" w:cstheme="minorEastAsia"/>
              </w:rPr>
            </w:pPr>
          </w:p>
        </w:tc>
        <w:tc>
          <w:tcPr>
            <w:tcW w:w="1591" w:type="dxa"/>
            <w:shd w:val="clear" w:color="auto" w:fill="auto"/>
            <w:vAlign w:val="center"/>
          </w:tcPr>
          <w:p w:rsidR="00597370" w:rsidRDefault="003C2EEE">
            <w:pPr>
              <w:jc w:val="right"/>
              <w:textAlignment w:val="center"/>
              <w:rPr>
                <w:rFonts w:asciiTheme="minorEastAsia" w:eastAsiaTheme="minorEastAsia" w:hAnsiTheme="minorEastAsia" w:cstheme="minorEastAsia"/>
              </w:rPr>
            </w:pPr>
            <w:r>
              <w:rPr>
                <w:rFonts w:asciiTheme="minorEastAsia" w:eastAsiaTheme="minorEastAsia" w:hAnsiTheme="minorEastAsia" w:cstheme="minorEastAsia"/>
                <w:color w:val="000000"/>
                <w:sz w:val="22"/>
                <w:szCs w:val="22"/>
                <w:lang w:bidi="ar"/>
              </w:rPr>
              <w:t>11,057,144.79</w:t>
            </w:r>
          </w:p>
        </w:tc>
        <w:tc>
          <w:tcPr>
            <w:tcW w:w="884" w:type="pct"/>
            <w:vAlign w:val="center"/>
          </w:tcPr>
          <w:p w:rsidR="00597370" w:rsidRDefault="003C2EEE">
            <w:pPr>
              <w:jc w:val="right"/>
            </w:pPr>
            <w:r>
              <w:t>68,538,506.70</w:t>
            </w:r>
          </w:p>
        </w:tc>
        <w:tc>
          <w:tcPr>
            <w:tcW w:w="300" w:type="pct"/>
            <w:vAlign w:val="center"/>
          </w:tcPr>
          <w:p w:rsidR="00597370" w:rsidRDefault="003C2EEE">
            <w:pPr>
              <w:jc w:val="right"/>
            </w:pPr>
            <w:r>
              <w:t xml:space="preserve">                            </w:t>
            </w:r>
          </w:p>
        </w:tc>
        <w:tc>
          <w:tcPr>
            <w:tcW w:w="884" w:type="pct"/>
            <w:shd w:val="clear" w:color="auto" w:fill="auto"/>
            <w:vAlign w:val="center"/>
          </w:tcPr>
          <w:p w:rsidR="00597370" w:rsidRDefault="003C2EEE">
            <w:pPr>
              <w:jc w:val="right"/>
            </w:pPr>
            <w:r>
              <w:t>68,538,506.70</w:t>
            </w:r>
          </w:p>
        </w:tc>
      </w:tr>
      <w:tr w:rsidR="00597370">
        <w:tc>
          <w:tcPr>
            <w:tcW w:w="513" w:type="pct"/>
            <w:shd w:val="clear" w:color="auto" w:fill="auto"/>
            <w:vAlign w:val="center"/>
          </w:tcPr>
          <w:p w:rsidR="00597370" w:rsidRDefault="003C2EEE">
            <w:pPr>
              <w:jc w:val="both"/>
              <w:rPr>
                <w:color w:val="000000" w:themeColor="text1"/>
              </w:rPr>
            </w:pPr>
            <w:r>
              <w:rPr>
                <w:rFonts w:hint="eastAsia"/>
                <w:color w:val="000000" w:themeColor="text1"/>
              </w:rPr>
              <w:t>预付投资保证金</w:t>
            </w:r>
          </w:p>
        </w:tc>
        <w:tc>
          <w:tcPr>
            <w:tcW w:w="1163" w:type="pct"/>
            <w:vAlign w:val="center"/>
          </w:tcPr>
          <w:p w:rsidR="00597370" w:rsidRDefault="00597370">
            <w:pPr>
              <w:jc w:val="right"/>
              <w:rPr>
                <w:rFonts w:asciiTheme="minorEastAsia" w:eastAsiaTheme="minorEastAsia" w:hAnsiTheme="minorEastAsia" w:cstheme="minorEastAsia"/>
              </w:rPr>
            </w:pPr>
          </w:p>
        </w:tc>
        <w:tc>
          <w:tcPr>
            <w:tcW w:w="370" w:type="pct"/>
            <w:vAlign w:val="center"/>
          </w:tcPr>
          <w:p w:rsidR="00597370" w:rsidRDefault="00597370">
            <w:pPr>
              <w:jc w:val="right"/>
              <w:rPr>
                <w:rFonts w:asciiTheme="minorEastAsia" w:eastAsiaTheme="minorEastAsia" w:hAnsiTheme="minorEastAsia" w:cstheme="minorEastAsia"/>
              </w:rPr>
            </w:pPr>
          </w:p>
        </w:tc>
        <w:tc>
          <w:tcPr>
            <w:tcW w:w="1591" w:type="dxa"/>
            <w:shd w:val="clear" w:color="auto" w:fill="auto"/>
            <w:vAlign w:val="center"/>
          </w:tcPr>
          <w:p w:rsidR="00597370" w:rsidRDefault="00597370">
            <w:pPr>
              <w:jc w:val="right"/>
              <w:rPr>
                <w:rFonts w:asciiTheme="minorEastAsia" w:eastAsiaTheme="minorEastAsia" w:hAnsiTheme="minorEastAsia" w:cstheme="minorEastAsia"/>
              </w:rPr>
            </w:pPr>
          </w:p>
        </w:tc>
        <w:tc>
          <w:tcPr>
            <w:tcW w:w="884" w:type="pct"/>
            <w:vAlign w:val="center"/>
          </w:tcPr>
          <w:p w:rsidR="00597370" w:rsidRDefault="003C2EEE">
            <w:pPr>
              <w:jc w:val="right"/>
            </w:pPr>
            <w:r>
              <w:t>10,000,000.00</w:t>
            </w:r>
          </w:p>
        </w:tc>
        <w:tc>
          <w:tcPr>
            <w:tcW w:w="300" w:type="pct"/>
            <w:vAlign w:val="center"/>
          </w:tcPr>
          <w:p w:rsidR="00597370" w:rsidRDefault="00597370">
            <w:pPr>
              <w:jc w:val="right"/>
            </w:pPr>
          </w:p>
        </w:tc>
        <w:tc>
          <w:tcPr>
            <w:tcW w:w="884" w:type="pct"/>
            <w:shd w:val="clear" w:color="auto" w:fill="auto"/>
            <w:vAlign w:val="center"/>
          </w:tcPr>
          <w:p w:rsidR="00597370" w:rsidRDefault="003C2EEE">
            <w:pPr>
              <w:jc w:val="right"/>
            </w:pPr>
            <w:r>
              <w:t>10,000,000.00</w:t>
            </w:r>
          </w:p>
        </w:tc>
      </w:tr>
      <w:tr w:rsidR="00597370">
        <w:trPr>
          <w:trHeight w:val="567"/>
        </w:trPr>
        <w:tc>
          <w:tcPr>
            <w:tcW w:w="513" w:type="pct"/>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1163" w:type="pct"/>
            <w:shd w:val="clear" w:color="auto" w:fill="auto"/>
            <w:vAlign w:val="center"/>
          </w:tcPr>
          <w:p w:rsidR="00597370" w:rsidRDefault="003C2EEE">
            <w:pPr>
              <w:jc w:val="right"/>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color w:val="000000"/>
                <w:sz w:val="22"/>
                <w:szCs w:val="22"/>
                <w:lang w:bidi="ar"/>
              </w:rPr>
              <w:t>11,057,144.79</w:t>
            </w:r>
            <w:r>
              <w:rPr>
                <w:rFonts w:asciiTheme="minorEastAsia" w:eastAsiaTheme="minorEastAsia" w:hAnsiTheme="minorEastAsia" w:cstheme="minorEastAsia" w:hint="eastAsia"/>
                <w:color w:val="000000"/>
                <w:sz w:val="22"/>
                <w:szCs w:val="22"/>
                <w:lang w:bidi="ar"/>
              </w:rPr>
              <w:t xml:space="preserve"> </w:t>
            </w:r>
          </w:p>
        </w:tc>
        <w:tc>
          <w:tcPr>
            <w:tcW w:w="370" w:type="pct"/>
            <w:vAlign w:val="center"/>
          </w:tcPr>
          <w:p w:rsidR="00597370" w:rsidRDefault="00597370">
            <w:pPr>
              <w:jc w:val="right"/>
              <w:rPr>
                <w:rFonts w:asciiTheme="minorEastAsia" w:eastAsiaTheme="minorEastAsia" w:hAnsiTheme="minorEastAsia" w:cstheme="minorEastAsia"/>
              </w:rPr>
            </w:pPr>
          </w:p>
        </w:tc>
        <w:tc>
          <w:tcPr>
            <w:tcW w:w="1591" w:type="dxa"/>
            <w:shd w:val="clear" w:color="auto" w:fill="auto"/>
            <w:vAlign w:val="center"/>
          </w:tcPr>
          <w:p w:rsidR="00597370" w:rsidRDefault="003C2EEE">
            <w:pPr>
              <w:jc w:val="right"/>
              <w:textAlignment w:val="center"/>
              <w:rPr>
                <w:rFonts w:asciiTheme="minorEastAsia" w:eastAsiaTheme="minorEastAsia" w:hAnsiTheme="minorEastAsia" w:cstheme="minorEastAsia"/>
              </w:rPr>
            </w:pPr>
            <w:r>
              <w:rPr>
                <w:rFonts w:asciiTheme="minorEastAsia" w:eastAsiaTheme="minorEastAsia" w:hAnsiTheme="minorEastAsia" w:cstheme="minorEastAsia"/>
                <w:color w:val="000000"/>
                <w:sz w:val="22"/>
                <w:szCs w:val="22"/>
                <w:lang w:bidi="ar"/>
              </w:rPr>
              <w:t>11,057,144.79</w:t>
            </w:r>
            <w:r>
              <w:rPr>
                <w:rFonts w:asciiTheme="minorEastAsia" w:eastAsiaTheme="minorEastAsia" w:hAnsiTheme="minorEastAsia" w:cstheme="minorEastAsia" w:hint="eastAsia"/>
                <w:color w:val="000000"/>
                <w:sz w:val="22"/>
                <w:szCs w:val="22"/>
                <w:lang w:bidi="ar"/>
              </w:rPr>
              <w:t xml:space="preserve"> </w:t>
            </w:r>
          </w:p>
        </w:tc>
        <w:tc>
          <w:tcPr>
            <w:tcW w:w="884" w:type="pct"/>
            <w:vAlign w:val="center"/>
          </w:tcPr>
          <w:p w:rsidR="00597370" w:rsidRDefault="003C2EEE">
            <w:pPr>
              <w:jc w:val="right"/>
            </w:pPr>
            <w:r>
              <w:t>78,538,506.70</w:t>
            </w:r>
          </w:p>
        </w:tc>
        <w:tc>
          <w:tcPr>
            <w:tcW w:w="300" w:type="pct"/>
            <w:vAlign w:val="center"/>
          </w:tcPr>
          <w:p w:rsidR="00597370" w:rsidRDefault="00597370">
            <w:pPr>
              <w:jc w:val="right"/>
            </w:pPr>
          </w:p>
        </w:tc>
        <w:tc>
          <w:tcPr>
            <w:tcW w:w="884" w:type="pct"/>
            <w:shd w:val="clear" w:color="auto" w:fill="auto"/>
            <w:vAlign w:val="center"/>
          </w:tcPr>
          <w:p w:rsidR="00597370" w:rsidRDefault="003C2EEE">
            <w:pPr>
              <w:jc w:val="right"/>
            </w:pPr>
            <w:r>
              <w:t>78,538,506.70</w:t>
            </w:r>
          </w:p>
        </w:tc>
      </w:tr>
    </w:tbl>
    <w:p w:rsidR="00597370" w:rsidRDefault="003C2EEE">
      <w:pPr>
        <w:rPr>
          <w:color w:val="000000" w:themeColor="text1"/>
        </w:rPr>
      </w:pPr>
      <w:r>
        <w:rPr>
          <w:rFonts w:hint="eastAsia"/>
          <w:color w:val="000000" w:themeColor="text1"/>
        </w:rPr>
        <w:t>其他说明：</w:t>
      </w:r>
    </w:p>
    <w:p w:rsidR="00597370" w:rsidRDefault="006840ED">
      <w:pPr>
        <w:rPr>
          <w:color w:val="000000" w:themeColor="text1"/>
        </w:rPr>
      </w:pPr>
      <w:sdt>
        <w:sdtPr>
          <w:rPr>
            <w:color w:val="000000" w:themeColor="text1"/>
          </w:rPr>
          <w:alias w:val="其他长期资产的说明"/>
          <w:tag w:val="_GBC_c90d49970b64411f909938927f41ebe5"/>
          <w:id w:val="-1365908786"/>
          <w:placeholder>
            <w:docPart w:val="GBC22222222222222222222222222222"/>
          </w:placeholder>
        </w:sdtPr>
        <w:sdtEndPr/>
        <w:sdtContent>
          <w:r w:rsidR="003C2EEE">
            <w:rPr>
              <w:rFonts w:hint="eastAsia"/>
              <w:color w:val="000000" w:themeColor="text1"/>
            </w:rPr>
            <w:t>无</w:t>
          </w:r>
        </w:sdtContent>
      </w:sdt>
    </w:p>
    <w:p w:rsidR="00597370" w:rsidRDefault="003C2EEE">
      <w:pPr>
        <w:pStyle w:val="Style109"/>
        <w:numPr>
          <w:ilvl w:val="0"/>
          <w:numId w:val="46"/>
        </w:numPr>
        <w:tabs>
          <w:tab w:val="left" w:pos="504"/>
        </w:tabs>
        <w:rPr>
          <w:rFonts w:ascii="宋体" w:hAnsi="宋体" w:cs="宋体"/>
          <w:color w:val="000000" w:themeColor="text1"/>
          <w:kern w:val="0"/>
          <w:szCs w:val="21"/>
        </w:rPr>
      </w:pPr>
      <w:bookmarkStart w:id="313" w:name="_Hlk167960140"/>
      <w:bookmarkEnd w:id="312"/>
      <w:r>
        <w:rPr>
          <w:rFonts w:ascii="宋体" w:hAnsi="宋体" w:cs="宋体" w:hint="eastAsia"/>
          <w:color w:val="000000" w:themeColor="text1"/>
          <w:kern w:val="0"/>
          <w:szCs w:val="21"/>
        </w:rPr>
        <w:t>所有权或使用权受限资产</w:t>
      </w:r>
    </w:p>
    <w:sdt>
      <w:sdtPr>
        <w:rPr>
          <w:color w:val="000000" w:themeColor="text1"/>
        </w:rPr>
        <w:alias w:val="是否适用：所有权或使用权受到限制的资产[双击切换]"/>
        <w:tag w:val="_GBC_006357d26b6d46ec8496596e5de014f0"/>
        <w:id w:val="155750786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a7102ff3db4e4d8a94bd9f34e41fd91f"/>
          <w:id w:val="212025236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万元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所有权或使用权受到限制的资产"/>
          <w:tag w:val="_GBC_95c4fec9be7647a5baa402b14dcb9f69"/>
          <w:id w:val="20986742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3"/>
        <w:tblW w:w="5000" w:type="pct"/>
        <w:jc w:val="center"/>
        <w:tblLayout w:type="fixed"/>
        <w:tblCellMar>
          <w:left w:w="0" w:type="dxa"/>
          <w:right w:w="28" w:type="dxa"/>
        </w:tblCellMar>
        <w:tblLook w:val="04A0" w:firstRow="1" w:lastRow="0" w:firstColumn="1" w:lastColumn="0" w:noHBand="0" w:noVBand="1"/>
      </w:tblPr>
      <w:tblGrid>
        <w:gridCol w:w="890"/>
        <w:gridCol w:w="1124"/>
        <w:gridCol w:w="1124"/>
        <w:gridCol w:w="884"/>
        <w:gridCol w:w="884"/>
        <w:gridCol w:w="1056"/>
        <w:gridCol w:w="1056"/>
        <w:gridCol w:w="884"/>
        <w:gridCol w:w="921"/>
      </w:tblGrid>
      <w:tr w:rsidR="00597370">
        <w:trPr>
          <w:trHeight w:val="397"/>
          <w:jc w:val="center"/>
        </w:trPr>
        <w:sdt>
          <w:sdtPr>
            <w:rPr>
              <w:rFonts w:ascii="Times New Roman" w:hAnsi="Times New Roman" w:hint="eastAsia"/>
              <w:color w:val="000000" w:themeColor="text1"/>
            </w:rPr>
            <w:tag w:val="_PLD_1faeb04f4bf14b349ad8c59d6667b0fb"/>
            <w:id w:val="1043170652"/>
          </w:sdtPr>
          <w:sdtEndPr/>
          <w:sdtContent>
            <w:tc>
              <w:tcPr>
                <w:tcW w:w="890" w:type="dxa"/>
                <w:vMerge w:val="restart"/>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项目</w:t>
                </w:r>
              </w:p>
            </w:tc>
          </w:sdtContent>
        </w:sdt>
        <w:sdt>
          <w:sdtPr>
            <w:rPr>
              <w:rFonts w:ascii="Times New Roman" w:hAnsi="Times New Roman" w:hint="eastAsia"/>
              <w:color w:val="000000" w:themeColor="text1"/>
            </w:rPr>
            <w:tag w:val="_PLD_c2f91c04994b44019d90769d6b563b17"/>
            <w:id w:val="-359505635"/>
          </w:sdtPr>
          <w:sdtEndPr/>
          <w:sdtContent>
            <w:tc>
              <w:tcPr>
                <w:tcW w:w="4016" w:type="dxa"/>
                <w:gridSpan w:val="4"/>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期末</w:t>
                </w:r>
              </w:p>
            </w:tc>
          </w:sdtContent>
        </w:sdt>
        <w:sdt>
          <w:sdtPr>
            <w:rPr>
              <w:rFonts w:ascii="Times New Roman" w:hAnsi="Times New Roman" w:hint="eastAsia"/>
              <w:color w:val="000000" w:themeColor="text1"/>
            </w:rPr>
            <w:tag w:val="_PLD_a4db33e8a01e48af856e896d9a21aa2b"/>
            <w:id w:val="-521783761"/>
          </w:sdtPr>
          <w:sdtEndPr/>
          <w:sdtContent>
            <w:tc>
              <w:tcPr>
                <w:tcW w:w="3917" w:type="dxa"/>
                <w:gridSpan w:val="4"/>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期初</w:t>
                </w:r>
              </w:p>
            </w:tc>
          </w:sdtContent>
        </w:sdt>
      </w:tr>
      <w:tr w:rsidR="00597370">
        <w:trPr>
          <w:trHeight w:val="397"/>
          <w:jc w:val="center"/>
        </w:trPr>
        <w:tc>
          <w:tcPr>
            <w:tcW w:w="890" w:type="dxa"/>
            <w:vMerge/>
          </w:tcPr>
          <w:p w:rsidR="00597370" w:rsidRDefault="00597370">
            <w:pPr>
              <w:rPr>
                <w:rFonts w:ascii="Times New Roman" w:hAnsi="Times New Roman"/>
                <w:color w:val="000000" w:themeColor="text1"/>
              </w:rPr>
            </w:pPr>
          </w:p>
        </w:tc>
        <w:sdt>
          <w:sdtPr>
            <w:rPr>
              <w:rFonts w:ascii="Times New Roman" w:hAnsi="Times New Roman"/>
              <w:color w:val="000000" w:themeColor="text1"/>
            </w:rPr>
            <w:tag w:val="_PLD_4ba4c960e2ab4b31a1704a41594547f5"/>
            <w:id w:val="-29572625"/>
          </w:sdtPr>
          <w:sdtEndPr/>
          <w:sdtContent>
            <w:tc>
              <w:tcPr>
                <w:tcW w:w="1124"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账面余额</w:t>
                </w:r>
              </w:p>
            </w:tc>
          </w:sdtContent>
        </w:sdt>
        <w:sdt>
          <w:sdtPr>
            <w:rPr>
              <w:rFonts w:ascii="Times New Roman" w:hAnsi="Times New Roman"/>
              <w:color w:val="000000" w:themeColor="text1"/>
            </w:rPr>
            <w:tag w:val="_PLD_73e1cd74d6d14f48b88c0ac46580634a"/>
            <w:id w:val="1629820725"/>
          </w:sdtPr>
          <w:sdtEndPr/>
          <w:sdtContent>
            <w:tc>
              <w:tcPr>
                <w:tcW w:w="1124"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账面价值</w:t>
                </w:r>
              </w:p>
            </w:tc>
          </w:sdtContent>
        </w:sdt>
        <w:sdt>
          <w:sdtPr>
            <w:rPr>
              <w:rFonts w:ascii="Times New Roman" w:hAnsi="Times New Roman"/>
              <w:color w:val="000000" w:themeColor="text1"/>
            </w:rPr>
            <w:tag w:val="_PLD_7e2b8d1452f04530979fb1795878387b"/>
            <w:id w:val="-1903668323"/>
          </w:sdtPr>
          <w:sdtEndPr/>
          <w:sdtContent>
            <w:tc>
              <w:tcPr>
                <w:tcW w:w="884"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受限类型</w:t>
                </w:r>
              </w:p>
            </w:tc>
          </w:sdtContent>
        </w:sdt>
        <w:sdt>
          <w:sdtPr>
            <w:rPr>
              <w:rFonts w:ascii="Times New Roman" w:hAnsi="Times New Roman"/>
              <w:color w:val="000000" w:themeColor="text1"/>
            </w:rPr>
            <w:tag w:val="_PLD_85649273a58f4daebca471b337c689b7"/>
            <w:id w:val="230055009"/>
          </w:sdtPr>
          <w:sdtEndPr/>
          <w:sdtContent>
            <w:tc>
              <w:tcPr>
                <w:tcW w:w="884"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受限情况</w:t>
                </w:r>
              </w:p>
            </w:tc>
          </w:sdtContent>
        </w:sdt>
        <w:sdt>
          <w:sdtPr>
            <w:rPr>
              <w:rFonts w:ascii="Times New Roman" w:hAnsi="Times New Roman"/>
              <w:color w:val="000000" w:themeColor="text1"/>
            </w:rPr>
            <w:tag w:val="_PLD_185f68e2333346e5b0c53a9ec276e404"/>
            <w:id w:val="1174845245"/>
          </w:sdtPr>
          <w:sdtEndPr/>
          <w:sdtContent>
            <w:tc>
              <w:tcPr>
                <w:tcW w:w="1056"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账面余额</w:t>
                </w:r>
              </w:p>
            </w:tc>
          </w:sdtContent>
        </w:sdt>
        <w:sdt>
          <w:sdtPr>
            <w:rPr>
              <w:rFonts w:ascii="Times New Roman" w:hAnsi="Times New Roman"/>
              <w:color w:val="000000" w:themeColor="text1"/>
            </w:rPr>
            <w:tag w:val="_PLD_c92ffe9b652b42a095b39310603e580a"/>
            <w:id w:val="202609278"/>
          </w:sdtPr>
          <w:sdtEndPr/>
          <w:sdtContent>
            <w:tc>
              <w:tcPr>
                <w:tcW w:w="1056"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账面价值</w:t>
                </w:r>
              </w:p>
            </w:tc>
          </w:sdtContent>
        </w:sdt>
        <w:sdt>
          <w:sdtPr>
            <w:rPr>
              <w:rFonts w:ascii="Times New Roman" w:hAnsi="Times New Roman"/>
              <w:color w:val="000000" w:themeColor="text1"/>
            </w:rPr>
            <w:tag w:val="_PLD_8acb0a1b50e14924933495ec38dd30e1"/>
            <w:id w:val="1393854835"/>
          </w:sdtPr>
          <w:sdtEndPr/>
          <w:sdtContent>
            <w:tc>
              <w:tcPr>
                <w:tcW w:w="884"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受限类型</w:t>
                </w:r>
              </w:p>
            </w:tc>
          </w:sdtContent>
        </w:sdt>
        <w:sdt>
          <w:sdtPr>
            <w:rPr>
              <w:rFonts w:ascii="Times New Roman" w:hAnsi="Times New Roman"/>
              <w:color w:val="000000" w:themeColor="text1"/>
            </w:rPr>
            <w:tag w:val="_PLD_6297a0a81c884eab9519ec385b0b6dbe"/>
            <w:id w:val="1603146067"/>
          </w:sdtPr>
          <w:sdtEndPr/>
          <w:sdtContent>
            <w:tc>
              <w:tcPr>
                <w:tcW w:w="921"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受限情况</w:t>
                </w:r>
              </w:p>
            </w:tc>
          </w:sdtContent>
        </w:sdt>
      </w:tr>
      <w:tr w:rsidR="00597370">
        <w:trPr>
          <w:trHeight w:val="397"/>
          <w:jc w:val="center"/>
        </w:trPr>
        <w:tc>
          <w:tcPr>
            <w:tcW w:w="890" w:type="dxa"/>
            <w:vAlign w:val="center"/>
          </w:tcPr>
          <w:p w:rsidR="00597370" w:rsidRDefault="003C2EEE">
            <w:pPr>
              <w:jc w:val="right"/>
              <w:rPr>
                <w:rFonts w:ascii="Times New Roman" w:hAnsi="Times New Roman"/>
                <w:color w:val="000000" w:themeColor="text1"/>
              </w:rPr>
            </w:pPr>
            <w:r>
              <w:rPr>
                <w:rFonts w:ascii="Times New Roman" w:hAnsi="Times New Roman"/>
                <w:color w:val="000000" w:themeColor="text1"/>
              </w:rPr>
              <w:t>货币资金</w:t>
            </w:r>
          </w:p>
        </w:tc>
        <w:tc>
          <w:tcPr>
            <w:tcW w:w="1124" w:type="dxa"/>
            <w:vAlign w:val="center"/>
          </w:tcPr>
          <w:p w:rsidR="00597370" w:rsidRDefault="003C2EEE">
            <w:pPr>
              <w:jc w:val="right"/>
              <w:rPr>
                <w:rFonts w:asciiTheme="minorEastAsia" w:eastAsiaTheme="minorEastAsia" w:hAnsiTheme="minorEastAsia"/>
              </w:rPr>
            </w:pPr>
            <w:r>
              <w:t>14,075.16</w:t>
            </w:r>
          </w:p>
        </w:tc>
        <w:tc>
          <w:tcPr>
            <w:tcW w:w="1124" w:type="dxa"/>
            <w:vAlign w:val="center"/>
          </w:tcPr>
          <w:p w:rsidR="00597370" w:rsidRDefault="003C2EEE">
            <w:pPr>
              <w:jc w:val="right"/>
              <w:rPr>
                <w:rFonts w:asciiTheme="minorEastAsia" w:eastAsiaTheme="minorEastAsia" w:hAnsiTheme="minorEastAsia"/>
              </w:rPr>
            </w:pPr>
            <w:r>
              <w:t>14,075.16</w:t>
            </w:r>
          </w:p>
        </w:tc>
        <w:sdt>
          <w:sdtPr>
            <w:rPr>
              <w:rFonts w:ascii="Times New Roman" w:hAnsi="Times New Roman"/>
              <w:color w:val="000000" w:themeColor="text1"/>
            </w:rPr>
            <w:alias w:val="所有权或使用权受到限制的资产中货币资金受限类型"/>
            <w:tag w:val="_GBC_8cc22d65983f45c5b27d977237a92b9b"/>
            <w:id w:val="-308014191"/>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tc>
              <w:tcPr>
                <w:tcW w:w="884"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其他</w:t>
                </w:r>
              </w:p>
            </w:tc>
          </w:sdtContent>
        </w:sdt>
        <w:tc>
          <w:tcPr>
            <w:tcW w:w="884" w:type="dxa"/>
            <w:vAlign w:val="center"/>
          </w:tcPr>
          <w:p w:rsidR="00597370" w:rsidRDefault="003C2EEE">
            <w:pPr>
              <w:pStyle w:val="Style106"/>
              <w:jc w:val="center"/>
              <w:rPr>
                <w:rFonts w:ascii="Times New Roman" w:hAnsi="Times New Roman"/>
              </w:rPr>
            </w:pPr>
            <w:r>
              <w:rPr>
                <w:rFonts w:ascii="Times New Roman" w:hAnsi="Times New Roman" w:hint="eastAsia"/>
              </w:rPr>
              <w:t>票据保证金及保函保证金</w:t>
            </w:r>
          </w:p>
        </w:tc>
        <w:tc>
          <w:tcPr>
            <w:tcW w:w="1056"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14,649.25</w:t>
            </w:r>
          </w:p>
        </w:tc>
        <w:tc>
          <w:tcPr>
            <w:tcW w:w="1056"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14,649.25</w:t>
            </w:r>
          </w:p>
        </w:tc>
        <w:sdt>
          <w:sdtPr>
            <w:rPr>
              <w:rFonts w:ascii="Times New Roman" w:hAnsi="Times New Roman"/>
              <w:color w:val="000000" w:themeColor="text1"/>
            </w:rPr>
            <w:alias w:val="所有权或使用权受到限制的资产中货币资金受限类型"/>
            <w:tag w:val="_GBC_688a2cf08119461992fafe5efc0252ae"/>
            <w:id w:val="-399448713"/>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tc>
              <w:tcPr>
                <w:tcW w:w="884"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其他</w:t>
                </w:r>
              </w:p>
            </w:tc>
          </w:sdtContent>
        </w:sdt>
        <w:tc>
          <w:tcPr>
            <w:tcW w:w="921" w:type="dxa"/>
          </w:tcPr>
          <w:p w:rsidR="00597370" w:rsidRDefault="003C2EEE">
            <w:pPr>
              <w:pStyle w:val="Style106"/>
              <w:rPr>
                <w:rFonts w:ascii="Times New Roman" w:hAnsi="Times New Roman"/>
              </w:rPr>
            </w:pPr>
            <w:r>
              <w:rPr>
                <w:rFonts w:ascii="Times New Roman" w:hAnsi="Times New Roman" w:hint="eastAsia"/>
              </w:rPr>
              <w:t>票据保证金及保函保证金</w:t>
            </w:r>
          </w:p>
        </w:tc>
      </w:tr>
      <w:tr w:rsidR="00597370">
        <w:trPr>
          <w:trHeight w:val="397"/>
          <w:jc w:val="center"/>
        </w:trPr>
        <w:tc>
          <w:tcPr>
            <w:tcW w:w="890" w:type="dxa"/>
            <w:vAlign w:val="center"/>
          </w:tcPr>
          <w:p w:rsidR="00597370" w:rsidRDefault="003C2EEE">
            <w:pPr>
              <w:jc w:val="right"/>
              <w:rPr>
                <w:rFonts w:ascii="Times New Roman" w:hAnsi="Times New Roman"/>
                <w:color w:val="000000" w:themeColor="text1"/>
              </w:rPr>
            </w:pPr>
            <w:r>
              <w:rPr>
                <w:rFonts w:ascii="Times New Roman" w:hAnsi="Times New Roman"/>
                <w:color w:val="000000" w:themeColor="text1"/>
              </w:rPr>
              <w:lastRenderedPageBreak/>
              <w:t>固定资产</w:t>
            </w:r>
          </w:p>
        </w:tc>
        <w:tc>
          <w:tcPr>
            <w:tcW w:w="1124" w:type="dxa"/>
            <w:vAlign w:val="center"/>
          </w:tcPr>
          <w:p w:rsidR="00597370" w:rsidRDefault="003C2EEE">
            <w:pPr>
              <w:jc w:val="right"/>
              <w:rPr>
                <w:rFonts w:asciiTheme="minorEastAsia" w:eastAsiaTheme="minorEastAsia" w:hAnsiTheme="minorEastAsia"/>
              </w:rPr>
            </w:pPr>
            <w:r>
              <w:t>23,996.32</w:t>
            </w:r>
          </w:p>
        </w:tc>
        <w:tc>
          <w:tcPr>
            <w:tcW w:w="1124" w:type="dxa"/>
            <w:vAlign w:val="center"/>
          </w:tcPr>
          <w:p w:rsidR="00597370" w:rsidRDefault="003C2EEE">
            <w:pPr>
              <w:jc w:val="right"/>
              <w:rPr>
                <w:rFonts w:asciiTheme="minorEastAsia" w:eastAsiaTheme="minorEastAsia" w:hAnsiTheme="minorEastAsia"/>
              </w:rPr>
            </w:pPr>
            <w:r>
              <w:t>16,399.16</w:t>
            </w:r>
          </w:p>
        </w:tc>
        <w:sdt>
          <w:sdtPr>
            <w:rPr>
              <w:rFonts w:ascii="Times New Roman" w:hAnsi="Times New Roman"/>
              <w:color w:val="000000" w:themeColor="text1"/>
            </w:rPr>
            <w:alias w:val="所有权或使用权受到限制的资产中固定资产受限类型"/>
            <w:tag w:val="_GBC_8e338588728e480389b3dfb7c90fdb40"/>
            <w:id w:val="-2064403260"/>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tc>
              <w:tcPr>
                <w:tcW w:w="884"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抵押</w:t>
                </w:r>
              </w:p>
            </w:tc>
          </w:sdtContent>
        </w:sdt>
        <w:tc>
          <w:tcPr>
            <w:tcW w:w="884" w:type="dxa"/>
            <w:vAlign w:val="center"/>
          </w:tcPr>
          <w:p w:rsidR="00597370" w:rsidRDefault="003C2EEE">
            <w:pPr>
              <w:pStyle w:val="Style106"/>
              <w:jc w:val="center"/>
              <w:rPr>
                <w:rFonts w:ascii="Times New Roman" w:hAnsi="Times New Roman"/>
              </w:rPr>
            </w:pPr>
            <w:r>
              <w:rPr>
                <w:rFonts w:ascii="Times New Roman" w:hAnsi="Times New Roman" w:hint="eastAsia"/>
              </w:rPr>
              <w:t>抵押借款（注</w:t>
            </w:r>
            <w:r>
              <w:rPr>
                <w:rFonts w:ascii="Times New Roman" w:hAnsi="Times New Roman"/>
              </w:rPr>
              <w:t>1</w:t>
            </w:r>
            <w:r>
              <w:rPr>
                <w:rFonts w:ascii="Times New Roman" w:hAnsi="Times New Roman"/>
              </w:rPr>
              <w:t>）</w:t>
            </w:r>
          </w:p>
        </w:tc>
        <w:tc>
          <w:tcPr>
            <w:tcW w:w="1056"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35,860.38</w:t>
            </w:r>
          </w:p>
        </w:tc>
        <w:tc>
          <w:tcPr>
            <w:tcW w:w="1056"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23,390.17</w:t>
            </w:r>
          </w:p>
        </w:tc>
        <w:sdt>
          <w:sdtPr>
            <w:rPr>
              <w:rFonts w:ascii="Times New Roman" w:hAnsi="Times New Roman"/>
              <w:color w:val="000000" w:themeColor="text1"/>
            </w:rPr>
            <w:alias w:val="所有权或使用权受到限制的资产中固定资产受限类型"/>
            <w:tag w:val="_GBC_952dd7a24a1c472587dc908d56703287"/>
            <w:id w:val="863478010"/>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tc>
              <w:tcPr>
                <w:tcW w:w="884"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抵押</w:t>
                </w:r>
              </w:p>
            </w:tc>
          </w:sdtContent>
        </w:sdt>
        <w:tc>
          <w:tcPr>
            <w:tcW w:w="921" w:type="dxa"/>
          </w:tcPr>
          <w:p w:rsidR="00597370" w:rsidRDefault="003C2EEE">
            <w:pPr>
              <w:pStyle w:val="Style106"/>
              <w:rPr>
                <w:rFonts w:ascii="Times New Roman" w:hAnsi="Times New Roman"/>
              </w:rPr>
            </w:pPr>
            <w:r>
              <w:rPr>
                <w:rFonts w:ascii="Times New Roman" w:hAnsi="Times New Roman" w:hint="eastAsia"/>
              </w:rPr>
              <w:t>抵押借款（注</w:t>
            </w:r>
            <w:r>
              <w:rPr>
                <w:rFonts w:ascii="Times New Roman" w:hAnsi="Times New Roman"/>
              </w:rPr>
              <w:t>1</w:t>
            </w:r>
            <w:r>
              <w:rPr>
                <w:rFonts w:ascii="Times New Roman" w:hAnsi="Times New Roman"/>
              </w:rPr>
              <w:t>）</w:t>
            </w:r>
          </w:p>
        </w:tc>
      </w:tr>
      <w:tr w:rsidR="00597370">
        <w:trPr>
          <w:trHeight w:val="397"/>
          <w:jc w:val="center"/>
        </w:trPr>
        <w:tc>
          <w:tcPr>
            <w:tcW w:w="890" w:type="dxa"/>
            <w:tcBorders>
              <w:bottom w:val="single" w:sz="4" w:space="0" w:color="auto"/>
            </w:tcBorders>
            <w:vAlign w:val="center"/>
          </w:tcPr>
          <w:p w:rsidR="00597370" w:rsidRDefault="003C2EEE">
            <w:pPr>
              <w:jc w:val="right"/>
              <w:rPr>
                <w:rFonts w:ascii="Times New Roman" w:hAnsi="Times New Roman"/>
                <w:color w:val="000000" w:themeColor="text1"/>
              </w:rPr>
            </w:pPr>
            <w:r>
              <w:rPr>
                <w:rFonts w:ascii="Times New Roman" w:hAnsi="Times New Roman"/>
                <w:color w:val="000000" w:themeColor="text1"/>
              </w:rPr>
              <w:t>无形资产</w:t>
            </w:r>
          </w:p>
        </w:tc>
        <w:tc>
          <w:tcPr>
            <w:tcW w:w="1124" w:type="dxa"/>
            <w:vAlign w:val="center"/>
          </w:tcPr>
          <w:p w:rsidR="00597370" w:rsidRDefault="003C2EEE">
            <w:pPr>
              <w:widowControl/>
              <w:jc w:val="right"/>
              <w:textAlignment w:val="bottom"/>
              <w:rPr>
                <w:rFonts w:asciiTheme="minorEastAsia" w:eastAsiaTheme="minorEastAsia" w:hAnsiTheme="minorEastAsia" w:cstheme="minorEastAsia"/>
              </w:rPr>
            </w:pPr>
            <w:r>
              <w:t>9,179.91</w:t>
            </w:r>
          </w:p>
        </w:tc>
        <w:tc>
          <w:tcPr>
            <w:tcW w:w="1124" w:type="dxa"/>
            <w:vAlign w:val="center"/>
          </w:tcPr>
          <w:p w:rsidR="00597370" w:rsidRDefault="003C2EEE">
            <w:pPr>
              <w:widowControl/>
              <w:jc w:val="right"/>
              <w:textAlignment w:val="bottom"/>
              <w:rPr>
                <w:rFonts w:asciiTheme="minorEastAsia" w:eastAsiaTheme="minorEastAsia" w:hAnsiTheme="minorEastAsia" w:cstheme="minorEastAsia"/>
              </w:rPr>
            </w:pPr>
            <w:r>
              <w:t>7,976.61</w:t>
            </w:r>
          </w:p>
        </w:tc>
        <w:tc>
          <w:tcPr>
            <w:tcW w:w="884"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抵押</w:t>
            </w:r>
          </w:p>
        </w:tc>
        <w:tc>
          <w:tcPr>
            <w:tcW w:w="884" w:type="dxa"/>
            <w:vAlign w:val="center"/>
          </w:tcPr>
          <w:p w:rsidR="00597370" w:rsidRDefault="003C2EEE">
            <w:pPr>
              <w:pStyle w:val="Style106"/>
              <w:jc w:val="center"/>
              <w:rPr>
                <w:rFonts w:ascii="Times New Roman" w:hAnsi="Times New Roman"/>
              </w:rPr>
            </w:pPr>
            <w:r>
              <w:rPr>
                <w:rFonts w:ascii="Times New Roman" w:hAnsi="Times New Roman" w:hint="eastAsia"/>
              </w:rPr>
              <w:t>抵押借款（注</w:t>
            </w:r>
            <w:r>
              <w:rPr>
                <w:rFonts w:ascii="Times New Roman" w:hAnsi="Times New Roman"/>
              </w:rPr>
              <w:t>2</w:t>
            </w:r>
            <w:r>
              <w:rPr>
                <w:rFonts w:ascii="Times New Roman" w:hAnsi="Times New Roman"/>
              </w:rPr>
              <w:t>）</w:t>
            </w:r>
          </w:p>
        </w:tc>
        <w:tc>
          <w:tcPr>
            <w:tcW w:w="1056"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9,179.91</w:t>
            </w:r>
          </w:p>
        </w:tc>
        <w:tc>
          <w:tcPr>
            <w:tcW w:w="1056"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8,068.30</w:t>
            </w:r>
          </w:p>
        </w:tc>
        <w:sdt>
          <w:sdtPr>
            <w:rPr>
              <w:rFonts w:ascii="Times New Roman" w:hAnsi="Times New Roman"/>
              <w:color w:val="000000" w:themeColor="text1"/>
            </w:rPr>
            <w:alias w:val="所有权或使用权受到限制的资产中无形资产受限类型"/>
            <w:tag w:val="_GBC_d5c87ecebd2149918317cf7f94dda1db"/>
            <w:id w:val="90746188"/>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tc>
              <w:tcPr>
                <w:tcW w:w="884"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抵押</w:t>
                </w:r>
              </w:p>
            </w:tc>
          </w:sdtContent>
        </w:sdt>
        <w:tc>
          <w:tcPr>
            <w:tcW w:w="921" w:type="dxa"/>
          </w:tcPr>
          <w:p w:rsidR="00597370" w:rsidRDefault="003C2EEE">
            <w:pPr>
              <w:pStyle w:val="Style106"/>
              <w:rPr>
                <w:rFonts w:ascii="Times New Roman" w:hAnsi="Times New Roman"/>
              </w:rPr>
            </w:pPr>
            <w:r>
              <w:rPr>
                <w:rFonts w:ascii="Times New Roman" w:hAnsi="Times New Roman" w:hint="eastAsia"/>
              </w:rPr>
              <w:t>抵押借款（注</w:t>
            </w:r>
            <w:r>
              <w:rPr>
                <w:rFonts w:ascii="Times New Roman" w:hAnsi="Times New Roman"/>
              </w:rPr>
              <w:t>2</w:t>
            </w:r>
            <w:r>
              <w:rPr>
                <w:rFonts w:ascii="Times New Roman" w:hAnsi="Times New Roman"/>
              </w:rPr>
              <w:t>）</w:t>
            </w:r>
          </w:p>
        </w:tc>
      </w:tr>
      <w:tr w:rsidR="00597370">
        <w:trPr>
          <w:trHeight w:val="397"/>
          <w:jc w:val="center"/>
        </w:trPr>
        <w:tc>
          <w:tcPr>
            <w:tcW w:w="890"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合计</w:t>
            </w:r>
          </w:p>
        </w:tc>
        <w:tc>
          <w:tcPr>
            <w:tcW w:w="1124" w:type="dxa"/>
            <w:vAlign w:val="center"/>
          </w:tcPr>
          <w:p w:rsidR="00597370" w:rsidRDefault="003C2EEE">
            <w:pPr>
              <w:widowControl/>
              <w:jc w:val="right"/>
              <w:textAlignment w:val="bottom"/>
              <w:rPr>
                <w:rFonts w:asciiTheme="minorEastAsia" w:eastAsiaTheme="minorEastAsia" w:hAnsiTheme="minorEastAsia" w:cstheme="minorEastAsia"/>
              </w:rPr>
            </w:pPr>
            <w:r>
              <w:t>47,251.39</w:t>
            </w:r>
          </w:p>
        </w:tc>
        <w:tc>
          <w:tcPr>
            <w:tcW w:w="1124" w:type="dxa"/>
            <w:vAlign w:val="center"/>
          </w:tcPr>
          <w:p w:rsidR="00597370" w:rsidRDefault="003C2EEE">
            <w:pPr>
              <w:widowControl/>
              <w:jc w:val="right"/>
              <w:textAlignment w:val="bottom"/>
              <w:rPr>
                <w:rFonts w:asciiTheme="minorEastAsia" w:eastAsiaTheme="minorEastAsia" w:hAnsiTheme="minorEastAsia" w:cstheme="minorEastAsia"/>
              </w:rPr>
            </w:pPr>
            <w:r>
              <w:t>38,450.93</w:t>
            </w:r>
          </w:p>
        </w:tc>
        <w:tc>
          <w:tcPr>
            <w:tcW w:w="884"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w:t>
            </w:r>
          </w:p>
        </w:tc>
        <w:tc>
          <w:tcPr>
            <w:tcW w:w="884" w:type="dxa"/>
            <w:vAlign w:val="center"/>
          </w:tcPr>
          <w:p w:rsidR="00597370" w:rsidRDefault="003C2EEE">
            <w:pPr>
              <w:jc w:val="center"/>
              <w:rPr>
                <w:rFonts w:ascii="Times New Roman" w:hAnsi="Times New Roman"/>
                <w:color w:val="000000" w:themeColor="text1"/>
              </w:rPr>
            </w:pPr>
            <w:r>
              <w:rPr>
                <w:rFonts w:ascii="Times New Roman" w:hAnsi="Times New Roman"/>
                <w:color w:val="000000" w:themeColor="text1"/>
              </w:rPr>
              <w:t>/</w:t>
            </w:r>
          </w:p>
        </w:tc>
        <w:tc>
          <w:tcPr>
            <w:tcW w:w="1056"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59,689.54</w:t>
            </w:r>
          </w:p>
        </w:tc>
        <w:tc>
          <w:tcPr>
            <w:tcW w:w="1056"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46,107.72</w:t>
            </w:r>
          </w:p>
        </w:tc>
        <w:tc>
          <w:tcPr>
            <w:tcW w:w="884"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w:t>
            </w:r>
          </w:p>
        </w:tc>
        <w:tc>
          <w:tcPr>
            <w:tcW w:w="921" w:type="dxa"/>
          </w:tcPr>
          <w:p w:rsidR="00597370" w:rsidRDefault="003C2EEE">
            <w:pPr>
              <w:jc w:val="center"/>
              <w:rPr>
                <w:rFonts w:ascii="Times New Roman" w:hAnsi="Times New Roman"/>
                <w:color w:val="000000" w:themeColor="text1"/>
              </w:rPr>
            </w:pPr>
            <w:r>
              <w:rPr>
                <w:rFonts w:ascii="Times New Roman" w:hAnsi="Times New Roman"/>
                <w:color w:val="000000" w:themeColor="text1"/>
              </w:rPr>
              <w:t>/</w:t>
            </w:r>
          </w:p>
        </w:tc>
      </w:tr>
    </w:tbl>
    <w:p w:rsidR="00597370" w:rsidRDefault="00597370">
      <w:pPr>
        <w:rPr>
          <w:color w:val="000000" w:themeColor="text1"/>
        </w:rPr>
      </w:pPr>
    </w:p>
    <w:p w:rsidR="00597370" w:rsidRDefault="003C2EEE">
      <w:pPr>
        <w:spacing w:before="60" w:after="60"/>
        <w:rPr>
          <w:color w:val="000000" w:themeColor="text1"/>
        </w:rPr>
      </w:pPr>
      <w:r>
        <w:rPr>
          <w:rFonts w:hint="eastAsia"/>
          <w:color w:val="000000" w:themeColor="text1"/>
        </w:rPr>
        <w:t>其他说明：</w:t>
      </w:r>
    </w:p>
    <w:sdt>
      <w:sdtPr>
        <w:rPr>
          <w:color w:val="000000" w:themeColor="text1"/>
        </w:rPr>
        <w:alias w:val="所有权或使用权受到限制的资产的其他说明"/>
        <w:tag w:val="_GBC_571ebdda2c564d648db287965351cd50"/>
        <w:id w:val="-1504962427"/>
        <w:placeholder>
          <w:docPart w:val="GBC22222222222222222222222222222"/>
        </w:placeholder>
      </w:sdtPr>
      <w:sdtEndPr/>
      <w:sdtContent>
        <w:p w:rsidR="00597370" w:rsidRDefault="00597370">
          <w:pPr>
            <w:rPr>
              <w:color w:val="000000" w:themeColor="text1"/>
            </w:rPr>
          </w:pPr>
        </w:p>
        <w:p w:rsidR="00597370" w:rsidRDefault="003C2EEE">
          <w:pPr>
            <w:pStyle w:val="35"/>
            <w:rPr>
              <w:color w:val="000000" w:themeColor="text1"/>
            </w:rPr>
          </w:pPr>
          <w:r>
            <w:rPr>
              <w:rFonts w:hint="eastAsia"/>
              <w:color w:val="000000" w:themeColor="text1"/>
            </w:rPr>
            <w:t>注</w:t>
          </w:r>
          <w:r>
            <w:rPr>
              <w:color w:val="000000" w:themeColor="text1"/>
            </w:rPr>
            <w:t xml:space="preserve">1： </w:t>
          </w:r>
        </w:p>
        <w:p w:rsidR="00597370" w:rsidRDefault="003C2EEE">
          <w:pPr>
            <w:pStyle w:val="35"/>
            <w:ind w:firstLineChars="200" w:firstLine="420"/>
          </w:pPr>
          <w:r>
            <w:rPr>
              <w:rFonts w:hint="eastAsia"/>
            </w:rPr>
            <w:t>截至202</w:t>
          </w:r>
          <w:r>
            <w:t>4</w:t>
          </w:r>
          <w:r>
            <w:rPr>
              <w:rFonts w:hint="eastAsia"/>
            </w:rPr>
            <w:t>年</w:t>
          </w:r>
          <w:r>
            <w:t>6</w:t>
          </w:r>
          <w:r>
            <w:rPr>
              <w:rFonts w:hint="eastAsia"/>
            </w:rPr>
            <w:t>月3</w:t>
          </w:r>
          <w:r>
            <w:t>0</w:t>
          </w:r>
          <w:r>
            <w:rPr>
              <w:rFonts w:hint="eastAsia"/>
            </w:rPr>
            <w:t>日，本公司以不动产：渝（203）长寿区不动产权第000427096号土地为抵押，取得中国建设银行股份有限公司重庆长寿支行2</w:t>
          </w:r>
          <w:r>
            <w:t>8</w:t>
          </w:r>
          <w:r>
            <w:rPr>
              <w:rFonts w:hint="eastAsia"/>
            </w:rPr>
            <w:t>,3</w:t>
          </w:r>
          <w:r>
            <w:t>3</w:t>
          </w:r>
          <w:r>
            <w:rPr>
              <w:rFonts w:hint="eastAsia"/>
            </w:rPr>
            <w:t>4.</w:t>
          </w:r>
          <w:r>
            <w:t>98</w:t>
          </w:r>
          <w:r>
            <w:rPr>
              <w:rFonts w:hint="eastAsia"/>
            </w:rPr>
            <w:t>万元借款，借款起止日期为2022年10月27日至2029年10月26日。</w:t>
          </w:r>
        </w:p>
        <w:p w:rsidR="00597370" w:rsidRDefault="003C2EEE">
          <w:pPr>
            <w:ind w:firstLineChars="200" w:firstLine="420"/>
            <w:rPr>
              <w:color w:val="000000" w:themeColor="text1"/>
            </w:rPr>
          </w:pPr>
          <w:r>
            <w:rPr>
              <w:rFonts w:hint="eastAsia"/>
              <w:color w:val="000000" w:themeColor="text1"/>
            </w:rPr>
            <w:t>截至</w:t>
          </w:r>
          <w:r>
            <w:rPr>
              <w:color w:val="000000" w:themeColor="text1"/>
            </w:rPr>
            <w:t>2024年6月30日，本公司以不动产：长寿区化北路9号、长寿区齐心东路10号、长寿区齐心东路5号、长寿区化北路18号、长寿经开区晏E09-05-2/02地块、</w:t>
          </w:r>
          <w:proofErr w:type="gramStart"/>
          <w:r>
            <w:rPr>
              <w:color w:val="000000" w:themeColor="text1"/>
            </w:rPr>
            <w:t>晏</w:t>
          </w:r>
          <w:proofErr w:type="gramEnd"/>
          <w:r>
            <w:rPr>
              <w:color w:val="000000" w:themeColor="text1"/>
            </w:rPr>
            <w:t>E09-03/02地</w:t>
          </w:r>
          <w:r>
            <w:t>块，分别向重庆三峡银行长寿支行借款8,500万元和11,680.85万元，借款起止日期分别为2022年3月31日至2025年3月31日</w:t>
          </w:r>
          <w:r>
            <w:rPr>
              <w:color w:val="000000" w:themeColor="text1"/>
            </w:rPr>
            <w:t>和2023年9月8日至2026年3月5日。</w:t>
          </w:r>
        </w:p>
        <w:p w:rsidR="00597370" w:rsidRDefault="003C2EEE">
          <w:pPr>
            <w:rPr>
              <w:color w:val="000000" w:themeColor="text1"/>
            </w:rPr>
          </w:pPr>
          <w:r>
            <w:rPr>
              <w:rFonts w:hint="eastAsia"/>
              <w:color w:val="000000" w:themeColor="text1"/>
            </w:rPr>
            <w:t>注</w:t>
          </w:r>
          <w:r>
            <w:rPr>
              <w:color w:val="000000" w:themeColor="text1"/>
            </w:rPr>
            <w:t>2：</w:t>
          </w:r>
        </w:p>
        <w:p w:rsidR="00597370" w:rsidRDefault="003C2EEE">
          <w:pPr>
            <w:ind w:firstLineChars="200" w:firstLine="420"/>
            <w:rPr>
              <w:color w:val="000000" w:themeColor="text1"/>
            </w:rPr>
          </w:pPr>
          <w:r>
            <w:rPr>
              <w:color w:val="000000" w:themeColor="text1"/>
            </w:rPr>
            <w:t>截至2024年6月30日，本公司与中国工商银行股份有限公司都匀分行签署了编号为：【0240500002-2021年(抵押)字00558】的《最高额抵押合同》，抵押物为:都匀市</w:t>
          </w:r>
          <w:proofErr w:type="gramStart"/>
          <w:r>
            <w:rPr>
              <w:color w:val="000000" w:themeColor="text1"/>
            </w:rPr>
            <w:t>绿茵湖</w:t>
          </w:r>
          <w:proofErr w:type="gramEnd"/>
          <w:r>
            <w:rPr>
              <w:color w:val="000000" w:themeColor="text1"/>
            </w:rPr>
            <w:t>至斗篷山旅游公路西侧土地，权证编号：(2020)都匀市不动产权第0012482号，期限为2021年11月1日起至2027年12月31日，截止2024年6月30日，借款余额2,676.67万元。</w:t>
          </w:r>
        </w:p>
      </w:sdtContent>
    </w:sdt>
    <w:bookmarkEnd w:id="313"/>
    <w:p w:rsidR="00597370" w:rsidRDefault="00597370">
      <w:pPr>
        <w:rPr>
          <w:color w:val="000000" w:themeColor="text1"/>
        </w:rPr>
      </w:pPr>
    </w:p>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短期借款</w:t>
      </w:r>
    </w:p>
    <w:p w:rsidR="00597370" w:rsidRDefault="003C2EEE">
      <w:pPr>
        <w:pStyle w:val="Style110"/>
        <w:numPr>
          <w:ilvl w:val="0"/>
          <w:numId w:val="73"/>
        </w:numPr>
        <w:tabs>
          <w:tab w:val="left" w:pos="630"/>
        </w:tabs>
        <w:rPr>
          <w:rFonts w:ascii="宋体" w:hAnsi="宋体"/>
          <w:color w:val="000000" w:themeColor="text1"/>
          <w:szCs w:val="21"/>
        </w:rPr>
      </w:pPr>
      <w:r>
        <w:rPr>
          <w:rFonts w:ascii="宋体" w:hAnsi="宋体" w:hint="eastAsia"/>
          <w:color w:val="000000" w:themeColor="text1"/>
          <w:szCs w:val="21"/>
        </w:rPr>
        <w:t>短期借款分类</w:t>
      </w:r>
    </w:p>
    <w:sdt>
      <w:sdtPr>
        <w:rPr>
          <w:color w:val="000000" w:themeColor="text1"/>
        </w:rPr>
        <w:alias w:val="是否适用：短期借款分类[双击切换]"/>
        <w:tag w:val="_GBC_1074387a68b64f6b9270b522de53ad85"/>
        <w:id w:val="2430126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短期借款分类"/>
          <w:tag w:val="_GBC_f3353209b65c4921b63143340e11aac9"/>
          <w:id w:val="8007407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短期借款分类"/>
          <w:tag w:val="_GBC_b3a1802faad14eae96cfab316b25f639"/>
          <w:id w:val="11374569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847"/>
        <w:gridCol w:w="2980"/>
        <w:gridCol w:w="2996"/>
      </w:tblGrid>
      <w:tr w:rsidR="00597370">
        <w:trPr>
          <w:cantSplit/>
        </w:trPr>
        <w:sdt>
          <w:sdtPr>
            <w:rPr>
              <w:color w:val="000000" w:themeColor="text1"/>
            </w:rPr>
            <w:tag w:val="_PLD_3476605067da474199aa03dc83e3d88c"/>
            <w:id w:val="-1888087407"/>
          </w:sdtPr>
          <w:sdtEndPr/>
          <w:sdtContent>
            <w:tc>
              <w:tcPr>
                <w:tcW w:w="1613"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rPr>
              <w:color w:val="000000" w:themeColor="text1"/>
            </w:rPr>
            <w:tag w:val="_PLD_ccd6dc2751cc421e8a2f26f78a44b4c5"/>
            <w:id w:val="-1550294109"/>
          </w:sdtPr>
          <w:sdtEndPr/>
          <w:sdtContent>
            <w:tc>
              <w:tcPr>
                <w:tcW w:w="1689" w:type="pct"/>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c16f582c583d4324abc605c4bc563081"/>
            <w:id w:val="-1112742652"/>
          </w:sdtPr>
          <w:sdtEndPr/>
          <w:sdtContent>
            <w:tc>
              <w:tcPr>
                <w:tcW w:w="1698" w:type="pct"/>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cantSplit/>
        </w:trPr>
        <w:tc>
          <w:tcPr>
            <w:tcW w:w="1613" w:type="pct"/>
            <w:shd w:val="clear" w:color="auto" w:fill="auto"/>
          </w:tcPr>
          <w:p w:rsidR="00597370" w:rsidRDefault="003C2EEE">
            <w:pPr>
              <w:autoSpaceDE w:val="0"/>
              <w:autoSpaceDN w:val="0"/>
              <w:adjustRightInd w:val="0"/>
              <w:snapToGrid w:val="0"/>
              <w:spacing w:line="240" w:lineRule="atLeast"/>
              <w:jc w:val="both"/>
              <w:rPr>
                <w:color w:val="000000" w:themeColor="text1"/>
              </w:rPr>
            </w:pPr>
            <w:r>
              <w:rPr>
                <w:rFonts w:hint="eastAsia"/>
              </w:rPr>
              <w:t>信用借款</w:t>
            </w:r>
          </w:p>
        </w:tc>
        <w:tc>
          <w:tcPr>
            <w:tcW w:w="1689" w:type="pct"/>
            <w:shd w:val="clear" w:color="auto" w:fill="auto"/>
          </w:tcPr>
          <w:p w:rsidR="00597370" w:rsidRDefault="003C2EEE">
            <w:pPr>
              <w:autoSpaceDE w:val="0"/>
              <w:autoSpaceDN w:val="0"/>
              <w:adjustRightInd w:val="0"/>
              <w:snapToGrid w:val="0"/>
              <w:spacing w:line="240" w:lineRule="atLeast"/>
              <w:ind w:right="180"/>
              <w:jc w:val="right"/>
            </w:pPr>
            <w:r>
              <w:t>230,454,682.17</w:t>
            </w:r>
          </w:p>
        </w:tc>
        <w:tc>
          <w:tcPr>
            <w:tcW w:w="1698" w:type="pct"/>
            <w:shd w:val="clear" w:color="auto" w:fill="auto"/>
            <w:vAlign w:val="center"/>
          </w:tcPr>
          <w:p w:rsidR="00597370" w:rsidRDefault="003C2EEE">
            <w:pPr>
              <w:autoSpaceDE w:val="0"/>
              <w:autoSpaceDN w:val="0"/>
              <w:adjustRightInd w:val="0"/>
              <w:snapToGrid w:val="0"/>
              <w:spacing w:line="240" w:lineRule="atLeast"/>
              <w:ind w:right="180"/>
              <w:jc w:val="right"/>
            </w:pPr>
            <w:r>
              <w:t>132,359,950.44</w:t>
            </w:r>
          </w:p>
        </w:tc>
      </w:tr>
      <w:tr w:rsidR="00597370">
        <w:trPr>
          <w:cantSplit/>
        </w:trPr>
        <w:tc>
          <w:tcPr>
            <w:tcW w:w="1613" w:type="pct"/>
            <w:shd w:val="clear" w:color="auto" w:fill="auto"/>
          </w:tcPr>
          <w:p w:rsidR="00597370" w:rsidRDefault="003C2EEE">
            <w:pPr>
              <w:autoSpaceDE w:val="0"/>
              <w:autoSpaceDN w:val="0"/>
              <w:adjustRightInd w:val="0"/>
              <w:snapToGrid w:val="0"/>
              <w:spacing w:line="240" w:lineRule="atLeast"/>
              <w:jc w:val="both"/>
              <w:rPr>
                <w:color w:val="000000" w:themeColor="text1"/>
              </w:rPr>
            </w:pPr>
            <w:r>
              <w:rPr>
                <w:rFonts w:hint="eastAsia"/>
              </w:rPr>
              <w:t>保证借款</w:t>
            </w:r>
          </w:p>
        </w:tc>
        <w:tc>
          <w:tcPr>
            <w:tcW w:w="1689" w:type="pct"/>
            <w:shd w:val="clear" w:color="auto" w:fill="auto"/>
          </w:tcPr>
          <w:p w:rsidR="00597370" w:rsidRDefault="003C2EEE">
            <w:pPr>
              <w:autoSpaceDE w:val="0"/>
              <w:autoSpaceDN w:val="0"/>
              <w:adjustRightInd w:val="0"/>
              <w:snapToGrid w:val="0"/>
              <w:spacing w:line="240" w:lineRule="atLeast"/>
              <w:ind w:right="180"/>
              <w:jc w:val="right"/>
            </w:pPr>
            <w:r>
              <w:t>26,770,000.00</w:t>
            </w:r>
          </w:p>
        </w:tc>
        <w:tc>
          <w:tcPr>
            <w:tcW w:w="1698" w:type="pct"/>
            <w:shd w:val="clear" w:color="auto" w:fill="auto"/>
            <w:vAlign w:val="center"/>
          </w:tcPr>
          <w:p w:rsidR="00597370" w:rsidRDefault="003C2EEE">
            <w:pPr>
              <w:autoSpaceDE w:val="0"/>
              <w:autoSpaceDN w:val="0"/>
              <w:adjustRightInd w:val="0"/>
              <w:snapToGrid w:val="0"/>
              <w:spacing w:line="240" w:lineRule="atLeast"/>
              <w:ind w:right="180"/>
              <w:jc w:val="right"/>
            </w:pPr>
            <w:r>
              <w:t>113,244,177.98</w:t>
            </w:r>
          </w:p>
        </w:tc>
      </w:tr>
      <w:tr w:rsidR="00597370">
        <w:trPr>
          <w:cantSplit/>
        </w:trPr>
        <w:tc>
          <w:tcPr>
            <w:tcW w:w="1613" w:type="pct"/>
            <w:shd w:val="clear" w:color="auto" w:fill="auto"/>
          </w:tcPr>
          <w:p w:rsidR="00597370" w:rsidRDefault="003C2EEE">
            <w:pPr>
              <w:autoSpaceDE w:val="0"/>
              <w:autoSpaceDN w:val="0"/>
              <w:adjustRightInd w:val="0"/>
              <w:snapToGrid w:val="0"/>
              <w:spacing w:line="240" w:lineRule="atLeast"/>
              <w:jc w:val="both"/>
              <w:rPr>
                <w:color w:val="000000" w:themeColor="text1"/>
              </w:rPr>
            </w:pPr>
            <w:r>
              <w:rPr>
                <w:rFonts w:hint="eastAsia"/>
              </w:rPr>
              <w:t>票据贴现未终止确认</w:t>
            </w:r>
          </w:p>
        </w:tc>
        <w:tc>
          <w:tcPr>
            <w:tcW w:w="1689" w:type="pct"/>
            <w:shd w:val="clear" w:color="auto" w:fill="auto"/>
          </w:tcPr>
          <w:p w:rsidR="00597370" w:rsidRDefault="003C2EEE">
            <w:pPr>
              <w:autoSpaceDE w:val="0"/>
              <w:autoSpaceDN w:val="0"/>
              <w:adjustRightInd w:val="0"/>
              <w:snapToGrid w:val="0"/>
              <w:spacing w:line="240" w:lineRule="atLeast"/>
              <w:ind w:right="180"/>
              <w:jc w:val="right"/>
            </w:pPr>
            <w:r>
              <w:t>8,007,306.58</w:t>
            </w:r>
          </w:p>
        </w:tc>
        <w:tc>
          <w:tcPr>
            <w:tcW w:w="1698" w:type="pct"/>
            <w:shd w:val="clear" w:color="auto" w:fill="auto"/>
            <w:vAlign w:val="center"/>
          </w:tcPr>
          <w:p w:rsidR="00597370" w:rsidRDefault="003C2EEE">
            <w:pPr>
              <w:autoSpaceDE w:val="0"/>
              <w:autoSpaceDN w:val="0"/>
              <w:adjustRightInd w:val="0"/>
              <w:snapToGrid w:val="0"/>
              <w:spacing w:line="240" w:lineRule="atLeast"/>
              <w:ind w:right="180"/>
              <w:jc w:val="right"/>
            </w:pPr>
            <w:r>
              <w:t>18,469,500.00</w:t>
            </w:r>
          </w:p>
        </w:tc>
      </w:tr>
      <w:tr w:rsidR="00597370">
        <w:trPr>
          <w:cantSplit/>
          <w:trHeight w:val="237"/>
        </w:trPr>
        <w:tc>
          <w:tcPr>
            <w:tcW w:w="1613" w:type="pct"/>
            <w:shd w:val="clear" w:color="auto" w:fill="auto"/>
          </w:tcPr>
          <w:p w:rsidR="00597370" w:rsidRDefault="003C2EEE">
            <w:pPr>
              <w:autoSpaceDE w:val="0"/>
              <w:autoSpaceDN w:val="0"/>
              <w:adjustRightInd w:val="0"/>
              <w:snapToGrid w:val="0"/>
              <w:spacing w:line="240" w:lineRule="atLeast"/>
              <w:jc w:val="both"/>
              <w:rPr>
                <w:color w:val="000000" w:themeColor="text1"/>
              </w:rPr>
            </w:pPr>
            <w:r>
              <w:t>未到期应付利息</w:t>
            </w:r>
          </w:p>
        </w:tc>
        <w:tc>
          <w:tcPr>
            <w:tcW w:w="1689" w:type="pct"/>
            <w:shd w:val="clear" w:color="auto" w:fill="auto"/>
          </w:tcPr>
          <w:p w:rsidR="00597370" w:rsidRDefault="003C2EEE">
            <w:pPr>
              <w:autoSpaceDE w:val="0"/>
              <w:autoSpaceDN w:val="0"/>
              <w:adjustRightInd w:val="0"/>
              <w:snapToGrid w:val="0"/>
              <w:spacing w:line="240" w:lineRule="atLeast"/>
              <w:ind w:right="180"/>
              <w:jc w:val="right"/>
            </w:pPr>
            <w:r>
              <w:t>158,476.05</w:t>
            </w:r>
          </w:p>
        </w:tc>
        <w:tc>
          <w:tcPr>
            <w:tcW w:w="1698" w:type="pct"/>
            <w:shd w:val="clear" w:color="auto" w:fill="auto"/>
            <w:vAlign w:val="center"/>
          </w:tcPr>
          <w:p w:rsidR="00597370" w:rsidRDefault="003C2EEE">
            <w:pPr>
              <w:autoSpaceDE w:val="0"/>
              <w:autoSpaceDN w:val="0"/>
              <w:adjustRightInd w:val="0"/>
              <w:snapToGrid w:val="0"/>
              <w:spacing w:line="240" w:lineRule="atLeast"/>
              <w:ind w:right="180"/>
              <w:jc w:val="right"/>
            </w:pPr>
            <w:r>
              <w:t>178,950.13</w:t>
            </w:r>
          </w:p>
        </w:tc>
      </w:tr>
      <w:tr w:rsidR="00597370">
        <w:trPr>
          <w:cantSplit/>
        </w:trPr>
        <w:tc>
          <w:tcPr>
            <w:tcW w:w="1613" w:type="pct"/>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689" w:type="pct"/>
          </w:tcPr>
          <w:p w:rsidR="00597370" w:rsidRDefault="003C2EEE">
            <w:pPr>
              <w:autoSpaceDE w:val="0"/>
              <w:autoSpaceDN w:val="0"/>
              <w:adjustRightInd w:val="0"/>
              <w:snapToGrid w:val="0"/>
              <w:spacing w:line="240" w:lineRule="atLeast"/>
              <w:ind w:right="180"/>
              <w:jc w:val="right"/>
            </w:pPr>
            <w:r>
              <w:t>265,390,464.80</w:t>
            </w:r>
          </w:p>
        </w:tc>
        <w:tc>
          <w:tcPr>
            <w:tcW w:w="1698" w:type="pct"/>
          </w:tcPr>
          <w:p w:rsidR="00597370" w:rsidRDefault="003C2EEE">
            <w:pPr>
              <w:autoSpaceDE w:val="0"/>
              <w:autoSpaceDN w:val="0"/>
              <w:adjustRightInd w:val="0"/>
              <w:snapToGrid w:val="0"/>
              <w:spacing w:line="240" w:lineRule="atLeast"/>
              <w:ind w:right="180"/>
              <w:jc w:val="right"/>
            </w:pPr>
            <w:r>
              <w:t>264,252,578.55</w:t>
            </w:r>
          </w:p>
        </w:tc>
      </w:tr>
    </w:tbl>
    <w:p w:rsidR="00597370" w:rsidRDefault="003C2EEE">
      <w:pPr>
        <w:snapToGrid w:val="0"/>
        <w:spacing w:line="240" w:lineRule="atLeast"/>
        <w:rPr>
          <w:color w:val="000000" w:themeColor="text1"/>
        </w:rPr>
      </w:pPr>
      <w:r>
        <w:rPr>
          <w:rFonts w:hint="eastAsia"/>
          <w:color w:val="000000" w:themeColor="text1"/>
        </w:rPr>
        <w:t>短期借款分类的说明：</w:t>
      </w:r>
    </w:p>
    <w:sdt>
      <w:sdtPr>
        <w:rPr>
          <w:color w:val="000000" w:themeColor="text1"/>
        </w:rPr>
        <w:alias w:val="短期借款分类的说明"/>
        <w:tag w:val="_GBC_fc19e133dd4f4dbdb9d583e76175b714"/>
        <w:id w:val="1063610702"/>
        <w:placeholder>
          <w:docPart w:val="GBC22222222222222222222222222222"/>
        </w:placeholder>
      </w:sdtPr>
      <w:sdtEndPr/>
      <w:sdtContent>
        <w:p w:rsidR="00597370" w:rsidRDefault="003C2EEE">
          <w:pPr>
            <w:snapToGrid w:val="0"/>
            <w:spacing w:line="240" w:lineRule="atLeast"/>
            <w:rPr>
              <w:color w:val="000000" w:themeColor="text1"/>
            </w:rPr>
          </w:pPr>
          <w:r>
            <w:rPr>
              <w:rFonts w:hint="eastAsia"/>
              <w:color w:val="000000" w:themeColor="text1"/>
            </w:rPr>
            <w:t>无</w:t>
          </w:r>
        </w:p>
      </w:sdtContent>
    </w:sdt>
    <w:p w:rsidR="00597370" w:rsidRDefault="003C2EEE">
      <w:pPr>
        <w:pStyle w:val="Style110"/>
        <w:numPr>
          <w:ilvl w:val="0"/>
          <w:numId w:val="73"/>
        </w:numPr>
        <w:tabs>
          <w:tab w:val="left" w:pos="630"/>
        </w:tabs>
        <w:rPr>
          <w:rFonts w:ascii="宋体" w:hAnsi="宋体"/>
          <w:color w:val="000000" w:themeColor="text1"/>
          <w:szCs w:val="21"/>
        </w:rPr>
      </w:pPr>
      <w:r>
        <w:rPr>
          <w:rFonts w:ascii="宋体" w:hAnsi="宋体" w:hint="eastAsia"/>
          <w:color w:val="000000" w:themeColor="text1"/>
          <w:szCs w:val="21"/>
        </w:rPr>
        <w:t>已逾期</w:t>
      </w:r>
      <w:proofErr w:type="gramStart"/>
      <w:r>
        <w:rPr>
          <w:rFonts w:ascii="宋体" w:hAnsi="宋体" w:hint="eastAsia"/>
          <w:color w:val="000000" w:themeColor="text1"/>
          <w:szCs w:val="21"/>
        </w:rPr>
        <w:t>未偿</w:t>
      </w:r>
      <w:proofErr w:type="gramEnd"/>
      <w:r>
        <w:rPr>
          <w:rFonts w:ascii="宋体" w:hAnsi="宋体" w:hint="eastAsia"/>
          <w:color w:val="000000" w:themeColor="text1"/>
          <w:szCs w:val="21"/>
        </w:rPr>
        <w:t>还的短期借款情况</w:t>
      </w:r>
    </w:p>
    <w:sdt>
      <w:sdtPr>
        <w:rPr>
          <w:color w:val="000000" w:themeColor="text1"/>
        </w:rPr>
        <w:alias w:val="是否适用：已逾期未偿还的短期借款情况[双击切换]"/>
        <w:tag w:val="_GBC_57f74ff95a304f19a7c06d7996fc30c7"/>
        <w:id w:val="73343214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短期借款的说明[双击切换]"/>
        <w:tag w:val="_GBC_663e3ee6df014147bb9c7daa18ccb062"/>
        <w:id w:val="-149194267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color w:val="000000" w:themeColor="text1"/>
          <w:szCs w:val="21"/>
        </w:rPr>
      </w:pPr>
      <w:bookmarkStart w:id="314" w:name="_Hlk533422954"/>
      <w:bookmarkStart w:id="315" w:name="_Hlk167960253"/>
      <w:bookmarkStart w:id="316" w:name="_Hlk533670147"/>
      <w:r>
        <w:rPr>
          <w:rFonts w:hint="eastAsia"/>
          <w:color w:val="000000" w:themeColor="text1"/>
          <w:szCs w:val="21"/>
        </w:rPr>
        <w:t>交易性金融</w:t>
      </w:r>
      <w:r>
        <w:rPr>
          <w:rFonts w:ascii="宋体" w:hAnsi="宋体" w:hint="eastAsia"/>
          <w:color w:val="000000" w:themeColor="text1"/>
          <w:szCs w:val="21"/>
        </w:rPr>
        <w:t>负债</w:t>
      </w:r>
    </w:p>
    <w:sdt>
      <w:sdtPr>
        <w:rPr>
          <w:color w:val="000000" w:themeColor="text1"/>
        </w:rPr>
        <w:alias w:val="是否适用：交易性金融负债[双击切换]"/>
        <w:tag w:val="_GBC_c80a748cb25743768dff0a872a281bca"/>
        <w:id w:val="-107103543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是否适用：交易性金融负债的说明[双击切换]"/>
        <w:tag w:val="_GBC_692d0bb6340447f685684271256fa188"/>
        <w:id w:val="142268342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14"/>
    <w:bookmarkEnd w:id="315"/>
    <w:bookmarkEnd w:id="316"/>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衍生</w:t>
      </w:r>
      <w:r>
        <w:rPr>
          <w:rFonts w:ascii="宋体" w:hAnsi="宋体" w:hint="eastAsia"/>
          <w:color w:val="000000" w:themeColor="text1"/>
        </w:rPr>
        <w:t>金融</w:t>
      </w:r>
      <w:r>
        <w:rPr>
          <w:rFonts w:ascii="宋体" w:hAnsi="宋体" w:hint="eastAsia"/>
          <w:color w:val="000000" w:themeColor="text1"/>
          <w:szCs w:val="21"/>
        </w:rPr>
        <w:t>负债</w:t>
      </w:r>
    </w:p>
    <w:sdt>
      <w:sdtPr>
        <w:rPr>
          <w:color w:val="000000" w:themeColor="text1"/>
        </w:rPr>
        <w:alias w:val="是否适用：衍生金融负债[双击切换]"/>
        <w:tag w:val="_GBC_3a60c0d3d0534eba80b93475b0a6411f"/>
        <w:id w:val="191820490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rPr>
      </w:pPr>
      <w:r>
        <w:rPr>
          <w:rFonts w:ascii="宋体" w:hAnsi="宋体" w:hint="eastAsia"/>
          <w:color w:val="000000" w:themeColor="text1"/>
        </w:rPr>
        <w:t>应付票据</w:t>
      </w:r>
    </w:p>
    <w:sdt>
      <w:sdtPr>
        <w:rPr>
          <w:color w:val="000000" w:themeColor="text1"/>
        </w:rPr>
        <w:alias w:val="是否适用：应付票据[双击切换]"/>
        <w:tag w:val="_GBC_57c67181b34944e782b23a48b1843e8f"/>
        <w:id w:val="864717341"/>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bookmarkStart w:id="317" w:name="_Hlk167960344"/>
      <w:r>
        <w:rPr>
          <w:rFonts w:hint="eastAsia"/>
          <w:color w:val="000000" w:themeColor="text1"/>
        </w:rPr>
        <w:t>单位：</w:t>
      </w:r>
      <w:sdt>
        <w:sdtPr>
          <w:rPr>
            <w:rFonts w:hint="eastAsia"/>
            <w:color w:val="000000" w:themeColor="text1"/>
          </w:rPr>
          <w:alias w:val="单位：财务附注：应付票据"/>
          <w:tag w:val="_GBC_db69c246a0d14735805df636930e34ba"/>
          <w:id w:val="-9556337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应付票据"/>
          <w:tag w:val="_GBC_f734b21fc72c43feb20eaf84762dfd7f"/>
          <w:id w:val="-7472727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2291"/>
        <w:gridCol w:w="3310"/>
        <w:gridCol w:w="3216"/>
      </w:tblGrid>
      <w:tr w:rsidR="00597370">
        <w:trPr>
          <w:cantSplit/>
        </w:trPr>
        <w:sdt>
          <w:sdtPr>
            <w:rPr>
              <w:color w:val="000000" w:themeColor="text1"/>
            </w:rPr>
            <w:tag w:val="_PLD_faa4f5cfe5ae4b0a9c786ca922191e7e"/>
            <w:id w:val="1379505956"/>
          </w:sdtPr>
          <w:sdtEndPr/>
          <w:sdtContent>
            <w:tc>
              <w:tcPr>
                <w:tcW w:w="1299"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种类</w:t>
                </w:r>
              </w:p>
            </w:tc>
          </w:sdtContent>
        </w:sdt>
        <w:sdt>
          <w:sdtPr>
            <w:rPr>
              <w:color w:val="000000" w:themeColor="text1"/>
            </w:rPr>
            <w:tag w:val="_PLD_b51f0f25994640289becfaca28eb1d5c"/>
            <w:id w:val="-1562866867"/>
          </w:sdtPr>
          <w:sdtEndPr/>
          <w:sdtContent>
            <w:tc>
              <w:tcPr>
                <w:tcW w:w="187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rPr>
              <w:color w:val="000000" w:themeColor="text1"/>
            </w:rPr>
            <w:tag w:val="_PLD_996d96c1a15e479289fa9e0699e2822e"/>
            <w:id w:val="1478258627"/>
          </w:sdtPr>
          <w:sdtEndPr/>
          <w:sdtContent>
            <w:tc>
              <w:tcPr>
                <w:tcW w:w="1824"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597370">
        <w:trPr>
          <w:cantSplit/>
          <w:trHeight w:val="361"/>
        </w:trPr>
        <w:tc>
          <w:tcPr>
            <w:tcW w:w="1299"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银行承兑汇票</w:t>
            </w:r>
          </w:p>
        </w:tc>
        <w:tc>
          <w:tcPr>
            <w:tcW w:w="1877" w:type="pct"/>
            <w:tcBorders>
              <w:top w:val="single" w:sz="6" w:space="0" w:color="auto"/>
              <w:left w:val="single" w:sz="6" w:space="0" w:color="auto"/>
              <w:bottom w:val="single" w:sz="6" w:space="0" w:color="auto"/>
              <w:right w:val="single" w:sz="6" w:space="0" w:color="auto"/>
            </w:tcBorders>
            <w:shd w:val="clear" w:color="auto" w:fill="auto"/>
            <w:vAlign w:val="bottom"/>
          </w:tcPr>
          <w:p w:rsidR="00597370" w:rsidRDefault="003C2EEE">
            <w:pPr>
              <w:ind w:right="13"/>
              <w:jc w:val="right"/>
            </w:pPr>
            <w:r>
              <w:t>576,567,172.80</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bottom"/>
          </w:tcPr>
          <w:p w:rsidR="00597370" w:rsidRDefault="003C2EEE">
            <w:pPr>
              <w:jc w:val="right"/>
            </w:pPr>
            <w:r>
              <w:t>539,910,353.67</w:t>
            </w:r>
          </w:p>
        </w:tc>
      </w:tr>
      <w:tr w:rsidR="00597370">
        <w:trPr>
          <w:cantSplit/>
          <w:trHeight w:val="361"/>
        </w:trPr>
        <w:tc>
          <w:tcPr>
            <w:tcW w:w="1299"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商业承兑汇票</w:t>
            </w:r>
          </w:p>
        </w:tc>
        <w:tc>
          <w:tcPr>
            <w:tcW w:w="1877" w:type="pct"/>
            <w:tcBorders>
              <w:top w:val="single" w:sz="6" w:space="0" w:color="auto"/>
              <w:left w:val="single" w:sz="6" w:space="0" w:color="auto"/>
              <w:bottom w:val="single" w:sz="6" w:space="0" w:color="auto"/>
              <w:right w:val="single" w:sz="6" w:space="0" w:color="auto"/>
            </w:tcBorders>
            <w:shd w:val="clear" w:color="auto" w:fill="auto"/>
            <w:vAlign w:val="bottom"/>
          </w:tcPr>
          <w:p w:rsidR="00597370" w:rsidRDefault="003C2EEE">
            <w:pPr>
              <w:ind w:right="13"/>
              <w:jc w:val="right"/>
            </w:pPr>
            <w:r>
              <w:t>12,926,225.23</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bottom"/>
          </w:tcPr>
          <w:p w:rsidR="00597370" w:rsidRDefault="00597370">
            <w:pPr>
              <w:jc w:val="right"/>
            </w:pPr>
          </w:p>
        </w:tc>
      </w:tr>
      <w:tr w:rsidR="00597370">
        <w:trPr>
          <w:cantSplit/>
          <w:trHeight w:val="364"/>
        </w:trPr>
        <w:tc>
          <w:tcPr>
            <w:tcW w:w="1299"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rPr>
                <w:color w:val="000000" w:themeColor="text1"/>
              </w:rPr>
            </w:pPr>
            <w:r>
              <w:rPr>
                <w:rFonts w:hint="eastAsia"/>
                <w:color w:val="000000" w:themeColor="text1"/>
              </w:rPr>
              <w:t>合计</w:t>
            </w:r>
          </w:p>
        </w:tc>
        <w:tc>
          <w:tcPr>
            <w:tcW w:w="1877" w:type="pct"/>
            <w:tcBorders>
              <w:top w:val="single" w:sz="6" w:space="0" w:color="auto"/>
              <w:left w:val="single" w:sz="6" w:space="0" w:color="auto"/>
              <w:bottom w:val="single" w:sz="6" w:space="0" w:color="auto"/>
              <w:right w:val="single" w:sz="6" w:space="0" w:color="auto"/>
            </w:tcBorders>
            <w:vAlign w:val="bottom"/>
          </w:tcPr>
          <w:p w:rsidR="00597370" w:rsidRDefault="003C2EEE">
            <w:pPr>
              <w:jc w:val="right"/>
            </w:pPr>
            <w:r>
              <w:t>589,493,398.03</w:t>
            </w:r>
          </w:p>
        </w:tc>
        <w:tc>
          <w:tcPr>
            <w:tcW w:w="1824" w:type="pct"/>
            <w:tcBorders>
              <w:top w:val="single" w:sz="6" w:space="0" w:color="auto"/>
              <w:left w:val="single" w:sz="6" w:space="0" w:color="auto"/>
              <w:bottom w:val="single" w:sz="6" w:space="0" w:color="auto"/>
              <w:right w:val="single" w:sz="6" w:space="0" w:color="auto"/>
            </w:tcBorders>
            <w:vAlign w:val="bottom"/>
          </w:tcPr>
          <w:p w:rsidR="00597370" w:rsidRDefault="003C2EEE">
            <w:pPr>
              <w:jc w:val="right"/>
            </w:pPr>
            <w:r>
              <w:t>539,910,353.67</w:t>
            </w:r>
          </w:p>
        </w:tc>
      </w:tr>
    </w:tbl>
    <w:p w:rsidR="00597370" w:rsidRDefault="003C2EEE">
      <w:pPr>
        <w:snapToGrid w:val="0"/>
        <w:spacing w:line="240" w:lineRule="atLeast"/>
        <w:rPr>
          <w:color w:val="000000" w:themeColor="text1"/>
        </w:rPr>
      </w:pPr>
      <w:r>
        <w:rPr>
          <w:rFonts w:hint="eastAsia"/>
          <w:color w:val="000000" w:themeColor="text1"/>
        </w:rPr>
        <w:t>本</w:t>
      </w:r>
      <w:proofErr w:type="gramStart"/>
      <w:r>
        <w:rPr>
          <w:rFonts w:hint="eastAsia"/>
          <w:color w:val="000000" w:themeColor="text1"/>
        </w:rPr>
        <w:t>期末已</w:t>
      </w:r>
      <w:proofErr w:type="gramEnd"/>
      <w:r>
        <w:rPr>
          <w:rFonts w:hint="eastAsia"/>
          <w:color w:val="000000" w:themeColor="text1"/>
        </w:rPr>
        <w:t>到期未支付的应付票据总额为</w:t>
      </w:r>
      <w:sdt>
        <w:sdtPr>
          <w:rPr>
            <w:rFonts w:hint="eastAsia"/>
            <w:color w:val="000000" w:themeColor="text1"/>
          </w:rPr>
          <w:alias w:val="已到期未支付的应付票据总额"/>
          <w:tag w:val="_GBC_c9651441e218453780f22db83f133e6a"/>
          <w:id w:val="-478153647"/>
          <w:placeholder>
            <w:docPart w:val="GBC22222222222222222222222222222"/>
          </w:placeholder>
        </w:sdtPr>
        <w:sdtEndPr/>
        <w:sdtContent>
          <w:r>
            <w:rPr>
              <w:color w:val="000000" w:themeColor="text1"/>
            </w:rPr>
            <w:t>0</w:t>
          </w:r>
        </w:sdtContent>
      </w:sdt>
      <w:r>
        <w:rPr>
          <w:rFonts w:hint="eastAsia"/>
          <w:color w:val="000000" w:themeColor="text1"/>
        </w:rPr>
        <w:t xml:space="preserve"> 元。到期未付的原因是</w:t>
      </w:r>
      <w:sdt>
        <w:sdtPr>
          <w:rPr>
            <w:rFonts w:hint="eastAsia"/>
            <w:color w:val="000000" w:themeColor="text1"/>
          </w:rPr>
          <w:alias w:val="应付票据到期未付的原因"/>
          <w:tag w:val="_GBC_73acd2fa7a344753a71cf43e98373b73"/>
          <w:id w:val="1141313743"/>
          <w:placeholder>
            <w:docPart w:val="GBC22222222222222222222222222222"/>
          </w:placeholder>
        </w:sdtPr>
        <w:sdtEndPr/>
        <w:sdtContent>
          <w:r>
            <w:rPr>
              <w:rFonts w:hint="eastAsia"/>
              <w:color w:val="000000" w:themeColor="text1"/>
            </w:rPr>
            <w:t>无</w:t>
          </w:r>
        </w:sdtContent>
      </w:sdt>
    </w:p>
    <w:bookmarkEnd w:id="317"/>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rPr>
        <w:t>应付</w:t>
      </w:r>
      <w:r>
        <w:rPr>
          <w:rFonts w:ascii="宋体" w:hAnsi="宋体" w:hint="eastAsia"/>
          <w:color w:val="000000" w:themeColor="text1"/>
          <w:szCs w:val="21"/>
        </w:rPr>
        <w:t>账款</w:t>
      </w:r>
    </w:p>
    <w:p w:rsidR="00597370" w:rsidRDefault="003C2EEE">
      <w:pPr>
        <w:pStyle w:val="Style110"/>
        <w:numPr>
          <w:ilvl w:val="0"/>
          <w:numId w:val="74"/>
        </w:numPr>
        <w:tabs>
          <w:tab w:val="left" w:pos="588"/>
        </w:tabs>
        <w:rPr>
          <w:rFonts w:ascii="宋体" w:hAnsi="宋体"/>
          <w:color w:val="000000" w:themeColor="text1"/>
          <w:szCs w:val="21"/>
        </w:rPr>
      </w:pPr>
      <w:r>
        <w:rPr>
          <w:rFonts w:ascii="宋体" w:hAnsi="宋体" w:hint="eastAsia"/>
          <w:color w:val="000000" w:themeColor="text1"/>
          <w:szCs w:val="21"/>
        </w:rPr>
        <w:t>应付账款列示</w:t>
      </w:r>
    </w:p>
    <w:sdt>
      <w:sdtPr>
        <w:rPr>
          <w:color w:val="000000" w:themeColor="text1"/>
        </w:rPr>
        <w:alias w:val="是否适用：应付账款列示[双击切换]"/>
        <w:tag w:val="_GBC_8531771c226a4fb0b98e3cdaf7271c71"/>
        <w:id w:val="3734402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应付账款情况"/>
          <w:tag w:val="_GBC_53c05e3ea1bb4f08bbe5cf204a0947b9"/>
          <w:id w:val="10384750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应付账款情况"/>
          <w:tag w:val="_GBC_e10cb0a664ca4400817c8a2bcf9247fc"/>
          <w:id w:val="16442367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2795"/>
        <w:gridCol w:w="3257"/>
      </w:tblGrid>
      <w:tr w:rsidR="00597370">
        <w:trPr>
          <w:trHeight w:val="422"/>
        </w:trPr>
        <w:sdt>
          <w:sdtPr>
            <w:rPr>
              <w:color w:val="000000" w:themeColor="text1"/>
            </w:rPr>
            <w:tag w:val="_PLD_7dae27caeee34d74add24cd985083c75"/>
            <w:id w:val="-220051516"/>
          </w:sdtPr>
          <w:sdtEndPr/>
          <w:sdtContent>
            <w:tc>
              <w:tcPr>
                <w:tcW w:w="1570" w:type="pct"/>
                <w:shd w:val="clear" w:color="auto" w:fill="auto"/>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136ba417561e421ea02da8004fdf8b33"/>
            <w:id w:val="1953203362"/>
          </w:sdtPr>
          <w:sdtEndPr/>
          <w:sdtContent>
            <w:tc>
              <w:tcPr>
                <w:tcW w:w="1584" w:type="pct"/>
                <w:shd w:val="clear" w:color="auto" w:fill="auto"/>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bc4b311c1ee54bd48b7b2ba2ab79c364"/>
            <w:id w:val="-1716882300"/>
          </w:sdtPr>
          <w:sdtEndPr/>
          <w:sdtContent>
            <w:tc>
              <w:tcPr>
                <w:tcW w:w="1846" w:type="pct"/>
                <w:shd w:val="clear" w:color="auto" w:fill="auto"/>
              </w:tcPr>
              <w:p w:rsidR="00597370" w:rsidRDefault="003C2EEE">
                <w:pPr>
                  <w:jc w:val="center"/>
                  <w:rPr>
                    <w:color w:val="000000" w:themeColor="text1"/>
                  </w:rPr>
                </w:pPr>
                <w:r>
                  <w:rPr>
                    <w:rFonts w:hint="eastAsia"/>
                    <w:color w:val="000000" w:themeColor="text1"/>
                  </w:rPr>
                  <w:t>期初余额</w:t>
                </w:r>
              </w:p>
            </w:tc>
          </w:sdtContent>
        </w:sdt>
      </w:tr>
      <w:tr w:rsidR="00597370">
        <w:tc>
          <w:tcPr>
            <w:tcW w:w="1570" w:type="pct"/>
            <w:shd w:val="clear" w:color="auto" w:fill="auto"/>
            <w:vAlign w:val="bottom"/>
          </w:tcPr>
          <w:p w:rsidR="00597370" w:rsidRDefault="003C2EEE">
            <w:pPr>
              <w:pStyle w:val="Style106"/>
              <w:jc w:val="both"/>
            </w:pPr>
            <w:r>
              <w:rPr>
                <w:rFonts w:hint="eastAsia"/>
              </w:rPr>
              <w:t>应付材料、工程、设备、服务款项</w:t>
            </w:r>
          </w:p>
        </w:tc>
        <w:tc>
          <w:tcPr>
            <w:tcW w:w="1584" w:type="pct"/>
            <w:shd w:val="clear" w:color="auto" w:fill="auto"/>
            <w:vAlign w:val="bottom"/>
          </w:tcPr>
          <w:p w:rsidR="00597370" w:rsidRDefault="003C2EEE">
            <w:pPr>
              <w:jc w:val="right"/>
            </w:pPr>
            <w:r>
              <w:rPr>
                <w:color w:val="000000"/>
                <w:sz w:val="22"/>
                <w:szCs w:val="22"/>
              </w:rPr>
              <w:t xml:space="preserve">919,160,100.68 </w:t>
            </w:r>
            <w:r>
              <w:rPr>
                <w:rFonts w:hint="eastAsia"/>
                <w:color w:val="000000"/>
                <w:sz w:val="22"/>
                <w:szCs w:val="22"/>
              </w:rPr>
              <w:t xml:space="preserve"> </w:t>
            </w:r>
          </w:p>
        </w:tc>
        <w:tc>
          <w:tcPr>
            <w:tcW w:w="1846" w:type="pct"/>
            <w:shd w:val="clear" w:color="auto" w:fill="auto"/>
            <w:vAlign w:val="bottom"/>
          </w:tcPr>
          <w:p w:rsidR="00597370" w:rsidRDefault="003C2EEE">
            <w:pPr>
              <w:jc w:val="right"/>
            </w:pPr>
            <w:r>
              <w:t>553,013,553.52</w:t>
            </w:r>
          </w:p>
        </w:tc>
      </w:tr>
      <w:tr w:rsidR="00597370">
        <w:trPr>
          <w:trHeight w:val="433"/>
        </w:trPr>
        <w:tc>
          <w:tcPr>
            <w:tcW w:w="1570" w:type="pct"/>
            <w:shd w:val="clear" w:color="auto" w:fill="auto"/>
            <w:vAlign w:val="bottom"/>
          </w:tcPr>
          <w:p w:rsidR="00597370" w:rsidRDefault="003C2EEE">
            <w:pPr>
              <w:jc w:val="both"/>
              <w:rPr>
                <w:color w:val="000000" w:themeColor="text1"/>
              </w:rPr>
            </w:pPr>
            <w:r>
              <w:rPr>
                <w:rFonts w:hint="eastAsia"/>
                <w:color w:val="000000" w:themeColor="text1"/>
              </w:rPr>
              <w:t>合计</w:t>
            </w:r>
          </w:p>
        </w:tc>
        <w:tc>
          <w:tcPr>
            <w:tcW w:w="1584" w:type="pct"/>
            <w:shd w:val="clear" w:color="auto" w:fill="auto"/>
            <w:vAlign w:val="bottom"/>
          </w:tcPr>
          <w:p w:rsidR="00597370" w:rsidRDefault="003C2EEE">
            <w:pPr>
              <w:jc w:val="right"/>
            </w:pPr>
            <w:r>
              <w:rPr>
                <w:color w:val="000000"/>
                <w:sz w:val="22"/>
                <w:szCs w:val="22"/>
              </w:rPr>
              <w:t xml:space="preserve">919,160,100.68 </w:t>
            </w:r>
            <w:r>
              <w:rPr>
                <w:rFonts w:hint="eastAsia"/>
                <w:color w:val="000000"/>
                <w:sz w:val="22"/>
                <w:szCs w:val="22"/>
              </w:rPr>
              <w:t xml:space="preserve"> </w:t>
            </w:r>
          </w:p>
        </w:tc>
        <w:tc>
          <w:tcPr>
            <w:tcW w:w="1846" w:type="pct"/>
            <w:shd w:val="clear" w:color="auto" w:fill="auto"/>
            <w:vAlign w:val="bottom"/>
          </w:tcPr>
          <w:p w:rsidR="00597370" w:rsidRDefault="003C2EEE">
            <w:pPr>
              <w:jc w:val="right"/>
            </w:pPr>
            <w:r>
              <w:t>553,013,553.52</w:t>
            </w:r>
          </w:p>
        </w:tc>
      </w:tr>
    </w:tbl>
    <w:p w:rsidR="00597370" w:rsidRDefault="00597370"/>
    <w:p w:rsidR="00597370" w:rsidRDefault="003C2EEE">
      <w:pPr>
        <w:pStyle w:val="Style110"/>
        <w:numPr>
          <w:ilvl w:val="0"/>
          <w:numId w:val="74"/>
        </w:numPr>
        <w:tabs>
          <w:tab w:val="left" w:pos="588"/>
        </w:tabs>
        <w:rPr>
          <w:rFonts w:ascii="宋体" w:hAnsi="宋体"/>
          <w:color w:val="000000" w:themeColor="text1"/>
          <w:szCs w:val="21"/>
        </w:rPr>
      </w:pPr>
      <w:r>
        <w:rPr>
          <w:rFonts w:ascii="宋体" w:hAnsi="宋体" w:hint="eastAsia"/>
          <w:color w:val="000000" w:themeColor="text1"/>
          <w:szCs w:val="21"/>
        </w:rPr>
        <w:t>账龄超过1年或逾期的重要应付账款</w:t>
      </w:r>
    </w:p>
    <w:sdt>
      <w:sdtPr>
        <w:rPr>
          <w:color w:val="000000" w:themeColor="text1"/>
        </w:rPr>
        <w:alias w:val="是否适用：账龄超过1年的重要应付账款[双击切换]"/>
        <w:tag w:val="_GBC_02c6e7ed8ae149e8a09f5b80217deb89"/>
        <w:id w:val="105944161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重要的账龄超过1年的应付账款"/>
          <w:tag w:val="_GBC_4828fbb06386477f83dfc0c7b55875e7"/>
          <w:id w:val="-15128228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重要的账龄超过1年的应付账款"/>
          <w:tag w:val="_GBC_56837a7d36f94902b75d8fe132af82b6"/>
          <w:id w:val="-12551246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2756"/>
        <w:gridCol w:w="2866"/>
      </w:tblGrid>
      <w:tr w:rsidR="00597370">
        <w:sdt>
          <w:sdtPr>
            <w:rPr>
              <w:color w:val="000000" w:themeColor="text1"/>
            </w:rPr>
            <w:tag w:val="_PLD_31272c72b1bc41e2a47d7fbfb0839e2b"/>
            <w:id w:val="1227650955"/>
          </w:sdtPr>
          <w:sdtEndPr/>
          <w:sdtContent>
            <w:tc>
              <w:tcPr>
                <w:tcW w:w="1814"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41b9d7d7e0c84d6c9f8c3a0a59e37c14"/>
            <w:id w:val="1490208967"/>
          </w:sdtPr>
          <w:sdtEndPr/>
          <w:sdtContent>
            <w:tc>
              <w:tcPr>
                <w:tcW w:w="1562"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49e0f43ba09d42649fabb4ecc22986ca"/>
            <w:id w:val="-334459939"/>
          </w:sdtPr>
          <w:sdtEndPr/>
          <w:sdtContent>
            <w:tc>
              <w:tcPr>
                <w:tcW w:w="1624" w:type="pct"/>
                <w:shd w:val="clear" w:color="auto" w:fill="auto"/>
                <w:vAlign w:val="center"/>
              </w:tcPr>
              <w:p w:rsidR="00597370" w:rsidRDefault="003C2EEE">
                <w:pPr>
                  <w:jc w:val="center"/>
                  <w:rPr>
                    <w:color w:val="000000" w:themeColor="text1"/>
                  </w:rPr>
                </w:pPr>
                <w:proofErr w:type="gramStart"/>
                <w:r>
                  <w:rPr>
                    <w:rFonts w:hint="eastAsia"/>
                    <w:color w:val="000000" w:themeColor="text1"/>
                  </w:rPr>
                  <w:t>未偿</w:t>
                </w:r>
                <w:proofErr w:type="gramEnd"/>
                <w:r>
                  <w:rPr>
                    <w:rFonts w:hint="eastAsia"/>
                    <w:color w:val="000000" w:themeColor="text1"/>
                  </w:rPr>
                  <w:t>还或结转的原因</w:t>
                </w:r>
              </w:p>
            </w:tc>
          </w:sdtContent>
        </w:sdt>
      </w:tr>
      <w:tr w:rsidR="00597370">
        <w:trPr>
          <w:trHeight w:val="478"/>
        </w:trPr>
        <w:tc>
          <w:tcPr>
            <w:tcW w:w="1814" w:type="pct"/>
            <w:tcBorders>
              <w:bottom w:val="single" w:sz="4" w:space="0" w:color="auto"/>
            </w:tcBorders>
            <w:shd w:val="clear" w:color="auto" w:fill="auto"/>
            <w:vAlign w:val="bottom"/>
          </w:tcPr>
          <w:p w:rsidR="00597370" w:rsidRDefault="003C2EEE">
            <w:pPr>
              <w:pStyle w:val="Style106"/>
              <w:jc w:val="both"/>
            </w:pPr>
            <w:proofErr w:type="gramStart"/>
            <w:r>
              <w:rPr>
                <w:rFonts w:hint="eastAsia"/>
                <w:color w:val="000000"/>
              </w:rPr>
              <w:t>账龄超一年</w:t>
            </w:r>
            <w:proofErr w:type="gramEnd"/>
            <w:r>
              <w:rPr>
                <w:rFonts w:hint="eastAsia"/>
                <w:color w:val="000000"/>
              </w:rPr>
              <w:t>应付账款单位</w:t>
            </w:r>
            <w:r>
              <w:rPr>
                <w:color w:val="000000"/>
              </w:rPr>
              <w:t>1</w:t>
            </w:r>
          </w:p>
        </w:tc>
        <w:tc>
          <w:tcPr>
            <w:tcW w:w="1562" w:type="pct"/>
            <w:shd w:val="clear" w:color="auto" w:fill="auto"/>
            <w:vAlign w:val="bottom"/>
          </w:tcPr>
          <w:p w:rsidR="00597370" w:rsidRDefault="003C2EEE">
            <w:pPr>
              <w:jc w:val="right"/>
            </w:pPr>
            <w:r>
              <w:rPr>
                <w:color w:val="000000"/>
              </w:rPr>
              <w:t xml:space="preserve">8,897,031.65 </w:t>
            </w:r>
            <w:r>
              <w:rPr>
                <w:rFonts w:hint="eastAsia"/>
                <w:color w:val="000000"/>
              </w:rPr>
              <w:t xml:space="preserve"> </w:t>
            </w:r>
          </w:p>
        </w:tc>
        <w:tc>
          <w:tcPr>
            <w:tcW w:w="1624" w:type="pct"/>
            <w:shd w:val="clear" w:color="auto" w:fill="auto"/>
            <w:vAlign w:val="bottom"/>
          </w:tcPr>
          <w:p w:rsidR="00597370" w:rsidRDefault="003C2EEE">
            <w:pPr>
              <w:pStyle w:val="Style106"/>
              <w:jc w:val="both"/>
            </w:pPr>
            <w:r>
              <w:rPr>
                <w:rFonts w:hint="eastAsia"/>
                <w:color w:val="000000"/>
              </w:rPr>
              <w:t>未到支付节点</w:t>
            </w:r>
          </w:p>
        </w:tc>
      </w:tr>
      <w:tr w:rsidR="00597370">
        <w:trPr>
          <w:trHeight w:val="478"/>
        </w:trPr>
        <w:tc>
          <w:tcPr>
            <w:tcW w:w="1814" w:type="pct"/>
            <w:tcBorders>
              <w:bottom w:val="single" w:sz="4" w:space="0" w:color="auto"/>
            </w:tcBorders>
            <w:shd w:val="clear" w:color="auto" w:fill="auto"/>
            <w:vAlign w:val="bottom"/>
          </w:tcPr>
          <w:p w:rsidR="00597370" w:rsidRDefault="003C2EEE">
            <w:pPr>
              <w:pStyle w:val="Style106"/>
              <w:jc w:val="both"/>
              <w:rPr>
                <w:color w:val="000000"/>
              </w:rPr>
            </w:pPr>
            <w:proofErr w:type="gramStart"/>
            <w:r>
              <w:rPr>
                <w:rFonts w:hint="eastAsia"/>
                <w:color w:val="000000"/>
              </w:rPr>
              <w:t>账龄超一年</w:t>
            </w:r>
            <w:proofErr w:type="gramEnd"/>
            <w:r>
              <w:rPr>
                <w:rFonts w:hint="eastAsia"/>
                <w:color w:val="000000"/>
              </w:rPr>
              <w:t>应付账款单位</w:t>
            </w:r>
            <w:r>
              <w:rPr>
                <w:color w:val="000000"/>
              </w:rPr>
              <w:t>2</w:t>
            </w:r>
          </w:p>
        </w:tc>
        <w:tc>
          <w:tcPr>
            <w:tcW w:w="1562" w:type="pct"/>
            <w:shd w:val="clear" w:color="auto" w:fill="auto"/>
            <w:vAlign w:val="bottom"/>
          </w:tcPr>
          <w:p w:rsidR="00597370" w:rsidRDefault="003C2EEE">
            <w:pPr>
              <w:jc w:val="right"/>
              <w:rPr>
                <w:color w:val="000000"/>
              </w:rPr>
            </w:pPr>
            <w:r>
              <w:rPr>
                <w:color w:val="000000"/>
              </w:rPr>
              <w:t>5,981,157.60</w:t>
            </w:r>
          </w:p>
        </w:tc>
        <w:tc>
          <w:tcPr>
            <w:tcW w:w="1624" w:type="pct"/>
            <w:shd w:val="clear" w:color="auto" w:fill="auto"/>
            <w:vAlign w:val="bottom"/>
          </w:tcPr>
          <w:p w:rsidR="00597370" w:rsidRDefault="003C2EEE">
            <w:pPr>
              <w:pStyle w:val="Style106"/>
              <w:jc w:val="both"/>
              <w:rPr>
                <w:color w:val="000000"/>
              </w:rPr>
            </w:pPr>
            <w:r>
              <w:rPr>
                <w:rFonts w:hint="eastAsia"/>
                <w:color w:val="000000"/>
              </w:rPr>
              <w:t>未到支付节点</w:t>
            </w:r>
          </w:p>
        </w:tc>
      </w:tr>
      <w:tr w:rsidR="00597370">
        <w:trPr>
          <w:trHeight w:val="436"/>
        </w:trPr>
        <w:tc>
          <w:tcPr>
            <w:tcW w:w="1814" w:type="pct"/>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1562" w:type="pct"/>
            <w:shd w:val="clear" w:color="auto" w:fill="auto"/>
            <w:vAlign w:val="bottom"/>
          </w:tcPr>
          <w:p w:rsidR="00597370" w:rsidRDefault="003C2EEE">
            <w:pPr>
              <w:jc w:val="right"/>
            </w:pPr>
            <w:r>
              <w:t>14,878,189.25</w:t>
            </w:r>
          </w:p>
        </w:tc>
        <w:tc>
          <w:tcPr>
            <w:tcW w:w="1624" w:type="pct"/>
            <w:shd w:val="clear" w:color="auto" w:fill="auto"/>
          </w:tcPr>
          <w:p w:rsidR="00597370" w:rsidRDefault="003C2EEE">
            <w:pPr>
              <w:jc w:val="center"/>
              <w:rPr>
                <w:color w:val="000000" w:themeColor="text1"/>
              </w:rPr>
            </w:pPr>
            <w:r>
              <w:rPr>
                <w:rFonts w:hint="eastAsia"/>
                <w:color w:val="000000" w:themeColor="text1"/>
              </w:rPr>
              <w:t>/</w:t>
            </w: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其他说明：</w:t>
      </w:r>
    </w:p>
    <w:sdt>
      <w:sdtPr>
        <w:rPr>
          <w:color w:val="000000" w:themeColor="text1"/>
        </w:rPr>
        <w:alias w:val="是否适用：应付账款的其他说明[双击切换]"/>
        <w:tag w:val="_GBC_9a797e83ea1747e9aca4221e6cdfe89f"/>
        <w:id w:val="9460023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预收款项</w:t>
      </w:r>
    </w:p>
    <w:p w:rsidR="00597370" w:rsidRDefault="003C2EEE">
      <w:pPr>
        <w:pStyle w:val="Style110"/>
        <w:numPr>
          <w:ilvl w:val="0"/>
          <w:numId w:val="75"/>
        </w:numPr>
        <w:rPr>
          <w:rFonts w:ascii="宋体" w:hAnsi="宋体"/>
          <w:color w:val="000000" w:themeColor="text1"/>
          <w:szCs w:val="21"/>
        </w:rPr>
      </w:pPr>
      <w:r>
        <w:rPr>
          <w:rFonts w:ascii="宋体" w:hAnsi="宋体" w:hint="eastAsia"/>
          <w:color w:val="000000" w:themeColor="text1"/>
          <w:szCs w:val="21"/>
        </w:rPr>
        <w:t>预收账款项列示</w:t>
      </w:r>
    </w:p>
    <w:sdt>
      <w:sdtPr>
        <w:rPr>
          <w:color w:val="000000" w:themeColor="text1"/>
        </w:rPr>
        <w:alias w:val="是否适用：预收账款项列示[双击切换]"/>
        <w:tag w:val="_GBC_cf9ab7f5f12c4f788a9bbb6e3ef9c9de"/>
        <w:id w:val="151503717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75"/>
        </w:numPr>
        <w:rPr>
          <w:rFonts w:ascii="宋体" w:hAnsi="宋体"/>
          <w:color w:val="000000" w:themeColor="text1"/>
          <w:szCs w:val="21"/>
        </w:rPr>
      </w:pPr>
      <w:r>
        <w:rPr>
          <w:rFonts w:ascii="宋体" w:hAnsi="宋体" w:hint="eastAsia"/>
          <w:color w:val="000000" w:themeColor="text1"/>
          <w:szCs w:val="21"/>
        </w:rPr>
        <w:t>账龄超过1年的重要预收款项</w:t>
      </w:r>
    </w:p>
    <w:sdt>
      <w:sdtPr>
        <w:rPr>
          <w:color w:val="000000" w:themeColor="text1"/>
        </w:rPr>
        <w:alias w:val="是否适用：账龄超过1年的重要预收款项[双击切换]"/>
        <w:tag w:val="_GBC_ae7ea5bab4b04b2cb170af5020f86302"/>
        <w:id w:val="193200573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75"/>
        </w:numPr>
        <w:rPr>
          <w:rFonts w:ascii="宋体" w:hAnsi="宋体"/>
          <w:color w:val="000000" w:themeColor="text1"/>
          <w:szCs w:val="21"/>
        </w:rPr>
      </w:pPr>
      <w:bookmarkStart w:id="318" w:name="_Hlk167960464"/>
      <w:r>
        <w:rPr>
          <w:rFonts w:ascii="宋体" w:hAnsi="宋体" w:hint="eastAsia"/>
          <w:color w:val="000000" w:themeColor="text1"/>
          <w:szCs w:val="21"/>
        </w:rPr>
        <w:t>报告期内账面价值发生重大变动的金额和原因</w:t>
      </w:r>
    </w:p>
    <w:sdt>
      <w:sdtPr>
        <w:rPr>
          <w:color w:val="000000" w:themeColor="text1"/>
        </w:rPr>
        <w:alias w:val="是否适用：预收款项账面价值发生重大变动的金额和原因?[双击切换]"/>
        <w:tag w:val="_GBC_e406dc580328407abd4af2aa60e13e28"/>
        <w:id w:val="204601861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18"/>
    <w:p w:rsidR="00597370" w:rsidRDefault="003C2EEE">
      <w:pPr>
        <w:rPr>
          <w:color w:val="000000" w:themeColor="text1"/>
        </w:rPr>
      </w:pPr>
      <w:r>
        <w:rPr>
          <w:rFonts w:hint="eastAsia"/>
          <w:color w:val="000000" w:themeColor="text1"/>
        </w:rPr>
        <w:t>其他说明：</w:t>
      </w:r>
    </w:p>
    <w:sdt>
      <w:sdtPr>
        <w:rPr>
          <w:color w:val="000000" w:themeColor="text1"/>
        </w:rPr>
        <w:alias w:val="是否适用：预收账款的其他说明[双击切换]"/>
        <w:tag w:val="_GBC_f473b6b28a104ffc812e6da4cf5177e5"/>
        <w:id w:val="-130946880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bookmarkStart w:id="319" w:name="_Hlk10535609"/>
      <w:r>
        <w:rPr>
          <w:rFonts w:ascii="宋体" w:hAnsi="宋体" w:hint="eastAsia"/>
          <w:color w:val="000000" w:themeColor="text1"/>
          <w:szCs w:val="21"/>
        </w:rPr>
        <w:t>合同负债</w:t>
      </w:r>
    </w:p>
    <w:p w:rsidR="00597370" w:rsidRDefault="003C2EEE">
      <w:pPr>
        <w:pStyle w:val="Style110"/>
        <w:numPr>
          <w:ilvl w:val="0"/>
          <w:numId w:val="76"/>
        </w:numPr>
        <w:rPr>
          <w:rFonts w:ascii="宋体" w:hAnsi="宋体"/>
          <w:color w:val="000000" w:themeColor="text1"/>
        </w:rPr>
      </w:pPr>
      <w:r>
        <w:rPr>
          <w:rFonts w:ascii="宋体" w:hAnsi="宋体" w:hint="eastAsia"/>
          <w:color w:val="000000" w:themeColor="text1"/>
        </w:rPr>
        <w:t>合同负债情况</w:t>
      </w:r>
    </w:p>
    <w:sdt>
      <w:sdtPr>
        <w:rPr>
          <w:color w:val="000000" w:themeColor="text1"/>
        </w:rPr>
        <w:alias w:val="是否适用：合同负债情况[双击切换]"/>
        <w:tag w:val="_GBC_2b6238a8ea00438eab947f83a5f6451d"/>
        <w:id w:val="-19064348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left="360"/>
        <w:jc w:val="right"/>
        <w:rPr>
          <w:color w:val="000000" w:themeColor="text1"/>
        </w:rPr>
      </w:pPr>
      <w:r>
        <w:rPr>
          <w:rFonts w:hint="eastAsia"/>
          <w:color w:val="000000" w:themeColor="text1"/>
        </w:rPr>
        <w:t>单位：</w:t>
      </w:r>
      <w:sdt>
        <w:sdtPr>
          <w:rPr>
            <w:rFonts w:hint="eastAsia"/>
            <w:color w:val="000000" w:themeColor="text1"/>
          </w:rPr>
          <w:alias w:val="单位：合同负债情况"/>
          <w:tag w:val="_GBC_0024c0ddc3514b009e8166b63dc10ae9"/>
          <w:id w:val="11178711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合同负债情况"/>
          <w:tag w:val="_GBC_154d9411b9764a4f8e1412d0a22c8375"/>
          <w:id w:val="15922000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3002"/>
        <w:gridCol w:w="2996"/>
      </w:tblGrid>
      <w:tr w:rsidR="00597370">
        <w:sdt>
          <w:sdtPr>
            <w:rPr>
              <w:color w:val="000000" w:themeColor="text1"/>
            </w:rPr>
            <w:tag w:val="_PLD_c5e783ac966e416184ff57e436f98be2"/>
            <w:id w:val="-1335214632"/>
          </w:sdtPr>
          <w:sdtEndPr/>
          <w:sdtContent>
            <w:tc>
              <w:tcPr>
                <w:tcW w:w="1601" w:type="pct"/>
                <w:shd w:val="clear" w:color="auto" w:fill="auto"/>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a4f8a9567271447e9f7bc01f59c6eed6"/>
            <w:id w:val="-714500131"/>
          </w:sdtPr>
          <w:sdtEndPr/>
          <w:sdtContent>
            <w:tc>
              <w:tcPr>
                <w:tcW w:w="1701" w:type="pct"/>
                <w:shd w:val="clear" w:color="auto" w:fill="auto"/>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rPr>
              <w:color w:val="000000" w:themeColor="text1"/>
            </w:rPr>
            <w:tag w:val="_PLD_b8f751ec83834a96b0e87c862d2ae80b"/>
            <w:id w:val="1528134419"/>
          </w:sdtPr>
          <w:sdtEndPr/>
          <w:sdtContent>
            <w:tc>
              <w:tcPr>
                <w:tcW w:w="1698" w:type="pct"/>
                <w:shd w:val="clear" w:color="auto" w:fill="auto"/>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597370">
        <w:tc>
          <w:tcPr>
            <w:tcW w:w="1601" w:type="pct"/>
            <w:shd w:val="clear" w:color="auto" w:fill="auto"/>
          </w:tcPr>
          <w:p w:rsidR="00597370" w:rsidRDefault="003C2EEE">
            <w:pPr>
              <w:pStyle w:val="Style106"/>
            </w:pPr>
            <w:r>
              <w:rPr>
                <w:rFonts w:hint="eastAsia"/>
              </w:rPr>
              <w:t>预收账款</w:t>
            </w:r>
          </w:p>
        </w:tc>
        <w:tc>
          <w:tcPr>
            <w:tcW w:w="1701" w:type="pct"/>
            <w:shd w:val="clear" w:color="auto" w:fill="auto"/>
          </w:tcPr>
          <w:p w:rsidR="00597370" w:rsidRDefault="003C2EEE">
            <w:pPr>
              <w:jc w:val="right"/>
            </w:pPr>
            <w:r>
              <w:t>89,001,593.28</w:t>
            </w:r>
          </w:p>
        </w:tc>
        <w:tc>
          <w:tcPr>
            <w:tcW w:w="1698" w:type="pct"/>
            <w:shd w:val="clear" w:color="auto" w:fill="auto"/>
          </w:tcPr>
          <w:p w:rsidR="00597370" w:rsidRDefault="003C2EEE">
            <w:pPr>
              <w:jc w:val="right"/>
            </w:pPr>
            <w:r>
              <w:t>84,726,984.24</w:t>
            </w:r>
          </w:p>
        </w:tc>
      </w:tr>
      <w:tr w:rsidR="00597370">
        <w:tc>
          <w:tcPr>
            <w:tcW w:w="1601" w:type="pct"/>
            <w:shd w:val="clear" w:color="auto" w:fill="auto"/>
          </w:tcPr>
          <w:p w:rsidR="00597370" w:rsidRDefault="003C2EEE">
            <w:pPr>
              <w:rPr>
                <w:color w:val="000000" w:themeColor="text1"/>
              </w:rPr>
            </w:pPr>
            <w:r>
              <w:rPr>
                <w:rFonts w:hint="eastAsia"/>
                <w:color w:val="000000" w:themeColor="text1"/>
              </w:rPr>
              <w:t>合计</w:t>
            </w:r>
          </w:p>
        </w:tc>
        <w:tc>
          <w:tcPr>
            <w:tcW w:w="1701" w:type="pct"/>
            <w:shd w:val="clear" w:color="auto" w:fill="auto"/>
          </w:tcPr>
          <w:p w:rsidR="00597370" w:rsidRDefault="003C2EEE">
            <w:pPr>
              <w:jc w:val="right"/>
            </w:pPr>
            <w:r>
              <w:t>89,001,593.28</w:t>
            </w:r>
          </w:p>
        </w:tc>
        <w:tc>
          <w:tcPr>
            <w:tcW w:w="1698" w:type="pct"/>
            <w:shd w:val="clear" w:color="auto" w:fill="auto"/>
          </w:tcPr>
          <w:p w:rsidR="00597370" w:rsidRDefault="003C2EEE">
            <w:pPr>
              <w:jc w:val="right"/>
            </w:pPr>
            <w:r>
              <w:t>84,726,984.24</w:t>
            </w:r>
          </w:p>
        </w:tc>
      </w:tr>
    </w:tbl>
    <w:p w:rsidR="00597370" w:rsidRDefault="00597370">
      <w:pPr>
        <w:rPr>
          <w:color w:val="000000" w:themeColor="text1"/>
        </w:rPr>
      </w:pPr>
    </w:p>
    <w:p w:rsidR="00597370" w:rsidRDefault="003C2EEE">
      <w:pPr>
        <w:pStyle w:val="Style110"/>
        <w:numPr>
          <w:ilvl w:val="0"/>
          <w:numId w:val="76"/>
        </w:numPr>
        <w:rPr>
          <w:rFonts w:ascii="宋体" w:hAnsi="宋体"/>
          <w:color w:val="000000" w:themeColor="text1"/>
        </w:rPr>
      </w:pPr>
      <w:bookmarkStart w:id="320" w:name="_Hlk167960548"/>
      <w:bookmarkEnd w:id="319"/>
      <w:r>
        <w:rPr>
          <w:rFonts w:ascii="宋体" w:hAnsi="宋体" w:hint="eastAsia"/>
          <w:color w:val="000000" w:themeColor="text1"/>
        </w:rPr>
        <w:lastRenderedPageBreak/>
        <w:t>账龄超过1年的重要合同负债</w:t>
      </w:r>
    </w:p>
    <w:sdt>
      <w:sdtPr>
        <w:rPr>
          <w:color w:val="000000" w:themeColor="text1"/>
        </w:rPr>
        <w:alias w:val="是否适用：账龄超过1年的重要合同负债明细[双击切换]"/>
        <w:tag w:val="_GBC_aef24e08ea524c9a9a25ec0e93c6c574"/>
        <w:id w:val="-62029188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76"/>
        </w:numPr>
        <w:rPr>
          <w:rFonts w:ascii="宋体" w:hAnsi="宋体"/>
          <w:color w:val="000000" w:themeColor="text1"/>
        </w:rPr>
      </w:pPr>
      <w:bookmarkStart w:id="321" w:name="_Hlk10535674"/>
      <w:bookmarkEnd w:id="320"/>
      <w:r>
        <w:rPr>
          <w:rFonts w:ascii="宋体" w:hAnsi="宋体" w:hint="eastAsia"/>
          <w:color w:val="000000" w:themeColor="text1"/>
        </w:rPr>
        <w:t>报告期内账面价值发生重大变动的金额和原因</w:t>
      </w:r>
    </w:p>
    <w:sdt>
      <w:sdtPr>
        <w:rPr>
          <w:color w:val="000000" w:themeColor="text1"/>
        </w:rPr>
        <w:alias w:val="是否适用：合同负债账面价值发生重大变动[双击切换]"/>
        <w:tag w:val="_GBC_18d9cdd7095d4bda8f22860c58746248"/>
        <w:id w:val="147864624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322" w:name="_Hlk10535687"/>
      <w:bookmarkStart w:id="323" w:name="_Hlk10535696"/>
      <w:bookmarkEnd w:id="321"/>
      <w:r>
        <w:rPr>
          <w:rFonts w:hint="eastAsia"/>
          <w:color w:val="000000" w:themeColor="text1"/>
        </w:rPr>
        <w:t>其他说明：</w:t>
      </w:r>
      <w:bookmarkEnd w:id="322"/>
    </w:p>
    <w:sdt>
      <w:sdtPr>
        <w:rPr>
          <w:color w:val="000000" w:themeColor="text1"/>
        </w:rPr>
        <w:alias w:val="是否适用：合同负债其他说明[双击切换]"/>
        <w:tag w:val="_GBC_f73cf097b72042508657c656d4dc0c08"/>
        <w:id w:val="148204159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23"/>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应付职工薪</w:t>
      </w:r>
      <w:proofErr w:type="gramStart"/>
      <w:r>
        <w:rPr>
          <w:rFonts w:ascii="宋体" w:hAnsi="宋体" w:hint="eastAsia"/>
          <w:color w:val="000000" w:themeColor="text1"/>
          <w:szCs w:val="21"/>
        </w:rPr>
        <w:t>酬</w:t>
      </w:r>
      <w:proofErr w:type="gramEnd"/>
    </w:p>
    <w:p w:rsidR="00597370" w:rsidRDefault="003C2EEE">
      <w:pPr>
        <w:pStyle w:val="Style110"/>
        <w:numPr>
          <w:ilvl w:val="0"/>
          <w:numId w:val="77"/>
        </w:numPr>
        <w:rPr>
          <w:rFonts w:ascii="宋体" w:hAnsi="宋体"/>
          <w:color w:val="000000" w:themeColor="text1"/>
        </w:rPr>
      </w:pPr>
      <w:r>
        <w:rPr>
          <w:rFonts w:ascii="宋体" w:hAnsi="宋体" w:hint="eastAsia"/>
          <w:color w:val="000000" w:themeColor="text1"/>
        </w:rPr>
        <w:t>应付职工薪</w:t>
      </w:r>
      <w:proofErr w:type="gramStart"/>
      <w:r>
        <w:rPr>
          <w:rFonts w:ascii="宋体" w:hAnsi="宋体" w:hint="eastAsia"/>
          <w:color w:val="000000" w:themeColor="text1"/>
        </w:rPr>
        <w:t>酬</w:t>
      </w:r>
      <w:proofErr w:type="gramEnd"/>
      <w:r>
        <w:rPr>
          <w:rFonts w:ascii="宋体" w:hAnsi="宋体" w:hint="eastAsia"/>
          <w:color w:val="000000" w:themeColor="text1"/>
        </w:rPr>
        <w:t>列示</w:t>
      </w:r>
    </w:p>
    <w:sdt>
      <w:sdtPr>
        <w:rPr>
          <w:color w:val="000000" w:themeColor="text1"/>
        </w:rPr>
        <w:alias w:val="是否适用：应付职工薪酬列示[双击切换]"/>
        <w:tag w:val="_GBC_88faccc480a843dca589c1af0d3fee37"/>
        <w:id w:val="19697775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应付职工薪酬"/>
          <w:tag w:val="_GBC_5c4cdcd7cd924c4ca8e87f806bc459b0"/>
          <w:id w:val="7468422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应付职工薪酬"/>
          <w:tag w:val="_GBC_1b7f0fd0ca54470ca12f1037c092be9a"/>
          <w:id w:val="-13725299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21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1872"/>
        <w:gridCol w:w="1872"/>
        <w:gridCol w:w="1870"/>
        <w:gridCol w:w="1728"/>
      </w:tblGrid>
      <w:tr w:rsidR="00597370">
        <w:sdt>
          <w:sdtPr>
            <w:rPr>
              <w:color w:val="000000" w:themeColor="text1"/>
              <w:sz w:val="18"/>
              <w:szCs w:val="18"/>
            </w:rPr>
            <w:tag w:val="_PLD_481bea2acb8f49ac9b4cfc92cd4a426e"/>
            <w:id w:val="1420370880"/>
          </w:sdtPr>
          <w:sdtEndPr/>
          <w:sdtContent>
            <w:tc>
              <w:tcPr>
                <w:tcW w:w="1013"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项目</w:t>
                </w:r>
              </w:p>
            </w:tc>
          </w:sdtContent>
        </w:sdt>
        <w:sdt>
          <w:sdtPr>
            <w:rPr>
              <w:color w:val="000000" w:themeColor="text1"/>
            </w:rPr>
            <w:tag w:val="_PLD_ff27c0f5bcb94d9b932762b91edf2ff1"/>
            <w:id w:val="-1149445519"/>
          </w:sdtPr>
          <w:sdtEndPr/>
          <w:sdtContent>
            <w:tc>
              <w:tcPr>
                <w:tcW w:w="1016"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7274636f27ae4e048ade60bfddaa8164"/>
            <w:id w:val="-1820414670"/>
          </w:sdtPr>
          <w:sdtEndPr/>
          <w:sdtContent>
            <w:tc>
              <w:tcPr>
                <w:tcW w:w="1016" w:type="pct"/>
                <w:shd w:val="clear" w:color="auto" w:fill="auto"/>
                <w:vAlign w:val="center"/>
              </w:tcPr>
              <w:p w:rsidR="00597370" w:rsidRDefault="003C2EEE">
                <w:pPr>
                  <w:jc w:val="center"/>
                  <w:rPr>
                    <w:color w:val="000000" w:themeColor="text1"/>
                  </w:rPr>
                </w:pPr>
                <w:r>
                  <w:rPr>
                    <w:rFonts w:hint="eastAsia"/>
                    <w:color w:val="000000" w:themeColor="text1"/>
                  </w:rPr>
                  <w:t>本期增加</w:t>
                </w:r>
              </w:p>
            </w:tc>
          </w:sdtContent>
        </w:sdt>
        <w:sdt>
          <w:sdtPr>
            <w:rPr>
              <w:color w:val="000000" w:themeColor="text1"/>
            </w:rPr>
            <w:tag w:val="_PLD_07ae572963de436aa2308d649a28c23b"/>
            <w:id w:val="-996886067"/>
          </w:sdtPr>
          <w:sdtEndPr/>
          <w:sdtContent>
            <w:tc>
              <w:tcPr>
                <w:tcW w:w="1015" w:type="pct"/>
                <w:shd w:val="clear" w:color="auto" w:fill="auto"/>
                <w:vAlign w:val="center"/>
              </w:tcPr>
              <w:p w:rsidR="00597370" w:rsidRDefault="003C2EEE">
                <w:pPr>
                  <w:jc w:val="center"/>
                  <w:rPr>
                    <w:color w:val="000000" w:themeColor="text1"/>
                  </w:rPr>
                </w:pPr>
                <w:r>
                  <w:rPr>
                    <w:rFonts w:hint="eastAsia"/>
                    <w:color w:val="000000" w:themeColor="text1"/>
                  </w:rPr>
                  <w:t>本期减少</w:t>
                </w:r>
              </w:p>
            </w:tc>
          </w:sdtContent>
        </w:sdt>
        <w:sdt>
          <w:sdtPr>
            <w:rPr>
              <w:color w:val="000000" w:themeColor="text1"/>
            </w:rPr>
            <w:tag w:val="_PLD_27069329d7654e34bc45ca7dee532204"/>
            <w:id w:val="1147317751"/>
          </w:sdtPr>
          <w:sdtEndPr/>
          <w:sdtContent>
            <w:tc>
              <w:tcPr>
                <w:tcW w:w="937"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tr>
      <w:tr w:rsidR="00597370">
        <w:trPr>
          <w:trHeight w:val="554"/>
        </w:trPr>
        <w:tc>
          <w:tcPr>
            <w:tcW w:w="1013"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一、短期薪酬</w:t>
            </w:r>
          </w:p>
        </w:tc>
        <w:tc>
          <w:tcPr>
            <w:tcW w:w="1016" w:type="pct"/>
            <w:shd w:val="clear" w:color="auto" w:fill="auto"/>
            <w:vAlign w:val="bottom"/>
          </w:tcPr>
          <w:p w:rsidR="00597370" w:rsidRDefault="003C2EEE">
            <w:pPr>
              <w:jc w:val="right"/>
              <w:rPr>
                <w:sz w:val="18"/>
                <w:szCs w:val="18"/>
              </w:rPr>
            </w:pPr>
            <w:r>
              <w:rPr>
                <w:sz w:val="18"/>
                <w:szCs w:val="18"/>
              </w:rPr>
              <w:t>34,147,537.38</w:t>
            </w:r>
          </w:p>
        </w:tc>
        <w:tc>
          <w:tcPr>
            <w:tcW w:w="1016" w:type="pct"/>
            <w:shd w:val="clear" w:color="auto" w:fill="auto"/>
            <w:vAlign w:val="bottom"/>
          </w:tcPr>
          <w:p w:rsidR="00597370" w:rsidRDefault="003C2EEE">
            <w:pPr>
              <w:jc w:val="right"/>
              <w:rPr>
                <w:sz w:val="18"/>
                <w:szCs w:val="18"/>
              </w:rPr>
            </w:pPr>
            <w:r>
              <w:rPr>
                <w:sz w:val="18"/>
                <w:szCs w:val="18"/>
              </w:rPr>
              <w:t>139,038,898.13</w:t>
            </w:r>
          </w:p>
        </w:tc>
        <w:tc>
          <w:tcPr>
            <w:tcW w:w="1015" w:type="pct"/>
            <w:shd w:val="clear" w:color="auto" w:fill="auto"/>
            <w:vAlign w:val="bottom"/>
          </w:tcPr>
          <w:p w:rsidR="00597370" w:rsidRDefault="003C2EEE">
            <w:pPr>
              <w:jc w:val="right"/>
              <w:rPr>
                <w:sz w:val="18"/>
                <w:szCs w:val="18"/>
              </w:rPr>
            </w:pPr>
            <w:r>
              <w:rPr>
                <w:sz w:val="18"/>
                <w:szCs w:val="18"/>
              </w:rPr>
              <w:t>134,570,770.79</w:t>
            </w:r>
          </w:p>
        </w:tc>
        <w:tc>
          <w:tcPr>
            <w:tcW w:w="937" w:type="pct"/>
            <w:shd w:val="clear" w:color="auto" w:fill="auto"/>
            <w:vAlign w:val="bottom"/>
          </w:tcPr>
          <w:p w:rsidR="00597370" w:rsidRDefault="003C2EEE">
            <w:pPr>
              <w:jc w:val="right"/>
              <w:rPr>
                <w:sz w:val="18"/>
                <w:szCs w:val="18"/>
              </w:rPr>
            </w:pPr>
            <w:r>
              <w:rPr>
                <w:sz w:val="18"/>
                <w:szCs w:val="18"/>
              </w:rPr>
              <w:t>38,615,664.72</w:t>
            </w:r>
          </w:p>
        </w:tc>
      </w:tr>
      <w:tr w:rsidR="00597370">
        <w:tc>
          <w:tcPr>
            <w:tcW w:w="1013"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二、离职后福利-设定提存计划</w:t>
            </w:r>
          </w:p>
        </w:tc>
        <w:tc>
          <w:tcPr>
            <w:tcW w:w="1016" w:type="pct"/>
            <w:shd w:val="clear" w:color="auto" w:fill="auto"/>
            <w:vAlign w:val="bottom"/>
          </w:tcPr>
          <w:p w:rsidR="00597370" w:rsidRDefault="003C2EEE">
            <w:pPr>
              <w:jc w:val="right"/>
              <w:rPr>
                <w:sz w:val="18"/>
                <w:szCs w:val="18"/>
              </w:rPr>
            </w:pPr>
            <w:r>
              <w:rPr>
                <w:sz w:val="18"/>
                <w:szCs w:val="18"/>
              </w:rPr>
              <w:t>81,003.85</w:t>
            </w:r>
          </w:p>
        </w:tc>
        <w:tc>
          <w:tcPr>
            <w:tcW w:w="1016" w:type="pct"/>
            <w:shd w:val="clear" w:color="auto" w:fill="auto"/>
            <w:vAlign w:val="bottom"/>
          </w:tcPr>
          <w:p w:rsidR="00597370" w:rsidRDefault="003C2EEE">
            <w:pPr>
              <w:jc w:val="right"/>
              <w:rPr>
                <w:sz w:val="18"/>
                <w:szCs w:val="18"/>
              </w:rPr>
            </w:pPr>
            <w:r>
              <w:rPr>
                <w:sz w:val="18"/>
                <w:szCs w:val="18"/>
              </w:rPr>
              <w:t>10,297,571.41</w:t>
            </w:r>
          </w:p>
        </w:tc>
        <w:tc>
          <w:tcPr>
            <w:tcW w:w="1015" w:type="pct"/>
            <w:shd w:val="clear" w:color="auto" w:fill="auto"/>
            <w:vAlign w:val="bottom"/>
          </w:tcPr>
          <w:p w:rsidR="00597370" w:rsidRDefault="003C2EEE">
            <w:pPr>
              <w:jc w:val="right"/>
              <w:rPr>
                <w:sz w:val="18"/>
                <w:szCs w:val="18"/>
              </w:rPr>
            </w:pPr>
            <w:r>
              <w:rPr>
                <w:sz w:val="18"/>
                <w:szCs w:val="18"/>
              </w:rPr>
              <w:t>10,378,575.26</w:t>
            </w:r>
          </w:p>
        </w:tc>
        <w:tc>
          <w:tcPr>
            <w:tcW w:w="937" w:type="pct"/>
            <w:shd w:val="clear" w:color="auto" w:fill="auto"/>
            <w:vAlign w:val="bottom"/>
          </w:tcPr>
          <w:p w:rsidR="00597370" w:rsidRDefault="00597370">
            <w:pPr>
              <w:jc w:val="right"/>
              <w:rPr>
                <w:sz w:val="18"/>
                <w:szCs w:val="18"/>
              </w:rPr>
            </w:pPr>
          </w:p>
        </w:tc>
      </w:tr>
      <w:tr w:rsidR="00597370">
        <w:trPr>
          <w:trHeight w:val="549"/>
        </w:trPr>
        <w:tc>
          <w:tcPr>
            <w:tcW w:w="1013"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三、辞退福利</w:t>
            </w:r>
          </w:p>
        </w:tc>
        <w:tc>
          <w:tcPr>
            <w:tcW w:w="1016" w:type="pct"/>
            <w:shd w:val="clear" w:color="auto" w:fill="auto"/>
            <w:vAlign w:val="bottom"/>
          </w:tcPr>
          <w:p w:rsidR="00597370" w:rsidRDefault="00597370">
            <w:pPr>
              <w:jc w:val="right"/>
              <w:rPr>
                <w:sz w:val="18"/>
                <w:szCs w:val="18"/>
              </w:rPr>
            </w:pPr>
          </w:p>
        </w:tc>
        <w:tc>
          <w:tcPr>
            <w:tcW w:w="1016" w:type="pct"/>
            <w:shd w:val="clear" w:color="auto" w:fill="auto"/>
            <w:vAlign w:val="bottom"/>
          </w:tcPr>
          <w:p w:rsidR="00597370" w:rsidRDefault="003C2EEE">
            <w:pPr>
              <w:jc w:val="right"/>
              <w:rPr>
                <w:sz w:val="18"/>
                <w:szCs w:val="18"/>
              </w:rPr>
            </w:pPr>
            <w:r>
              <w:rPr>
                <w:sz w:val="18"/>
                <w:szCs w:val="18"/>
              </w:rPr>
              <w:t>147,316.00</w:t>
            </w:r>
          </w:p>
        </w:tc>
        <w:tc>
          <w:tcPr>
            <w:tcW w:w="1015" w:type="pct"/>
            <w:shd w:val="clear" w:color="auto" w:fill="auto"/>
            <w:vAlign w:val="bottom"/>
          </w:tcPr>
          <w:p w:rsidR="00597370" w:rsidRDefault="003C2EEE">
            <w:pPr>
              <w:jc w:val="right"/>
              <w:rPr>
                <w:sz w:val="18"/>
                <w:szCs w:val="18"/>
              </w:rPr>
            </w:pPr>
            <w:r>
              <w:rPr>
                <w:sz w:val="18"/>
                <w:szCs w:val="18"/>
              </w:rPr>
              <w:t>147,316.00</w:t>
            </w:r>
          </w:p>
        </w:tc>
        <w:tc>
          <w:tcPr>
            <w:tcW w:w="937" w:type="pct"/>
            <w:shd w:val="clear" w:color="auto" w:fill="auto"/>
            <w:vAlign w:val="bottom"/>
          </w:tcPr>
          <w:p w:rsidR="00597370" w:rsidRDefault="00597370">
            <w:pPr>
              <w:jc w:val="right"/>
              <w:rPr>
                <w:sz w:val="18"/>
                <w:szCs w:val="18"/>
              </w:rPr>
            </w:pPr>
          </w:p>
        </w:tc>
      </w:tr>
      <w:tr w:rsidR="00597370">
        <w:tc>
          <w:tcPr>
            <w:tcW w:w="1013"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四、一年内到期的其他福利</w:t>
            </w:r>
          </w:p>
        </w:tc>
        <w:tc>
          <w:tcPr>
            <w:tcW w:w="1016" w:type="pct"/>
            <w:shd w:val="clear" w:color="auto" w:fill="auto"/>
            <w:vAlign w:val="bottom"/>
          </w:tcPr>
          <w:p w:rsidR="00597370" w:rsidRDefault="00597370">
            <w:pPr>
              <w:jc w:val="right"/>
              <w:rPr>
                <w:sz w:val="18"/>
                <w:szCs w:val="18"/>
              </w:rPr>
            </w:pPr>
          </w:p>
        </w:tc>
        <w:tc>
          <w:tcPr>
            <w:tcW w:w="1016" w:type="pct"/>
            <w:shd w:val="clear" w:color="auto" w:fill="auto"/>
            <w:vAlign w:val="bottom"/>
          </w:tcPr>
          <w:p w:rsidR="00597370" w:rsidRDefault="00597370">
            <w:pPr>
              <w:jc w:val="right"/>
              <w:rPr>
                <w:sz w:val="18"/>
                <w:szCs w:val="18"/>
              </w:rPr>
            </w:pPr>
          </w:p>
        </w:tc>
        <w:tc>
          <w:tcPr>
            <w:tcW w:w="1015" w:type="pct"/>
            <w:shd w:val="clear" w:color="auto" w:fill="auto"/>
            <w:vAlign w:val="bottom"/>
          </w:tcPr>
          <w:p w:rsidR="00597370" w:rsidRDefault="00597370">
            <w:pPr>
              <w:jc w:val="right"/>
              <w:rPr>
                <w:sz w:val="18"/>
                <w:szCs w:val="18"/>
              </w:rPr>
            </w:pPr>
          </w:p>
        </w:tc>
        <w:tc>
          <w:tcPr>
            <w:tcW w:w="937" w:type="pct"/>
            <w:shd w:val="clear" w:color="auto" w:fill="auto"/>
            <w:vAlign w:val="bottom"/>
          </w:tcPr>
          <w:p w:rsidR="00597370" w:rsidRDefault="00597370">
            <w:pPr>
              <w:jc w:val="right"/>
              <w:rPr>
                <w:sz w:val="18"/>
                <w:szCs w:val="18"/>
              </w:rPr>
            </w:pPr>
          </w:p>
        </w:tc>
      </w:tr>
      <w:tr w:rsidR="00597370">
        <w:trPr>
          <w:trHeight w:val="469"/>
        </w:trPr>
        <w:tc>
          <w:tcPr>
            <w:tcW w:w="1013"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合计</w:t>
            </w:r>
          </w:p>
        </w:tc>
        <w:tc>
          <w:tcPr>
            <w:tcW w:w="1016" w:type="pct"/>
            <w:shd w:val="clear" w:color="auto" w:fill="auto"/>
            <w:vAlign w:val="bottom"/>
          </w:tcPr>
          <w:p w:rsidR="00597370" w:rsidRDefault="003C2EEE">
            <w:pPr>
              <w:jc w:val="right"/>
              <w:rPr>
                <w:sz w:val="18"/>
                <w:szCs w:val="18"/>
              </w:rPr>
            </w:pPr>
            <w:r>
              <w:rPr>
                <w:sz w:val="18"/>
                <w:szCs w:val="18"/>
              </w:rPr>
              <w:t>34,228,541.23</w:t>
            </w:r>
          </w:p>
        </w:tc>
        <w:tc>
          <w:tcPr>
            <w:tcW w:w="1016" w:type="pct"/>
            <w:shd w:val="clear" w:color="auto" w:fill="auto"/>
            <w:vAlign w:val="bottom"/>
          </w:tcPr>
          <w:p w:rsidR="00597370" w:rsidRDefault="003C2EEE">
            <w:pPr>
              <w:jc w:val="right"/>
              <w:rPr>
                <w:sz w:val="18"/>
                <w:szCs w:val="18"/>
              </w:rPr>
            </w:pPr>
            <w:r>
              <w:rPr>
                <w:sz w:val="18"/>
                <w:szCs w:val="18"/>
              </w:rPr>
              <w:t>149,483,785.54</w:t>
            </w:r>
          </w:p>
        </w:tc>
        <w:tc>
          <w:tcPr>
            <w:tcW w:w="1015" w:type="pct"/>
            <w:shd w:val="clear" w:color="auto" w:fill="auto"/>
            <w:vAlign w:val="bottom"/>
          </w:tcPr>
          <w:p w:rsidR="00597370" w:rsidRDefault="003C2EEE">
            <w:pPr>
              <w:jc w:val="right"/>
              <w:rPr>
                <w:sz w:val="18"/>
                <w:szCs w:val="18"/>
              </w:rPr>
            </w:pPr>
            <w:r>
              <w:rPr>
                <w:sz w:val="18"/>
                <w:szCs w:val="18"/>
              </w:rPr>
              <w:t>145,096,662.05</w:t>
            </w:r>
          </w:p>
        </w:tc>
        <w:tc>
          <w:tcPr>
            <w:tcW w:w="937" w:type="pct"/>
            <w:shd w:val="clear" w:color="auto" w:fill="auto"/>
            <w:vAlign w:val="bottom"/>
          </w:tcPr>
          <w:p w:rsidR="00597370" w:rsidRDefault="003C2EEE">
            <w:pPr>
              <w:jc w:val="right"/>
              <w:rPr>
                <w:sz w:val="18"/>
                <w:szCs w:val="18"/>
              </w:rPr>
            </w:pPr>
            <w:r>
              <w:rPr>
                <w:sz w:val="18"/>
                <w:szCs w:val="18"/>
              </w:rPr>
              <w:t>38,615,664.72</w:t>
            </w:r>
          </w:p>
        </w:tc>
      </w:tr>
    </w:tbl>
    <w:p w:rsidR="00597370" w:rsidRDefault="003C2EEE">
      <w:r>
        <w:rPr>
          <w:rFonts w:hint="eastAsia"/>
        </w:rPr>
        <w:t>说明：本期增加中</w:t>
      </w:r>
    </w:p>
    <w:p w:rsidR="00597370" w:rsidRDefault="003C2EEE">
      <w:pPr>
        <w:pStyle w:val="Style110"/>
        <w:numPr>
          <w:ilvl w:val="0"/>
          <w:numId w:val="77"/>
        </w:numPr>
        <w:rPr>
          <w:rFonts w:ascii="宋体" w:hAnsi="宋体"/>
          <w:color w:val="000000" w:themeColor="text1"/>
        </w:rPr>
      </w:pPr>
      <w:r>
        <w:rPr>
          <w:rFonts w:ascii="宋体" w:hAnsi="宋体" w:hint="eastAsia"/>
          <w:color w:val="000000" w:themeColor="text1"/>
        </w:rPr>
        <w:t>短期薪酬列示</w:t>
      </w:r>
    </w:p>
    <w:sdt>
      <w:sdtPr>
        <w:rPr>
          <w:color w:val="000000" w:themeColor="text1"/>
        </w:rPr>
        <w:alias w:val="是否适用：短期薪酬列示[双击切换]"/>
        <w:tag w:val="_GBC_fe9cc4ffdf524f4695448b31c76167ce"/>
        <w:id w:val="90041136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短期薪酬"/>
          <w:tag w:val="_GBC_f5a2a934147944d68f11ca2bcce4d80f"/>
          <w:id w:val="-213447518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短期薪酬"/>
          <w:tag w:val="_GBC_ded097d86a7d48b8a8b1d9689a73bd5d"/>
          <w:id w:val="10955991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21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702"/>
        <w:gridCol w:w="1993"/>
        <w:gridCol w:w="1833"/>
        <w:gridCol w:w="1702"/>
      </w:tblGrid>
      <w:tr w:rsidR="00597370">
        <w:trPr>
          <w:trHeight w:val="463"/>
        </w:trPr>
        <w:sdt>
          <w:sdtPr>
            <w:rPr>
              <w:rFonts w:asciiTheme="minorEastAsia" w:eastAsiaTheme="minorEastAsia" w:hAnsiTheme="minorEastAsia"/>
              <w:color w:val="000000" w:themeColor="text1"/>
              <w:sz w:val="18"/>
              <w:szCs w:val="18"/>
            </w:rPr>
            <w:tag w:val="_PLD_7b5378bc64e24511ae79d643c80f9c98"/>
            <w:id w:val="-207571460"/>
          </w:sdtPr>
          <w:sdtEndPr/>
          <w:sdtContent>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项目</w:t>
                </w:r>
              </w:p>
            </w:tc>
          </w:sdtContent>
        </w:sdt>
        <w:sdt>
          <w:sdtPr>
            <w:rPr>
              <w:rFonts w:asciiTheme="minorEastAsia" w:eastAsiaTheme="minorEastAsia" w:hAnsiTheme="minorEastAsia"/>
              <w:color w:val="000000" w:themeColor="text1"/>
              <w:sz w:val="18"/>
              <w:szCs w:val="18"/>
            </w:rPr>
            <w:tag w:val="_PLD_0144fa4bad154236aa75e1dcc0a89e56"/>
            <w:id w:val="-181291688"/>
          </w:sdtPr>
          <w:sdtEndPr/>
          <w:sdtContent>
            <w:tc>
              <w:tcPr>
                <w:tcW w:w="92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期初余额</w:t>
                </w:r>
              </w:p>
            </w:tc>
          </w:sdtContent>
        </w:sdt>
        <w:sdt>
          <w:sdtPr>
            <w:rPr>
              <w:rFonts w:asciiTheme="minorEastAsia" w:eastAsiaTheme="minorEastAsia" w:hAnsiTheme="minorEastAsia"/>
              <w:color w:val="000000" w:themeColor="text1"/>
              <w:sz w:val="18"/>
              <w:szCs w:val="18"/>
            </w:rPr>
            <w:tag w:val="_PLD_2d15a4a9e10b4386a7ed67bc2137e04a"/>
            <w:id w:val="1301816643"/>
          </w:sdtPr>
          <w:sdtEndPr/>
          <w:sdtContent>
            <w:tc>
              <w:tcPr>
                <w:tcW w:w="1082"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本期增加</w:t>
                </w:r>
              </w:p>
            </w:tc>
          </w:sdtContent>
        </w:sdt>
        <w:sdt>
          <w:sdtPr>
            <w:rPr>
              <w:rFonts w:asciiTheme="minorEastAsia" w:eastAsiaTheme="minorEastAsia" w:hAnsiTheme="minorEastAsia"/>
              <w:color w:val="000000" w:themeColor="text1"/>
              <w:sz w:val="18"/>
              <w:szCs w:val="18"/>
            </w:rPr>
            <w:tag w:val="_PLD_12a2bbefe0874cde83fdb77f4a4158a1"/>
            <w:id w:val="-1094084584"/>
          </w:sdtPr>
          <w:sdtEndPr/>
          <w:sdtContent>
            <w:tc>
              <w:tcPr>
                <w:tcW w:w="995"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本期减少</w:t>
                </w:r>
              </w:p>
            </w:tc>
          </w:sdtContent>
        </w:sdt>
        <w:sdt>
          <w:sdtPr>
            <w:rPr>
              <w:rFonts w:asciiTheme="minorEastAsia" w:eastAsiaTheme="minorEastAsia" w:hAnsiTheme="minorEastAsia"/>
              <w:color w:val="000000" w:themeColor="text1"/>
              <w:sz w:val="18"/>
              <w:szCs w:val="18"/>
            </w:rPr>
            <w:tag w:val="_PLD_190d6bcbbde148ffb48f230c6d9d7186"/>
            <w:id w:val="746763708"/>
          </w:sdtPr>
          <w:sdtEndPr/>
          <w:sdtContent>
            <w:tc>
              <w:tcPr>
                <w:tcW w:w="92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期末余额</w:t>
                </w:r>
              </w:p>
            </w:tc>
          </w:sdtContent>
        </w:sdt>
      </w:tr>
      <w:tr w:rsidR="00597370">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一、工资、奖金、津贴和补贴</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33,986,606.26</w:t>
            </w: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119,252,989.26</w:t>
            </w: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hint="eastAsia"/>
                <w:color w:val="000000"/>
                <w:sz w:val="18"/>
                <w:szCs w:val="18"/>
              </w:rPr>
              <w:t>115,082,046.53</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hint="eastAsia"/>
                <w:color w:val="000000"/>
                <w:sz w:val="18"/>
                <w:szCs w:val="18"/>
              </w:rPr>
              <w:t>38,157,548.99</w:t>
            </w:r>
          </w:p>
        </w:tc>
      </w:tr>
      <w:tr w:rsidR="00597370">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二、职工福利费</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6,565,017.24</w:t>
            </w: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6,565,017.24</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r>
      <w:tr w:rsidR="00597370">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三、社会保险费</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7,989.27</w:t>
            </w: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6,773,259.89</w:t>
            </w: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6,781,249.16</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r>
      <w:tr w:rsidR="00597370">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其中：</w:t>
            </w:r>
            <w:r>
              <w:rPr>
                <w:rFonts w:asciiTheme="minorEastAsia" w:eastAsiaTheme="minorEastAsia" w:hAnsiTheme="minorEastAsia"/>
                <w:color w:val="000000" w:themeColor="text1"/>
                <w:sz w:val="18"/>
                <w:szCs w:val="18"/>
              </w:rPr>
              <w:t>医疗保险费</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1,926.34</w:t>
            </w: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6,026,686.36</w:t>
            </w: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6,028,612.70</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r>
      <w:tr w:rsidR="00597370">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ind w:firstLineChars="300" w:firstLine="54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工伤保险费</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6,062.93</w:t>
            </w: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746,573.53</w:t>
            </w: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752,636.46</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r>
      <w:tr w:rsidR="00597370">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ind w:firstLineChars="300" w:firstLine="54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生育保险费</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r>
      <w:tr w:rsidR="00597370">
        <w:trPr>
          <w:trHeight w:val="442"/>
        </w:trPr>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四、住房公积金</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152,941.85</w:t>
            </w: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3,778,448.00</w:t>
            </w: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3,778,448.00</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152,941.85</w:t>
            </w:r>
          </w:p>
        </w:tc>
      </w:tr>
      <w:tr w:rsidR="00597370">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五、工会经费和职工教育经费</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2,669,183.74</w:t>
            </w: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2,364,009.86</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305,173.88</w:t>
            </w:r>
          </w:p>
        </w:tc>
      </w:tr>
      <w:tr w:rsidR="00597370">
        <w:trPr>
          <w:trHeight w:val="338"/>
        </w:trPr>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六、短期带薪缺勤</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r>
      <w:tr w:rsidR="00597370">
        <w:trPr>
          <w:trHeight w:val="271"/>
        </w:trPr>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七、短期利润分享计划</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sz w:val="18"/>
                <w:szCs w:val="18"/>
              </w:rPr>
            </w:pPr>
          </w:p>
        </w:tc>
      </w:tr>
      <w:tr w:rsidR="00597370">
        <w:trPr>
          <w:trHeight w:val="354"/>
        </w:trPr>
        <w:tc>
          <w:tcPr>
            <w:tcW w:w="1074"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合计</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34,147,537.38</w:t>
            </w:r>
          </w:p>
        </w:tc>
        <w:tc>
          <w:tcPr>
            <w:tcW w:w="1082"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139,038,898.13</w:t>
            </w:r>
          </w:p>
        </w:tc>
        <w:tc>
          <w:tcPr>
            <w:tcW w:w="995"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134,570,770.79</w:t>
            </w:r>
          </w:p>
        </w:tc>
        <w:tc>
          <w:tcPr>
            <w:tcW w:w="924"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38,615,664.72</w:t>
            </w:r>
          </w:p>
        </w:tc>
      </w:tr>
    </w:tbl>
    <w:p w:rsidR="00597370" w:rsidRDefault="00597370">
      <w:pPr>
        <w:rPr>
          <w:color w:val="000000" w:themeColor="text1"/>
        </w:rPr>
      </w:pPr>
    </w:p>
    <w:p w:rsidR="00597370" w:rsidRDefault="003C2EEE">
      <w:pPr>
        <w:pStyle w:val="Style110"/>
        <w:numPr>
          <w:ilvl w:val="0"/>
          <w:numId w:val="77"/>
        </w:numPr>
        <w:rPr>
          <w:rFonts w:ascii="宋体" w:hAnsi="宋体"/>
          <w:color w:val="000000" w:themeColor="text1"/>
        </w:rPr>
      </w:pPr>
      <w:r>
        <w:rPr>
          <w:rFonts w:ascii="宋体" w:hAnsi="宋体" w:hint="eastAsia"/>
          <w:color w:val="000000" w:themeColor="text1"/>
        </w:rPr>
        <w:t>设定提存计划列示</w:t>
      </w:r>
    </w:p>
    <w:sdt>
      <w:sdtPr>
        <w:rPr>
          <w:color w:val="000000" w:themeColor="text1"/>
        </w:rPr>
        <w:alias w:val="是否适用：设定提存计划列示[双击切换]"/>
        <w:tag w:val="_GBC_107b7eec6d75473e8809e93d01e00021"/>
        <w:id w:val="152359225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设定提存计划列示"/>
          <w:tag w:val="_GBC_744d8f829e6040c78616ef1951ef7e59"/>
          <w:id w:val="18659324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设定提存计划列示"/>
          <w:tag w:val="_GBC_433e4a4ae9d648a2973673cbec959f23"/>
          <w:id w:val="-1785910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1582"/>
        <w:gridCol w:w="1568"/>
        <w:gridCol w:w="1596"/>
        <w:gridCol w:w="1552"/>
      </w:tblGrid>
      <w:tr w:rsidR="00597370">
        <w:sdt>
          <w:sdtPr>
            <w:rPr>
              <w:color w:val="000000" w:themeColor="text1"/>
              <w:sz w:val="18"/>
              <w:szCs w:val="18"/>
            </w:rPr>
            <w:tag w:val="_PLD_f8a9011ca6bd4cc895a50279da6547e9"/>
            <w:id w:val="-1609047435"/>
          </w:sdtPr>
          <w:sdtEndPr/>
          <w:sdtContent>
            <w:tc>
              <w:tcPr>
                <w:tcW w:w="1428"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项目</w:t>
                </w:r>
              </w:p>
            </w:tc>
          </w:sdtContent>
        </w:sdt>
        <w:sdt>
          <w:sdtPr>
            <w:rPr>
              <w:color w:val="000000" w:themeColor="text1"/>
              <w:sz w:val="18"/>
              <w:szCs w:val="18"/>
            </w:rPr>
            <w:tag w:val="_PLD_db9ecea0e08e4c1bb5fe2474183a8480"/>
            <w:id w:val="162974823"/>
          </w:sdtPr>
          <w:sdtEnd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期初余额</w:t>
                </w:r>
              </w:p>
            </w:tc>
          </w:sdtContent>
        </w:sdt>
        <w:sdt>
          <w:sdtPr>
            <w:rPr>
              <w:color w:val="000000" w:themeColor="text1"/>
              <w:sz w:val="18"/>
              <w:szCs w:val="18"/>
            </w:rPr>
            <w:tag w:val="_PLD_11b6b53867b44c92b19ef791cad0c8c4"/>
            <w:id w:val="-414094616"/>
          </w:sdtPr>
          <w:sdtEnd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本期增加</w:t>
                </w:r>
              </w:p>
            </w:tc>
          </w:sdtContent>
        </w:sdt>
        <w:sdt>
          <w:sdtPr>
            <w:rPr>
              <w:color w:val="000000" w:themeColor="text1"/>
              <w:sz w:val="18"/>
              <w:szCs w:val="18"/>
            </w:rPr>
            <w:tag w:val="_PLD_c2cbd009dd4248ceb9040da5fc326084"/>
            <w:id w:val="-1552841471"/>
          </w:sdtPr>
          <w:sdtEnd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本期减少</w:t>
                </w:r>
              </w:p>
            </w:tc>
          </w:sdtContent>
        </w:sdt>
        <w:sdt>
          <w:sdtPr>
            <w:rPr>
              <w:color w:val="000000" w:themeColor="text1"/>
              <w:sz w:val="18"/>
              <w:szCs w:val="18"/>
            </w:rPr>
            <w:tag w:val="_PLD_0ded00fbf217420ebfe8ace86c12086d"/>
            <w:id w:val="-959639198"/>
          </w:sdtPr>
          <w:sdtEnd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期末余额</w:t>
                </w:r>
              </w:p>
            </w:tc>
          </w:sdtContent>
        </w:sdt>
      </w:tr>
      <w:tr w:rsidR="00597370">
        <w:tc>
          <w:tcPr>
            <w:tcW w:w="1428" w:type="pct"/>
            <w:tcBorders>
              <w:top w:val="single" w:sz="6" w:space="0" w:color="auto"/>
              <w:left w:val="single" w:sz="6" w:space="0" w:color="auto"/>
              <w:bottom w:val="single" w:sz="6" w:space="0" w:color="auto"/>
              <w:right w:val="single" w:sz="6" w:space="0" w:color="auto"/>
            </w:tcBorders>
            <w:shd w:val="clear" w:color="auto" w:fill="auto"/>
          </w:tcPr>
          <w:p w:rsidR="00597370" w:rsidRDefault="003C2EEE">
            <w:pPr>
              <w:rPr>
                <w:color w:val="000000" w:themeColor="text1"/>
                <w:sz w:val="18"/>
                <w:szCs w:val="18"/>
              </w:rPr>
            </w:pPr>
            <w:r>
              <w:rPr>
                <w:rFonts w:hint="eastAsia"/>
                <w:color w:val="000000" w:themeColor="text1"/>
                <w:sz w:val="18"/>
                <w:szCs w:val="18"/>
              </w:rPr>
              <w:t>1、基本养老保险</w:t>
            </w:r>
          </w:p>
        </w:tc>
        <w:tc>
          <w:tcPr>
            <w:tcW w:w="897" w:type="pct"/>
            <w:tcBorders>
              <w:top w:val="single" w:sz="4" w:space="0" w:color="auto"/>
              <w:left w:val="single" w:sz="6"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77,618.49</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9,974,020.54</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10,051,639.03</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sz w:val="18"/>
                <w:szCs w:val="18"/>
              </w:rPr>
            </w:pPr>
          </w:p>
        </w:tc>
      </w:tr>
      <w:tr w:rsidR="00597370">
        <w:tc>
          <w:tcPr>
            <w:tcW w:w="1428" w:type="pct"/>
            <w:tcBorders>
              <w:top w:val="single" w:sz="6" w:space="0" w:color="auto"/>
              <w:left w:val="single" w:sz="6" w:space="0" w:color="auto"/>
              <w:bottom w:val="single" w:sz="6" w:space="0" w:color="auto"/>
              <w:right w:val="single" w:sz="6" w:space="0" w:color="auto"/>
            </w:tcBorders>
            <w:shd w:val="clear" w:color="auto" w:fill="auto"/>
          </w:tcPr>
          <w:p w:rsidR="00597370" w:rsidRDefault="003C2EEE">
            <w:pPr>
              <w:rPr>
                <w:color w:val="000000" w:themeColor="text1"/>
                <w:sz w:val="18"/>
                <w:szCs w:val="18"/>
              </w:rPr>
            </w:pPr>
            <w:r>
              <w:rPr>
                <w:rFonts w:hint="eastAsia"/>
                <w:color w:val="000000" w:themeColor="text1"/>
                <w:sz w:val="18"/>
                <w:szCs w:val="18"/>
              </w:rPr>
              <w:t>2、失业保险费</w:t>
            </w:r>
          </w:p>
        </w:tc>
        <w:tc>
          <w:tcPr>
            <w:tcW w:w="897" w:type="pct"/>
            <w:tcBorders>
              <w:top w:val="single" w:sz="4" w:space="0" w:color="auto"/>
              <w:left w:val="single" w:sz="6"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3,385.36</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323,550.87</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326,936.23</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sz w:val="18"/>
                <w:szCs w:val="18"/>
              </w:rPr>
            </w:pPr>
          </w:p>
        </w:tc>
      </w:tr>
      <w:tr w:rsidR="00597370">
        <w:tc>
          <w:tcPr>
            <w:tcW w:w="1428" w:type="pct"/>
            <w:tcBorders>
              <w:top w:val="single" w:sz="6" w:space="0" w:color="auto"/>
              <w:left w:val="single" w:sz="6" w:space="0" w:color="auto"/>
              <w:bottom w:val="single" w:sz="6" w:space="0" w:color="auto"/>
              <w:right w:val="single" w:sz="6" w:space="0" w:color="auto"/>
            </w:tcBorders>
            <w:shd w:val="clear" w:color="auto" w:fill="auto"/>
          </w:tcPr>
          <w:p w:rsidR="00597370" w:rsidRDefault="003C2EEE">
            <w:pPr>
              <w:rPr>
                <w:color w:val="000000" w:themeColor="text1"/>
                <w:sz w:val="18"/>
                <w:szCs w:val="18"/>
              </w:rPr>
            </w:pPr>
            <w:r>
              <w:rPr>
                <w:rFonts w:hint="eastAsia"/>
                <w:color w:val="000000" w:themeColor="text1"/>
                <w:sz w:val="18"/>
                <w:szCs w:val="18"/>
              </w:rPr>
              <w:t>3、企业年金缴费</w:t>
            </w:r>
          </w:p>
        </w:tc>
        <w:tc>
          <w:tcPr>
            <w:tcW w:w="897" w:type="pct"/>
            <w:tcBorders>
              <w:top w:val="single" w:sz="4" w:space="0" w:color="auto"/>
              <w:left w:val="single" w:sz="6" w:space="0" w:color="auto"/>
              <w:bottom w:val="single" w:sz="4" w:space="0" w:color="auto"/>
              <w:right w:val="single" w:sz="4" w:space="0" w:color="auto"/>
            </w:tcBorders>
            <w:shd w:val="clear" w:color="auto" w:fill="auto"/>
          </w:tcPr>
          <w:p w:rsidR="00597370" w:rsidRDefault="00597370">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sz w:val="18"/>
                <w:szCs w:val="18"/>
              </w:rPr>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sz w:val="18"/>
                <w:szCs w:val="18"/>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sz w:val="18"/>
                <w:szCs w:val="18"/>
              </w:rPr>
            </w:pPr>
          </w:p>
        </w:tc>
      </w:tr>
      <w:tr w:rsidR="00597370">
        <w:tc>
          <w:tcPr>
            <w:tcW w:w="1428"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合计</w:t>
            </w:r>
          </w:p>
        </w:tc>
        <w:tc>
          <w:tcPr>
            <w:tcW w:w="897" w:type="pct"/>
            <w:tcBorders>
              <w:top w:val="single" w:sz="4" w:space="0" w:color="auto"/>
              <w:left w:val="single" w:sz="6"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81,003.85</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10,297,571.41</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sz w:val="18"/>
                <w:szCs w:val="18"/>
              </w:rPr>
            </w:pPr>
            <w:r>
              <w:rPr>
                <w:sz w:val="18"/>
                <w:szCs w:val="18"/>
              </w:rPr>
              <w:t>10,378,575.26</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sz w:val="18"/>
                <w:szCs w:val="18"/>
              </w:rPr>
            </w:pPr>
          </w:p>
        </w:tc>
      </w:tr>
    </w:tbl>
    <w:p w:rsidR="00597370" w:rsidRDefault="00597370">
      <w:pPr>
        <w:autoSpaceDE w:val="0"/>
        <w:autoSpaceDN w:val="0"/>
        <w:adjustRightInd w:val="0"/>
        <w:rPr>
          <w:color w:val="000000" w:themeColor="text1"/>
        </w:rPr>
      </w:pPr>
    </w:p>
    <w:p w:rsidR="00597370" w:rsidRDefault="003C2EEE">
      <w:pPr>
        <w:autoSpaceDE w:val="0"/>
        <w:autoSpaceDN w:val="0"/>
        <w:adjustRightInd w:val="0"/>
        <w:rPr>
          <w:color w:val="000000" w:themeColor="text1"/>
        </w:rPr>
      </w:pPr>
      <w:r>
        <w:rPr>
          <w:rFonts w:hint="eastAsia"/>
          <w:color w:val="000000" w:themeColor="text1"/>
        </w:rPr>
        <w:t>其他说明：</w:t>
      </w:r>
    </w:p>
    <w:sdt>
      <w:sdtPr>
        <w:rPr>
          <w:color w:val="000000" w:themeColor="text1"/>
        </w:rPr>
        <w:alias w:val="是否适用：应付职工薪酬的说明[双击切换]"/>
        <w:tag w:val="_GBC_f41ecc08d4994ba99707111806caa376"/>
        <w:id w:val="985749604"/>
        <w:placeholder>
          <w:docPart w:val="GBC22222222222222222222222222222"/>
        </w:placeholder>
      </w:sdtPr>
      <w:sdtEndPr/>
      <w:sdtContent>
        <w:p w:rsidR="00597370" w:rsidRDefault="003C2EEE">
          <w:pPr>
            <w:autoSpaceDE w:val="0"/>
            <w:autoSpaceDN w:val="0"/>
            <w:adjustRightInd w:val="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应付职工薪酬的说明"/>
        <w:tag w:val="_GBC_566b260e713e4778a8ad979f259c9c78"/>
        <w:id w:val="1013183457"/>
        <w:placeholder>
          <w:docPart w:val="GBC22222222222222222222222222222"/>
        </w:placeholder>
      </w:sdtPr>
      <w:sdtEndPr/>
      <w:sdtContent>
        <w:p w:rsidR="00597370" w:rsidRDefault="003C2EEE">
          <w:pPr>
            <w:autoSpaceDE w:val="0"/>
            <w:autoSpaceDN w:val="0"/>
            <w:adjustRightInd w:val="0"/>
            <w:rPr>
              <w:color w:val="000000" w:themeColor="text1"/>
            </w:rPr>
          </w:pPr>
          <w:r>
            <w:rPr>
              <w:rFonts w:hint="eastAsia"/>
              <w:color w:val="000000" w:themeColor="text1"/>
            </w:rPr>
            <w:t>无</w:t>
          </w:r>
        </w:p>
      </w:sdtContent>
    </w:sdt>
    <w:p w:rsidR="00597370" w:rsidRDefault="00597370">
      <w:pPr>
        <w:autoSpaceDE w:val="0"/>
        <w:autoSpaceDN w:val="0"/>
        <w:adjustRightInd w:val="0"/>
        <w:rPr>
          <w:color w:val="000000" w:themeColor="text1"/>
        </w:rPr>
      </w:pPr>
    </w:p>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应交税费</w:t>
      </w:r>
    </w:p>
    <w:sdt>
      <w:sdtPr>
        <w:rPr>
          <w:color w:val="000000" w:themeColor="text1"/>
        </w:rPr>
        <w:alias w:val="是否适用：应交税费[双击切换]"/>
        <w:tag w:val="_GBC_e7e2664720b9408384c5d3cd6d97c132"/>
        <w:id w:val="18993941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应交税费"/>
          <w:tag w:val="_GBC_a6162c9f021640929018406be611b834"/>
          <w:id w:val="-9513195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应交税费"/>
          <w:tag w:val="_GBC_d787fa1c70604797889c69c4c364e711"/>
          <w:id w:val="20927333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956"/>
        <w:gridCol w:w="3277"/>
        <w:gridCol w:w="2590"/>
      </w:tblGrid>
      <w:tr w:rsidR="00597370">
        <w:trPr>
          <w:cantSplit/>
        </w:trPr>
        <w:sdt>
          <w:sdtPr>
            <w:rPr>
              <w:color w:val="000000" w:themeColor="text1"/>
            </w:rPr>
            <w:tag w:val="_PLD_ab0019be2d10489d885d15626d85168f"/>
            <w:id w:val="1779909108"/>
          </w:sdtPr>
          <w:sdtEndPr/>
          <w:sdtContent>
            <w:tc>
              <w:tcPr>
                <w:tcW w:w="1675" w:type="pct"/>
                <w:vAlign w:val="center"/>
              </w:tcPr>
              <w:p w:rsidR="00597370" w:rsidRDefault="003C2EEE">
                <w:pPr>
                  <w:ind w:right="105"/>
                  <w:jc w:val="center"/>
                  <w:rPr>
                    <w:color w:val="000000" w:themeColor="text1"/>
                  </w:rPr>
                </w:pPr>
                <w:r>
                  <w:rPr>
                    <w:rFonts w:hint="eastAsia"/>
                    <w:color w:val="000000" w:themeColor="text1"/>
                  </w:rPr>
                  <w:t>项目</w:t>
                </w:r>
              </w:p>
            </w:tc>
          </w:sdtContent>
        </w:sdt>
        <w:sdt>
          <w:sdtPr>
            <w:rPr>
              <w:color w:val="000000" w:themeColor="text1"/>
            </w:rPr>
            <w:tag w:val="_PLD_4d086e8f4e004ee3aa116a5d10a7ecbd"/>
            <w:id w:val="-2042885469"/>
          </w:sdtPr>
          <w:sdtEndPr/>
          <w:sdtContent>
            <w:tc>
              <w:tcPr>
                <w:tcW w:w="1857" w:type="pct"/>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8b866f731e474c6ebfb67cd903ab95c8"/>
            <w:id w:val="1390920400"/>
          </w:sdtPr>
          <w:sdtEndPr/>
          <w:sdtContent>
            <w:tc>
              <w:tcPr>
                <w:tcW w:w="1468" w:type="pct"/>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cantSplit/>
        </w:trPr>
        <w:tc>
          <w:tcPr>
            <w:tcW w:w="1675" w:type="pct"/>
            <w:shd w:val="clear" w:color="auto" w:fill="auto"/>
            <w:vAlign w:val="center"/>
          </w:tcPr>
          <w:p w:rsidR="00597370" w:rsidRDefault="003C2EEE">
            <w:pPr>
              <w:ind w:right="105"/>
              <w:rPr>
                <w:color w:val="000000" w:themeColor="text1"/>
              </w:rPr>
            </w:pPr>
            <w:r>
              <w:rPr>
                <w:rFonts w:hint="eastAsia"/>
              </w:rPr>
              <w:t>增值税</w:t>
            </w:r>
          </w:p>
        </w:tc>
        <w:tc>
          <w:tcPr>
            <w:tcW w:w="3277" w:type="dxa"/>
            <w:shd w:val="clear" w:color="auto" w:fill="auto"/>
          </w:tcPr>
          <w:p w:rsidR="00597370" w:rsidRDefault="003C2EEE">
            <w:pPr>
              <w:jc w:val="right"/>
              <w:textAlignment w:val="top"/>
            </w:pPr>
            <w:r>
              <w:rPr>
                <w:rFonts w:hint="eastAsia"/>
                <w:color w:val="000000"/>
                <w:lang w:bidi="ar"/>
              </w:rPr>
              <w:t>1,975,994.78</w:t>
            </w:r>
          </w:p>
        </w:tc>
        <w:tc>
          <w:tcPr>
            <w:tcW w:w="1468" w:type="pct"/>
            <w:shd w:val="clear" w:color="auto" w:fill="auto"/>
            <w:vAlign w:val="center"/>
          </w:tcPr>
          <w:p w:rsidR="00597370" w:rsidRDefault="003C2EEE">
            <w:pPr>
              <w:jc w:val="right"/>
            </w:pPr>
            <w:r>
              <w:t>1,815,916.84</w:t>
            </w:r>
          </w:p>
        </w:tc>
      </w:tr>
      <w:tr w:rsidR="00597370">
        <w:trPr>
          <w:cantSplit/>
        </w:trPr>
        <w:tc>
          <w:tcPr>
            <w:tcW w:w="1675" w:type="pct"/>
            <w:shd w:val="clear" w:color="auto" w:fill="auto"/>
            <w:vAlign w:val="center"/>
          </w:tcPr>
          <w:p w:rsidR="00597370" w:rsidRDefault="003C2EEE">
            <w:pPr>
              <w:ind w:right="105"/>
              <w:rPr>
                <w:color w:val="000000" w:themeColor="text1"/>
              </w:rPr>
            </w:pPr>
            <w:r>
              <w:rPr>
                <w:rFonts w:hint="eastAsia"/>
              </w:rPr>
              <w:t>个人所得税</w:t>
            </w:r>
          </w:p>
        </w:tc>
        <w:tc>
          <w:tcPr>
            <w:tcW w:w="3277" w:type="dxa"/>
            <w:shd w:val="clear" w:color="auto" w:fill="auto"/>
          </w:tcPr>
          <w:p w:rsidR="00597370" w:rsidRDefault="003C2EEE">
            <w:pPr>
              <w:jc w:val="right"/>
              <w:textAlignment w:val="top"/>
            </w:pPr>
            <w:r>
              <w:rPr>
                <w:rFonts w:hint="eastAsia"/>
                <w:color w:val="000000"/>
                <w:lang w:bidi="ar"/>
              </w:rPr>
              <w:t>226,594.10</w:t>
            </w:r>
          </w:p>
        </w:tc>
        <w:tc>
          <w:tcPr>
            <w:tcW w:w="1468" w:type="pct"/>
            <w:shd w:val="clear" w:color="auto" w:fill="auto"/>
            <w:vAlign w:val="center"/>
          </w:tcPr>
          <w:p w:rsidR="00597370" w:rsidRDefault="003C2EEE">
            <w:pPr>
              <w:jc w:val="right"/>
            </w:pPr>
            <w:r>
              <w:t>228,192.22</w:t>
            </w:r>
          </w:p>
        </w:tc>
      </w:tr>
      <w:tr w:rsidR="00597370">
        <w:trPr>
          <w:cantSplit/>
        </w:trPr>
        <w:tc>
          <w:tcPr>
            <w:tcW w:w="1675" w:type="pct"/>
            <w:shd w:val="clear" w:color="auto" w:fill="auto"/>
            <w:vAlign w:val="center"/>
          </w:tcPr>
          <w:p w:rsidR="00597370" w:rsidRDefault="003C2EEE">
            <w:pPr>
              <w:ind w:right="105"/>
              <w:rPr>
                <w:color w:val="000000" w:themeColor="text1"/>
              </w:rPr>
            </w:pPr>
            <w:r>
              <w:rPr>
                <w:rFonts w:hint="eastAsia"/>
              </w:rPr>
              <w:t>印花税</w:t>
            </w:r>
          </w:p>
        </w:tc>
        <w:tc>
          <w:tcPr>
            <w:tcW w:w="3277" w:type="dxa"/>
            <w:shd w:val="clear" w:color="auto" w:fill="auto"/>
          </w:tcPr>
          <w:p w:rsidR="00597370" w:rsidRDefault="003C2EEE">
            <w:pPr>
              <w:jc w:val="right"/>
              <w:textAlignment w:val="top"/>
            </w:pPr>
            <w:r>
              <w:rPr>
                <w:rFonts w:hint="eastAsia"/>
                <w:color w:val="000000"/>
                <w:lang w:bidi="ar"/>
              </w:rPr>
              <w:t>146,595.74</w:t>
            </w:r>
          </w:p>
        </w:tc>
        <w:tc>
          <w:tcPr>
            <w:tcW w:w="1468" w:type="pct"/>
            <w:shd w:val="clear" w:color="auto" w:fill="auto"/>
            <w:vAlign w:val="center"/>
          </w:tcPr>
          <w:p w:rsidR="00597370" w:rsidRDefault="003C2EEE">
            <w:pPr>
              <w:jc w:val="right"/>
            </w:pPr>
            <w:r>
              <w:t>482,515.50</w:t>
            </w:r>
          </w:p>
        </w:tc>
      </w:tr>
      <w:tr w:rsidR="00597370">
        <w:trPr>
          <w:cantSplit/>
        </w:trPr>
        <w:tc>
          <w:tcPr>
            <w:tcW w:w="1675" w:type="pct"/>
            <w:shd w:val="clear" w:color="auto" w:fill="auto"/>
            <w:vAlign w:val="center"/>
          </w:tcPr>
          <w:p w:rsidR="00597370" w:rsidRDefault="003C2EEE">
            <w:pPr>
              <w:ind w:right="105"/>
              <w:rPr>
                <w:color w:val="000000" w:themeColor="text1"/>
              </w:rPr>
            </w:pPr>
            <w:r>
              <w:rPr>
                <w:rFonts w:hint="eastAsia"/>
              </w:rPr>
              <w:t>城市维护建设税</w:t>
            </w:r>
          </w:p>
        </w:tc>
        <w:tc>
          <w:tcPr>
            <w:tcW w:w="3277" w:type="dxa"/>
            <w:shd w:val="clear" w:color="auto" w:fill="auto"/>
          </w:tcPr>
          <w:p w:rsidR="00597370" w:rsidRDefault="003C2EEE">
            <w:pPr>
              <w:jc w:val="right"/>
              <w:textAlignment w:val="top"/>
            </w:pPr>
            <w:r>
              <w:rPr>
                <w:rFonts w:hint="eastAsia"/>
                <w:color w:val="000000"/>
                <w:lang w:bidi="ar"/>
              </w:rPr>
              <w:t>12,416.84</w:t>
            </w:r>
          </w:p>
        </w:tc>
        <w:tc>
          <w:tcPr>
            <w:tcW w:w="1468" w:type="pct"/>
            <w:shd w:val="clear" w:color="auto" w:fill="auto"/>
            <w:vAlign w:val="center"/>
          </w:tcPr>
          <w:p w:rsidR="00597370" w:rsidRDefault="003C2EEE">
            <w:pPr>
              <w:jc w:val="right"/>
            </w:pPr>
            <w:r>
              <w:t>16,645.60</w:t>
            </w:r>
          </w:p>
        </w:tc>
      </w:tr>
      <w:tr w:rsidR="00597370">
        <w:trPr>
          <w:cantSplit/>
        </w:trPr>
        <w:tc>
          <w:tcPr>
            <w:tcW w:w="1675" w:type="pct"/>
            <w:shd w:val="clear" w:color="auto" w:fill="auto"/>
            <w:vAlign w:val="center"/>
          </w:tcPr>
          <w:p w:rsidR="00597370" w:rsidRDefault="003C2EEE">
            <w:pPr>
              <w:ind w:right="105"/>
              <w:rPr>
                <w:color w:val="000000" w:themeColor="text1"/>
              </w:rPr>
            </w:pPr>
            <w:r>
              <w:rPr>
                <w:rFonts w:hint="eastAsia"/>
              </w:rPr>
              <w:t>教育费附加</w:t>
            </w:r>
          </w:p>
        </w:tc>
        <w:tc>
          <w:tcPr>
            <w:tcW w:w="3277" w:type="dxa"/>
            <w:shd w:val="clear" w:color="auto" w:fill="auto"/>
          </w:tcPr>
          <w:p w:rsidR="00597370" w:rsidRDefault="003C2EEE">
            <w:pPr>
              <w:jc w:val="right"/>
              <w:textAlignment w:val="top"/>
            </w:pPr>
            <w:r>
              <w:rPr>
                <w:rFonts w:hint="eastAsia"/>
                <w:color w:val="000000"/>
                <w:lang w:bidi="ar"/>
              </w:rPr>
              <w:t>8,869.17</w:t>
            </w:r>
          </w:p>
        </w:tc>
        <w:tc>
          <w:tcPr>
            <w:tcW w:w="1468" w:type="pct"/>
            <w:shd w:val="clear" w:color="auto" w:fill="auto"/>
            <w:vAlign w:val="center"/>
          </w:tcPr>
          <w:p w:rsidR="00597370" w:rsidRDefault="003C2EEE">
            <w:pPr>
              <w:jc w:val="right"/>
            </w:pPr>
            <w:r>
              <w:t>11,889.72</w:t>
            </w:r>
          </w:p>
        </w:tc>
      </w:tr>
      <w:tr w:rsidR="00597370">
        <w:trPr>
          <w:cantSplit/>
        </w:trPr>
        <w:tc>
          <w:tcPr>
            <w:tcW w:w="1675" w:type="pct"/>
            <w:shd w:val="clear" w:color="auto" w:fill="auto"/>
            <w:vAlign w:val="center"/>
          </w:tcPr>
          <w:p w:rsidR="00597370" w:rsidRDefault="003C2EEE">
            <w:pPr>
              <w:ind w:right="105"/>
              <w:rPr>
                <w:color w:val="000000" w:themeColor="text1"/>
              </w:rPr>
            </w:pPr>
            <w:r>
              <w:rPr>
                <w:rFonts w:hint="eastAsia"/>
              </w:rPr>
              <w:t>企业所得税</w:t>
            </w:r>
          </w:p>
        </w:tc>
        <w:tc>
          <w:tcPr>
            <w:tcW w:w="3277" w:type="dxa"/>
            <w:shd w:val="clear" w:color="auto" w:fill="auto"/>
          </w:tcPr>
          <w:p w:rsidR="00597370" w:rsidRDefault="003C2EEE">
            <w:pPr>
              <w:jc w:val="right"/>
              <w:textAlignment w:val="top"/>
            </w:pPr>
            <w:r>
              <w:rPr>
                <w:rFonts w:hint="eastAsia"/>
                <w:color w:val="000000"/>
                <w:lang w:bidi="ar"/>
              </w:rPr>
              <w:t>10,279,279.92</w:t>
            </w:r>
          </w:p>
        </w:tc>
        <w:tc>
          <w:tcPr>
            <w:tcW w:w="1468" w:type="pct"/>
            <w:shd w:val="clear" w:color="auto" w:fill="auto"/>
            <w:vAlign w:val="center"/>
          </w:tcPr>
          <w:p w:rsidR="00597370" w:rsidRDefault="00597370">
            <w:pPr>
              <w:jc w:val="right"/>
            </w:pPr>
          </w:p>
        </w:tc>
      </w:tr>
      <w:tr w:rsidR="00597370">
        <w:trPr>
          <w:cantSplit/>
        </w:trPr>
        <w:tc>
          <w:tcPr>
            <w:tcW w:w="1675" w:type="pct"/>
            <w:vAlign w:val="center"/>
          </w:tcPr>
          <w:p w:rsidR="00597370" w:rsidRDefault="003C2EEE">
            <w:pPr>
              <w:ind w:right="105"/>
            </w:pPr>
            <w:r>
              <w:rPr>
                <w:rFonts w:hint="eastAsia"/>
              </w:rPr>
              <w:t>其他</w:t>
            </w:r>
          </w:p>
        </w:tc>
        <w:tc>
          <w:tcPr>
            <w:tcW w:w="3277" w:type="dxa"/>
          </w:tcPr>
          <w:p w:rsidR="00597370" w:rsidRDefault="003C2EEE">
            <w:pPr>
              <w:jc w:val="right"/>
              <w:textAlignment w:val="top"/>
            </w:pPr>
            <w:r>
              <w:rPr>
                <w:rFonts w:hint="eastAsia"/>
                <w:color w:val="000000"/>
                <w:lang w:bidi="ar"/>
              </w:rPr>
              <w:t>1,939,687.47</w:t>
            </w:r>
          </w:p>
        </w:tc>
        <w:tc>
          <w:tcPr>
            <w:tcW w:w="1468" w:type="pct"/>
            <w:vAlign w:val="center"/>
          </w:tcPr>
          <w:p w:rsidR="00597370" w:rsidRDefault="003C2EEE">
            <w:pPr>
              <w:jc w:val="right"/>
            </w:pPr>
            <w:r>
              <w:t>60,259.74</w:t>
            </w:r>
          </w:p>
        </w:tc>
      </w:tr>
      <w:tr w:rsidR="00597370">
        <w:trPr>
          <w:cantSplit/>
        </w:trPr>
        <w:tc>
          <w:tcPr>
            <w:tcW w:w="1675" w:type="pct"/>
            <w:vAlign w:val="center"/>
          </w:tcPr>
          <w:p w:rsidR="00597370" w:rsidRDefault="003C2EEE">
            <w:pPr>
              <w:ind w:right="105"/>
              <w:jc w:val="center"/>
              <w:rPr>
                <w:color w:val="000000" w:themeColor="text1"/>
              </w:rPr>
            </w:pPr>
            <w:r>
              <w:rPr>
                <w:rFonts w:hint="eastAsia"/>
                <w:color w:val="000000" w:themeColor="text1"/>
              </w:rPr>
              <w:t>合计</w:t>
            </w:r>
          </w:p>
        </w:tc>
        <w:tc>
          <w:tcPr>
            <w:tcW w:w="3277" w:type="dxa"/>
          </w:tcPr>
          <w:p w:rsidR="00597370" w:rsidRDefault="003C2EEE">
            <w:pPr>
              <w:jc w:val="right"/>
              <w:textAlignment w:val="top"/>
            </w:pPr>
            <w:r>
              <w:rPr>
                <w:rFonts w:hint="eastAsia"/>
                <w:color w:val="000000"/>
                <w:lang w:bidi="ar"/>
              </w:rPr>
              <w:t>14,589,438.02</w:t>
            </w:r>
          </w:p>
        </w:tc>
        <w:tc>
          <w:tcPr>
            <w:tcW w:w="1468" w:type="pct"/>
          </w:tcPr>
          <w:p w:rsidR="00597370" w:rsidRDefault="003C2EEE">
            <w:pPr>
              <w:jc w:val="right"/>
            </w:pPr>
            <w:r>
              <w:t>2,615,419.62</w:t>
            </w:r>
          </w:p>
        </w:tc>
      </w:tr>
    </w:tbl>
    <w:p w:rsidR="00597370" w:rsidRDefault="003C2EEE">
      <w:pPr>
        <w:rPr>
          <w:color w:val="000000" w:themeColor="text1"/>
        </w:rPr>
      </w:pPr>
      <w:r>
        <w:rPr>
          <w:rFonts w:hint="eastAsia"/>
          <w:color w:val="000000" w:themeColor="text1"/>
        </w:rPr>
        <w:t>其他说明：</w:t>
      </w:r>
    </w:p>
    <w:sdt>
      <w:sdtPr>
        <w:rPr>
          <w:color w:val="000000" w:themeColor="text1"/>
        </w:rPr>
        <w:alias w:val="应交税金的说明"/>
        <w:tag w:val="_GBC_fb59f8f9de2d41c3aaf0dc3b0970dd91"/>
        <w:id w:val="393471302"/>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其他应付款</w:t>
      </w:r>
    </w:p>
    <w:p w:rsidR="00597370" w:rsidRDefault="003C2EEE">
      <w:pPr>
        <w:pStyle w:val="Style110"/>
        <w:numPr>
          <w:ilvl w:val="0"/>
          <w:numId w:val="78"/>
        </w:numPr>
        <w:ind w:left="425" w:hanging="425"/>
        <w:rPr>
          <w:color w:val="000000" w:themeColor="text1"/>
        </w:rPr>
      </w:pPr>
      <w:bookmarkStart w:id="324" w:name="_Hlk167960650"/>
      <w:r>
        <w:rPr>
          <w:rFonts w:hint="eastAsia"/>
          <w:color w:val="000000" w:themeColor="text1"/>
        </w:rPr>
        <w:t>项目列示</w:t>
      </w:r>
    </w:p>
    <w:sdt>
      <w:sdtPr>
        <w:rPr>
          <w:color w:val="000000" w:themeColor="text1"/>
        </w:rPr>
        <w:alias w:val="是否适用：其他应付款分类列示[双击切换]"/>
        <w:tag w:val="_GBC_5827d75493f041f68356cdf43e4b0e52"/>
        <w:id w:val="35632728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其他应付款分类列示"/>
          <w:tag w:val="_GBC_2c430d2cae634c2e8376192a2b4c05d5"/>
          <w:id w:val="1313770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其他应付款分类列示"/>
          <w:tag w:val="_GBC_ac9f03788d1745f8afc5195f61ce7b16"/>
          <w:id w:val="13984096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792"/>
        <w:gridCol w:w="2806"/>
      </w:tblGrid>
      <w:tr w:rsidR="00597370">
        <w:sdt>
          <w:sdtPr>
            <w:rPr>
              <w:color w:val="000000" w:themeColor="text1"/>
            </w:rPr>
            <w:tag w:val="_PLD_547406e2caa94b57a871517659cf9c0e"/>
            <w:id w:val="-1813631562"/>
          </w:sdtPr>
          <w:sdtEndPr/>
          <w:sdtContent>
            <w:tc>
              <w:tcPr>
                <w:tcW w:w="1828" w:type="pct"/>
                <w:shd w:val="clear" w:color="auto" w:fill="auto"/>
                <w:vAlign w:val="center"/>
              </w:tcPr>
              <w:p w:rsidR="00597370" w:rsidRDefault="003C2EEE">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项目</w:t>
                </w:r>
              </w:p>
            </w:tc>
          </w:sdtContent>
        </w:sdt>
        <w:sdt>
          <w:sdtPr>
            <w:rPr>
              <w:color w:val="000000" w:themeColor="text1"/>
            </w:rPr>
            <w:tag w:val="_PLD_d719b36c588443f38353aada8839625f"/>
            <w:id w:val="-165011218"/>
          </w:sdtPr>
          <w:sdtEndPr/>
          <w:sdtContent>
            <w:tc>
              <w:tcPr>
                <w:tcW w:w="1582"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bc6045ff64f3481da65c0cff41edd1d0"/>
            <w:id w:val="2050183952"/>
          </w:sdtPr>
          <w:sdtEndPr/>
          <w:sdtContent>
            <w:tc>
              <w:tcPr>
                <w:tcW w:w="1590"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c>
          <w:tcPr>
            <w:tcW w:w="1828" w:type="pct"/>
            <w:shd w:val="clear" w:color="auto" w:fill="auto"/>
          </w:tcPr>
          <w:p w:rsidR="00597370" w:rsidRDefault="003C2EEE">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其他应付款</w:t>
            </w:r>
          </w:p>
        </w:tc>
        <w:tc>
          <w:tcPr>
            <w:tcW w:w="1582" w:type="pct"/>
            <w:shd w:val="clear" w:color="auto" w:fill="auto"/>
          </w:tcPr>
          <w:p w:rsidR="00597370" w:rsidRDefault="003C2EEE">
            <w:pPr>
              <w:tabs>
                <w:tab w:val="right" w:pos="3690"/>
                <w:tab w:val="right" w:pos="5130"/>
                <w:tab w:val="right" w:pos="6030"/>
                <w:tab w:val="right" w:pos="7650"/>
                <w:tab w:val="right" w:pos="9270"/>
              </w:tabs>
              <w:adjustRightInd w:val="0"/>
              <w:snapToGrid w:val="0"/>
              <w:jc w:val="right"/>
            </w:pPr>
            <w:r>
              <w:t>110,397,912.86</w:t>
            </w:r>
          </w:p>
        </w:tc>
        <w:tc>
          <w:tcPr>
            <w:tcW w:w="1590" w:type="pct"/>
            <w:shd w:val="clear" w:color="auto" w:fill="auto"/>
          </w:tcPr>
          <w:p w:rsidR="00597370" w:rsidRDefault="003C2EEE">
            <w:pPr>
              <w:tabs>
                <w:tab w:val="right" w:pos="3690"/>
                <w:tab w:val="right" w:pos="5130"/>
                <w:tab w:val="right" w:pos="6030"/>
                <w:tab w:val="right" w:pos="7650"/>
                <w:tab w:val="right" w:pos="9270"/>
              </w:tabs>
              <w:adjustRightInd w:val="0"/>
              <w:snapToGrid w:val="0"/>
              <w:jc w:val="right"/>
            </w:pPr>
            <w:r>
              <w:t>17,557,617.05</w:t>
            </w:r>
          </w:p>
        </w:tc>
      </w:tr>
      <w:tr w:rsidR="00597370">
        <w:tc>
          <w:tcPr>
            <w:tcW w:w="1828" w:type="pct"/>
            <w:shd w:val="clear" w:color="auto" w:fill="auto"/>
          </w:tcPr>
          <w:p w:rsidR="00597370" w:rsidRDefault="003C2EEE">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合计</w:t>
            </w:r>
          </w:p>
        </w:tc>
        <w:tc>
          <w:tcPr>
            <w:tcW w:w="1582" w:type="pct"/>
            <w:shd w:val="clear" w:color="auto" w:fill="auto"/>
          </w:tcPr>
          <w:p w:rsidR="00597370" w:rsidRDefault="003C2EEE">
            <w:pPr>
              <w:tabs>
                <w:tab w:val="right" w:pos="3690"/>
                <w:tab w:val="right" w:pos="5130"/>
                <w:tab w:val="right" w:pos="6030"/>
                <w:tab w:val="right" w:pos="7650"/>
                <w:tab w:val="right" w:pos="9270"/>
              </w:tabs>
              <w:adjustRightInd w:val="0"/>
              <w:snapToGrid w:val="0"/>
              <w:jc w:val="right"/>
            </w:pPr>
            <w:r>
              <w:t>110,397,912.86</w:t>
            </w:r>
          </w:p>
        </w:tc>
        <w:tc>
          <w:tcPr>
            <w:tcW w:w="1590" w:type="pct"/>
            <w:shd w:val="clear" w:color="auto" w:fill="auto"/>
          </w:tcPr>
          <w:p w:rsidR="00597370" w:rsidRDefault="003C2EEE">
            <w:pPr>
              <w:tabs>
                <w:tab w:val="right" w:pos="3690"/>
                <w:tab w:val="right" w:pos="5130"/>
                <w:tab w:val="right" w:pos="6030"/>
                <w:tab w:val="right" w:pos="7650"/>
                <w:tab w:val="right" w:pos="9270"/>
              </w:tabs>
              <w:adjustRightInd w:val="0"/>
              <w:snapToGrid w:val="0"/>
              <w:jc w:val="right"/>
            </w:pPr>
            <w:r>
              <w:t>17,557,617.05</w:t>
            </w:r>
          </w:p>
        </w:tc>
      </w:tr>
      <w:bookmarkEnd w:id="324"/>
    </w:tbl>
    <w:p w:rsidR="00597370" w:rsidRDefault="00597370">
      <w:pPr>
        <w:rPr>
          <w:color w:val="000000" w:themeColor="text1"/>
        </w:rPr>
      </w:pPr>
    </w:p>
    <w:p w:rsidR="00597370" w:rsidRDefault="003C2EEE">
      <w:pPr>
        <w:pStyle w:val="Style110"/>
        <w:numPr>
          <w:ilvl w:val="0"/>
          <w:numId w:val="78"/>
        </w:numPr>
        <w:ind w:left="425" w:hanging="425"/>
        <w:rPr>
          <w:rFonts w:ascii="宋体" w:hAnsi="宋体" w:cs="宋体"/>
          <w:color w:val="000000" w:themeColor="text1"/>
          <w:kern w:val="0"/>
          <w:szCs w:val="24"/>
        </w:rPr>
      </w:pPr>
      <w:bookmarkStart w:id="325" w:name="_Hlk10536047"/>
      <w:r>
        <w:rPr>
          <w:rFonts w:ascii="宋体" w:hAnsi="宋体" w:cs="宋体" w:hint="eastAsia"/>
          <w:color w:val="000000" w:themeColor="text1"/>
          <w:kern w:val="0"/>
          <w:szCs w:val="24"/>
        </w:rPr>
        <w:t>应付利息</w:t>
      </w:r>
    </w:p>
    <w:sdt>
      <w:sdtPr>
        <w:rPr>
          <w:color w:val="000000" w:themeColor="text1"/>
        </w:rPr>
        <w:alias w:val="是否适用：应付利息[双击切换]"/>
        <w:tag w:val="_GBC_9058c1c6b0a94f6a8c531ec2dbd35706"/>
        <w:id w:val="-78519373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rPr>
          <w:rFonts w:ascii="宋体" w:hAnsi="宋体"/>
          <w:color w:val="000000" w:themeColor="text1"/>
        </w:rPr>
      </w:pPr>
      <w:bookmarkStart w:id="326" w:name="_Hlk10536068"/>
      <w:bookmarkStart w:id="327" w:name="_Hlk10536082"/>
      <w:bookmarkEnd w:id="325"/>
      <w:r>
        <w:rPr>
          <w:rFonts w:ascii="宋体" w:hAnsi="宋体" w:hint="eastAsia"/>
          <w:color w:val="000000" w:themeColor="text1"/>
        </w:rPr>
        <w:t>应付股利</w:t>
      </w:r>
      <w:bookmarkEnd w:id="326"/>
    </w:p>
    <w:sdt>
      <w:sdtPr>
        <w:rPr>
          <w:color w:val="000000" w:themeColor="text1"/>
        </w:rPr>
        <w:alias w:val="是否适用：应付股利[双击切换]"/>
        <w:tag w:val="_GBC_09dc75ba10d44acfb18b03320a40e4c5"/>
        <w:id w:val="-184855239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bookmarkStart w:id="328" w:name="_Hlk10536163"/>
      <w:bookmarkEnd w:id="327"/>
      <w:r>
        <w:rPr>
          <w:rFonts w:hint="eastAsia"/>
          <w:color w:val="000000" w:themeColor="text1"/>
        </w:rPr>
        <w:t>单位：</w:t>
      </w:r>
      <w:sdt>
        <w:sdtPr>
          <w:rPr>
            <w:rFonts w:hint="eastAsia"/>
            <w:color w:val="000000" w:themeColor="text1"/>
          </w:rPr>
          <w:alias w:val="单位：财务附注：应付股利"/>
          <w:tag w:val="_GBC_794436f63bf446c4b4d5d09922a87476"/>
          <w:id w:val="-1488470275"/>
          <w:placeholder>
            <w:docPart w:val="2B2298D92C7B45398C42352C63C9A64B"/>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应付股利"/>
          <w:tag w:val="_GBC_3ac9f6019d6040e79214de869765e7c9"/>
          <w:id w:val="1153331250"/>
          <w:placeholder>
            <w:docPart w:val="2B2298D92C7B45398C42352C63C9A64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835"/>
        <w:gridCol w:w="2993"/>
        <w:gridCol w:w="2995"/>
      </w:tblGrid>
      <w:tr w:rsidR="00597370">
        <w:trPr>
          <w:cantSplit/>
        </w:trPr>
        <w:sdt>
          <w:sdtPr>
            <w:rPr>
              <w:color w:val="000000" w:themeColor="text1"/>
            </w:rPr>
            <w:tag w:val="_PLD_9d58938574b04fdbb97abe896d2ae73a"/>
            <w:id w:val="-1980524248"/>
          </w:sdtPr>
          <w:sdtEndPr/>
          <w:sdtContent>
            <w:tc>
              <w:tcPr>
                <w:tcW w:w="1607" w:type="pct"/>
              </w:tcPr>
              <w:p w:rsidR="00597370" w:rsidRDefault="003C2EEE">
                <w:pPr>
                  <w:ind w:right="105"/>
                  <w:jc w:val="center"/>
                  <w:rPr>
                    <w:color w:val="000000" w:themeColor="text1"/>
                  </w:rPr>
                </w:pPr>
                <w:r>
                  <w:rPr>
                    <w:rFonts w:hint="eastAsia"/>
                    <w:color w:val="000000" w:themeColor="text1"/>
                  </w:rPr>
                  <w:t>项目</w:t>
                </w:r>
              </w:p>
            </w:tc>
          </w:sdtContent>
        </w:sdt>
        <w:sdt>
          <w:sdtPr>
            <w:rPr>
              <w:color w:val="000000" w:themeColor="text1"/>
            </w:rPr>
            <w:tag w:val="_PLD_464a3e2801194be5b8f549044d634880"/>
            <w:id w:val="33541738"/>
          </w:sdtPr>
          <w:sdtEndPr/>
          <w:sdtContent>
            <w:tc>
              <w:tcPr>
                <w:tcW w:w="1696" w:type="pct"/>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b96a666c25174aeab9bab423f51ae94f"/>
            <w:id w:val="595606381"/>
          </w:sdtPr>
          <w:sdtEndPr/>
          <w:sdtContent>
            <w:tc>
              <w:tcPr>
                <w:tcW w:w="1697" w:type="pct"/>
              </w:tcPr>
              <w:p w:rsidR="00597370" w:rsidRDefault="003C2EEE">
                <w:pPr>
                  <w:jc w:val="center"/>
                  <w:rPr>
                    <w:color w:val="000000" w:themeColor="text1"/>
                  </w:rPr>
                </w:pPr>
                <w:r>
                  <w:rPr>
                    <w:rFonts w:hint="eastAsia"/>
                    <w:color w:val="000000" w:themeColor="text1"/>
                  </w:rPr>
                  <w:t>期初余额</w:t>
                </w:r>
              </w:p>
            </w:tc>
          </w:sdtContent>
        </w:sdt>
      </w:tr>
      <w:tr w:rsidR="00597370">
        <w:trPr>
          <w:cantSplit/>
        </w:trPr>
        <w:tc>
          <w:tcPr>
            <w:tcW w:w="1607" w:type="pct"/>
          </w:tcPr>
          <w:p w:rsidR="00597370" w:rsidRDefault="003C2EEE">
            <w:pPr>
              <w:ind w:right="105"/>
              <w:rPr>
                <w:color w:val="000000" w:themeColor="text1"/>
              </w:rPr>
            </w:pPr>
            <w:r>
              <w:rPr>
                <w:rFonts w:hint="eastAsia"/>
                <w:color w:val="000000" w:themeColor="text1"/>
              </w:rPr>
              <w:t>普通股股利</w:t>
            </w:r>
          </w:p>
        </w:tc>
        <w:tc>
          <w:tcPr>
            <w:tcW w:w="1696" w:type="pct"/>
          </w:tcPr>
          <w:p w:rsidR="00597370" w:rsidRDefault="003C2EEE">
            <w:pPr>
              <w:ind w:right="73"/>
              <w:jc w:val="right"/>
            </w:pPr>
            <w:r>
              <w:t>49,877,195.85</w:t>
            </w:r>
          </w:p>
        </w:tc>
        <w:tc>
          <w:tcPr>
            <w:tcW w:w="1697" w:type="pct"/>
          </w:tcPr>
          <w:p w:rsidR="00597370" w:rsidRDefault="00597370">
            <w:pPr>
              <w:ind w:right="73"/>
              <w:jc w:val="right"/>
            </w:pPr>
          </w:p>
        </w:tc>
      </w:tr>
      <w:tr w:rsidR="00597370">
        <w:trPr>
          <w:cantSplit/>
        </w:trPr>
        <w:tc>
          <w:tcPr>
            <w:tcW w:w="1607" w:type="pct"/>
          </w:tcPr>
          <w:p w:rsidR="00597370" w:rsidRDefault="003C2EEE">
            <w:pPr>
              <w:ind w:right="105"/>
              <w:rPr>
                <w:color w:val="000000" w:themeColor="text1"/>
              </w:rPr>
            </w:pPr>
            <w:r>
              <w:rPr>
                <w:rFonts w:hint="eastAsia"/>
                <w:color w:val="000000" w:themeColor="text1"/>
              </w:rPr>
              <w:t>划分为权益工具的优先股\永续债股利</w:t>
            </w:r>
          </w:p>
        </w:tc>
        <w:tc>
          <w:tcPr>
            <w:tcW w:w="1696" w:type="pct"/>
          </w:tcPr>
          <w:p w:rsidR="00597370" w:rsidRDefault="00597370">
            <w:pPr>
              <w:ind w:right="73"/>
              <w:jc w:val="right"/>
            </w:pPr>
          </w:p>
        </w:tc>
        <w:tc>
          <w:tcPr>
            <w:tcW w:w="1697" w:type="pct"/>
          </w:tcPr>
          <w:p w:rsidR="00597370" w:rsidRDefault="00597370">
            <w:pPr>
              <w:ind w:right="73"/>
              <w:jc w:val="right"/>
            </w:pPr>
          </w:p>
        </w:tc>
      </w:tr>
      <w:tr w:rsidR="00597370">
        <w:trPr>
          <w:cantSplit/>
        </w:trPr>
        <w:tc>
          <w:tcPr>
            <w:tcW w:w="1607" w:type="pct"/>
          </w:tcPr>
          <w:p w:rsidR="00597370" w:rsidRDefault="003C2EEE">
            <w:pPr>
              <w:ind w:firstLineChars="200" w:firstLine="420"/>
            </w:pPr>
            <w:r>
              <w:rPr>
                <w:rFonts w:hint="eastAsia"/>
              </w:rPr>
              <w:t>优先股</w:t>
            </w:r>
            <w:r>
              <w:t>\永续债股利-XXX</w:t>
            </w:r>
          </w:p>
        </w:tc>
        <w:tc>
          <w:tcPr>
            <w:tcW w:w="1696" w:type="pct"/>
          </w:tcPr>
          <w:p w:rsidR="00597370" w:rsidRDefault="00597370">
            <w:pPr>
              <w:ind w:right="73"/>
              <w:jc w:val="right"/>
            </w:pPr>
          </w:p>
        </w:tc>
        <w:tc>
          <w:tcPr>
            <w:tcW w:w="1697" w:type="pct"/>
          </w:tcPr>
          <w:p w:rsidR="00597370" w:rsidRDefault="00597370">
            <w:pPr>
              <w:ind w:right="73"/>
              <w:jc w:val="right"/>
            </w:pPr>
          </w:p>
        </w:tc>
      </w:tr>
      <w:tr w:rsidR="00597370">
        <w:trPr>
          <w:cantSplit/>
        </w:trPr>
        <w:tc>
          <w:tcPr>
            <w:tcW w:w="1607" w:type="pct"/>
          </w:tcPr>
          <w:p w:rsidR="00597370" w:rsidRDefault="003C2EEE">
            <w:pPr>
              <w:ind w:firstLineChars="200" w:firstLine="420"/>
            </w:pPr>
            <w:r>
              <w:rPr>
                <w:rFonts w:hint="eastAsia"/>
              </w:rPr>
              <w:t>优先股</w:t>
            </w:r>
            <w:r>
              <w:t>\永续债股利-XXX</w:t>
            </w:r>
          </w:p>
        </w:tc>
        <w:tc>
          <w:tcPr>
            <w:tcW w:w="1696" w:type="pct"/>
          </w:tcPr>
          <w:p w:rsidR="00597370" w:rsidRDefault="00597370">
            <w:pPr>
              <w:ind w:right="73"/>
              <w:jc w:val="right"/>
            </w:pPr>
          </w:p>
        </w:tc>
        <w:tc>
          <w:tcPr>
            <w:tcW w:w="1697" w:type="pct"/>
          </w:tcPr>
          <w:p w:rsidR="00597370" w:rsidRDefault="00597370">
            <w:pPr>
              <w:ind w:right="73"/>
              <w:jc w:val="right"/>
            </w:pPr>
          </w:p>
        </w:tc>
      </w:tr>
      <w:tr w:rsidR="00597370">
        <w:trPr>
          <w:cantSplit/>
        </w:trPr>
        <w:tc>
          <w:tcPr>
            <w:tcW w:w="1607" w:type="pct"/>
          </w:tcPr>
          <w:p w:rsidR="00597370" w:rsidRDefault="003C2EEE">
            <w:pPr>
              <w:jc w:val="both"/>
            </w:pPr>
            <w:r>
              <w:rPr>
                <w:rFonts w:hint="eastAsia"/>
              </w:rPr>
              <w:t>应付股利</w:t>
            </w:r>
          </w:p>
        </w:tc>
        <w:tc>
          <w:tcPr>
            <w:tcW w:w="1696" w:type="pct"/>
          </w:tcPr>
          <w:p w:rsidR="00597370" w:rsidRDefault="003C2EEE">
            <w:pPr>
              <w:ind w:right="73"/>
              <w:jc w:val="right"/>
            </w:pPr>
            <w:r>
              <w:t>2,126,809.85</w:t>
            </w:r>
          </w:p>
        </w:tc>
        <w:tc>
          <w:tcPr>
            <w:tcW w:w="1697" w:type="pct"/>
          </w:tcPr>
          <w:p w:rsidR="00597370" w:rsidRDefault="00597370">
            <w:pPr>
              <w:ind w:right="73"/>
              <w:jc w:val="right"/>
            </w:pPr>
          </w:p>
        </w:tc>
      </w:tr>
      <w:tr w:rsidR="00597370">
        <w:trPr>
          <w:cantSplit/>
        </w:trPr>
        <w:tc>
          <w:tcPr>
            <w:tcW w:w="1607" w:type="pct"/>
          </w:tcPr>
          <w:p w:rsidR="00597370" w:rsidRDefault="003C2EEE">
            <w:pPr>
              <w:ind w:right="105"/>
              <w:jc w:val="center"/>
              <w:rPr>
                <w:color w:val="000000" w:themeColor="text1"/>
              </w:rPr>
            </w:pPr>
            <w:r>
              <w:rPr>
                <w:rFonts w:hint="eastAsia"/>
                <w:color w:val="000000" w:themeColor="text1"/>
              </w:rPr>
              <w:t>合计</w:t>
            </w:r>
          </w:p>
        </w:tc>
        <w:tc>
          <w:tcPr>
            <w:tcW w:w="1696" w:type="pct"/>
          </w:tcPr>
          <w:p w:rsidR="00597370" w:rsidRDefault="003C2EEE">
            <w:pPr>
              <w:ind w:right="73"/>
              <w:jc w:val="right"/>
            </w:pPr>
            <w:r>
              <w:t>52,004,005.70</w:t>
            </w:r>
          </w:p>
        </w:tc>
        <w:tc>
          <w:tcPr>
            <w:tcW w:w="1697" w:type="pct"/>
          </w:tcPr>
          <w:p w:rsidR="00597370" w:rsidRDefault="00597370">
            <w:pPr>
              <w:ind w:right="73"/>
              <w:jc w:val="right"/>
            </w:pPr>
          </w:p>
        </w:tc>
      </w:tr>
    </w:tbl>
    <w:p w:rsidR="00597370" w:rsidRDefault="003C2EEE">
      <w:pPr>
        <w:snapToGrid w:val="0"/>
        <w:rPr>
          <w:color w:val="000000" w:themeColor="text1"/>
        </w:rPr>
      </w:pPr>
      <w:r>
        <w:rPr>
          <w:rFonts w:hint="eastAsia"/>
          <w:color w:val="000000" w:themeColor="text1"/>
        </w:rPr>
        <w:t>其他说明，包括重要的超过</w:t>
      </w:r>
      <w:r>
        <w:rPr>
          <w:color w:val="000000" w:themeColor="text1"/>
        </w:rPr>
        <w:t>1年未支付的应付股利，应披露未支付原因：</w:t>
      </w:r>
    </w:p>
    <w:p w:rsidR="00597370" w:rsidRDefault="006840ED">
      <w:pPr>
        <w:snapToGrid w:val="0"/>
        <w:rPr>
          <w:color w:val="000000" w:themeColor="text1"/>
        </w:rPr>
      </w:pPr>
      <w:sdt>
        <w:sdtPr>
          <w:rPr>
            <w:color w:val="000000" w:themeColor="text1"/>
          </w:rPr>
          <w:alias w:val="应付股利的说明"/>
          <w:tag w:val="_GBC_44da1c5f7ab647d2891e8b1c5f5bd521"/>
          <w:id w:val="655579267"/>
          <w:placeholder>
            <w:docPart w:val="2B2298D92C7B45398C42352C63C9A64B"/>
          </w:placeholder>
        </w:sdtPr>
        <w:sdtEndPr/>
        <w:sdtContent>
          <w:r w:rsidR="003C2EEE">
            <w:rPr>
              <w:rFonts w:hint="eastAsia"/>
              <w:color w:val="000000" w:themeColor="text1"/>
            </w:rPr>
            <w:t>无</w:t>
          </w:r>
        </w:sdtContent>
      </w:sdt>
    </w:p>
    <w:p w:rsidR="00597370" w:rsidRDefault="003C2EEE">
      <w:pPr>
        <w:pStyle w:val="Style110"/>
        <w:rPr>
          <w:rFonts w:ascii="宋体" w:hAnsi="宋体"/>
          <w:color w:val="000000" w:themeColor="text1"/>
        </w:rPr>
      </w:pPr>
      <w:r>
        <w:rPr>
          <w:rFonts w:ascii="宋体" w:hAnsi="宋体" w:hint="eastAsia"/>
          <w:color w:val="000000" w:themeColor="text1"/>
        </w:rPr>
        <w:t>其他应付款</w:t>
      </w:r>
    </w:p>
    <w:p w:rsidR="00597370" w:rsidRDefault="003C2EEE">
      <w:pPr>
        <w:pStyle w:val="Style110"/>
        <w:numPr>
          <w:ilvl w:val="3"/>
          <w:numId w:val="79"/>
        </w:numPr>
        <w:rPr>
          <w:rFonts w:ascii="宋体" w:hAnsi="宋体"/>
          <w:color w:val="000000" w:themeColor="text1"/>
        </w:rPr>
      </w:pPr>
      <w:r>
        <w:rPr>
          <w:rFonts w:ascii="宋体" w:hAnsi="宋体" w:hint="eastAsia"/>
          <w:color w:val="000000" w:themeColor="text1"/>
        </w:rPr>
        <w:t>按款项性质列示其他应付款</w:t>
      </w:r>
    </w:p>
    <w:sdt>
      <w:sdtPr>
        <w:rPr>
          <w:color w:val="000000" w:themeColor="text1"/>
        </w:rPr>
        <w:alias w:val="是否适用：按款项性质列示其他应付款[双击切换]"/>
        <w:tag w:val="_GBC_a099ebd596de4984814ff6b49af92e86"/>
        <w:id w:val="-1371187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其他应付款情况"/>
          <w:tag w:val="_GBC_781a05c0c742470b88557fa8878adf9c"/>
          <w:id w:val="-20469769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其他应付款情况"/>
          <w:tag w:val="_GBC_19bba6af93f1445cbfdc13ddfb71a0ea"/>
          <w:id w:val="-2108829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2925"/>
        <w:gridCol w:w="3047"/>
      </w:tblGrid>
      <w:tr w:rsidR="00597370">
        <w:sdt>
          <w:sdtPr>
            <w:rPr>
              <w:color w:val="000000" w:themeColor="text1"/>
            </w:rPr>
            <w:tag w:val="_PLD_3991c4118c8d4069811e5f758978143f"/>
            <w:id w:val="-359201583"/>
          </w:sdtPr>
          <w:sdtEndPr/>
          <w:sdtContent>
            <w:tc>
              <w:tcPr>
                <w:tcW w:w="1615" w:type="pct"/>
                <w:shd w:val="clear" w:color="auto" w:fill="auto"/>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c1bcea3523f040f08da3a1bd0d135ad5"/>
            <w:id w:val="103390700"/>
          </w:sdtPr>
          <w:sdtEndPr/>
          <w:sdtContent>
            <w:tc>
              <w:tcPr>
                <w:tcW w:w="1657" w:type="pct"/>
                <w:shd w:val="clear" w:color="auto" w:fill="auto"/>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b89663858245498c995c58e2bab384aa"/>
            <w:id w:val="-986469334"/>
          </w:sdtPr>
          <w:sdtEndPr/>
          <w:sdtContent>
            <w:tc>
              <w:tcPr>
                <w:tcW w:w="1727" w:type="pct"/>
                <w:shd w:val="clear" w:color="auto" w:fill="auto"/>
              </w:tcPr>
              <w:p w:rsidR="00597370" w:rsidRDefault="003C2EEE">
                <w:pPr>
                  <w:jc w:val="center"/>
                  <w:rPr>
                    <w:color w:val="000000" w:themeColor="text1"/>
                  </w:rPr>
                </w:pPr>
                <w:r>
                  <w:rPr>
                    <w:rFonts w:hint="eastAsia"/>
                    <w:color w:val="000000" w:themeColor="text1"/>
                  </w:rPr>
                  <w:t>期初余额</w:t>
                </w:r>
              </w:p>
            </w:tc>
          </w:sdtContent>
        </w:sdt>
      </w:tr>
      <w:tr w:rsidR="00597370">
        <w:tc>
          <w:tcPr>
            <w:tcW w:w="1615" w:type="pct"/>
            <w:shd w:val="clear" w:color="auto" w:fill="auto"/>
          </w:tcPr>
          <w:p w:rsidR="00597370" w:rsidRDefault="003C2EEE">
            <w:pPr>
              <w:jc w:val="both"/>
              <w:rPr>
                <w:color w:val="000000" w:themeColor="text1"/>
              </w:rPr>
            </w:pPr>
            <w:r>
              <w:rPr>
                <w:rFonts w:hint="eastAsia"/>
                <w:color w:val="000000"/>
              </w:rPr>
              <w:lastRenderedPageBreak/>
              <w:t>应付股利</w:t>
            </w:r>
          </w:p>
        </w:tc>
        <w:tc>
          <w:tcPr>
            <w:tcW w:w="1657" w:type="pct"/>
            <w:shd w:val="clear" w:color="auto" w:fill="auto"/>
            <w:vAlign w:val="center"/>
          </w:tcPr>
          <w:p w:rsidR="00597370" w:rsidRDefault="003C2EEE">
            <w:pPr>
              <w:jc w:val="right"/>
              <w:rPr>
                <w:rFonts w:asciiTheme="minorEastAsia" w:eastAsiaTheme="minorEastAsia" w:hAnsiTheme="minorEastAsia"/>
                <w:color w:val="000000" w:themeColor="text1"/>
              </w:rPr>
            </w:pPr>
            <w:r>
              <w:rPr>
                <w:rFonts w:hint="eastAsia"/>
                <w:color w:val="000000"/>
              </w:rPr>
              <w:t>52,004,005.70</w:t>
            </w:r>
          </w:p>
        </w:tc>
        <w:tc>
          <w:tcPr>
            <w:tcW w:w="1727" w:type="pct"/>
            <w:shd w:val="clear" w:color="auto" w:fill="auto"/>
          </w:tcPr>
          <w:p w:rsidR="00597370" w:rsidRDefault="00597370">
            <w:pPr>
              <w:jc w:val="center"/>
              <w:rPr>
                <w:rFonts w:asciiTheme="minorEastAsia" w:eastAsiaTheme="minorEastAsia" w:hAnsiTheme="minorEastAsia"/>
                <w:color w:val="000000" w:themeColor="text1"/>
              </w:rPr>
            </w:pPr>
          </w:p>
        </w:tc>
      </w:tr>
      <w:tr w:rsidR="00597370">
        <w:tc>
          <w:tcPr>
            <w:tcW w:w="1615" w:type="pct"/>
            <w:shd w:val="clear" w:color="auto" w:fill="auto"/>
          </w:tcPr>
          <w:p w:rsidR="00597370" w:rsidRDefault="003C2EEE">
            <w:pPr>
              <w:jc w:val="both"/>
              <w:rPr>
                <w:color w:val="000000" w:themeColor="text1"/>
              </w:rPr>
            </w:pPr>
            <w:r>
              <w:rPr>
                <w:rFonts w:hint="eastAsia"/>
                <w:color w:val="000000"/>
              </w:rPr>
              <w:t>限制性股票回购义务</w:t>
            </w:r>
          </w:p>
        </w:tc>
        <w:tc>
          <w:tcPr>
            <w:tcW w:w="1657" w:type="pct"/>
            <w:shd w:val="clear" w:color="auto" w:fill="auto"/>
            <w:vAlign w:val="center"/>
          </w:tcPr>
          <w:p w:rsidR="00597370" w:rsidRDefault="003C2EEE">
            <w:pPr>
              <w:jc w:val="right"/>
              <w:rPr>
                <w:rFonts w:asciiTheme="minorEastAsia" w:eastAsiaTheme="minorEastAsia" w:hAnsiTheme="minorEastAsia"/>
                <w:color w:val="000000" w:themeColor="text1"/>
              </w:rPr>
            </w:pPr>
            <w:r>
              <w:rPr>
                <w:rFonts w:hint="eastAsia"/>
                <w:color w:val="000000"/>
              </w:rPr>
              <w:t>20,629,500.00</w:t>
            </w:r>
          </w:p>
        </w:tc>
        <w:tc>
          <w:tcPr>
            <w:tcW w:w="1727" w:type="pct"/>
            <w:shd w:val="clear" w:color="auto" w:fill="auto"/>
          </w:tcPr>
          <w:p w:rsidR="00597370" w:rsidRDefault="00597370">
            <w:pPr>
              <w:jc w:val="center"/>
              <w:rPr>
                <w:rFonts w:asciiTheme="minorEastAsia" w:eastAsiaTheme="minorEastAsia" w:hAnsiTheme="minorEastAsia"/>
                <w:color w:val="000000" w:themeColor="text1"/>
              </w:rPr>
            </w:pPr>
          </w:p>
        </w:tc>
      </w:tr>
      <w:tr w:rsidR="00597370">
        <w:trPr>
          <w:trHeight w:val="90"/>
        </w:trPr>
        <w:tc>
          <w:tcPr>
            <w:tcW w:w="1615" w:type="pct"/>
            <w:shd w:val="clear" w:color="auto" w:fill="auto"/>
          </w:tcPr>
          <w:p w:rsidR="00597370" w:rsidRDefault="003C2EEE">
            <w:pPr>
              <w:pStyle w:val="Style106"/>
            </w:pPr>
            <w:r>
              <w:rPr>
                <w:rFonts w:hint="eastAsia"/>
              </w:rPr>
              <w:t>差旅费等</w:t>
            </w:r>
          </w:p>
        </w:tc>
        <w:tc>
          <w:tcPr>
            <w:tcW w:w="1657" w:type="pct"/>
            <w:shd w:val="clear" w:color="auto" w:fill="auto"/>
            <w:vAlign w:val="center"/>
          </w:tcPr>
          <w:p w:rsidR="00597370" w:rsidRDefault="003C2EEE">
            <w:pPr>
              <w:jc w:val="right"/>
              <w:textAlignment w:val="center"/>
              <w:rPr>
                <w:color w:val="000000"/>
              </w:rPr>
            </w:pPr>
            <w:r>
              <w:rPr>
                <w:rFonts w:hint="eastAsia"/>
                <w:color w:val="000000"/>
                <w:lang w:bidi="ar"/>
              </w:rPr>
              <w:t>7,774,833.92</w:t>
            </w:r>
          </w:p>
        </w:tc>
        <w:tc>
          <w:tcPr>
            <w:tcW w:w="1727"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6,404,240.30</w:t>
            </w:r>
          </w:p>
        </w:tc>
      </w:tr>
      <w:tr w:rsidR="00597370">
        <w:trPr>
          <w:trHeight w:val="250"/>
        </w:trPr>
        <w:tc>
          <w:tcPr>
            <w:tcW w:w="1615" w:type="pct"/>
            <w:shd w:val="clear" w:color="auto" w:fill="auto"/>
          </w:tcPr>
          <w:p w:rsidR="00597370" w:rsidRDefault="003C2EEE">
            <w:pPr>
              <w:pStyle w:val="Style106"/>
            </w:pPr>
            <w:r>
              <w:rPr>
                <w:rFonts w:hint="eastAsia"/>
              </w:rPr>
              <w:t>押金及保证金</w:t>
            </w:r>
          </w:p>
        </w:tc>
        <w:tc>
          <w:tcPr>
            <w:tcW w:w="1657" w:type="pct"/>
            <w:shd w:val="clear" w:color="auto" w:fill="auto"/>
            <w:vAlign w:val="center"/>
          </w:tcPr>
          <w:p w:rsidR="00597370" w:rsidRDefault="003C2EEE">
            <w:pPr>
              <w:jc w:val="right"/>
              <w:rPr>
                <w:rFonts w:asciiTheme="minorEastAsia" w:eastAsiaTheme="minorEastAsia" w:hAnsiTheme="minorEastAsia"/>
              </w:rPr>
            </w:pPr>
            <w:r>
              <w:rPr>
                <w:rFonts w:hint="eastAsia"/>
                <w:color w:val="000000"/>
              </w:rPr>
              <w:t>4,725,951.00</w:t>
            </w:r>
          </w:p>
        </w:tc>
        <w:tc>
          <w:tcPr>
            <w:tcW w:w="1727"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4,202,919.20</w:t>
            </w:r>
          </w:p>
        </w:tc>
      </w:tr>
      <w:tr w:rsidR="00597370">
        <w:tc>
          <w:tcPr>
            <w:tcW w:w="1615" w:type="pct"/>
            <w:shd w:val="clear" w:color="auto" w:fill="auto"/>
          </w:tcPr>
          <w:p w:rsidR="00597370" w:rsidRDefault="003C2EEE">
            <w:pPr>
              <w:pStyle w:val="Style106"/>
            </w:pPr>
            <w:r>
              <w:rPr>
                <w:rFonts w:hint="eastAsia"/>
              </w:rPr>
              <w:t>其他</w:t>
            </w:r>
          </w:p>
        </w:tc>
        <w:tc>
          <w:tcPr>
            <w:tcW w:w="1657" w:type="pct"/>
            <w:shd w:val="clear" w:color="auto" w:fill="auto"/>
            <w:vAlign w:val="center"/>
          </w:tcPr>
          <w:p w:rsidR="00597370" w:rsidRDefault="003C2EEE">
            <w:pPr>
              <w:jc w:val="right"/>
              <w:textAlignment w:val="center"/>
              <w:rPr>
                <w:color w:val="000000"/>
              </w:rPr>
            </w:pPr>
            <w:r>
              <w:rPr>
                <w:rFonts w:hint="eastAsia"/>
                <w:color w:val="000000"/>
                <w:lang w:bidi="ar"/>
              </w:rPr>
              <w:t>25,263,622.24</w:t>
            </w:r>
          </w:p>
        </w:tc>
        <w:tc>
          <w:tcPr>
            <w:tcW w:w="1727"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6,950,457.55</w:t>
            </w:r>
          </w:p>
        </w:tc>
      </w:tr>
      <w:tr w:rsidR="00597370">
        <w:tc>
          <w:tcPr>
            <w:tcW w:w="1615" w:type="pct"/>
            <w:shd w:val="clear" w:color="auto" w:fill="auto"/>
          </w:tcPr>
          <w:p w:rsidR="00597370" w:rsidRDefault="003C2EEE">
            <w:pPr>
              <w:jc w:val="center"/>
              <w:rPr>
                <w:color w:val="000000" w:themeColor="text1"/>
              </w:rPr>
            </w:pPr>
            <w:r>
              <w:rPr>
                <w:rFonts w:hint="eastAsia"/>
                <w:color w:val="000000" w:themeColor="text1"/>
              </w:rPr>
              <w:t>合计</w:t>
            </w:r>
          </w:p>
        </w:tc>
        <w:tc>
          <w:tcPr>
            <w:tcW w:w="1657" w:type="pct"/>
            <w:shd w:val="clear" w:color="auto" w:fill="auto"/>
          </w:tcPr>
          <w:p w:rsidR="00597370" w:rsidRDefault="003C2EEE">
            <w:pPr>
              <w:jc w:val="right"/>
              <w:rPr>
                <w:rFonts w:asciiTheme="minorEastAsia" w:eastAsiaTheme="minorEastAsia" w:hAnsiTheme="minorEastAsia"/>
              </w:rPr>
            </w:pPr>
            <w:r>
              <w:rPr>
                <w:rFonts w:hint="eastAsia"/>
                <w:color w:val="000000"/>
              </w:rPr>
              <w:t>110,397,912.86</w:t>
            </w:r>
          </w:p>
        </w:tc>
        <w:tc>
          <w:tcPr>
            <w:tcW w:w="1727"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17,557,617.05</w:t>
            </w:r>
          </w:p>
        </w:tc>
      </w:tr>
    </w:tbl>
    <w:p w:rsidR="00597370" w:rsidRDefault="00597370">
      <w:pPr>
        <w:rPr>
          <w:color w:val="000000" w:themeColor="text1"/>
        </w:rPr>
      </w:pPr>
    </w:p>
    <w:p w:rsidR="00597370" w:rsidRDefault="003C2EEE">
      <w:pPr>
        <w:pStyle w:val="Style110"/>
        <w:numPr>
          <w:ilvl w:val="3"/>
          <w:numId w:val="79"/>
        </w:numPr>
        <w:rPr>
          <w:rFonts w:ascii="宋体" w:hAnsi="宋体"/>
          <w:color w:val="000000" w:themeColor="text1"/>
        </w:rPr>
      </w:pPr>
      <w:r>
        <w:rPr>
          <w:rFonts w:ascii="宋体" w:hAnsi="宋体" w:hint="eastAsia"/>
          <w:color w:val="000000" w:themeColor="text1"/>
        </w:rPr>
        <w:t>账龄超过</w:t>
      </w:r>
      <w:r>
        <w:rPr>
          <w:rFonts w:ascii="宋体" w:hAnsi="宋体"/>
          <w:color w:val="000000" w:themeColor="text1"/>
        </w:rPr>
        <w:t>1年</w:t>
      </w:r>
      <w:r>
        <w:rPr>
          <w:rFonts w:ascii="宋体" w:hAnsi="宋体" w:hint="eastAsia"/>
          <w:color w:val="000000" w:themeColor="text1"/>
        </w:rPr>
        <w:t>或逾期</w:t>
      </w:r>
      <w:r>
        <w:rPr>
          <w:rFonts w:ascii="宋体" w:hAnsi="宋体"/>
          <w:color w:val="000000" w:themeColor="text1"/>
        </w:rPr>
        <w:t>的重要其他应付款</w:t>
      </w:r>
    </w:p>
    <w:p w:rsidR="00597370" w:rsidRDefault="006840ED">
      <w:sdt>
        <w:sdtPr>
          <w:rPr>
            <w:color w:val="000000" w:themeColor="text1"/>
          </w:rPr>
          <w:alias w:val="是否适用：账龄超过1年的重要其他应付款[双击切换]"/>
          <w:tag w:val="_GBC_484cd63ee8b54a41978c822ae4ec5689"/>
          <w:id w:val="601235079"/>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rPr>
          <w:color w:val="000000" w:themeColor="text1"/>
        </w:rPr>
      </w:pPr>
      <w:r>
        <w:rPr>
          <w:rFonts w:hint="eastAsia"/>
          <w:color w:val="000000" w:themeColor="text1"/>
        </w:rPr>
        <w:t>其他说明：</w:t>
      </w:r>
    </w:p>
    <w:sdt>
      <w:sdtPr>
        <w:rPr>
          <w:color w:val="000000" w:themeColor="text1"/>
        </w:rPr>
        <w:alias w:val="是否适用：其他应付款的其他说明[双击切换]"/>
        <w:tag w:val="_GBC_c968ec386e144657884a6b5b483acbfd"/>
        <w:id w:val="178152311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其他应付款的其他说明"/>
        <w:tag w:val="_GBC_873f35ab785048d7ad0b90c5775691ba"/>
        <w:id w:val="737683452"/>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bookmarkEnd w:id="328"/>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持有待售负债</w:t>
      </w:r>
    </w:p>
    <w:sdt>
      <w:sdtPr>
        <w:rPr>
          <w:color w:val="000000" w:themeColor="text1"/>
        </w:rPr>
        <w:alias w:val="是否适用：划分为持有待售的负债[双击切换]"/>
        <w:tag w:val="_GBC_039b9e06b132407a89f578be468d6ec8"/>
        <w:id w:val="128561219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1年内到期的非流动负债</w:t>
      </w:r>
    </w:p>
    <w:sdt>
      <w:sdtPr>
        <w:rPr>
          <w:color w:val="000000" w:themeColor="text1"/>
        </w:rPr>
        <w:alias w:val="是否适用：1年内到期的非流动负债[双击切换]"/>
        <w:tag w:val="_GBC_9b606bc3f0cf4f77be9b0f299d212c73"/>
        <w:id w:val="-199948729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1年内到期的非流动负债情况"/>
          <w:tag w:val="_GBC_7bad01766fa0485ea9c16109704ff32e"/>
          <w:id w:val="-3075510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1年内到期的非流动负债情况"/>
          <w:tag w:val="_GBC_25aa805434d340a6ade79870522c9640"/>
          <w:id w:val="2120054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961"/>
        <w:gridCol w:w="3026"/>
      </w:tblGrid>
      <w:tr w:rsidR="00597370">
        <w:trPr>
          <w:trHeight w:val="508"/>
        </w:trPr>
        <w:sdt>
          <w:sdtPr>
            <w:rPr>
              <w:color w:val="000000" w:themeColor="text1"/>
            </w:rPr>
            <w:tag w:val="_PLD_bf2815b84ebe4a1e94909ee96ec31ac1"/>
            <w:id w:val="976114041"/>
          </w:sdtPr>
          <w:sdtEndPr/>
          <w:sdtContent>
            <w:tc>
              <w:tcPr>
                <w:tcW w:w="1607"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db7abcf611bc4296ad7bd9c8177202e0"/>
            <w:id w:val="-733627799"/>
          </w:sdtPr>
          <w:sdtEndPr/>
          <w:sdtContent>
            <w:tc>
              <w:tcPr>
                <w:tcW w:w="1678"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371959274ef4493ca1fe426c930e0bf2"/>
            <w:id w:val="-1050155612"/>
          </w:sdtPr>
          <w:sdtEndPr/>
          <w:sdtContent>
            <w:tc>
              <w:tcPr>
                <w:tcW w:w="1715"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trHeight w:val="416"/>
        </w:trPr>
        <w:tc>
          <w:tcPr>
            <w:tcW w:w="1607" w:type="pct"/>
            <w:shd w:val="clear" w:color="auto" w:fill="auto"/>
            <w:vAlign w:val="center"/>
          </w:tcPr>
          <w:p w:rsidR="00597370" w:rsidRDefault="003C2EEE">
            <w:pPr>
              <w:jc w:val="both"/>
              <w:rPr>
                <w:color w:val="000000" w:themeColor="text1"/>
              </w:rPr>
            </w:pPr>
            <w:r>
              <w:rPr>
                <w:color w:val="000000" w:themeColor="text1"/>
              </w:rPr>
              <w:t>1年内到期的长期借款</w:t>
            </w:r>
          </w:p>
        </w:tc>
        <w:tc>
          <w:tcPr>
            <w:tcW w:w="1678" w:type="pct"/>
            <w:shd w:val="clear" w:color="auto" w:fill="auto"/>
            <w:vAlign w:val="bottom"/>
          </w:tcPr>
          <w:p w:rsidR="00597370" w:rsidRDefault="003C2EEE">
            <w:pPr>
              <w:jc w:val="right"/>
            </w:pPr>
            <w:r>
              <w:t>377,149,999.09</w:t>
            </w:r>
          </w:p>
        </w:tc>
        <w:tc>
          <w:tcPr>
            <w:tcW w:w="1715" w:type="pct"/>
            <w:shd w:val="clear" w:color="auto" w:fill="auto"/>
            <w:vAlign w:val="bottom"/>
          </w:tcPr>
          <w:p w:rsidR="00597370" w:rsidRDefault="003C2EEE">
            <w:pPr>
              <w:jc w:val="right"/>
            </w:pPr>
            <w:r>
              <w:t>64,386,967.51</w:t>
            </w:r>
          </w:p>
        </w:tc>
      </w:tr>
      <w:tr w:rsidR="00597370">
        <w:trPr>
          <w:trHeight w:val="468"/>
        </w:trPr>
        <w:tc>
          <w:tcPr>
            <w:tcW w:w="1607" w:type="pct"/>
            <w:shd w:val="clear" w:color="auto" w:fill="auto"/>
            <w:vAlign w:val="center"/>
          </w:tcPr>
          <w:p w:rsidR="00597370" w:rsidRDefault="003C2EEE">
            <w:pPr>
              <w:jc w:val="both"/>
              <w:rPr>
                <w:color w:val="000000" w:themeColor="text1"/>
              </w:rPr>
            </w:pPr>
            <w:r>
              <w:rPr>
                <w:color w:val="000000" w:themeColor="text1"/>
              </w:rPr>
              <w:t>1年内到期的租赁负债</w:t>
            </w:r>
          </w:p>
        </w:tc>
        <w:tc>
          <w:tcPr>
            <w:tcW w:w="1678" w:type="pct"/>
            <w:shd w:val="clear" w:color="auto" w:fill="auto"/>
            <w:vAlign w:val="bottom"/>
          </w:tcPr>
          <w:p w:rsidR="00597370" w:rsidRDefault="003C2EEE">
            <w:pPr>
              <w:jc w:val="right"/>
            </w:pPr>
            <w:r>
              <w:t>3,016,099.54</w:t>
            </w:r>
          </w:p>
        </w:tc>
        <w:tc>
          <w:tcPr>
            <w:tcW w:w="1715" w:type="pct"/>
            <w:shd w:val="clear" w:color="auto" w:fill="auto"/>
            <w:vAlign w:val="bottom"/>
          </w:tcPr>
          <w:p w:rsidR="00597370" w:rsidRDefault="003C2EEE">
            <w:pPr>
              <w:jc w:val="right"/>
            </w:pPr>
            <w:r>
              <w:t>4,615,031.05</w:t>
            </w:r>
          </w:p>
        </w:tc>
      </w:tr>
      <w:tr w:rsidR="00597370">
        <w:trPr>
          <w:trHeight w:val="358"/>
        </w:trPr>
        <w:tc>
          <w:tcPr>
            <w:tcW w:w="1607" w:type="pct"/>
            <w:shd w:val="clear" w:color="auto" w:fill="auto"/>
            <w:vAlign w:val="bottom"/>
          </w:tcPr>
          <w:p w:rsidR="00597370" w:rsidRDefault="003C2EEE">
            <w:pPr>
              <w:jc w:val="right"/>
              <w:rPr>
                <w:color w:val="000000" w:themeColor="text1"/>
              </w:rPr>
            </w:pPr>
            <w:r>
              <w:rPr>
                <w:rFonts w:hint="eastAsia"/>
                <w:color w:val="000000" w:themeColor="text1"/>
              </w:rPr>
              <w:t>合计</w:t>
            </w:r>
          </w:p>
        </w:tc>
        <w:tc>
          <w:tcPr>
            <w:tcW w:w="1678" w:type="pct"/>
            <w:shd w:val="clear" w:color="auto" w:fill="auto"/>
            <w:vAlign w:val="bottom"/>
          </w:tcPr>
          <w:p w:rsidR="00597370" w:rsidRDefault="003C2EEE">
            <w:pPr>
              <w:jc w:val="right"/>
            </w:pPr>
            <w:r>
              <w:t>380,166,098.63</w:t>
            </w:r>
          </w:p>
        </w:tc>
        <w:tc>
          <w:tcPr>
            <w:tcW w:w="1715" w:type="pct"/>
            <w:shd w:val="clear" w:color="auto" w:fill="auto"/>
            <w:vAlign w:val="bottom"/>
          </w:tcPr>
          <w:p w:rsidR="00597370" w:rsidRDefault="003C2EEE">
            <w:pPr>
              <w:jc w:val="right"/>
            </w:pPr>
            <w:r>
              <w:t>69,001,998.56</w:t>
            </w:r>
          </w:p>
        </w:tc>
      </w:tr>
    </w:tbl>
    <w:p w:rsidR="00597370" w:rsidRDefault="003C2EEE">
      <w:pPr>
        <w:rPr>
          <w:color w:val="000000" w:themeColor="text1"/>
        </w:rPr>
      </w:pPr>
      <w:r>
        <w:rPr>
          <w:rFonts w:hint="eastAsia"/>
          <w:color w:val="000000" w:themeColor="text1"/>
        </w:rPr>
        <w:t>其他说明：</w:t>
      </w:r>
    </w:p>
    <w:sdt>
      <w:sdtPr>
        <w:rPr>
          <w:color w:val="000000" w:themeColor="text1"/>
        </w:rPr>
        <w:alias w:val="1年内到期的非流动负债说明"/>
        <w:tag w:val="_GBC_ae2cc1bff1994660ac9e57279493bfe6"/>
        <w:id w:val="691274029"/>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其他流动负债</w:t>
      </w:r>
      <w:bookmarkStart w:id="329" w:name="_Hlk10536328"/>
    </w:p>
    <w:sdt>
      <w:sdtPr>
        <w:rPr>
          <w:rFonts w:hint="eastAsia"/>
          <w:color w:val="000000" w:themeColor="text1"/>
        </w:rPr>
        <w:alias w:val="是否适用：其他流动负债情况 [双击切换]"/>
        <w:tag w:val="_GBC_80907e3e53c44260b850f42646eb3d63"/>
        <w:id w:val="1784606948"/>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其他流动负债"/>
          <w:tag w:val="_GBC_6d31349460124941a4929421727aab0e"/>
          <w:id w:val="-7095711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其他流动负债"/>
          <w:tag w:val="_GBC_7d8c93066ac541859a45d371953d3cdc"/>
          <w:id w:val="19566715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34"/>
        <w:gridCol w:w="3159"/>
      </w:tblGrid>
      <w:tr w:rsidR="00597370">
        <w:trPr>
          <w:jc w:val="center"/>
        </w:trPr>
        <w:sdt>
          <w:sdtPr>
            <w:rPr>
              <w:color w:val="000000" w:themeColor="text1"/>
            </w:rPr>
            <w:tag w:val="_PLD_8fb682e3d6ad4a60b648ec38137fbf9d"/>
            <w:id w:val="98916841"/>
          </w:sdtPr>
          <w:sdtEndPr/>
          <w:sdtContent>
            <w:tc>
              <w:tcPr>
                <w:tcW w:w="1604" w:type="pct"/>
                <w:tcBorders>
                  <w:top w:val="single" w:sz="4" w:space="0" w:color="auto"/>
                  <w:left w:val="single" w:sz="4" w:space="0" w:color="auto"/>
                  <w:bottom w:val="single" w:sz="4" w:space="0" w:color="auto"/>
                  <w:right w:val="single" w:sz="4" w:space="0" w:color="auto"/>
                </w:tcBorders>
                <w:vAlign w:val="bottom"/>
              </w:tcPr>
              <w:p w:rsidR="00597370" w:rsidRDefault="003C2EEE">
                <w:pPr>
                  <w:tabs>
                    <w:tab w:val="right" w:pos="3690"/>
                    <w:tab w:val="right" w:pos="5130"/>
                    <w:tab w:val="right" w:pos="6030"/>
                    <w:tab w:val="right" w:pos="7650"/>
                    <w:tab w:val="right" w:pos="9270"/>
                  </w:tabs>
                  <w:snapToGrid w:val="0"/>
                  <w:ind w:leftChars="-52" w:left="-109"/>
                  <w:jc w:val="center"/>
                  <w:rPr>
                    <w:color w:val="000000" w:themeColor="text1"/>
                  </w:rPr>
                </w:pPr>
                <w:r>
                  <w:rPr>
                    <w:rFonts w:hint="eastAsia"/>
                    <w:color w:val="000000" w:themeColor="text1"/>
                  </w:rPr>
                  <w:t>项目</w:t>
                </w:r>
              </w:p>
            </w:tc>
          </w:sdtContent>
        </w:sdt>
        <w:sdt>
          <w:sdtPr>
            <w:rPr>
              <w:color w:val="000000" w:themeColor="text1"/>
            </w:rPr>
            <w:tag w:val="_PLD_0c0b762dc58f486f9f736b7ace21e9a0"/>
            <w:id w:val="-2006280546"/>
          </w:sdtPr>
          <w:sdtEndPr/>
          <w:sdtContent>
            <w:tc>
              <w:tcPr>
                <w:tcW w:w="1606" w:type="pct"/>
                <w:tcBorders>
                  <w:top w:val="single" w:sz="4" w:space="0" w:color="auto"/>
                  <w:left w:val="single" w:sz="4" w:space="0" w:color="auto"/>
                  <w:bottom w:val="single" w:sz="4" w:space="0" w:color="auto"/>
                  <w:right w:val="single" w:sz="4" w:space="0" w:color="auto"/>
                </w:tcBorders>
              </w:tcPr>
              <w:p w:rsidR="00597370" w:rsidRDefault="003C2EEE">
                <w:pPr>
                  <w:adjustRightInd w:val="0"/>
                  <w:snapToGrid w:val="0"/>
                  <w:jc w:val="center"/>
                  <w:rPr>
                    <w:color w:val="000000" w:themeColor="text1"/>
                  </w:rPr>
                </w:pPr>
                <w:r>
                  <w:rPr>
                    <w:rFonts w:hint="eastAsia"/>
                    <w:color w:val="000000" w:themeColor="text1"/>
                  </w:rPr>
                  <w:t>期末余额</w:t>
                </w:r>
              </w:p>
            </w:tc>
          </w:sdtContent>
        </w:sdt>
        <w:sdt>
          <w:sdtPr>
            <w:rPr>
              <w:color w:val="000000" w:themeColor="text1"/>
            </w:rPr>
            <w:tag w:val="_PLD_942d693f41424f82b813e282a8210643"/>
            <w:id w:val="-2090527752"/>
          </w:sdtPr>
          <w:sdtEndPr/>
          <w:sdtContent>
            <w:tc>
              <w:tcPr>
                <w:tcW w:w="1790" w:type="pct"/>
                <w:tcBorders>
                  <w:top w:val="single" w:sz="4" w:space="0" w:color="auto"/>
                  <w:left w:val="single" w:sz="4" w:space="0" w:color="auto"/>
                  <w:bottom w:val="single" w:sz="4" w:space="0" w:color="auto"/>
                  <w:right w:val="single" w:sz="4" w:space="0" w:color="auto"/>
                </w:tcBorders>
              </w:tcPr>
              <w:p w:rsidR="00597370" w:rsidRDefault="003C2EEE">
                <w:pPr>
                  <w:adjustRightInd w:val="0"/>
                  <w:snapToGrid w:val="0"/>
                  <w:jc w:val="center"/>
                  <w:rPr>
                    <w:color w:val="000000" w:themeColor="text1"/>
                  </w:rPr>
                </w:pPr>
                <w:r>
                  <w:rPr>
                    <w:rFonts w:hint="eastAsia"/>
                    <w:color w:val="000000" w:themeColor="text1"/>
                  </w:rPr>
                  <w:t>期初余额</w:t>
                </w:r>
              </w:p>
            </w:tc>
          </w:sdtContent>
        </w:sdt>
      </w:tr>
      <w:tr w:rsidR="00597370">
        <w:trPr>
          <w:jc w:val="center"/>
        </w:trPr>
        <w:tc>
          <w:tcPr>
            <w:tcW w:w="1604"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期末背书未终止确认的汇票</w:t>
            </w:r>
          </w:p>
        </w:tc>
        <w:tc>
          <w:tcPr>
            <w:tcW w:w="1606" w:type="pct"/>
            <w:tcBorders>
              <w:top w:val="single" w:sz="4" w:space="0" w:color="auto"/>
              <w:left w:val="single" w:sz="4" w:space="0" w:color="auto"/>
              <w:bottom w:val="single" w:sz="4" w:space="0" w:color="auto"/>
              <w:right w:val="single" w:sz="4" w:space="0" w:color="auto"/>
            </w:tcBorders>
          </w:tcPr>
          <w:p w:rsidR="00597370" w:rsidRDefault="003C2EEE">
            <w:pPr>
              <w:jc w:val="right"/>
            </w:pPr>
            <w:r>
              <w:t>208,159,283.55</w:t>
            </w:r>
          </w:p>
        </w:tc>
        <w:tc>
          <w:tcPr>
            <w:tcW w:w="179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126,966,779.38</w:t>
            </w:r>
          </w:p>
        </w:tc>
      </w:tr>
      <w:tr w:rsidR="00597370">
        <w:trPr>
          <w:trHeight w:val="184"/>
          <w:jc w:val="center"/>
        </w:trPr>
        <w:tc>
          <w:tcPr>
            <w:tcW w:w="1604"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待转销项税额</w:t>
            </w:r>
          </w:p>
        </w:tc>
        <w:tc>
          <w:tcPr>
            <w:tcW w:w="1606" w:type="pct"/>
            <w:tcBorders>
              <w:top w:val="single" w:sz="4" w:space="0" w:color="auto"/>
              <w:left w:val="single" w:sz="4" w:space="0" w:color="auto"/>
              <w:bottom w:val="single" w:sz="4" w:space="0" w:color="auto"/>
              <w:right w:val="single" w:sz="4" w:space="0" w:color="auto"/>
            </w:tcBorders>
          </w:tcPr>
          <w:p w:rsidR="00597370" w:rsidRDefault="003C2EEE">
            <w:pPr>
              <w:jc w:val="right"/>
            </w:pPr>
            <w:r>
              <w:t>11,570,207.12</w:t>
            </w:r>
          </w:p>
        </w:tc>
        <w:tc>
          <w:tcPr>
            <w:tcW w:w="179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10,879,828.11</w:t>
            </w:r>
          </w:p>
        </w:tc>
      </w:tr>
      <w:tr w:rsidR="00597370">
        <w:trPr>
          <w:jc w:val="center"/>
        </w:trPr>
        <w:tc>
          <w:tcPr>
            <w:tcW w:w="1604"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合计</w:t>
            </w:r>
          </w:p>
        </w:tc>
        <w:tc>
          <w:tcPr>
            <w:tcW w:w="1606" w:type="pct"/>
            <w:tcBorders>
              <w:top w:val="single" w:sz="4" w:space="0" w:color="auto"/>
              <w:left w:val="single" w:sz="4" w:space="0" w:color="auto"/>
              <w:bottom w:val="single" w:sz="4" w:space="0" w:color="auto"/>
              <w:right w:val="single" w:sz="4" w:space="0" w:color="auto"/>
            </w:tcBorders>
          </w:tcPr>
          <w:p w:rsidR="00597370" w:rsidRDefault="003C2EEE">
            <w:pPr>
              <w:jc w:val="right"/>
            </w:pPr>
            <w:r>
              <w:t>219,729,490.67</w:t>
            </w:r>
          </w:p>
        </w:tc>
        <w:tc>
          <w:tcPr>
            <w:tcW w:w="179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137,846,607.49</w:t>
            </w:r>
          </w:p>
        </w:tc>
      </w:tr>
    </w:tbl>
    <w:p w:rsidR="00597370" w:rsidRDefault="00597370">
      <w:pPr>
        <w:rPr>
          <w:color w:val="000000" w:themeColor="text1"/>
        </w:rPr>
      </w:pPr>
    </w:p>
    <w:p w:rsidR="00597370" w:rsidRDefault="003C2EEE">
      <w:pPr>
        <w:rPr>
          <w:color w:val="000000" w:themeColor="text1"/>
        </w:rPr>
      </w:pPr>
      <w:bookmarkStart w:id="330" w:name="_Hlk167968687"/>
      <w:bookmarkEnd w:id="329"/>
      <w:r>
        <w:rPr>
          <w:rFonts w:hint="eastAsia"/>
          <w:color w:val="000000" w:themeColor="text1"/>
        </w:rPr>
        <w:t>短期</w:t>
      </w:r>
      <w:r>
        <w:rPr>
          <w:color w:val="000000" w:themeColor="text1"/>
        </w:rPr>
        <w:t>应付债券的增减变动</w:t>
      </w:r>
      <w:r>
        <w:rPr>
          <w:rFonts w:hint="eastAsia"/>
          <w:color w:val="000000" w:themeColor="text1"/>
        </w:rPr>
        <w:t>：</w:t>
      </w:r>
    </w:p>
    <w:sdt>
      <w:sdtPr>
        <w:rPr>
          <w:color w:val="000000" w:themeColor="text1"/>
        </w:rPr>
        <w:alias w:val="是否适用：短期应付债券的增减变动[双击切换]"/>
        <w:tag w:val="_GBC_564144f89f7f4019bdcd86b0e624bfee"/>
        <w:id w:val="1765112937"/>
        <w:placeholder>
          <w:docPart w:val="GBC22222222222222222222222222222"/>
        </w:placeholder>
      </w:sdtPr>
      <w:sdtEndPr/>
      <w:sdtContent>
        <w:p w:rsidR="00597370" w:rsidRDefault="003C2EEE">
          <w:pPr>
            <w:rPr>
              <w:rFonts w:cstheme="minorBidi"/>
              <w:color w:val="000000" w:themeColor="text1"/>
              <w:kern w:val="2"/>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30"/>
    <w:p w:rsidR="00597370" w:rsidRDefault="003C2EEE">
      <w:pPr>
        <w:spacing w:before="60" w:after="60"/>
        <w:rPr>
          <w:color w:val="000000" w:themeColor="text1"/>
        </w:rPr>
      </w:pPr>
      <w:r>
        <w:rPr>
          <w:rFonts w:hint="eastAsia"/>
          <w:color w:val="000000" w:themeColor="text1"/>
        </w:rPr>
        <w:t>其他说明：</w:t>
      </w:r>
    </w:p>
    <w:sdt>
      <w:sdtPr>
        <w:rPr>
          <w:color w:val="000000" w:themeColor="text1"/>
        </w:rPr>
        <w:alias w:val="是否适用：其他流动负债说明[双击切换]"/>
        <w:tag w:val="_GBC_6ebc9e220fb04ea584ed56f756d92d59"/>
        <w:id w:val="660744911"/>
        <w:placeholder>
          <w:docPart w:val="GBC22222222222222222222222222222"/>
        </w:placeholder>
      </w:sdtPr>
      <w:sdtEndPr/>
      <w:sdtContent>
        <w:p w:rsidR="00597370" w:rsidRDefault="003C2EEE">
          <w:pPr>
            <w:spacing w:before="60" w:after="6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长期借款</w:t>
      </w:r>
    </w:p>
    <w:p w:rsidR="00597370" w:rsidRDefault="003C2EEE">
      <w:pPr>
        <w:pStyle w:val="Style110"/>
        <w:numPr>
          <w:ilvl w:val="0"/>
          <w:numId w:val="80"/>
        </w:numPr>
        <w:tabs>
          <w:tab w:val="left" w:pos="630"/>
        </w:tabs>
        <w:ind w:left="420"/>
        <w:rPr>
          <w:rFonts w:ascii="宋体" w:hAnsi="宋体"/>
          <w:color w:val="000000" w:themeColor="text1"/>
          <w:szCs w:val="21"/>
        </w:rPr>
      </w:pPr>
      <w:r>
        <w:rPr>
          <w:rFonts w:ascii="宋体" w:hAnsi="宋体" w:hint="eastAsia"/>
          <w:color w:val="000000" w:themeColor="text1"/>
          <w:szCs w:val="21"/>
        </w:rPr>
        <w:t>长期借款分类</w:t>
      </w:r>
    </w:p>
    <w:sdt>
      <w:sdtPr>
        <w:rPr>
          <w:color w:val="000000" w:themeColor="text1"/>
        </w:rPr>
        <w:alias w:val="是否适用：长期借款分类[双击切换]"/>
        <w:tag w:val="_GBC_6ef43a5268e7491db189883a31952469"/>
        <w:id w:val="-19710446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长期借款分类"/>
          <w:tag w:val="_GBC_146f044f7fd14a45bf9247f0af389a14"/>
          <w:id w:val="-82474048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长期借款分类"/>
          <w:tag w:val="_GBC_7570ad6f1fd04c3d939be649ce4cfc30"/>
          <w:id w:val="-16384877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75"/>
        <w:gridCol w:w="2975"/>
        <w:gridCol w:w="2873"/>
      </w:tblGrid>
      <w:tr w:rsidR="00597370">
        <w:trPr>
          <w:cantSplit/>
        </w:trPr>
        <w:sdt>
          <w:sdtPr>
            <w:rPr>
              <w:color w:val="000000" w:themeColor="text1"/>
            </w:rPr>
            <w:tag w:val="_PLD_3ee60507a6384334b819485e73faa1f4"/>
            <w:id w:val="155811258"/>
          </w:sdtPr>
          <w:sdtEndPr/>
          <w:sdtContent>
            <w:tc>
              <w:tcPr>
                <w:tcW w:w="1686" w:type="pct"/>
              </w:tcPr>
              <w:p w:rsidR="00597370" w:rsidRDefault="003C2EEE">
                <w:pPr>
                  <w:autoSpaceDE w:val="0"/>
                  <w:autoSpaceDN w:val="0"/>
                  <w:adjustRightInd w:val="0"/>
                  <w:snapToGrid w:val="0"/>
                  <w:jc w:val="center"/>
                  <w:rPr>
                    <w:color w:val="000000" w:themeColor="text1"/>
                  </w:rPr>
                </w:pPr>
                <w:r>
                  <w:rPr>
                    <w:rFonts w:hint="eastAsia"/>
                    <w:color w:val="000000" w:themeColor="text1"/>
                  </w:rPr>
                  <w:t>项目</w:t>
                </w:r>
              </w:p>
            </w:tc>
          </w:sdtContent>
        </w:sdt>
        <w:sdt>
          <w:sdtPr>
            <w:rPr>
              <w:color w:val="000000" w:themeColor="text1"/>
            </w:rPr>
            <w:tag w:val="_PLD_d2a4fabfb296457384b1523a60233642"/>
            <w:id w:val="-1689288652"/>
          </w:sdtPr>
          <w:sdtEndPr/>
          <w:sdtContent>
            <w:tc>
              <w:tcPr>
                <w:tcW w:w="1686" w:type="pct"/>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aab598d4b37f4953a2ee9b7475cb43e6"/>
            <w:id w:val="-1766447058"/>
          </w:sdtPr>
          <w:sdtEndPr/>
          <w:sdtContent>
            <w:tc>
              <w:tcPr>
                <w:tcW w:w="1628" w:type="pct"/>
              </w:tcPr>
              <w:p w:rsidR="00597370" w:rsidRDefault="003C2EEE">
                <w:pPr>
                  <w:jc w:val="center"/>
                  <w:rPr>
                    <w:color w:val="000000" w:themeColor="text1"/>
                  </w:rPr>
                </w:pPr>
                <w:r>
                  <w:rPr>
                    <w:rFonts w:hint="eastAsia"/>
                    <w:color w:val="000000" w:themeColor="text1"/>
                  </w:rPr>
                  <w:t>期初余额</w:t>
                </w:r>
              </w:p>
            </w:tc>
          </w:sdtContent>
        </w:sdt>
      </w:tr>
      <w:tr w:rsidR="00597370">
        <w:trPr>
          <w:cantSplit/>
        </w:trPr>
        <w:tc>
          <w:tcPr>
            <w:tcW w:w="1686" w:type="pct"/>
            <w:shd w:val="clear" w:color="auto" w:fill="auto"/>
            <w:vAlign w:val="center"/>
          </w:tcPr>
          <w:p w:rsidR="00597370" w:rsidRDefault="003C2EEE">
            <w:pPr>
              <w:autoSpaceDE w:val="0"/>
              <w:autoSpaceDN w:val="0"/>
              <w:adjustRightInd w:val="0"/>
              <w:snapToGrid w:val="0"/>
            </w:pPr>
            <w:r>
              <w:t>信用借款</w:t>
            </w:r>
          </w:p>
        </w:tc>
        <w:tc>
          <w:tcPr>
            <w:tcW w:w="1686" w:type="pct"/>
            <w:shd w:val="clear" w:color="auto" w:fill="auto"/>
          </w:tcPr>
          <w:p w:rsidR="00597370" w:rsidRDefault="003C2EEE">
            <w:pPr>
              <w:autoSpaceDE w:val="0"/>
              <w:autoSpaceDN w:val="0"/>
              <w:adjustRightInd w:val="0"/>
              <w:snapToGrid w:val="0"/>
              <w:ind w:right="180"/>
              <w:jc w:val="right"/>
            </w:pPr>
            <w:r>
              <w:t>645,540,700.00</w:t>
            </w:r>
          </w:p>
        </w:tc>
        <w:tc>
          <w:tcPr>
            <w:tcW w:w="1628" w:type="pct"/>
            <w:shd w:val="clear" w:color="auto" w:fill="auto"/>
            <w:vAlign w:val="center"/>
          </w:tcPr>
          <w:p w:rsidR="00597370" w:rsidRDefault="003C2EEE">
            <w:pPr>
              <w:jc w:val="right"/>
            </w:pPr>
            <w:r>
              <w:t>306,639,900.00</w:t>
            </w:r>
          </w:p>
        </w:tc>
      </w:tr>
      <w:tr w:rsidR="00597370">
        <w:trPr>
          <w:cantSplit/>
        </w:trPr>
        <w:tc>
          <w:tcPr>
            <w:tcW w:w="1686" w:type="pct"/>
            <w:shd w:val="clear" w:color="auto" w:fill="auto"/>
            <w:vAlign w:val="center"/>
          </w:tcPr>
          <w:p w:rsidR="00597370" w:rsidRDefault="003C2EEE">
            <w:pPr>
              <w:autoSpaceDE w:val="0"/>
              <w:autoSpaceDN w:val="0"/>
              <w:adjustRightInd w:val="0"/>
              <w:snapToGrid w:val="0"/>
            </w:pPr>
            <w:r>
              <w:t>股权质押</w:t>
            </w:r>
          </w:p>
        </w:tc>
        <w:tc>
          <w:tcPr>
            <w:tcW w:w="1686" w:type="pct"/>
            <w:shd w:val="clear" w:color="auto" w:fill="auto"/>
          </w:tcPr>
          <w:p w:rsidR="00597370" w:rsidRDefault="003C2EEE">
            <w:pPr>
              <w:autoSpaceDE w:val="0"/>
              <w:autoSpaceDN w:val="0"/>
              <w:adjustRightInd w:val="0"/>
              <w:snapToGrid w:val="0"/>
              <w:ind w:right="180"/>
              <w:jc w:val="right"/>
            </w:pPr>
            <w:r>
              <w:t>335,000,000.00</w:t>
            </w:r>
          </w:p>
        </w:tc>
        <w:tc>
          <w:tcPr>
            <w:tcW w:w="1628" w:type="pct"/>
            <w:shd w:val="clear" w:color="auto" w:fill="auto"/>
            <w:vAlign w:val="center"/>
          </w:tcPr>
          <w:p w:rsidR="00597370" w:rsidRDefault="00597370">
            <w:pPr>
              <w:jc w:val="right"/>
            </w:pPr>
          </w:p>
        </w:tc>
      </w:tr>
      <w:tr w:rsidR="00597370">
        <w:trPr>
          <w:cantSplit/>
        </w:trPr>
        <w:tc>
          <w:tcPr>
            <w:tcW w:w="1686" w:type="pct"/>
            <w:shd w:val="clear" w:color="auto" w:fill="auto"/>
            <w:vAlign w:val="center"/>
          </w:tcPr>
          <w:p w:rsidR="00597370" w:rsidRDefault="003C2EEE">
            <w:pPr>
              <w:autoSpaceDE w:val="0"/>
              <w:autoSpaceDN w:val="0"/>
              <w:adjustRightInd w:val="0"/>
              <w:snapToGrid w:val="0"/>
            </w:pPr>
            <w:r>
              <w:t>抵押借款</w:t>
            </w:r>
          </w:p>
        </w:tc>
        <w:tc>
          <w:tcPr>
            <w:tcW w:w="1686" w:type="pct"/>
            <w:shd w:val="clear" w:color="auto" w:fill="auto"/>
          </w:tcPr>
          <w:p w:rsidR="00597370" w:rsidRDefault="003C2EEE">
            <w:pPr>
              <w:autoSpaceDE w:val="0"/>
              <w:autoSpaceDN w:val="0"/>
              <w:adjustRightInd w:val="0"/>
              <w:snapToGrid w:val="0"/>
              <w:ind w:right="180"/>
              <w:jc w:val="right"/>
            </w:pPr>
            <w:r>
              <w:t>283,349,838.10</w:t>
            </w:r>
          </w:p>
        </w:tc>
        <w:tc>
          <w:tcPr>
            <w:tcW w:w="1628" w:type="pct"/>
            <w:shd w:val="clear" w:color="auto" w:fill="auto"/>
            <w:vAlign w:val="center"/>
          </w:tcPr>
          <w:p w:rsidR="00597370" w:rsidRDefault="003C2EEE">
            <w:pPr>
              <w:jc w:val="right"/>
            </w:pPr>
            <w:r>
              <w:t>233,041,061.50</w:t>
            </w:r>
          </w:p>
        </w:tc>
      </w:tr>
      <w:tr w:rsidR="00597370">
        <w:trPr>
          <w:cantSplit/>
        </w:trPr>
        <w:tc>
          <w:tcPr>
            <w:tcW w:w="1686" w:type="pct"/>
            <w:shd w:val="clear" w:color="auto" w:fill="auto"/>
            <w:vAlign w:val="center"/>
          </w:tcPr>
          <w:p w:rsidR="00597370" w:rsidRDefault="003C2EEE">
            <w:pPr>
              <w:autoSpaceDE w:val="0"/>
              <w:autoSpaceDN w:val="0"/>
              <w:adjustRightInd w:val="0"/>
              <w:snapToGrid w:val="0"/>
              <w:rPr>
                <w:color w:val="000000" w:themeColor="text1"/>
              </w:rPr>
            </w:pPr>
            <w:r>
              <w:rPr>
                <w:rFonts w:hint="eastAsia"/>
              </w:rPr>
              <w:t>保证及抵押借款</w:t>
            </w:r>
          </w:p>
        </w:tc>
        <w:tc>
          <w:tcPr>
            <w:tcW w:w="1686" w:type="pct"/>
            <w:shd w:val="clear" w:color="auto" w:fill="auto"/>
          </w:tcPr>
          <w:p w:rsidR="00597370" w:rsidRDefault="003C2EEE">
            <w:pPr>
              <w:autoSpaceDE w:val="0"/>
              <w:autoSpaceDN w:val="0"/>
              <w:adjustRightInd w:val="0"/>
              <w:snapToGrid w:val="0"/>
              <w:ind w:right="180"/>
              <w:jc w:val="right"/>
            </w:pPr>
            <w:r>
              <w:t>228,575,229.00</w:t>
            </w:r>
          </w:p>
        </w:tc>
        <w:tc>
          <w:tcPr>
            <w:tcW w:w="1628" w:type="pct"/>
            <w:shd w:val="clear" w:color="auto" w:fill="auto"/>
            <w:vAlign w:val="center"/>
          </w:tcPr>
          <w:p w:rsidR="00597370" w:rsidRDefault="003C2EEE">
            <w:pPr>
              <w:jc w:val="right"/>
            </w:pPr>
            <w:r>
              <w:t>176,013,429.00</w:t>
            </w:r>
          </w:p>
        </w:tc>
      </w:tr>
      <w:tr w:rsidR="00597370">
        <w:trPr>
          <w:cantSplit/>
        </w:trPr>
        <w:tc>
          <w:tcPr>
            <w:tcW w:w="1686" w:type="pct"/>
            <w:shd w:val="clear" w:color="auto" w:fill="auto"/>
            <w:vAlign w:val="center"/>
          </w:tcPr>
          <w:p w:rsidR="00597370" w:rsidRDefault="003C2EEE">
            <w:pPr>
              <w:autoSpaceDE w:val="0"/>
              <w:autoSpaceDN w:val="0"/>
              <w:adjustRightInd w:val="0"/>
              <w:snapToGrid w:val="0"/>
              <w:rPr>
                <w:color w:val="000000" w:themeColor="text1"/>
              </w:rPr>
            </w:pPr>
            <w:r>
              <w:rPr>
                <w:rFonts w:hint="eastAsia"/>
              </w:rPr>
              <w:lastRenderedPageBreak/>
              <w:t>保证借款</w:t>
            </w:r>
          </w:p>
        </w:tc>
        <w:tc>
          <w:tcPr>
            <w:tcW w:w="1686" w:type="pct"/>
            <w:shd w:val="clear" w:color="auto" w:fill="auto"/>
          </w:tcPr>
          <w:p w:rsidR="00597370" w:rsidRDefault="003C2EEE">
            <w:pPr>
              <w:autoSpaceDE w:val="0"/>
              <w:autoSpaceDN w:val="0"/>
              <w:adjustRightInd w:val="0"/>
              <w:snapToGrid w:val="0"/>
              <w:ind w:right="180"/>
              <w:jc w:val="right"/>
            </w:pPr>
            <w:r>
              <w:t>12,420,000.00</w:t>
            </w:r>
          </w:p>
        </w:tc>
        <w:tc>
          <w:tcPr>
            <w:tcW w:w="1628" w:type="pct"/>
            <w:shd w:val="clear" w:color="auto" w:fill="auto"/>
            <w:vAlign w:val="center"/>
          </w:tcPr>
          <w:p w:rsidR="00597370" w:rsidRDefault="003C2EEE">
            <w:pPr>
              <w:jc w:val="right"/>
            </w:pPr>
            <w:r>
              <w:t>13,110,000.00</w:t>
            </w:r>
          </w:p>
        </w:tc>
      </w:tr>
      <w:tr w:rsidR="00597370">
        <w:trPr>
          <w:cantSplit/>
        </w:trPr>
        <w:tc>
          <w:tcPr>
            <w:tcW w:w="1686" w:type="pct"/>
            <w:shd w:val="clear" w:color="auto" w:fill="auto"/>
            <w:vAlign w:val="center"/>
          </w:tcPr>
          <w:p w:rsidR="00597370" w:rsidRDefault="003C2EEE">
            <w:pPr>
              <w:autoSpaceDE w:val="0"/>
              <w:autoSpaceDN w:val="0"/>
              <w:adjustRightInd w:val="0"/>
              <w:snapToGrid w:val="0"/>
              <w:rPr>
                <w:color w:val="000000" w:themeColor="text1"/>
              </w:rPr>
            </w:pPr>
            <w:r>
              <w:rPr>
                <w:rFonts w:hint="eastAsia"/>
              </w:rPr>
              <w:t>未到期应付利息</w:t>
            </w:r>
          </w:p>
        </w:tc>
        <w:tc>
          <w:tcPr>
            <w:tcW w:w="1686" w:type="pct"/>
            <w:shd w:val="clear" w:color="auto" w:fill="auto"/>
          </w:tcPr>
          <w:p w:rsidR="00597370" w:rsidRDefault="003C2EEE">
            <w:pPr>
              <w:autoSpaceDE w:val="0"/>
              <w:autoSpaceDN w:val="0"/>
              <w:adjustRightInd w:val="0"/>
              <w:snapToGrid w:val="0"/>
              <w:ind w:right="180"/>
              <w:jc w:val="right"/>
            </w:pPr>
            <w:r>
              <w:t>1,272,110.78</w:t>
            </w:r>
          </w:p>
        </w:tc>
        <w:tc>
          <w:tcPr>
            <w:tcW w:w="1628" w:type="pct"/>
            <w:shd w:val="clear" w:color="auto" w:fill="auto"/>
            <w:vAlign w:val="center"/>
          </w:tcPr>
          <w:p w:rsidR="00597370" w:rsidRDefault="003C2EEE">
            <w:pPr>
              <w:jc w:val="right"/>
            </w:pPr>
            <w:r>
              <w:t>700,167.60</w:t>
            </w:r>
          </w:p>
        </w:tc>
      </w:tr>
      <w:tr w:rsidR="00597370">
        <w:trPr>
          <w:cantSplit/>
        </w:trPr>
        <w:tc>
          <w:tcPr>
            <w:tcW w:w="1686" w:type="pct"/>
            <w:vAlign w:val="center"/>
          </w:tcPr>
          <w:p w:rsidR="00597370" w:rsidRDefault="003C2EEE">
            <w:pPr>
              <w:autoSpaceDE w:val="0"/>
              <w:autoSpaceDN w:val="0"/>
              <w:adjustRightInd w:val="0"/>
              <w:snapToGrid w:val="0"/>
            </w:pPr>
            <w:r>
              <w:t>减：一年内到期的长期借款</w:t>
            </w:r>
          </w:p>
        </w:tc>
        <w:tc>
          <w:tcPr>
            <w:tcW w:w="1686" w:type="pct"/>
          </w:tcPr>
          <w:p w:rsidR="00597370" w:rsidRDefault="003C2EEE">
            <w:pPr>
              <w:autoSpaceDE w:val="0"/>
              <w:autoSpaceDN w:val="0"/>
              <w:adjustRightInd w:val="0"/>
              <w:snapToGrid w:val="0"/>
              <w:ind w:right="180"/>
              <w:jc w:val="right"/>
            </w:pPr>
            <w:r>
              <w:t>377,149,999.09</w:t>
            </w:r>
          </w:p>
        </w:tc>
        <w:tc>
          <w:tcPr>
            <w:tcW w:w="1628" w:type="pct"/>
            <w:vAlign w:val="center"/>
          </w:tcPr>
          <w:p w:rsidR="00597370" w:rsidRDefault="003C2EEE">
            <w:pPr>
              <w:jc w:val="right"/>
            </w:pPr>
            <w:r>
              <w:t>64,386,967.51</w:t>
            </w:r>
          </w:p>
        </w:tc>
      </w:tr>
      <w:tr w:rsidR="00597370">
        <w:trPr>
          <w:cantSplit/>
        </w:trPr>
        <w:tc>
          <w:tcPr>
            <w:tcW w:w="1686" w:type="pct"/>
            <w:vAlign w:val="center"/>
          </w:tcPr>
          <w:p w:rsidR="00597370" w:rsidRDefault="003C2EEE">
            <w:pPr>
              <w:autoSpaceDE w:val="0"/>
              <w:autoSpaceDN w:val="0"/>
              <w:adjustRightInd w:val="0"/>
              <w:snapToGrid w:val="0"/>
              <w:rPr>
                <w:color w:val="000000" w:themeColor="text1"/>
              </w:rPr>
            </w:pPr>
            <w:r>
              <w:rPr>
                <w:rFonts w:hint="eastAsia"/>
                <w:color w:val="000000" w:themeColor="text1"/>
              </w:rPr>
              <w:t>合计</w:t>
            </w:r>
          </w:p>
        </w:tc>
        <w:tc>
          <w:tcPr>
            <w:tcW w:w="1686" w:type="pct"/>
          </w:tcPr>
          <w:p w:rsidR="00597370" w:rsidRDefault="003C2EEE">
            <w:pPr>
              <w:autoSpaceDE w:val="0"/>
              <w:autoSpaceDN w:val="0"/>
              <w:adjustRightInd w:val="0"/>
              <w:snapToGrid w:val="0"/>
              <w:ind w:right="180"/>
              <w:jc w:val="right"/>
            </w:pPr>
            <w:r>
              <w:t>1,129,007,878.79</w:t>
            </w:r>
          </w:p>
        </w:tc>
        <w:tc>
          <w:tcPr>
            <w:tcW w:w="1628" w:type="pct"/>
            <w:vAlign w:val="center"/>
          </w:tcPr>
          <w:p w:rsidR="00597370" w:rsidRDefault="003C2EEE">
            <w:pPr>
              <w:jc w:val="right"/>
            </w:pPr>
            <w:r>
              <w:t>665,117,590.59</w:t>
            </w:r>
          </w:p>
        </w:tc>
      </w:tr>
    </w:tbl>
    <w:p w:rsidR="00597370" w:rsidRDefault="00597370"/>
    <w:p w:rsidR="00597370" w:rsidRDefault="003C2EEE">
      <w:pPr>
        <w:snapToGrid w:val="0"/>
        <w:spacing w:before="60" w:after="60" w:line="240" w:lineRule="atLeast"/>
        <w:rPr>
          <w:color w:val="000000" w:themeColor="text1"/>
        </w:rPr>
      </w:pPr>
      <w:r>
        <w:rPr>
          <w:rFonts w:hint="eastAsia"/>
          <w:color w:val="000000" w:themeColor="text1"/>
        </w:rPr>
        <w:t>长期借款分类的说明：</w:t>
      </w:r>
    </w:p>
    <w:sdt>
      <w:sdtPr>
        <w:rPr>
          <w:color w:val="000000" w:themeColor="text1"/>
        </w:rPr>
        <w:alias w:val="长期借款分类的说明"/>
        <w:tag w:val="_GBC_c93626a5eade42f48eca926da85f3afb"/>
        <w:id w:val="-1322805873"/>
        <w:placeholder>
          <w:docPart w:val="GBC22222222222222222222222222222"/>
        </w:placeholder>
      </w:sdtPr>
      <w:sdtEndPr/>
      <w:sdtContent>
        <w:p w:rsidR="00597370" w:rsidRDefault="003C2EEE">
          <w:pPr>
            <w:snapToGrid w:val="0"/>
            <w:rPr>
              <w:rFonts w:cstheme="minorBidi"/>
              <w:color w:val="000000" w:themeColor="text1"/>
              <w:kern w:val="2"/>
            </w:rPr>
          </w:pPr>
          <w:r>
            <w:rPr>
              <w:rFonts w:hint="eastAsia"/>
              <w:color w:val="000000" w:themeColor="text1"/>
            </w:rPr>
            <w:t>无</w:t>
          </w:r>
        </w:p>
      </w:sdtContent>
    </w:sdt>
    <w:p w:rsidR="00597370" w:rsidRDefault="003C2EEE">
      <w:pPr>
        <w:snapToGrid w:val="0"/>
        <w:rPr>
          <w:color w:val="000000" w:themeColor="text1"/>
        </w:rPr>
      </w:pPr>
      <w:r>
        <w:rPr>
          <w:rFonts w:hint="eastAsia"/>
          <w:color w:val="000000" w:themeColor="text1"/>
        </w:rPr>
        <w:t>其他说明</w:t>
      </w:r>
      <w:r>
        <w:rPr>
          <w:color w:val="000000" w:themeColor="text1"/>
        </w:rPr>
        <w:t xml:space="preserve"> </w:t>
      </w:r>
    </w:p>
    <w:sdt>
      <w:sdtPr>
        <w:rPr>
          <w:color w:val="000000" w:themeColor="text1"/>
        </w:rPr>
        <w:alias w:val="是否适用：长期借款的说明[双击切换]"/>
        <w:tag w:val="_GBC_1dc67be6516c4de3956a80023674c75a"/>
        <w:id w:val="-522791717"/>
        <w:placeholder>
          <w:docPart w:val="GBC22222222222222222222222222222"/>
        </w:placeholder>
      </w:sdtPr>
      <w:sdtEndPr/>
      <w:sdtContent>
        <w:p w:rsidR="00597370" w:rsidRDefault="003C2EEE">
          <w:pPr>
            <w:snapToGrid w:val="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应付债券</w:t>
      </w:r>
    </w:p>
    <w:p w:rsidR="00597370" w:rsidRDefault="003C2EEE">
      <w:pPr>
        <w:pStyle w:val="Style110"/>
        <w:numPr>
          <w:ilvl w:val="0"/>
          <w:numId w:val="81"/>
        </w:numPr>
        <w:tabs>
          <w:tab w:val="left" w:pos="672"/>
        </w:tabs>
        <w:rPr>
          <w:rFonts w:ascii="宋体" w:hAnsi="宋体"/>
          <w:color w:val="000000" w:themeColor="text1"/>
        </w:rPr>
      </w:pPr>
      <w:r>
        <w:rPr>
          <w:rFonts w:ascii="宋体" w:hAnsi="宋体" w:hint="eastAsia"/>
          <w:color w:val="000000" w:themeColor="text1"/>
        </w:rPr>
        <w:t>应付</w:t>
      </w:r>
      <w:r>
        <w:rPr>
          <w:rFonts w:ascii="宋体" w:hAnsi="宋体" w:hint="eastAsia"/>
          <w:color w:val="000000" w:themeColor="text1"/>
          <w:szCs w:val="21"/>
        </w:rPr>
        <w:t>债券</w:t>
      </w:r>
    </w:p>
    <w:sdt>
      <w:sdtPr>
        <w:rPr>
          <w:rFonts w:hint="eastAsia"/>
          <w:color w:val="000000" w:themeColor="text1"/>
        </w:rPr>
        <w:alias w:val="是否适用：应付债券[双击切换]"/>
        <w:tag w:val="_GBC_b07c291c892844efaca56bc1d52b1566"/>
        <w:id w:val="80435893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1"/>
        </w:numPr>
        <w:tabs>
          <w:tab w:val="left" w:pos="672"/>
        </w:tabs>
        <w:rPr>
          <w:rFonts w:ascii="宋体" w:hAnsi="宋体"/>
          <w:color w:val="000000" w:themeColor="text1"/>
        </w:rPr>
      </w:pPr>
      <w:bookmarkStart w:id="331" w:name="_Hlk167968813"/>
      <w:bookmarkStart w:id="332" w:name="OLE_LINK16"/>
      <w:bookmarkStart w:id="333" w:name="OLE_LINK18"/>
      <w:r>
        <w:rPr>
          <w:rFonts w:ascii="宋体" w:hAnsi="宋体" w:hint="eastAsia"/>
          <w:color w:val="000000" w:themeColor="text1"/>
        </w:rPr>
        <w:t>应付债券的具体情况：（不包括划分为金融负债的优先股、永续债等其他金融工具）</w:t>
      </w:r>
    </w:p>
    <w:sdt>
      <w:sdtPr>
        <w:rPr>
          <w:color w:val="000000" w:themeColor="text1"/>
        </w:rPr>
        <w:alias w:val="是否适用：应付债券的增减变动[双击切换]"/>
        <w:tag w:val="_GBC_6610dc08d094426e9d4fdad85eee6da2"/>
        <w:id w:val="10107202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1"/>
        </w:numPr>
        <w:tabs>
          <w:tab w:val="left" w:pos="672"/>
        </w:tabs>
        <w:rPr>
          <w:rFonts w:ascii="宋体" w:hAnsi="宋体"/>
          <w:color w:val="000000" w:themeColor="text1"/>
        </w:rPr>
      </w:pPr>
      <w:r>
        <w:rPr>
          <w:rFonts w:ascii="宋体" w:hAnsi="宋体" w:hint="eastAsia"/>
          <w:color w:val="000000" w:themeColor="text1"/>
        </w:rPr>
        <w:t>可转换公司债</w:t>
      </w:r>
      <w:proofErr w:type="gramStart"/>
      <w:r>
        <w:rPr>
          <w:rFonts w:ascii="宋体" w:hAnsi="宋体" w:hint="eastAsia"/>
          <w:color w:val="000000" w:themeColor="text1"/>
        </w:rPr>
        <w:t>券</w:t>
      </w:r>
      <w:proofErr w:type="gramEnd"/>
      <w:r>
        <w:rPr>
          <w:rFonts w:ascii="宋体" w:hAnsi="宋体" w:hint="eastAsia"/>
          <w:color w:val="000000" w:themeColor="text1"/>
        </w:rPr>
        <w:t>的说明</w:t>
      </w:r>
    </w:p>
    <w:sdt>
      <w:sdtPr>
        <w:rPr>
          <w:rFonts w:hint="eastAsia"/>
          <w:color w:val="000000" w:themeColor="text1"/>
        </w:rPr>
        <w:alias w:val="是否适用：可转换公司债券的转股条件、转股时间说明[双击切换]"/>
        <w:tag w:val="_GBC_ef63fc1297374c8b97a48c0c89422e8a"/>
        <w:id w:val="1256793744"/>
        <w:placeholder>
          <w:docPart w:val="GBC22222222222222222222222222222"/>
        </w:placeholder>
      </w:sdtPr>
      <w:sdtEndPr/>
      <w:sdtContent>
        <w:p w:rsidR="00597370" w:rsidRDefault="003C2EEE">
          <w:pPr>
            <w:spacing w:before="60" w:after="6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pacing w:before="60" w:after="60"/>
        <w:rPr>
          <w:color w:val="000000" w:themeColor="text1"/>
        </w:rPr>
      </w:pPr>
      <w:r>
        <w:rPr>
          <w:rFonts w:hint="eastAsia"/>
          <w:color w:val="000000" w:themeColor="text1"/>
        </w:rPr>
        <w:t>转股权会计处理及判断依据</w:t>
      </w:r>
    </w:p>
    <w:sdt>
      <w:sdtPr>
        <w:rPr>
          <w:color w:val="000000" w:themeColor="text1"/>
        </w:rPr>
        <w:alias w:val="是否适用：转股权会计处理及判断依据[双击切换]"/>
        <w:tag w:val="_GBC_d91e0305ad39444cb4fea2f3671f7083"/>
        <w:id w:val="-1368143913"/>
        <w:placeholder>
          <w:docPart w:val="GBC22222222222222222222222222222"/>
        </w:placeholder>
      </w:sdtPr>
      <w:sdtEndPr/>
      <w:sdtContent>
        <w:p w:rsidR="00597370" w:rsidRDefault="003C2EEE">
          <w:pPr>
            <w:spacing w:before="60" w:after="6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31"/>
    <w:p w:rsidR="00597370" w:rsidRDefault="003C2EEE">
      <w:pPr>
        <w:pStyle w:val="Style110"/>
        <w:numPr>
          <w:ilvl w:val="0"/>
          <w:numId w:val="81"/>
        </w:numPr>
        <w:tabs>
          <w:tab w:val="left" w:pos="672"/>
        </w:tabs>
        <w:rPr>
          <w:rFonts w:ascii="宋体" w:hAnsi="宋体"/>
          <w:color w:val="000000" w:themeColor="text1"/>
        </w:rPr>
      </w:pPr>
      <w:r>
        <w:rPr>
          <w:rFonts w:ascii="宋体" w:hAnsi="宋体" w:hint="eastAsia"/>
          <w:color w:val="000000" w:themeColor="text1"/>
        </w:rPr>
        <w:t>划分为金融负债的其他金融工具说明</w:t>
      </w:r>
    </w:p>
    <w:p w:rsidR="00597370" w:rsidRDefault="003C2EEE">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61542231aba54618ab4bd6d781bfab05"/>
        <w:id w:val="-57752210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4cf6ed9dc37d42fc946f2268e90eee97"/>
        <w:id w:val="-18183275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32"/>
    <w:bookmarkEnd w:id="333"/>
    <w:p w:rsidR="00597370" w:rsidRDefault="003C2EEE">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ec0ba7f99624a559a5f92bcd8e57e4f"/>
        <w:id w:val="1537477506"/>
        <w:placeholder>
          <w:docPart w:val="GBC22222222222222222222222222222"/>
        </w:placeholder>
      </w:sdtPr>
      <w:sdtEndPr/>
      <w:sdtContent>
        <w:p w:rsidR="00597370" w:rsidRDefault="003C2EEE">
          <w:pPr>
            <w:spacing w:before="60" w:after="6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pacing w:before="60" w:after="60"/>
        <w:rPr>
          <w:color w:val="000000" w:themeColor="text1"/>
        </w:rPr>
      </w:pPr>
      <w:r>
        <w:rPr>
          <w:rFonts w:hint="eastAsia"/>
          <w:color w:val="000000" w:themeColor="text1"/>
        </w:rPr>
        <w:t>其他说明：</w:t>
      </w:r>
    </w:p>
    <w:sdt>
      <w:sdtPr>
        <w:rPr>
          <w:color w:val="000000" w:themeColor="text1"/>
        </w:rPr>
        <w:alias w:val="是否适用：应付债券的其他说明[双击切换]"/>
        <w:tag w:val="_GBC_34ea80305b6a4fafaf2943f684877d08"/>
        <w:id w:val="-901987749"/>
        <w:placeholder>
          <w:docPart w:val="GBC22222222222222222222222222222"/>
        </w:placeholder>
      </w:sdtPr>
      <w:sdtEndPr/>
      <w:sdtContent>
        <w:p w:rsidR="00597370" w:rsidRDefault="003C2EEE">
          <w:pPr>
            <w:spacing w:before="60" w:after="6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租赁负债</w:t>
      </w:r>
    </w:p>
    <w:sdt>
      <w:sdtPr>
        <w:rPr>
          <w:color w:val="000000" w:themeColor="text1"/>
        </w:rPr>
        <w:alias w:val="是否适用：租赁负债[双击切换]"/>
        <w:tag w:val="_GBC_cec9aedf0aa8427d9bd5dbf17e698298"/>
        <w:id w:val="-198299347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租赁负债"/>
          <w:tag w:val="_GBC_3f1d18295bfb4156905ee3935811bc9f"/>
          <w:id w:val="-149926074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租赁负债"/>
          <w:tag w:val="_GBC_1ce63c76adb74c2f8d53dbdb5d73a87c"/>
          <w:id w:val="-5752906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125"/>
        <w:gridCol w:w="2848"/>
        <w:gridCol w:w="2850"/>
      </w:tblGrid>
      <w:tr w:rsidR="00597370">
        <w:trPr>
          <w:cantSplit/>
          <w:trHeight w:val="307"/>
        </w:trPr>
        <w:sdt>
          <w:sdtPr>
            <w:rPr>
              <w:color w:val="000000" w:themeColor="text1"/>
            </w:rPr>
            <w:tag w:val="_PLD_27afd78cc4b04fa19a7adaa593b83cc4"/>
            <w:id w:val="450375845"/>
          </w:sdtPr>
          <w:sdtEndPr/>
          <w:sdtContent>
            <w:tc>
              <w:tcPr>
                <w:tcW w:w="1771"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473fbb207ad34f58a8a0f0451332e555"/>
            <w:id w:val="1987507133"/>
          </w:sdtPr>
          <w:sdtEndPr/>
          <w:sdtContent>
            <w:tc>
              <w:tcPr>
                <w:tcW w:w="1614"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81cf17ce1aff4bad8deb2792f3b6570d"/>
            <w:id w:val="184570423"/>
          </w:sdtPr>
          <w:sdtEndPr/>
          <w:sdtContent>
            <w:tc>
              <w:tcPr>
                <w:tcW w:w="1615"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cantSplit/>
          <w:trHeight w:val="186"/>
        </w:trPr>
        <w:tc>
          <w:tcPr>
            <w:tcW w:w="1771" w:type="pct"/>
          </w:tcPr>
          <w:p w:rsidR="00597370" w:rsidRDefault="003C2EEE">
            <w:pPr>
              <w:pStyle w:val="Style106"/>
            </w:pPr>
            <w:r>
              <w:rPr>
                <w:rFonts w:hint="eastAsia"/>
              </w:rPr>
              <w:t>租赁负债</w:t>
            </w:r>
          </w:p>
        </w:tc>
        <w:tc>
          <w:tcPr>
            <w:tcW w:w="1614" w:type="pct"/>
          </w:tcPr>
          <w:p w:rsidR="00597370" w:rsidRDefault="003C2EEE">
            <w:pPr>
              <w:jc w:val="right"/>
            </w:pPr>
            <w:r>
              <w:t>3,772,619.56</w:t>
            </w:r>
          </w:p>
        </w:tc>
        <w:tc>
          <w:tcPr>
            <w:tcW w:w="1615" w:type="pct"/>
          </w:tcPr>
          <w:p w:rsidR="00597370" w:rsidRDefault="003C2EEE">
            <w:pPr>
              <w:jc w:val="right"/>
            </w:pPr>
            <w:r>
              <w:t>4,228,032.70</w:t>
            </w:r>
          </w:p>
        </w:tc>
      </w:tr>
      <w:tr w:rsidR="00597370">
        <w:trPr>
          <w:cantSplit/>
          <w:trHeight w:val="186"/>
        </w:trPr>
        <w:tc>
          <w:tcPr>
            <w:tcW w:w="1771" w:type="pct"/>
          </w:tcPr>
          <w:p w:rsidR="00597370" w:rsidRDefault="003C2EEE">
            <w:pPr>
              <w:rPr>
                <w:color w:val="000000" w:themeColor="text1"/>
              </w:rPr>
            </w:pPr>
            <w:r>
              <w:rPr>
                <w:rFonts w:hint="eastAsia"/>
                <w:color w:val="000000" w:themeColor="text1"/>
              </w:rPr>
              <w:t>合计</w:t>
            </w:r>
          </w:p>
        </w:tc>
        <w:tc>
          <w:tcPr>
            <w:tcW w:w="1614" w:type="pct"/>
          </w:tcPr>
          <w:p w:rsidR="00597370" w:rsidRDefault="003C2EEE">
            <w:pPr>
              <w:jc w:val="right"/>
            </w:pPr>
            <w:r>
              <w:t>3,772,619.56</w:t>
            </w:r>
          </w:p>
        </w:tc>
        <w:tc>
          <w:tcPr>
            <w:tcW w:w="1615" w:type="pct"/>
          </w:tcPr>
          <w:p w:rsidR="00597370" w:rsidRDefault="003C2EEE">
            <w:pPr>
              <w:jc w:val="right"/>
            </w:pPr>
            <w:r>
              <w:t>4,228,032.70</w:t>
            </w:r>
          </w:p>
        </w:tc>
      </w:tr>
    </w:tbl>
    <w:p w:rsidR="00597370" w:rsidRDefault="003C2EEE">
      <w:pPr>
        <w:snapToGrid w:val="0"/>
        <w:spacing w:before="60" w:after="60" w:line="240" w:lineRule="atLeast"/>
        <w:rPr>
          <w:color w:val="000000" w:themeColor="text1"/>
        </w:rPr>
      </w:pPr>
      <w:r>
        <w:rPr>
          <w:rFonts w:hint="eastAsia"/>
          <w:color w:val="000000" w:themeColor="text1"/>
        </w:rPr>
        <w:t>其他说明：</w:t>
      </w:r>
    </w:p>
    <w:sdt>
      <w:sdtPr>
        <w:rPr>
          <w:color w:val="000000" w:themeColor="text1"/>
        </w:rPr>
        <w:alias w:val="租赁负债其他说明"/>
        <w:tag w:val="_GBC_cbaaaf9b0adf45f6a0dd93d6de03a6ea"/>
        <w:id w:val="1490442723"/>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长期应付款</w:t>
      </w:r>
    </w:p>
    <w:p w:rsidR="00597370" w:rsidRDefault="003C2EEE">
      <w:pPr>
        <w:pStyle w:val="Style110"/>
        <w:rPr>
          <w:rFonts w:ascii="宋体" w:hAnsi="宋体"/>
          <w:color w:val="000000" w:themeColor="text1"/>
        </w:rPr>
      </w:pPr>
      <w:bookmarkStart w:id="334" w:name="_Hlk10536746"/>
      <w:r>
        <w:rPr>
          <w:rFonts w:ascii="宋体" w:hAnsi="宋体" w:hint="eastAsia"/>
          <w:color w:val="000000" w:themeColor="text1"/>
        </w:rPr>
        <w:t>项目列示</w:t>
      </w:r>
    </w:p>
    <w:sdt>
      <w:sdtPr>
        <w:rPr>
          <w:color w:val="000000" w:themeColor="text1"/>
        </w:rPr>
        <w:alias w:val="是否适用：长期应付款分类列示[双击切换]"/>
        <w:tag w:val="_GBC_dc1496c33e4a4cabb259020dbf46be93"/>
        <w:id w:val="-158892219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ind w:left="360" w:hanging="360"/>
        <w:rPr>
          <w:rFonts w:ascii="宋体" w:hAnsi="宋体"/>
          <w:color w:val="000000" w:themeColor="text1"/>
        </w:rPr>
      </w:pPr>
      <w:bookmarkStart w:id="335" w:name="_Hlk532911057"/>
      <w:bookmarkStart w:id="336" w:name="_Hlk10536806"/>
      <w:bookmarkStart w:id="337" w:name="_Hlk10536877"/>
      <w:bookmarkEnd w:id="334"/>
      <w:bookmarkEnd w:id="335"/>
      <w:r>
        <w:rPr>
          <w:rFonts w:ascii="宋体" w:hAnsi="宋体" w:hint="eastAsia"/>
          <w:color w:val="000000" w:themeColor="text1"/>
        </w:rPr>
        <w:t>长期应付款</w:t>
      </w:r>
      <w:bookmarkEnd w:id="336"/>
    </w:p>
    <w:sdt>
      <w:sdtPr>
        <w:rPr>
          <w:color w:val="000000" w:themeColor="text1"/>
        </w:rPr>
        <w:alias w:val="是否适用：按款项性质列示长期应付款[双击切换]"/>
        <w:tag w:val="_GBC_a9fa9a5286484f4bb853b1eff824e621"/>
        <w:id w:val="-103157336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37"/>
    <w:p w:rsidR="00597370" w:rsidRDefault="003C2EEE">
      <w:pPr>
        <w:pStyle w:val="Style110"/>
        <w:rPr>
          <w:rFonts w:ascii="宋体" w:hAnsi="宋体"/>
          <w:color w:val="000000" w:themeColor="text1"/>
        </w:rPr>
      </w:pPr>
      <w:r>
        <w:rPr>
          <w:rFonts w:ascii="宋体" w:hAnsi="宋体" w:hint="eastAsia"/>
          <w:color w:val="000000" w:themeColor="text1"/>
        </w:rPr>
        <w:t>专项应付款</w:t>
      </w:r>
    </w:p>
    <w:sdt>
      <w:sdtPr>
        <w:rPr>
          <w:color w:val="000000" w:themeColor="text1"/>
        </w:rPr>
        <w:alias w:val="是否适用：专项应付款[双击切换]"/>
        <w:tag w:val="_GBC_f70a824e87784429a75fa648d7634cf8"/>
        <w:id w:val="118201893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lastRenderedPageBreak/>
        <w:t>长期应付职工薪</w:t>
      </w:r>
      <w:proofErr w:type="gramStart"/>
      <w:r>
        <w:rPr>
          <w:rFonts w:ascii="宋体" w:hAnsi="宋体" w:hint="eastAsia"/>
          <w:color w:val="000000" w:themeColor="text1"/>
          <w:szCs w:val="21"/>
        </w:rPr>
        <w:t>酬</w:t>
      </w:r>
      <w:proofErr w:type="gramEnd"/>
    </w:p>
    <w:sdt>
      <w:sdtPr>
        <w:rPr>
          <w:color w:val="000000" w:themeColor="text1"/>
        </w:rPr>
        <w:alias w:val="是否适用：长期应付职工薪酬[双击切换]"/>
        <w:tag w:val="_GBC_077559b601814bb38f16734f98e8c045"/>
        <w:id w:val="161941708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82"/>
        </w:numPr>
        <w:rPr>
          <w:rFonts w:ascii="宋体" w:hAnsi="宋体"/>
          <w:color w:val="000000" w:themeColor="text1"/>
        </w:rPr>
      </w:pPr>
      <w:r>
        <w:rPr>
          <w:rFonts w:ascii="宋体" w:hAnsi="宋体" w:hint="eastAsia"/>
          <w:color w:val="000000" w:themeColor="text1"/>
        </w:rPr>
        <w:t>长期应付职工薪酬表</w:t>
      </w:r>
    </w:p>
    <w:sdt>
      <w:sdtPr>
        <w:rPr>
          <w:color w:val="000000" w:themeColor="text1"/>
        </w:rPr>
        <w:alias w:val="是否适用：长期应付职工薪酬表[双击切换]"/>
        <w:tag w:val="_GBC_7391cd215aaf4a7595c44b639646aa7a"/>
        <w:id w:val="4266203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82"/>
        </w:numPr>
        <w:rPr>
          <w:rFonts w:ascii="宋体" w:hAnsi="宋体"/>
          <w:color w:val="000000" w:themeColor="text1"/>
        </w:rPr>
      </w:pPr>
      <w:r>
        <w:rPr>
          <w:rFonts w:ascii="宋体" w:hAnsi="宋体" w:hint="eastAsia"/>
          <w:color w:val="000000" w:themeColor="text1"/>
        </w:rPr>
        <w:t>设定受益计划变动情况</w:t>
      </w:r>
    </w:p>
    <w:p w:rsidR="00597370" w:rsidRDefault="003C2EEE">
      <w:pPr>
        <w:rPr>
          <w:color w:val="000000" w:themeColor="text1"/>
        </w:rPr>
      </w:pPr>
      <w:r>
        <w:rPr>
          <w:rFonts w:hint="eastAsia"/>
          <w:color w:val="000000" w:themeColor="text1"/>
        </w:rPr>
        <w:t>设定受益计划义务现值：</w:t>
      </w:r>
    </w:p>
    <w:sdt>
      <w:sdtPr>
        <w:rPr>
          <w:color w:val="000000" w:themeColor="text1"/>
        </w:rPr>
        <w:alias w:val="是否适用：设定受益计划义务现值[双击切换]"/>
        <w:tag w:val="_GBC_c4bc86b406e44d69b9ab0374bad05246"/>
        <w:id w:val="10318397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计划资产：</w:t>
      </w:r>
    </w:p>
    <w:sdt>
      <w:sdtPr>
        <w:rPr>
          <w:color w:val="000000" w:themeColor="text1"/>
        </w:rPr>
        <w:alias w:val="是否适用：设定受益计划变动情况_计划资产[双击切换]"/>
        <w:tag w:val="_GBC_c2b590ce2cf24711a0d840605c251bba"/>
        <w:id w:val="-204567096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设定受益计划净负债（净资产）</w:t>
      </w:r>
    </w:p>
    <w:sdt>
      <w:sdtPr>
        <w:rPr>
          <w:color w:val="000000" w:themeColor="text1"/>
        </w:rPr>
        <w:alias w:val="是否适用：设定受益计划变动情况_设定受益计划净负债[双击切换]"/>
        <w:tag w:val="_GBC_c9a00f9cf02f40478b9c06d7ded58e74"/>
        <w:id w:val="139693030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设定受益计划的内容及与之相关风险、对公司未来现金流量、时间和不确定性的影响说明：</w:t>
      </w:r>
    </w:p>
    <w:sdt>
      <w:sdtPr>
        <w:rPr>
          <w:color w:val="000000" w:themeColor="text1"/>
        </w:rPr>
        <w:alias w:val="是否适用：设定受益计划的内容及与之相关风险、对公司未来现金流量、时间和不确定性的影响说明[双击切换]"/>
        <w:tag w:val="_GBC_2e34365c15bf476d97ccb2c983bcb127"/>
        <w:id w:val="152189465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设定受益计划重大精算假设及敏感性分析结果说明</w:t>
      </w:r>
    </w:p>
    <w:sdt>
      <w:sdtPr>
        <w:rPr>
          <w:color w:val="000000" w:themeColor="text1"/>
        </w:rPr>
        <w:alias w:val="是否适用：设定受益计划重大精算假设及敏感性分析结果说明[双击切换]"/>
        <w:tag w:val="_GBC_ca3d6135d7d142dba45a1fa5a5c4591a"/>
        <w:id w:val="4566886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长期应付职工薪酬的其他说明[双击切换]"/>
        <w:tag w:val="_GBC_9621d9da5c12475c9b0ae742a1372566"/>
        <w:id w:val="-10689535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bookmarkStart w:id="338" w:name="_Hlk10537141"/>
      <w:r>
        <w:rPr>
          <w:rFonts w:ascii="宋体" w:hAnsi="宋体" w:hint="eastAsia"/>
          <w:color w:val="000000" w:themeColor="text1"/>
          <w:szCs w:val="21"/>
        </w:rPr>
        <w:t>预计负债</w:t>
      </w:r>
    </w:p>
    <w:sdt>
      <w:sdtPr>
        <w:rPr>
          <w:color w:val="000000" w:themeColor="text1"/>
        </w:rPr>
        <w:alias w:val="是否适用：预计负债[双击切换]"/>
        <w:tag w:val="_GBC_1687da235caf410f866f00240cee7fdb"/>
        <w:id w:val="-16478832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38"/>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预计负债"/>
          <w:tag w:val="_GBC_cb4f52bf31e64f4c951a1d03c8737c2c"/>
          <w:id w:val="990603504"/>
          <w:placeholder>
            <w:docPart w:val="E60CD871DB8C49CCB19DDC6722BD8C0E"/>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预计负债"/>
          <w:tag w:val="_GBC_c1e0a0d54ae34f37b10682c1542f4496"/>
          <w:id w:val="357082962"/>
          <w:placeholder>
            <w:docPart w:val="E60CD871DB8C49CCB19DDC6722BD8C0E"/>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2206"/>
        <w:gridCol w:w="2206"/>
        <w:gridCol w:w="2206"/>
      </w:tblGrid>
      <w:tr w:rsidR="00597370">
        <w:trPr>
          <w:cantSplit/>
        </w:trPr>
        <w:sdt>
          <w:sdtPr>
            <w:rPr>
              <w:color w:val="000000" w:themeColor="text1"/>
            </w:rPr>
            <w:tag w:val="_PLD_fc927e21b7894351850a5341390e71f1"/>
            <w:id w:val="1717926921"/>
          </w:sdtPr>
          <w:sdtEndPr/>
          <w:sdtContent>
            <w:tc>
              <w:tcPr>
                <w:tcW w:w="1250" w:type="pct"/>
                <w:vAlign w:val="center"/>
              </w:tcPr>
              <w:p w:rsidR="00597370" w:rsidRDefault="003C2EEE">
                <w:pPr>
                  <w:ind w:right="105"/>
                  <w:jc w:val="center"/>
                  <w:rPr>
                    <w:color w:val="000000" w:themeColor="text1"/>
                  </w:rPr>
                </w:pPr>
                <w:r>
                  <w:rPr>
                    <w:rFonts w:hint="eastAsia"/>
                    <w:color w:val="000000" w:themeColor="text1"/>
                  </w:rPr>
                  <w:t>项目</w:t>
                </w:r>
              </w:p>
            </w:tc>
          </w:sdtContent>
        </w:sdt>
        <w:sdt>
          <w:sdtPr>
            <w:rPr>
              <w:color w:val="000000" w:themeColor="text1"/>
            </w:rPr>
            <w:tag w:val="_PLD_6f816d98e70940cfbbbbb868b0aeb358"/>
            <w:id w:val="-926799614"/>
          </w:sdtPr>
          <w:sdtEndPr/>
          <w:sdtContent>
            <w:tc>
              <w:tcPr>
                <w:tcW w:w="1250" w:type="pct"/>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5448bfd35d2348cfac66de5cdfbc78a4"/>
            <w:id w:val="-2007739716"/>
          </w:sdtPr>
          <w:sdtEndPr/>
          <w:sdtContent>
            <w:tc>
              <w:tcPr>
                <w:tcW w:w="1250" w:type="pct"/>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987f713faa85401c883cbd6dd67e70b8"/>
            <w:id w:val="1124355642"/>
          </w:sdtPr>
          <w:sdtEndPr/>
          <w:sdtContent>
            <w:tc>
              <w:tcPr>
                <w:tcW w:w="1250" w:type="pct"/>
              </w:tcPr>
              <w:p w:rsidR="00597370" w:rsidRDefault="003C2EEE">
                <w:pPr>
                  <w:jc w:val="center"/>
                  <w:rPr>
                    <w:color w:val="000000" w:themeColor="text1"/>
                  </w:rPr>
                </w:pPr>
                <w:r>
                  <w:rPr>
                    <w:rFonts w:hint="eastAsia"/>
                    <w:color w:val="000000" w:themeColor="text1"/>
                  </w:rPr>
                  <w:t>形成原因</w:t>
                </w:r>
              </w:p>
            </w:tc>
          </w:sdtContent>
        </w:sdt>
      </w:tr>
      <w:tr w:rsidR="00597370">
        <w:trPr>
          <w:cantSplit/>
        </w:trPr>
        <w:tc>
          <w:tcPr>
            <w:tcW w:w="1250" w:type="pct"/>
            <w:shd w:val="clear" w:color="auto" w:fill="auto"/>
            <w:vAlign w:val="center"/>
          </w:tcPr>
          <w:p w:rsidR="00597370" w:rsidRDefault="003C2EEE">
            <w:pPr>
              <w:ind w:right="105"/>
              <w:rPr>
                <w:color w:val="000000" w:themeColor="text1"/>
              </w:rPr>
            </w:pPr>
            <w:r>
              <w:rPr>
                <w:rFonts w:hint="eastAsia"/>
                <w:color w:val="000000" w:themeColor="text1"/>
              </w:rPr>
              <w:t>未决诉讼</w:t>
            </w:r>
          </w:p>
        </w:tc>
        <w:tc>
          <w:tcPr>
            <w:tcW w:w="1250" w:type="pct"/>
          </w:tcPr>
          <w:p w:rsidR="00597370" w:rsidRDefault="003C2EEE">
            <w:pPr>
              <w:jc w:val="right"/>
            </w:pPr>
            <w:r>
              <w:t>352,153.47</w:t>
            </w:r>
          </w:p>
        </w:tc>
        <w:tc>
          <w:tcPr>
            <w:tcW w:w="1250" w:type="pct"/>
          </w:tcPr>
          <w:p w:rsidR="00597370" w:rsidRDefault="00597370">
            <w:pPr>
              <w:jc w:val="right"/>
            </w:pPr>
          </w:p>
        </w:tc>
        <w:tc>
          <w:tcPr>
            <w:tcW w:w="1250" w:type="pct"/>
          </w:tcPr>
          <w:p w:rsidR="00597370" w:rsidRDefault="00597370">
            <w:pPr>
              <w:ind w:right="73"/>
            </w:pPr>
          </w:p>
        </w:tc>
      </w:tr>
      <w:tr w:rsidR="00597370">
        <w:trPr>
          <w:cantSplit/>
        </w:trPr>
        <w:tc>
          <w:tcPr>
            <w:tcW w:w="1250" w:type="pct"/>
            <w:vAlign w:val="center"/>
          </w:tcPr>
          <w:p w:rsidR="00597370" w:rsidRDefault="003C2EEE">
            <w:pPr>
              <w:ind w:right="105"/>
              <w:jc w:val="center"/>
              <w:rPr>
                <w:color w:val="000000" w:themeColor="text1"/>
              </w:rPr>
            </w:pPr>
            <w:r>
              <w:rPr>
                <w:rFonts w:hint="eastAsia"/>
                <w:color w:val="000000" w:themeColor="text1"/>
              </w:rPr>
              <w:t>合计</w:t>
            </w:r>
          </w:p>
        </w:tc>
        <w:tc>
          <w:tcPr>
            <w:tcW w:w="1250" w:type="pct"/>
          </w:tcPr>
          <w:p w:rsidR="00597370" w:rsidRDefault="003C2EEE">
            <w:pPr>
              <w:jc w:val="right"/>
            </w:pPr>
            <w:r>
              <w:t>352,153.47</w:t>
            </w:r>
          </w:p>
        </w:tc>
        <w:tc>
          <w:tcPr>
            <w:tcW w:w="1250" w:type="pct"/>
            <w:vAlign w:val="center"/>
          </w:tcPr>
          <w:p w:rsidR="00597370" w:rsidRDefault="00597370">
            <w:pPr>
              <w:jc w:val="right"/>
            </w:pPr>
          </w:p>
        </w:tc>
        <w:tc>
          <w:tcPr>
            <w:tcW w:w="1250" w:type="pct"/>
          </w:tcPr>
          <w:p w:rsidR="00597370" w:rsidRDefault="003C2EEE">
            <w:pPr>
              <w:jc w:val="center"/>
              <w:rPr>
                <w:color w:val="000000" w:themeColor="text1"/>
              </w:rPr>
            </w:pPr>
            <w:r>
              <w:rPr>
                <w:rFonts w:hint="eastAsia"/>
                <w:color w:val="000000" w:themeColor="text1"/>
              </w:rPr>
              <w:t>/</w:t>
            </w:r>
          </w:p>
        </w:tc>
      </w:tr>
    </w:tbl>
    <w:p w:rsidR="00597370" w:rsidRDefault="003C2EEE">
      <w:pPr>
        <w:snapToGrid w:val="0"/>
        <w:spacing w:before="60" w:after="60"/>
        <w:rPr>
          <w:color w:val="000000" w:themeColor="text1"/>
        </w:rPr>
      </w:pPr>
      <w:r>
        <w:rPr>
          <w:rFonts w:hint="eastAsia"/>
          <w:color w:val="000000" w:themeColor="text1"/>
        </w:rPr>
        <w:t>其他说明，包括重要预计负债的相关重要假设、估计说明：</w:t>
      </w:r>
    </w:p>
    <w:sdt>
      <w:sdtPr>
        <w:rPr>
          <w:color w:val="000000" w:themeColor="text1"/>
        </w:rPr>
        <w:alias w:val="预计负债的说明"/>
        <w:tag w:val="_GBC_d674f22c00c1425092bd34d8a8834fad"/>
        <w:id w:val="1301729550"/>
        <w:placeholder>
          <w:docPart w:val="E60CD871DB8C49CCB19DDC6722BD8C0E"/>
        </w:placeholder>
      </w:sdtPr>
      <w:sdtEndPr/>
      <w:sdtContent>
        <w:p w:rsidR="00597370" w:rsidRDefault="003C2EEE">
          <w:pPr>
            <w:autoSpaceDE w:val="0"/>
            <w:autoSpaceDN w:val="0"/>
            <w:adjustRightInd w:val="0"/>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递延收益</w:t>
      </w:r>
    </w:p>
    <w:p w:rsidR="00597370" w:rsidRDefault="003C2EEE">
      <w:pPr>
        <w:pStyle w:val="Style147"/>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递延收益情况</w:t>
      </w:r>
    </w:p>
    <w:sdt>
      <w:sdtPr>
        <w:rPr>
          <w:rFonts w:ascii="宋体" w:hAnsi="宋体" w:cs="宋体"/>
          <w:color w:val="000000" w:themeColor="text1"/>
          <w:kern w:val="0"/>
          <w:szCs w:val="21"/>
        </w:rPr>
        <w:alias w:val="是否适用：递延收益情况 [双击切换]"/>
        <w:tag w:val="_GBC_2c1393684e764245824b2390014e92f1"/>
        <w:id w:val="1536164365"/>
        <w:placeholder>
          <w:docPart w:val="GBC22222222222222222222222222222"/>
        </w:placeholder>
      </w:sdtPr>
      <w:sdtEndPr/>
      <w:sdtContent>
        <w:p w:rsidR="00597370" w:rsidRDefault="003C2EEE">
          <w:pPr>
            <w:pStyle w:val="Style147"/>
            <w:ind w:firstLineChars="0" w:firstLine="0"/>
            <w:jc w:val="left"/>
            <w:rPr>
              <w:rFonts w:ascii="宋体" w:hAnsi="宋体" w:cs="宋体"/>
              <w:color w:val="000000" w:themeColor="text1"/>
              <w:kern w:val="0"/>
              <w:szCs w:val="21"/>
            </w:rPr>
          </w:pPr>
          <w:r>
            <w:rPr>
              <w:rFonts w:ascii="宋体" w:hAnsi="宋体" w:cs="宋体"/>
              <w:color w:val="000000" w:themeColor="text1"/>
              <w:kern w:val="0"/>
              <w:szCs w:val="21"/>
            </w:rPr>
            <w:fldChar w:fldCharType="begin"/>
          </w:r>
          <w:r>
            <w:rPr>
              <w:rFonts w:ascii="宋体" w:hAnsi="宋体" w:cs="宋体"/>
              <w:color w:val="000000" w:themeColor="text1"/>
              <w:kern w:val="0"/>
              <w:szCs w:val="21"/>
            </w:rPr>
            <w:instrText xml:space="preserve"> MACROBUTTON  SnrToggleCheckbox √适用 </w:instrText>
          </w:r>
          <w:r>
            <w:rPr>
              <w:rFonts w:ascii="宋体" w:hAnsi="宋体" w:cs="宋体"/>
              <w:color w:val="000000" w:themeColor="text1"/>
              <w:kern w:val="0"/>
              <w:szCs w:val="21"/>
            </w:rPr>
            <w:fldChar w:fldCharType="end"/>
          </w:r>
          <w:r>
            <w:rPr>
              <w:rFonts w:ascii="宋体" w:hAnsi="宋体" w:cs="宋体"/>
              <w:color w:val="000000" w:themeColor="text1"/>
              <w:kern w:val="0"/>
              <w:szCs w:val="21"/>
            </w:rPr>
            <w:fldChar w:fldCharType="begin"/>
          </w:r>
          <w:r>
            <w:rPr>
              <w:rFonts w:ascii="宋体" w:hAnsi="宋体" w:cs="宋体"/>
              <w:color w:val="000000" w:themeColor="text1"/>
              <w:kern w:val="0"/>
              <w:szCs w:val="21"/>
            </w:rPr>
            <w:instrText xml:space="preserve"> MACROBUTTON  SnrToggleCheckbox □不适用 </w:instrText>
          </w:r>
          <w:r>
            <w:rPr>
              <w:rFonts w:ascii="宋体" w:hAnsi="宋体" w:cs="宋体"/>
              <w:color w:val="000000" w:themeColor="text1"/>
              <w:kern w:val="0"/>
              <w:szCs w:val="21"/>
            </w:rPr>
            <w:fldChar w:fldCharType="end"/>
          </w:r>
        </w:p>
      </w:sdtContent>
    </w:sdt>
    <w:p w:rsidR="00597370" w:rsidRDefault="003C2EEE">
      <w:pPr>
        <w:pStyle w:val="Style14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递延收益"/>
          <w:tag w:val="_GBC_cf9505178ef64cd8b1a42757a7aaf77d"/>
          <w:id w:val="-370555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递延收益"/>
          <w:tag w:val="_GBC_b7ba9c3d835b413e83140a438bc5c413"/>
          <w:id w:val="-1401199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581"/>
        <w:gridCol w:w="1345"/>
        <w:gridCol w:w="1476"/>
        <w:gridCol w:w="1581"/>
        <w:gridCol w:w="1454"/>
      </w:tblGrid>
      <w:tr w:rsidR="00597370">
        <w:trPr>
          <w:cantSplit/>
          <w:trHeight w:val="335"/>
        </w:trPr>
        <w:sdt>
          <w:sdtPr>
            <w:rPr>
              <w:color w:val="000000" w:themeColor="text1"/>
            </w:rPr>
            <w:tag w:val="_PLD_eeb45564af314089916105a5217e0ff6"/>
            <w:id w:val="1453357917"/>
          </w:sdtPr>
          <w:sdtEndPr/>
          <w:sdtContent>
            <w:tc>
              <w:tcPr>
                <w:tcW w:w="786"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e0613743f99d4af58a75406a4e2ba5a1"/>
            <w:id w:val="98459371"/>
          </w:sdtPr>
          <w:sdtEndPr/>
          <w:sdtContent>
            <w:tc>
              <w:tcPr>
                <w:tcW w:w="896"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a27f928ad4574fe594e5f995d7a37059"/>
            <w:id w:val="-946849581"/>
          </w:sdtPr>
          <w:sdtEndPr/>
          <w:sdtContent>
            <w:tc>
              <w:tcPr>
                <w:tcW w:w="762" w:type="pct"/>
                <w:shd w:val="clear" w:color="auto" w:fill="auto"/>
                <w:vAlign w:val="center"/>
              </w:tcPr>
              <w:p w:rsidR="00597370" w:rsidRDefault="003C2EEE">
                <w:pPr>
                  <w:jc w:val="center"/>
                  <w:rPr>
                    <w:color w:val="000000" w:themeColor="text1"/>
                  </w:rPr>
                </w:pPr>
                <w:r>
                  <w:rPr>
                    <w:rFonts w:hint="eastAsia"/>
                    <w:color w:val="000000" w:themeColor="text1"/>
                  </w:rPr>
                  <w:t>本期增加</w:t>
                </w:r>
              </w:p>
            </w:tc>
          </w:sdtContent>
        </w:sdt>
        <w:sdt>
          <w:sdtPr>
            <w:rPr>
              <w:color w:val="000000" w:themeColor="text1"/>
            </w:rPr>
            <w:tag w:val="_PLD_ed95bef3663d40fb90dd15d113f7f2c1"/>
            <w:id w:val="1017811801"/>
          </w:sdtPr>
          <w:sdtEndPr/>
          <w:sdtContent>
            <w:tc>
              <w:tcPr>
                <w:tcW w:w="836" w:type="pct"/>
                <w:shd w:val="clear" w:color="auto" w:fill="auto"/>
                <w:vAlign w:val="center"/>
              </w:tcPr>
              <w:p w:rsidR="00597370" w:rsidRDefault="003C2EEE">
                <w:pPr>
                  <w:jc w:val="center"/>
                  <w:rPr>
                    <w:color w:val="000000" w:themeColor="text1"/>
                  </w:rPr>
                </w:pPr>
                <w:r>
                  <w:rPr>
                    <w:rFonts w:hint="eastAsia"/>
                    <w:color w:val="000000" w:themeColor="text1"/>
                  </w:rPr>
                  <w:t>本期减少</w:t>
                </w:r>
              </w:p>
            </w:tc>
          </w:sdtContent>
        </w:sdt>
        <w:bookmarkStart w:id="339" w:name="OLE_LINK67" w:displacedByCustomXml="next"/>
        <w:bookmarkStart w:id="340" w:name="OLE_LINK66" w:displacedByCustomXml="next"/>
        <w:sdt>
          <w:sdtPr>
            <w:rPr>
              <w:color w:val="000000" w:themeColor="text1"/>
            </w:rPr>
            <w:tag w:val="_PLD_367cd0591009413e93857494eaf8170a"/>
            <w:id w:val="233282407"/>
          </w:sdtPr>
          <w:sdtEndPr/>
          <w:sdtContent>
            <w:tc>
              <w:tcPr>
                <w:tcW w:w="896"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bookmarkEnd w:id="339" w:displacedByCustomXml="next"/>
        <w:bookmarkEnd w:id="340" w:displacedByCustomXml="next"/>
        <w:sdt>
          <w:sdtPr>
            <w:rPr>
              <w:color w:val="000000" w:themeColor="text1"/>
            </w:rPr>
            <w:tag w:val="_PLD_d61ffc61194047d79611cccd8488aece"/>
            <w:id w:val="601766554"/>
          </w:sdtPr>
          <w:sdtEndPr/>
          <w:sdtContent>
            <w:tc>
              <w:tcPr>
                <w:tcW w:w="824" w:type="pct"/>
                <w:shd w:val="clear" w:color="auto" w:fill="auto"/>
                <w:vAlign w:val="center"/>
              </w:tcPr>
              <w:p w:rsidR="00597370" w:rsidRDefault="003C2EEE">
                <w:pPr>
                  <w:jc w:val="center"/>
                  <w:rPr>
                    <w:color w:val="000000" w:themeColor="text1"/>
                  </w:rPr>
                </w:pPr>
                <w:r>
                  <w:rPr>
                    <w:rFonts w:hint="eastAsia"/>
                    <w:color w:val="000000" w:themeColor="text1"/>
                  </w:rPr>
                  <w:t>形成原因</w:t>
                </w:r>
              </w:p>
            </w:tc>
          </w:sdtContent>
        </w:sdt>
      </w:tr>
      <w:tr w:rsidR="00597370">
        <w:trPr>
          <w:cantSplit/>
        </w:trPr>
        <w:tc>
          <w:tcPr>
            <w:tcW w:w="786" w:type="pct"/>
            <w:shd w:val="clear" w:color="auto" w:fill="auto"/>
            <w:vAlign w:val="center"/>
          </w:tcPr>
          <w:p w:rsidR="00597370" w:rsidRDefault="003C2EEE">
            <w:pPr>
              <w:rPr>
                <w:color w:val="000000" w:themeColor="text1"/>
              </w:rPr>
            </w:pPr>
            <w:r>
              <w:rPr>
                <w:rFonts w:hint="eastAsia"/>
                <w:color w:val="000000" w:themeColor="text1"/>
              </w:rPr>
              <w:t>与资产相关政府补助</w:t>
            </w:r>
          </w:p>
        </w:tc>
        <w:tc>
          <w:tcPr>
            <w:tcW w:w="896" w:type="pct"/>
            <w:shd w:val="clear" w:color="auto" w:fill="auto"/>
            <w:vAlign w:val="bottom"/>
          </w:tcPr>
          <w:p w:rsidR="00597370" w:rsidRDefault="00597370">
            <w:pPr>
              <w:jc w:val="right"/>
            </w:pPr>
          </w:p>
          <w:p w:rsidR="00597370" w:rsidRDefault="003C2EEE">
            <w:pPr>
              <w:jc w:val="right"/>
            </w:pPr>
            <w:r>
              <w:t>64,166,099.46</w:t>
            </w:r>
          </w:p>
        </w:tc>
        <w:tc>
          <w:tcPr>
            <w:tcW w:w="762" w:type="pct"/>
            <w:shd w:val="clear" w:color="auto" w:fill="auto"/>
            <w:vAlign w:val="bottom"/>
          </w:tcPr>
          <w:p w:rsidR="00597370" w:rsidRDefault="00597370">
            <w:pPr>
              <w:jc w:val="right"/>
            </w:pPr>
          </w:p>
        </w:tc>
        <w:tc>
          <w:tcPr>
            <w:tcW w:w="836" w:type="pct"/>
            <w:shd w:val="clear" w:color="auto" w:fill="auto"/>
            <w:vAlign w:val="bottom"/>
          </w:tcPr>
          <w:p w:rsidR="00597370" w:rsidRDefault="003C2EEE">
            <w:pPr>
              <w:jc w:val="right"/>
            </w:pPr>
            <w:r>
              <w:t>2,940,912.45</w:t>
            </w:r>
          </w:p>
        </w:tc>
        <w:tc>
          <w:tcPr>
            <w:tcW w:w="896" w:type="pct"/>
            <w:shd w:val="clear" w:color="auto" w:fill="auto"/>
            <w:vAlign w:val="bottom"/>
          </w:tcPr>
          <w:p w:rsidR="00597370" w:rsidRDefault="003C2EEE">
            <w:pPr>
              <w:jc w:val="right"/>
            </w:pPr>
            <w:r>
              <w:t>61,225,187.01</w:t>
            </w:r>
          </w:p>
        </w:tc>
        <w:tc>
          <w:tcPr>
            <w:tcW w:w="824" w:type="pct"/>
            <w:shd w:val="clear" w:color="auto" w:fill="auto"/>
            <w:vAlign w:val="bottom"/>
          </w:tcPr>
          <w:p w:rsidR="00597370" w:rsidRDefault="003C2EEE">
            <w:pPr>
              <w:jc w:val="center"/>
            </w:pPr>
            <w:r>
              <w:rPr>
                <w:rFonts w:hint="eastAsia"/>
              </w:rPr>
              <w:t>/</w:t>
            </w:r>
          </w:p>
        </w:tc>
      </w:tr>
      <w:tr w:rsidR="00597370">
        <w:trPr>
          <w:cantSplit/>
          <w:trHeight w:val="461"/>
        </w:trPr>
        <w:tc>
          <w:tcPr>
            <w:tcW w:w="786" w:type="pct"/>
            <w:shd w:val="clear" w:color="auto" w:fill="auto"/>
            <w:vAlign w:val="center"/>
          </w:tcPr>
          <w:p w:rsidR="00597370" w:rsidRDefault="003C2EEE">
            <w:pPr>
              <w:rPr>
                <w:color w:val="000000" w:themeColor="text1"/>
              </w:rPr>
            </w:pPr>
            <w:r>
              <w:rPr>
                <w:rFonts w:hint="eastAsia"/>
                <w:color w:val="000000" w:themeColor="text1"/>
              </w:rPr>
              <w:t>合计</w:t>
            </w:r>
          </w:p>
        </w:tc>
        <w:tc>
          <w:tcPr>
            <w:tcW w:w="896" w:type="pct"/>
            <w:shd w:val="clear" w:color="auto" w:fill="auto"/>
            <w:vAlign w:val="bottom"/>
          </w:tcPr>
          <w:p w:rsidR="00597370" w:rsidRDefault="003C2EEE">
            <w:pPr>
              <w:jc w:val="right"/>
            </w:pPr>
            <w:r>
              <w:t>64,166,099.46</w:t>
            </w:r>
          </w:p>
        </w:tc>
        <w:tc>
          <w:tcPr>
            <w:tcW w:w="762" w:type="pct"/>
            <w:shd w:val="clear" w:color="auto" w:fill="auto"/>
            <w:vAlign w:val="bottom"/>
          </w:tcPr>
          <w:p w:rsidR="00597370" w:rsidRDefault="00597370">
            <w:pPr>
              <w:jc w:val="right"/>
            </w:pPr>
          </w:p>
        </w:tc>
        <w:tc>
          <w:tcPr>
            <w:tcW w:w="836" w:type="pct"/>
            <w:shd w:val="clear" w:color="auto" w:fill="auto"/>
            <w:vAlign w:val="bottom"/>
          </w:tcPr>
          <w:p w:rsidR="00597370" w:rsidRDefault="003C2EEE">
            <w:pPr>
              <w:jc w:val="right"/>
            </w:pPr>
            <w:r>
              <w:t>2,940,912.45</w:t>
            </w:r>
          </w:p>
        </w:tc>
        <w:tc>
          <w:tcPr>
            <w:tcW w:w="896" w:type="pct"/>
            <w:shd w:val="clear" w:color="auto" w:fill="auto"/>
            <w:vAlign w:val="bottom"/>
          </w:tcPr>
          <w:p w:rsidR="00597370" w:rsidRDefault="003C2EEE">
            <w:pPr>
              <w:jc w:val="right"/>
            </w:pPr>
            <w:r>
              <w:t>61,225,187.01</w:t>
            </w:r>
          </w:p>
        </w:tc>
        <w:tc>
          <w:tcPr>
            <w:tcW w:w="824" w:type="pct"/>
            <w:shd w:val="clear" w:color="auto" w:fill="auto"/>
            <w:vAlign w:val="bottom"/>
          </w:tcPr>
          <w:p w:rsidR="00597370" w:rsidRDefault="003C2EEE">
            <w:pPr>
              <w:jc w:val="center"/>
              <w:rPr>
                <w:color w:val="000000" w:themeColor="text1"/>
              </w:rPr>
            </w:pPr>
            <w:r>
              <w:rPr>
                <w:rFonts w:hint="eastAsia"/>
                <w:color w:val="000000" w:themeColor="text1"/>
              </w:rPr>
              <w:t>/</w:t>
            </w:r>
          </w:p>
        </w:tc>
      </w:tr>
    </w:tbl>
    <w:p w:rsidR="00597370" w:rsidRDefault="00597370">
      <w:pPr>
        <w:rPr>
          <w:color w:val="000000" w:themeColor="text1"/>
        </w:rPr>
      </w:pPr>
    </w:p>
    <w:p w:rsidR="00597370" w:rsidRDefault="003C2EEE">
      <w:pPr>
        <w:spacing w:before="60" w:after="60"/>
        <w:rPr>
          <w:color w:val="000000" w:themeColor="text1"/>
        </w:rPr>
      </w:pPr>
      <w:bookmarkStart w:id="341" w:name="_Hlk10537331"/>
      <w:bookmarkStart w:id="342" w:name="OLE_LINK85"/>
      <w:bookmarkStart w:id="343" w:name="OLE_LINK84"/>
      <w:bookmarkEnd w:id="341"/>
      <w:r>
        <w:rPr>
          <w:rFonts w:hint="eastAsia"/>
          <w:color w:val="000000" w:themeColor="text1"/>
        </w:rPr>
        <w:t>其他说明：</w:t>
      </w:r>
    </w:p>
    <w:sdt>
      <w:sdtPr>
        <w:rPr>
          <w:color w:val="000000" w:themeColor="text1"/>
        </w:rPr>
        <w:alias w:val="是否适用：递延收益的其他说明[双击切换]"/>
        <w:tag w:val="_GBC_da5e8f76ba934c9e8efb4ab4d41c9f8c"/>
        <w:id w:val="1890685060"/>
        <w:placeholder>
          <w:docPart w:val="GBC22222222222222222222222222222"/>
        </w:placeholder>
      </w:sdtPr>
      <w:sdtEndPr/>
      <w:sdtContent>
        <w:p w:rsidR="00597370" w:rsidRDefault="003C2EEE">
          <w:pPr>
            <w:spacing w:before="60" w:after="6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43" w:displacedByCustomXml="next"/>
    <w:bookmarkEnd w:id="342" w:displacedByCustomXml="next"/>
    <w:bookmarkStart w:id="344" w:name="_Hlk10537430" w:displacedByCustomXml="next"/>
    <w:sdt>
      <w:sdtPr>
        <w:rPr>
          <w:color w:val="000000" w:themeColor="text1"/>
        </w:rPr>
        <w:alias w:val="递延收益的其他说明"/>
        <w:tag w:val="_GBC_e8c5cb3f7d5541eda9cccad5c92bc633"/>
        <w:id w:val="1770186291"/>
        <w:placeholder>
          <w:docPart w:val="632EAE0646BC45D19716813B0678B040"/>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其他非流动负债</w:t>
      </w:r>
    </w:p>
    <w:sdt>
      <w:sdtPr>
        <w:rPr>
          <w:color w:val="000000" w:themeColor="text1"/>
        </w:rPr>
        <w:alias w:val="是否适用：其他非流动负债[双击切换]"/>
        <w:tag w:val="_GBC_bb8a5c7236564ec0823cbced5ea78e62"/>
        <w:id w:val="-143496669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44"/>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股本</w:t>
      </w:r>
    </w:p>
    <w:sdt>
      <w:sdtPr>
        <w:rPr>
          <w:color w:val="000000" w:themeColor="text1"/>
        </w:rPr>
        <w:alias w:val="是否适用：股本[双击切换]"/>
        <w:tag w:val="_GBC_a88b08589cbb4302b29839808faa8a3b"/>
        <w:id w:val="8201590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股本"/>
          <w:tag w:val="_GBC_cf915ea45a234de2a2455824dedc3c82"/>
          <w:id w:val="19654573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股本"/>
          <w:tag w:val="_GBC_2dcc7ff328cf480296bdddce64b88cf1"/>
          <w:id w:val="-15388160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1686"/>
        <w:gridCol w:w="848"/>
        <w:gridCol w:w="848"/>
        <w:gridCol w:w="917"/>
        <w:gridCol w:w="932"/>
        <w:gridCol w:w="905"/>
        <w:gridCol w:w="1686"/>
      </w:tblGrid>
      <w:tr w:rsidR="00597370">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597370" w:rsidRDefault="00597370">
            <w:pPr>
              <w:jc w:val="center"/>
              <w:rPr>
                <w:color w:val="000000" w:themeColor="text1"/>
              </w:rPr>
            </w:pPr>
          </w:p>
        </w:tc>
        <w:sdt>
          <w:sdtPr>
            <w:rPr>
              <w:color w:val="000000" w:themeColor="text1"/>
            </w:rPr>
            <w:tag w:val="_PLD_7ad9a0911e364e48bc565dc3ed809692"/>
            <w:id w:val="858311463"/>
          </w:sdtPr>
          <w:sdtEndPr/>
          <w:sdtContent>
            <w:tc>
              <w:tcPr>
                <w:tcW w:w="727"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33945fdb28e344edaa7d118a9aa07d7d"/>
            <w:id w:val="240764329"/>
          </w:sdtPr>
          <w:sdtEndPr/>
          <w:sdtContent>
            <w:tc>
              <w:tcPr>
                <w:tcW w:w="2883" w:type="pct"/>
                <w:gridSpan w:val="5"/>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本次变动增减（+、一）</w:t>
                </w:r>
              </w:p>
            </w:tc>
          </w:sdtContent>
        </w:sdt>
        <w:sdt>
          <w:sdtPr>
            <w:rPr>
              <w:color w:val="000000" w:themeColor="text1"/>
            </w:rPr>
            <w:tag w:val="_PLD_a0390714e323429ab6e793f9a610df70"/>
            <w:id w:val="965086065"/>
          </w:sdtPr>
          <w:sdtEndPr/>
          <w:sdtContent>
            <w:tc>
              <w:tcPr>
                <w:tcW w:w="750"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期末余额</w:t>
                </w:r>
              </w:p>
            </w:tc>
          </w:sdtContent>
        </w:sdt>
      </w:tr>
      <w:tr w:rsidR="00597370">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597370" w:rsidRDefault="00597370">
            <w:pPr>
              <w:rPr>
                <w:color w:val="000000" w:themeColor="text1"/>
              </w:rPr>
            </w:pPr>
          </w:p>
        </w:tc>
        <w:tc>
          <w:tcPr>
            <w:tcW w:w="727" w:type="pct"/>
            <w:vMerge/>
            <w:tcBorders>
              <w:left w:val="single" w:sz="4" w:space="0" w:color="auto"/>
              <w:bottom w:val="single" w:sz="4" w:space="0" w:color="auto"/>
              <w:right w:val="single" w:sz="4" w:space="0" w:color="auto"/>
            </w:tcBorders>
          </w:tcPr>
          <w:p w:rsidR="00597370" w:rsidRDefault="00597370">
            <w:pPr>
              <w:ind w:leftChars="-119" w:left="-250" w:firstLineChars="119" w:firstLine="250"/>
              <w:rPr>
                <w:color w:val="000000" w:themeColor="text1"/>
              </w:rPr>
            </w:pPr>
          </w:p>
        </w:tc>
        <w:sdt>
          <w:sdtPr>
            <w:rPr>
              <w:color w:val="000000" w:themeColor="text1"/>
            </w:rPr>
            <w:tag w:val="_PLD_fe0b182c33854e5bb51d2d2a3cd1dd7f"/>
            <w:id w:val="1166665459"/>
          </w:sdtPr>
          <w:sdtEndPr/>
          <w:sdtContent>
            <w:tc>
              <w:tcPr>
                <w:tcW w:w="553"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发行</w:t>
                </w:r>
              </w:p>
              <w:p w:rsidR="00597370" w:rsidRDefault="003C2EEE">
                <w:pPr>
                  <w:jc w:val="center"/>
                  <w:rPr>
                    <w:color w:val="000000" w:themeColor="text1"/>
                  </w:rPr>
                </w:pPr>
                <w:r>
                  <w:rPr>
                    <w:rFonts w:hint="eastAsia"/>
                    <w:color w:val="000000" w:themeColor="text1"/>
                  </w:rPr>
                  <w:t>新股</w:t>
                </w:r>
              </w:p>
            </w:tc>
          </w:sdtContent>
        </w:sdt>
        <w:sdt>
          <w:sdtPr>
            <w:rPr>
              <w:color w:val="000000" w:themeColor="text1"/>
            </w:rPr>
            <w:tag w:val="_PLD_80e7c94a1831488d89d22be722443897"/>
            <w:id w:val="1445113613"/>
          </w:sdtPr>
          <w:sdtEndPr/>
          <w:sdtContent>
            <w:tc>
              <w:tcPr>
                <w:tcW w:w="553"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送股</w:t>
                </w:r>
              </w:p>
            </w:tc>
          </w:sdtContent>
        </w:sdt>
        <w:sdt>
          <w:sdtPr>
            <w:rPr>
              <w:color w:val="000000" w:themeColor="text1"/>
            </w:rPr>
            <w:tag w:val="_PLD_c1d7f04883eb4aaa9c52067f145ec081"/>
            <w:id w:val="-522940007"/>
          </w:sdtPr>
          <w:sdtEndPr/>
          <w:sdtContent>
            <w:tc>
              <w:tcPr>
                <w:tcW w:w="592"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公积金</w:t>
                </w:r>
              </w:p>
              <w:p w:rsidR="00597370" w:rsidRDefault="003C2EEE">
                <w:pPr>
                  <w:jc w:val="center"/>
                  <w:rPr>
                    <w:color w:val="000000" w:themeColor="text1"/>
                  </w:rPr>
                </w:pPr>
                <w:r>
                  <w:rPr>
                    <w:rFonts w:hint="eastAsia"/>
                    <w:color w:val="000000" w:themeColor="text1"/>
                  </w:rPr>
                  <w:t>转股</w:t>
                </w:r>
              </w:p>
            </w:tc>
          </w:sdtContent>
        </w:sdt>
        <w:sdt>
          <w:sdtPr>
            <w:rPr>
              <w:color w:val="000000" w:themeColor="text1"/>
            </w:rPr>
            <w:tag w:val="_PLD_6e44c9cf090243e19b20f1e88e8231ef"/>
            <w:id w:val="-362058850"/>
          </w:sdtPr>
          <w:sdtEndPr/>
          <w:sdtContent>
            <w:tc>
              <w:tcPr>
                <w:tcW w:w="600"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其他</w:t>
                </w:r>
              </w:p>
            </w:tc>
          </w:sdtContent>
        </w:sdt>
        <w:sdt>
          <w:sdtPr>
            <w:rPr>
              <w:color w:val="000000" w:themeColor="text1"/>
            </w:rPr>
            <w:tag w:val="_PLD_0cee72421f954c94ba296c709c84ef52"/>
            <w:id w:val="-420490228"/>
          </w:sdtPr>
          <w:sdtEndPr/>
          <w:sdtContent>
            <w:tc>
              <w:tcPr>
                <w:tcW w:w="585"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小计</w:t>
                </w:r>
              </w:p>
            </w:tc>
          </w:sdtContent>
        </w:sdt>
        <w:tc>
          <w:tcPr>
            <w:tcW w:w="750" w:type="pct"/>
            <w:vMerge/>
            <w:tcBorders>
              <w:left w:val="single" w:sz="4" w:space="0" w:color="auto"/>
              <w:bottom w:val="single" w:sz="4" w:space="0" w:color="auto"/>
              <w:right w:val="single" w:sz="4" w:space="0" w:color="auto"/>
            </w:tcBorders>
          </w:tcPr>
          <w:p w:rsidR="00597370" w:rsidRDefault="00597370">
            <w:pPr>
              <w:rPr>
                <w:color w:val="000000" w:themeColor="text1"/>
              </w:rPr>
            </w:pPr>
          </w:p>
        </w:tc>
      </w:tr>
      <w:tr w:rsidR="00597370">
        <w:trPr>
          <w:cantSplit/>
          <w:trHeight w:val="527"/>
        </w:trPr>
        <w:tc>
          <w:tcPr>
            <w:tcW w:w="640" w:type="pct"/>
            <w:tcBorders>
              <w:top w:val="single" w:sz="4" w:space="0" w:color="auto"/>
              <w:left w:val="single" w:sz="4" w:space="0" w:color="auto"/>
              <w:bottom w:val="single" w:sz="4" w:space="0" w:color="auto"/>
              <w:right w:val="single" w:sz="4" w:space="0" w:color="auto"/>
            </w:tcBorders>
            <w:vAlign w:val="bottom"/>
          </w:tcPr>
          <w:p w:rsidR="00597370" w:rsidRDefault="003C2EEE">
            <w:pPr>
              <w:rPr>
                <w:color w:val="000000" w:themeColor="text1"/>
              </w:rPr>
            </w:pPr>
            <w:r>
              <w:rPr>
                <w:rFonts w:hint="eastAsia"/>
                <w:color w:val="000000" w:themeColor="text1"/>
              </w:rPr>
              <w:lastRenderedPageBreak/>
              <w:t>股份总数</w:t>
            </w:r>
          </w:p>
        </w:tc>
        <w:tc>
          <w:tcPr>
            <w:tcW w:w="72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pPr>
            <w:r>
              <w:t>333,167,407.00</w:t>
            </w:r>
          </w:p>
        </w:tc>
        <w:tc>
          <w:tcPr>
            <w:tcW w:w="553"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pPr>
          </w:p>
        </w:tc>
        <w:tc>
          <w:tcPr>
            <w:tcW w:w="553"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pPr>
          </w:p>
        </w:tc>
        <w:tc>
          <w:tcPr>
            <w:tcW w:w="592"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pPr>
          </w:p>
        </w:tc>
        <w:tc>
          <w:tcPr>
            <w:tcW w:w="600"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pPr>
          </w:p>
        </w:tc>
        <w:tc>
          <w:tcPr>
            <w:tcW w:w="585"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pPr>
          </w:p>
        </w:tc>
        <w:tc>
          <w:tcPr>
            <w:tcW w:w="750"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pPr>
            <w:r>
              <w:t>333,167,407.00</w:t>
            </w:r>
          </w:p>
        </w:tc>
      </w:tr>
    </w:tbl>
    <w:p w:rsidR="00597370" w:rsidRDefault="003C2EEE">
      <w:pPr>
        <w:spacing w:before="60" w:after="60"/>
        <w:rPr>
          <w:color w:val="000000" w:themeColor="text1"/>
        </w:rPr>
      </w:pPr>
      <w:r>
        <w:rPr>
          <w:rFonts w:hint="eastAsia"/>
          <w:color w:val="000000" w:themeColor="text1"/>
        </w:rPr>
        <w:t>其他说明：</w:t>
      </w:r>
    </w:p>
    <w:sdt>
      <w:sdtPr>
        <w:rPr>
          <w:color w:val="000000" w:themeColor="text1"/>
        </w:rPr>
        <w:alias w:val="股本变动情况说明"/>
        <w:tag w:val="_GBC_752687f835754470ad7a125ef32391e4"/>
        <w:id w:val="769666489"/>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cs="宋体" w:hint="eastAsia"/>
          <w:color w:val="000000" w:themeColor="text1"/>
          <w:kern w:val="0"/>
          <w:szCs w:val="21"/>
        </w:rPr>
        <w:t>其</w:t>
      </w:r>
      <w:r>
        <w:rPr>
          <w:rFonts w:ascii="宋体" w:hAnsi="宋体" w:hint="eastAsia"/>
          <w:color w:val="000000" w:themeColor="text1"/>
          <w:szCs w:val="21"/>
        </w:rPr>
        <w:t>他权益工具</w:t>
      </w:r>
    </w:p>
    <w:p w:rsidR="00597370" w:rsidRDefault="003C2EEE">
      <w:pPr>
        <w:pStyle w:val="Style110"/>
        <w:numPr>
          <w:ilvl w:val="0"/>
          <w:numId w:val="83"/>
        </w:numPr>
        <w:rPr>
          <w:rFonts w:ascii="宋体" w:hAnsi="宋体"/>
          <w:color w:val="000000" w:themeColor="text1"/>
        </w:rPr>
      </w:pPr>
      <w:r>
        <w:rPr>
          <w:rFonts w:ascii="宋体" w:hAnsi="宋体" w:hint="eastAsia"/>
          <w:color w:val="000000" w:themeColor="text1"/>
        </w:rPr>
        <w:t>期末发行在外的优先股、永续债等其他金融工具基本情况</w:t>
      </w:r>
    </w:p>
    <w:sdt>
      <w:sdtPr>
        <w:rPr>
          <w:color w:val="000000" w:themeColor="text1"/>
        </w:rPr>
        <w:alias w:val="是否适用：期末发行在外的优先股、永续债等其他金融工具基本情况[双击切换]"/>
        <w:tag w:val="_GBC_54d54ac45fe745e1aad9be61a846261f"/>
        <w:id w:val="-60927943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3"/>
        </w:numPr>
        <w:rPr>
          <w:rFonts w:ascii="宋体" w:hAnsi="宋体"/>
          <w:color w:val="000000" w:themeColor="text1"/>
        </w:rPr>
      </w:pPr>
      <w:r>
        <w:rPr>
          <w:rFonts w:ascii="宋体" w:hAnsi="宋体"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其他权益工具[双击切换]"/>
        <w:tag w:val="_GBC_e8c53693e19e485cba80f7cd2a15ab4c"/>
        <w:id w:val="-52718414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其他权益工具本期增减变动情况、变动原因说明，以及相关会计处理的依据：</w:t>
      </w:r>
    </w:p>
    <w:sdt>
      <w:sdtPr>
        <w:rPr>
          <w:color w:val="000000" w:themeColor="text1"/>
        </w:rPr>
        <w:alias w:val="是否适用：其他权益工具本期增减变动情况、变动原因说明，以及相关会计处理的依据[双击切换]"/>
        <w:tag w:val="_GBC_6229f0070f0a4c838e1e39f678f8a7bb"/>
        <w:id w:val="143217286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其他权益工具的其他说明[双击切换]"/>
        <w:tag w:val="_GBC_297d299126b041159b18d012f9a18c2e"/>
        <w:id w:val="179956833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资本公积</w:t>
      </w:r>
    </w:p>
    <w:sdt>
      <w:sdtPr>
        <w:rPr>
          <w:color w:val="000000" w:themeColor="text1"/>
        </w:rPr>
        <w:alias w:val="是否适用：资本公积[双击切换]"/>
        <w:tag w:val="_GBC_70f32b67ce344a03adfc93d4ed72949a"/>
        <w:id w:val="155643724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资本公积"/>
          <w:tag w:val="_GBC_88633009fdc64f4e8238c38541b33615"/>
          <w:id w:val="14079514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资本公积"/>
          <w:tag w:val="_GBC_636aa96d47cb426abc64fc00b61c9353"/>
          <w:id w:val="12131606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686"/>
        <w:gridCol w:w="1576"/>
        <w:gridCol w:w="1560"/>
        <w:gridCol w:w="1686"/>
      </w:tblGrid>
      <w:tr w:rsidR="00597370">
        <w:sdt>
          <w:sdtPr>
            <w:rPr>
              <w:color w:val="000000" w:themeColor="text1"/>
            </w:rPr>
            <w:tag w:val="_PLD_177c011500e64862903c4c16dbb2f31f"/>
            <w:id w:val="1400477233"/>
          </w:sdtPr>
          <w:sdtEndPr/>
          <w:sdtContent>
            <w:tc>
              <w:tcPr>
                <w:tcW w:w="1443" w:type="pct"/>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项目</w:t>
                </w:r>
              </w:p>
            </w:tc>
          </w:sdtContent>
        </w:sdt>
        <w:sdt>
          <w:sdtPr>
            <w:rPr>
              <w:color w:val="000000" w:themeColor="text1"/>
            </w:rPr>
            <w:tag w:val="_PLD_1519f0add67f49df9173f37c00215eef"/>
            <w:id w:val="1193577278"/>
          </w:sdtPr>
          <w:sdtEndPr/>
          <w:sdtContent>
            <w:tc>
              <w:tcPr>
                <w:tcW w:w="504" w:type="pct"/>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期初余额</w:t>
                </w:r>
              </w:p>
            </w:tc>
          </w:sdtContent>
        </w:sdt>
        <w:sdt>
          <w:sdtPr>
            <w:rPr>
              <w:color w:val="000000" w:themeColor="text1"/>
            </w:rPr>
            <w:tag w:val="_PLD_dcbf1fd9bcaa41fc8ff4def2d0e55143"/>
            <w:id w:val="533850391"/>
          </w:sdtPr>
          <w:sdtEndPr/>
          <w:sdtContent>
            <w:tc>
              <w:tcPr>
                <w:tcW w:w="1024" w:type="pct"/>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本期增加</w:t>
                </w:r>
              </w:p>
            </w:tc>
          </w:sdtContent>
        </w:sdt>
        <w:sdt>
          <w:sdtPr>
            <w:rPr>
              <w:color w:val="000000" w:themeColor="text1"/>
            </w:rPr>
            <w:tag w:val="_PLD_9d88d0ce99474d389c660c414306497d"/>
            <w:id w:val="-2065087597"/>
          </w:sdtPr>
          <w:sdtEndPr/>
          <w:sdtContent>
            <w:tc>
              <w:tcPr>
                <w:tcW w:w="1015" w:type="pct"/>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本期减少</w:t>
                </w:r>
              </w:p>
            </w:tc>
          </w:sdtContent>
        </w:sdt>
        <w:sdt>
          <w:sdtPr>
            <w:rPr>
              <w:color w:val="000000" w:themeColor="text1"/>
            </w:rPr>
            <w:tag w:val="_PLD_4c3f2255a4a24c1cae63eb0cc7781f12"/>
            <w:id w:val="-1230767809"/>
          </w:sdtPr>
          <w:sdtEndPr/>
          <w:sdtContent>
            <w:tc>
              <w:tcPr>
                <w:tcW w:w="1014" w:type="pct"/>
                <w:vAlign w:val="center"/>
              </w:tcPr>
              <w:p w:rsidR="00597370" w:rsidRDefault="003C2EEE">
                <w:pPr>
                  <w:autoSpaceDE w:val="0"/>
                  <w:autoSpaceDN w:val="0"/>
                  <w:adjustRightInd w:val="0"/>
                  <w:snapToGrid w:val="0"/>
                  <w:jc w:val="center"/>
                  <w:rPr>
                    <w:color w:val="000000" w:themeColor="text1"/>
                  </w:rPr>
                </w:pPr>
                <w:r>
                  <w:rPr>
                    <w:rFonts w:hint="eastAsia"/>
                    <w:color w:val="000000" w:themeColor="text1"/>
                  </w:rPr>
                  <w:t>期末余额</w:t>
                </w:r>
              </w:p>
            </w:tc>
          </w:sdtContent>
        </w:sdt>
      </w:tr>
      <w:tr w:rsidR="00597370">
        <w:tc>
          <w:tcPr>
            <w:tcW w:w="1443" w:type="pct"/>
            <w:shd w:val="clear" w:color="auto" w:fill="auto"/>
          </w:tcPr>
          <w:p w:rsidR="00597370" w:rsidRDefault="003C2EEE">
            <w:pPr>
              <w:autoSpaceDE w:val="0"/>
              <w:autoSpaceDN w:val="0"/>
              <w:adjustRightInd w:val="0"/>
              <w:snapToGrid w:val="0"/>
              <w:rPr>
                <w:color w:val="000000" w:themeColor="text1"/>
              </w:rPr>
            </w:pPr>
            <w:r>
              <w:rPr>
                <w:rFonts w:hint="eastAsia"/>
                <w:color w:val="000000" w:themeColor="text1"/>
              </w:rPr>
              <w:t>资本溢价（股本溢价）</w:t>
            </w:r>
          </w:p>
        </w:tc>
        <w:tc>
          <w:tcPr>
            <w:tcW w:w="504" w:type="pct"/>
            <w:shd w:val="clear" w:color="auto" w:fill="auto"/>
            <w:vAlign w:val="bottom"/>
          </w:tcPr>
          <w:p w:rsidR="00597370" w:rsidRDefault="003C2EEE">
            <w:pPr>
              <w:autoSpaceDE w:val="0"/>
              <w:autoSpaceDN w:val="0"/>
              <w:adjustRightInd w:val="0"/>
              <w:snapToGrid w:val="0"/>
              <w:jc w:val="right"/>
            </w:pPr>
            <w:r>
              <w:t>975,498,666.95</w:t>
            </w:r>
          </w:p>
        </w:tc>
        <w:tc>
          <w:tcPr>
            <w:tcW w:w="1024" w:type="pct"/>
            <w:shd w:val="clear" w:color="auto" w:fill="auto"/>
            <w:vAlign w:val="bottom"/>
          </w:tcPr>
          <w:p w:rsidR="00597370" w:rsidRDefault="00597370">
            <w:pPr>
              <w:autoSpaceDE w:val="0"/>
              <w:autoSpaceDN w:val="0"/>
              <w:adjustRightInd w:val="0"/>
              <w:snapToGrid w:val="0"/>
              <w:jc w:val="right"/>
            </w:pPr>
          </w:p>
        </w:tc>
        <w:tc>
          <w:tcPr>
            <w:tcW w:w="1015" w:type="pct"/>
            <w:shd w:val="clear" w:color="auto" w:fill="auto"/>
            <w:vAlign w:val="bottom"/>
          </w:tcPr>
          <w:p w:rsidR="00597370" w:rsidRDefault="00597370">
            <w:pPr>
              <w:autoSpaceDE w:val="0"/>
              <w:autoSpaceDN w:val="0"/>
              <w:adjustRightInd w:val="0"/>
              <w:snapToGrid w:val="0"/>
              <w:jc w:val="right"/>
            </w:pPr>
          </w:p>
        </w:tc>
        <w:tc>
          <w:tcPr>
            <w:tcW w:w="1014" w:type="pct"/>
            <w:shd w:val="clear" w:color="auto" w:fill="auto"/>
            <w:vAlign w:val="bottom"/>
          </w:tcPr>
          <w:p w:rsidR="00597370" w:rsidRDefault="003C2EEE">
            <w:pPr>
              <w:autoSpaceDE w:val="0"/>
              <w:autoSpaceDN w:val="0"/>
              <w:adjustRightInd w:val="0"/>
              <w:snapToGrid w:val="0"/>
              <w:jc w:val="right"/>
            </w:pPr>
            <w:r>
              <w:t>975,498,666.95</w:t>
            </w:r>
          </w:p>
        </w:tc>
      </w:tr>
      <w:tr w:rsidR="00597370">
        <w:trPr>
          <w:trHeight w:val="431"/>
        </w:trPr>
        <w:tc>
          <w:tcPr>
            <w:tcW w:w="1443" w:type="pct"/>
            <w:shd w:val="clear" w:color="auto" w:fill="auto"/>
          </w:tcPr>
          <w:p w:rsidR="00597370" w:rsidRDefault="003C2EEE">
            <w:pPr>
              <w:autoSpaceDE w:val="0"/>
              <w:autoSpaceDN w:val="0"/>
              <w:adjustRightInd w:val="0"/>
              <w:snapToGrid w:val="0"/>
              <w:rPr>
                <w:color w:val="000000" w:themeColor="text1"/>
              </w:rPr>
            </w:pPr>
            <w:r>
              <w:rPr>
                <w:rFonts w:hint="eastAsia"/>
                <w:color w:val="000000" w:themeColor="text1"/>
              </w:rPr>
              <w:t>其他资本公积</w:t>
            </w:r>
          </w:p>
        </w:tc>
        <w:tc>
          <w:tcPr>
            <w:tcW w:w="504" w:type="pct"/>
            <w:shd w:val="clear" w:color="auto" w:fill="auto"/>
            <w:vAlign w:val="bottom"/>
          </w:tcPr>
          <w:p w:rsidR="00597370" w:rsidRDefault="003C2EEE">
            <w:pPr>
              <w:autoSpaceDE w:val="0"/>
              <w:autoSpaceDN w:val="0"/>
              <w:adjustRightInd w:val="0"/>
              <w:snapToGrid w:val="0"/>
              <w:jc w:val="right"/>
            </w:pPr>
            <w:r>
              <w:t>200,000.00</w:t>
            </w:r>
          </w:p>
        </w:tc>
        <w:tc>
          <w:tcPr>
            <w:tcW w:w="1024" w:type="pct"/>
            <w:shd w:val="clear" w:color="auto" w:fill="auto"/>
            <w:vAlign w:val="bottom"/>
          </w:tcPr>
          <w:p w:rsidR="00597370" w:rsidRDefault="003C2EEE">
            <w:pPr>
              <w:autoSpaceDE w:val="0"/>
              <w:autoSpaceDN w:val="0"/>
              <w:adjustRightInd w:val="0"/>
              <w:snapToGrid w:val="0"/>
              <w:jc w:val="right"/>
            </w:pPr>
            <w:r>
              <w:t>3,847,666.44</w:t>
            </w:r>
          </w:p>
        </w:tc>
        <w:tc>
          <w:tcPr>
            <w:tcW w:w="1015" w:type="pct"/>
            <w:shd w:val="clear" w:color="auto" w:fill="auto"/>
            <w:vAlign w:val="bottom"/>
          </w:tcPr>
          <w:p w:rsidR="00597370" w:rsidRDefault="00597370">
            <w:pPr>
              <w:autoSpaceDE w:val="0"/>
              <w:autoSpaceDN w:val="0"/>
              <w:adjustRightInd w:val="0"/>
              <w:snapToGrid w:val="0"/>
              <w:jc w:val="right"/>
            </w:pPr>
          </w:p>
        </w:tc>
        <w:tc>
          <w:tcPr>
            <w:tcW w:w="1014" w:type="pct"/>
            <w:shd w:val="clear" w:color="auto" w:fill="auto"/>
            <w:vAlign w:val="bottom"/>
          </w:tcPr>
          <w:p w:rsidR="00597370" w:rsidRDefault="003C2EEE">
            <w:pPr>
              <w:autoSpaceDE w:val="0"/>
              <w:autoSpaceDN w:val="0"/>
              <w:adjustRightInd w:val="0"/>
              <w:snapToGrid w:val="0"/>
              <w:jc w:val="right"/>
            </w:pPr>
            <w:r>
              <w:t>4,047,666.44</w:t>
            </w:r>
          </w:p>
        </w:tc>
      </w:tr>
      <w:tr w:rsidR="00597370">
        <w:trPr>
          <w:trHeight w:val="422"/>
        </w:trPr>
        <w:tc>
          <w:tcPr>
            <w:tcW w:w="1443" w:type="pct"/>
            <w:vAlign w:val="center"/>
          </w:tcPr>
          <w:p w:rsidR="00597370" w:rsidRDefault="003C2EEE">
            <w:pPr>
              <w:autoSpaceDE w:val="0"/>
              <w:autoSpaceDN w:val="0"/>
              <w:adjustRightInd w:val="0"/>
              <w:snapToGrid w:val="0"/>
              <w:rPr>
                <w:color w:val="000000" w:themeColor="text1"/>
              </w:rPr>
            </w:pPr>
            <w:r>
              <w:rPr>
                <w:rFonts w:hint="eastAsia"/>
                <w:color w:val="000000" w:themeColor="text1"/>
              </w:rPr>
              <w:t>合计</w:t>
            </w:r>
          </w:p>
        </w:tc>
        <w:tc>
          <w:tcPr>
            <w:tcW w:w="504" w:type="pct"/>
            <w:vAlign w:val="bottom"/>
          </w:tcPr>
          <w:p w:rsidR="00597370" w:rsidRDefault="003C2EEE">
            <w:pPr>
              <w:autoSpaceDE w:val="0"/>
              <w:autoSpaceDN w:val="0"/>
              <w:adjustRightInd w:val="0"/>
              <w:snapToGrid w:val="0"/>
              <w:jc w:val="right"/>
            </w:pPr>
            <w:r>
              <w:t>975,698,666.95</w:t>
            </w:r>
          </w:p>
        </w:tc>
        <w:tc>
          <w:tcPr>
            <w:tcW w:w="1024" w:type="pct"/>
            <w:vAlign w:val="bottom"/>
          </w:tcPr>
          <w:p w:rsidR="00597370" w:rsidRDefault="003C2EEE">
            <w:pPr>
              <w:autoSpaceDE w:val="0"/>
              <w:autoSpaceDN w:val="0"/>
              <w:adjustRightInd w:val="0"/>
              <w:snapToGrid w:val="0"/>
              <w:jc w:val="right"/>
            </w:pPr>
            <w:r>
              <w:t>3,847,666.44</w:t>
            </w:r>
          </w:p>
        </w:tc>
        <w:tc>
          <w:tcPr>
            <w:tcW w:w="1015" w:type="pct"/>
            <w:vAlign w:val="bottom"/>
          </w:tcPr>
          <w:p w:rsidR="00597370" w:rsidRDefault="00597370">
            <w:pPr>
              <w:autoSpaceDE w:val="0"/>
              <w:autoSpaceDN w:val="0"/>
              <w:adjustRightInd w:val="0"/>
              <w:snapToGrid w:val="0"/>
              <w:jc w:val="right"/>
            </w:pPr>
          </w:p>
        </w:tc>
        <w:tc>
          <w:tcPr>
            <w:tcW w:w="1014" w:type="pct"/>
            <w:vAlign w:val="bottom"/>
          </w:tcPr>
          <w:p w:rsidR="00597370" w:rsidRDefault="003C2EEE">
            <w:pPr>
              <w:autoSpaceDE w:val="0"/>
              <w:autoSpaceDN w:val="0"/>
              <w:adjustRightInd w:val="0"/>
              <w:snapToGrid w:val="0"/>
              <w:jc w:val="right"/>
            </w:pPr>
            <w:r>
              <w:t>979,546,333.39</w:t>
            </w:r>
          </w:p>
        </w:tc>
      </w:tr>
    </w:tbl>
    <w:p w:rsidR="00597370" w:rsidRDefault="003C2EEE">
      <w:pPr>
        <w:rPr>
          <w:color w:val="000000" w:themeColor="text1"/>
        </w:rPr>
      </w:pPr>
      <w:r>
        <w:rPr>
          <w:rFonts w:hint="eastAsia"/>
          <w:color w:val="000000" w:themeColor="text1"/>
        </w:rPr>
        <w:t>其他说明，包括本期增减变动情况、变动原因说明：</w:t>
      </w:r>
    </w:p>
    <w:p w:rsidR="00597370" w:rsidRDefault="006840ED">
      <w:pPr>
        <w:rPr>
          <w:color w:val="000000" w:themeColor="text1"/>
        </w:rPr>
      </w:pPr>
      <w:sdt>
        <w:sdtPr>
          <w:rPr>
            <w:color w:val="000000" w:themeColor="text1"/>
          </w:rPr>
          <w:alias w:val="资本公积说明"/>
          <w:tag w:val="_GBC_014f0762b4274266bec2aa5231aa0981"/>
          <w:id w:val="1249768307"/>
          <w:placeholder>
            <w:docPart w:val="GBC22222222222222222222222222222"/>
          </w:placeholder>
        </w:sdtPr>
        <w:sdtEndPr/>
        <w:sdtContent>
          <w:r w:rsidR="003C2EEE">
            <w:rPr>
              <w:rFonts w:hint="eastAsia"/>
              <w:color w:val="000000" w:themeColor="text1"/>
            </w:rPr>
            <w:t>无</w:t>
          </w:r>
        </w:sdtContent>
      </w:sdt>
    </w:p>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库存股</w:t>
      </w:r>
    </w:p>
    <w:sdt>
      <w:sdtPr>
        <w:rPr>
          <w:color w:val="000000" w:themeColor="text1"/>
        </w:rPr>
        <w:alias w:val="是否适用：库存股[双击切换]"/>
        <w:tag w:val="_GBC_4aa47a6d9b1044aa8a049146d42c3e9c"/>
        <w:id w:val="-36267988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库存股"/>
          <w:tag w:val="_GBC_2ec7280618184a6dbf8764020927134a"/>
          <w:id w:val="-1748133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库存股"/>
          <w:tag w:val="_GBC_bcf1b0dc9f44435981af64b6d69d6045"/>
          <w:id w:val="8011965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61"/>
        <w:gridCol w:w="1685"/>
        <w:gridCol w:w="1699"/>
        <w:gridCol w:w="1698"/>
      </w:tblGrid>
      <w:tr w:rsidR="00597370">
        <w:sdt>
          <w:sdtPr>
            <w:rPr>
              <w:color w:val="000000" w:themeColor="text1"/>
            </w:rPr>
            <w:tag w:val="_PLD_b46e14f0143b428d91ebe5e1885be6ac"/>
            <w:id w:val="-1637565410"/>
          </w:sdtPr>
          <w:sdtEndPr/>
          <w:sdtContent>
            <w:tc>
              <w:tcPr>
                <w:tcW w:w="1122" w:type="pct"/>
                <w:shd w:val="clear" w:color="auto" w:fill="auto"/>
                <w:vAlign w:val="center"/>
              </w:tcPr>
              <w:p w:rsidR="00597370" w:rsidRDefault="003C2EEE">
                <w:pPr>
                  <w:rPr>
                    <w:color w:val="000000" w:themeColor="text1"/>
                  </w:rPr>
                </w:pPr>
                <w:r>
                  <w:rPr>
                    <w:rFonts w:hint="eastAsia"/>
                    <w:color w:val="000000" w:themeColor="text1"/>
                  </w:rPr>
                  <w:t>项目</w:t>
                </w:r>
              </w:p>
            </w:tc>
          </w:sdtContent>
        </w:sdt>
        <w:sdt>
          <w:sdtPr>
            <w:rPr>
              <w:color w:val="000000" w:themeColor="text1"/>
            </w:rPr>
            <w:tag w:val="_PLD_6db0262d3f8842b4a7eba04e09be9d8a"/>
            <w:id w:val="1099363926"/>
          </w:sdtPr>
          <w:sdtEndPr/>
          <w:sdtContent>
            <w:tc>
              <w:tcPr>
                <w:tcW w:w="998"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6f585f2d8d254ed6a108b145b56ff7cc"/>
            <w:id w:val="-1275851116"/>
          </w:sdtPr>
          <w:sdtEndPr/>
          <w:sdtContent>
            <w:tc>
              <w:tcPr>
                <w:tcW w:w="955" w:type="pct"/>
                <w:shd w:val="clear" w:color="auto" w:fill="auto"/>
                <w:vAlign w:val="center"/>
              </w:tcPr>
              <w:p w:rsidR="00597370" w:rsidRDefault="003C2EEE">
                <w:pPr>
                  <w:jc w:val="center"/>
                  <w:rPr>
                    <w:color w:val="000000" w:themeColor="text1"/>
                  </w:rPr>
                </w:pPr>
                <w:r>
                  <w:rPr>
                    <w:rFonts w:hint="eastAsia"/>
                    <w:color w:val="000000" w:themeColor="text1"/>
                  </w:rPr>
                  <w:t>本期增加</w:t>
                </w:r>
              </w:p>
            </w:tc>
          </w:sdtContent>
        </w:sdt>
        <w:sdt>
          <w:sdtPr>
            <w:rPr>
              <w:color w:val="000000" w:themeColor="text1"/>
            </w:rPr>
            <w:tag w:val="_PLD_20354e1f567449a9b9021901b2252d15"/>
            <w:id w:val="-2079202260"/>
          </w:sdtPr>
          <w:sdtEndPr/>
          <w:sdtContent>
            <w:tc>
              <w:tcPr>
                <w:tcW w:w="963" w:type="pct"/>
                <w:shd w:val="clear" w:color="auto" w:fill="auto"/>
                <w:vAlign w:val="center"/>
              </w:tcPr>
              <w:p w:rsidR="00597370" w:rsidRDefault="003C2EEE">
                <w:pPr>
                  <w:jc w:val="center"/>
                  <w:rPr>
                    <w:color w:val="000000" w:themeColor="text1"/>
                  </w:rPr>
                </w:pPr>
                <w:r>
                  <w:rPr>
                    <w:rFonts w:hint="eastAsia"/>
                    <w:color w:val="000000" w:themeColor="text1"/>
                  </w:rPr>
                  <w:t>本期减少</w:t>
                </w:r>
              </w:p>
            </w:tc>
          </w:sdtContent>
        </w:sdt>
        <w:sdt>
          <w:sdtPr>
            <w:rPr>
              <w:color w:val="000000" w:themeColor="text1"/>
            </w:rPr>
            <w:tag w:val="_PLD_94daf05bbefc4d829f1bc3b83d11b6ca"/>
            <w:id w:val="-715193954"/>
          </w:sdtPr>
          <w:sdtEndPr/>
          <w:sdtContent>
            <w:tc>
              <w:tcPr>
                <w:tcW w:w="962"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tr>
      <w:tr w:rsidR="00597370">
        <w:tc>
          <w:tcPr>
            <w:tcW w:w="1122" w:type="pct"/>
            <w:shd w:val="clear" w:color="auto" w:fill="auto"/>
          </w:tcPr>
          <w:p w:rsidR="00597370" w:rsidRDefault="003C2EEE">
            <w:pPr>
              <w:pStyle w:val="Style106"/>
            </w:pPr>
            <w:r>
              <w:rPr>
                <w:rFonts w:hint="eastAsia"/>
              </w:rPr>
              <w:t>实行股权激励回购</w:t>
            </w:r>
          </w:p>
        </w:tc>
        <w:tc>
          <w:tcPr>
            <w:tcW w:w="998" w:type="pct"/>
            <w:shd w:val="clear" w:color="auto" w:fill="auto"/>
            <w:vAlign w:val="center"/>
          </w:tcPr>
          <w:p w:rsidR="00597370" w:rsidRDefault="003C2EEE">
            <w:pPr>
              <w:jc w:val="right"/>
            </w:pPr>
            <w:r>
              <w:t>50,299,241.28</w:t>
            </w:r>
          </w:p>
        </w:tc>
        <w:tc>
          <w:tcPr>
            <w:tcW w:w="955" w:type="pct"/>
            <w:shd w:val="clear" w:color="auto" w:fill="auto"/>
          </w:tcPr>
          <w:p w:rsidR="00597370" w:rsidRDefault="00597370">
            <w:pPr>
              <w:jc w:val="right"/>
            </w:pPr>
          </w:p>
        </w:tc>
        <w:tc>
          <w:tcPr>
            <w:tcW w:w="963" w:type="pct"/>
            <w:shd w:val="clear" w:color="auto" w:fill="auto"/>
          </w:tcPr>
          <w:p w:rsidR="00597370" w:rsidRDefault="00597370">
            <w:pPr>
              <w:jc w:val="right"/>
            </w:pPr>
          </w:p>
        </w:tc>
        <w:tc>
          <w:tcPr>
            <w:tcW w:w="962" w:type="pct"/>
            <w:shd w:val="clear" w:color="auto" w:fill="auto"/>
          </w:tcPr>
          <w:p w:rsidR="00597370" w:rsidRDefault="003C2EEE">
            <w:pPr>
              <w:jc w:val="right"/>
            </w:pPr>
            <w:r>
              <w:t>50,299,241.28</w:t>
            </w:r>
          </w:p>
        </w:tc>
      </w:tr>
      <w:tr w:rsidR="00597370">
        <w:tc>
          <w:tcPr>
            <w:tcW w:w="1122" w:type="pct"/>
            <w:shd w:val="clear" w:color="auto" w:fill="auto"/>
            <w:vAlign w:val="center"/>
          </w:tcPr>
          <w:p w:rsidR="00597370" w:rsidRDefault="003C2EEE">
            <w:pPr>
              <w:rPr>
                <w:color w:val="000000" w:themeColor="text1"/>
              </w:rPr>
            </w:pPr>
            <w:r>
              <w:rPr>
                <w:rFonts w:hint="eastAsia"/>
                <w:color w:val="000000" w:themeColor="text1"/>
              </w:rPr>
              <w:t>合计</w:t>
            </w:r>
          </w:p>
        </w:tc>
        <w:tc>
          <w:tcPr>
            <w:tcW w:w="998" w:type="pct"/>
            <w:shd w:val="clear" w:color="auto" w:fill="auto"/>
            <w:vAlign w:val="center"/>
          </w:tcPr>
          <w:p w:rsidR="00597370" w:rsidRDefault="003C2EEE">
            <w:pPr>
              <w:jc w:val="right"/>
            </w:pPr>
            <w:r>
              <w:t>50,299,241.28</w:t>
            </w:r>
          </w:p>
        </w:tc>
        <w:tc>
          <w:tcPr>
            <w:tcW w:w="955" w:type="pct"/>
            <w:shd w:val="clear" w:color="auto" w:fill="auto"/>
          </w:tcPr>
          <w:p w:rsidR="00597370" w:rsidRDefault="00597370">
            <w:pPr>
              <w:jc w:val="right"/>
            </w:pPr>
          </w:p>
        </w:tc>
        <w:tc>
          <w:tcPr>
            <w:tcW w:w="963" w:type="pct"/>
            <w:shd w:val="clear" w:color="auto" w:fill="auto"/>
          </w:tcPr>
          <w:p w:rsidR="00597370" w:rsidRDefault="00597370">
            <w:pPr>
              <w:jc w:val="right"/>
            </w:pPr>
          </w:p>
        </w:tc>
        <w:tc>
          <w:tcPr>
            <w:tcW w:w="962" w:type="pct"/>
            <w:shd w:val="clear" w:color="auto" w:fill="auto"/>
          </w:tcPr>
          <w:p w:rsidR="00597370" w:rsidRDefault="003C2EEE">
            <w:pPr>
              <w:jc w:val="right"/>
            </w:pPr>
            <w:r>
              <w:t>50,299,241.28</w:t>
            </w:r>
          </w:p>
        </w:tc>
      </w:tr>
    </w:tbl>
    <w:p w:rsidR="00597370" w:rsidRDefault="003C2EEE">
      <w:pPr>
        <w:rPr>
          <w:color w:val="000000" w:themeColor="text1"/>
        </w:rPr>
      </w:pPr>
      <w:r>
        <w:rPr>
          <w:rFonts w:hint="eastAsia"/>
          <w:color w:val="000000" w:themeColor="text1"/>
        </w:rPr>
        <w:t>其他说明，包括本期增减变动情况、变动原因说明：</w:t>
      </w:r>
    </w:p>
    <w:p w:rsidR="00597370" w:rsidRDefault="006840ED">
      <w:pPr>
        <w:rPr>
          <w:b/>
          <w:color w:val="000000" w:themeColor="text1"/>
        </w:rPr>
      </w:pPr>
      <w:sdt>
        <w:sdtPr>
          <w:rPr>
            <w:color w:val="000000" w:themeColor="text1"/>
          </w:rPr>
          <w:alias w:val="库存股情况说明"/>
          <w:tag w:val="_GBC_aeb361adcbde44daaa852df07259812c"/>
          <w:id w:val="1606383140"/>
          <w:placeholder>
            <w:docPart w:val="GBC22222222222222222222222222222"/>
          </w:placeholder>
        </w:sdtPr>
        <w:sdtEndPr/>
        <w:sdtContent>
          <w:r w:rsidR="003C2EEE">
            <w:rPr>
              <w:rFonts w:hint="eastAsia"/>
              <w:color w:val="000000" w:themeColor="text1"/>
            </w:rPr>
            <w:t>无</w:t>
          </w:r>
        </w:sdtContent>
      </w:sdt>
    </w:p>
    <w:p w:rsidR="00597370" w:rsidRDefault="003C2EEE">
      <w:pPr>
        <w:pStyle w:val="Style109"/>
        <w:numPr>
          <w:ilvl w:val="0"/>
          <w:numId w:val="46"/>
        </w:numPr>
        <w:tabs>
          <w:tab w:val="left" w:pos="504"/>
        </w:tabs>
        <w:rPr>
          <w:rFonts w:ascii="宋体" w:hAnsi="宋体"/>
          <w:color w:val="000000" w:themeColor="text1"/>
          <w:szCs w:val="21"/>
        </w:rPr>
      </w:pPr>
      <w:bookmarkStart w:id="345" w:name="_Hlk10537776"/>
      <w:r>
        <w:rPr>
          <w:rFonts w:ascii="宋体" w:hAnsi="宋体" w:hint="eastAsia"/>
          <w:color w:val="000000" w:themeColor="text1"/>
          <w:szCs w:val="21"/>
        </w:rPr>
        <w:t>其他综合收益</w:t>
      </w:r>
    </w:p>
    <w:sdt>
      <w:sdtPr>
        <w:rPr>
          <w:color w:val="000000" w:themeColor="text1"/>
        </w:rPr>
        <w:alias w:val="是否适用：其他综合收益[双击切换]"/>
        <w:tag w:val="_GBC_a53cc67f2be24dfbbe3af1b633d9bd6d"/>
        <w:id w:val="-167948973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45"/>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其他综合收益情况"/>
          <w:tag w:val="_GBC_3fcad98da74248809a759048ca194814"/>
          <w:id w:val="1525206151"/>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其他综合收益情况"/>
          <w:tag w:val="_GBC_3909f37aa0cc4eda82ff1503a6abe503"/>
          <w:id w:val="-119098489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707"/>
        <w:gridCol w:w="993"/>
        <w:gridCol w:w="849"/>
        <w:gridCol w:w="851"/>
        <w:gridCol w:w="1135"/>
        <w:gridCol w:w="851"/>
        <w:gridCol w:w="995"/>
        <w:gridCol w:w="888"/>
      </w:tblGrid>
      <w:tr w:rsidR="00597370">
        <w:trPr>
          <w:trHeight w:val="215"/>
        </w:trPr>
        <w:sdt>
          <w:sdtPr>
            <w:rPr>
              <w:color w:val="000000" w:themeColor="text1"/>
              <w:sz w:val="18"/>
              <w:szCs w:val="18"/>
            </w:rPr>
            <w:tag w:val="_PLD_965475dfd86e41c29d1b9f1fdff70ee0"/>
            <w:id w:val="1390084375"/>
          </w:sdtPr>
          <w:sdtEndPr/>
          <w:sdtContent>
            <w:tc>
              <w:tcPr>
                <w:tcW w:w="881" w:type="pct"/>
                <w:vMerge w:val="restar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项目</w:t>
                </w:r>
              </w:p>
            </w:tc>
          </w:sdtContent>
        </w:sdt>
        <w:sdt>
          <w:sdtPr>
            <w:rPr>
              <w:color w:val="000000" w:themeColor="text1"/>
              <w:sz w:val="18"/>
              <w:szCs w:val="18"/>
            </w:rPr>
            <w:tag w:val="_PLD_8a675a3cac5041d29cfb92203b87e9a6"/>
            <w:id w:val="194745834"/>
          </w:sdtPr>
          <w:sdtEndPr/>
          <w:sdtContent>
            <w:tc>
              <w:tcPr>
                <w:tcW w:w="401" w:type="pct"/>
                <w:vMerge w:val="restar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期初</w:t>
                </w:r>
              </w:p>
              <w:p w:rsidR="00597370" w:rsidRDefault="003C2EEE">
                <w:pPr>
                  <w:jc w:val="center"/>
                  <w:rPr>
                    <w:color w:val="000000" w:themeColor="text1"/>
                    <w:sz w:val="18"/>
                    <w:szCs w:val="18"/>
                  </w:rPr>
                </w:pPr>
                <w:r>
                  <w:rPr>
                    <w:rFonts w:hint="eastAsia"/>
                    <w:color w:val="000000" w:themeColor="text1"/>
                    <w:sz w:val="18"/>
                    <w:szCs w:val="18"/>
                  </w:rPr>
                  <w:t>余额</w:t>
                </w:r>
              </w:p>
            </w:tc>
          </w:sdtContent>
        </w:sdt>
        <w:sdt>
          <w:sdtPr>
            <w:rPr>
              <w:color w:val="000000" w:themeColor="text1"/>
              <w:sz w:val="18"/>
              <w:szCs w:val="18"/>
            </w:rPr>
            <w:tag w:val="_PLD_5ff455f3c2164019b5e694c1e00e4104"/>
            <w:id w:val="-2128847014"/>
          </w:sdtPr>
          <w:sdtEndPr/>
          <w:sdtContent>
            <w:tc>
              <w:tcPr>
                <w:tcW w:w="3215" w:type="pct"/>
                <w:gridSpan w:val="6"/>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本期发生金额</w:t>
                </w:r>
              </w:p>
            </w:tc>
          </w:sdtContent>
        </w:sdt>
        <w:sdt>
          <w:sdtPr>
            <w:rPr>
              <w:color w:val="000000" w:themeColor="text1"/>
              <w:sz w:val="18"/>
              <w:szCs w:val="18"/>
            </w:rPr>
            <w:tag w:val="_PLD_e74e1b8e6f7d453b8d88ebfc65c302f4"/>
            <w:id w:val="1753927833"/>
          </w:sdtPr>
          <w:sdtEndPr/>
          <w:sdtContent>
            <w:tc>
              <w:tcPr>
                <w:tcW w:w="503" w:type="pct"/>
                <w:vMerge w:val="restar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期末</w:t>
                </w:r>
              </w:p>
              <w:p w:rsidR="00597370" w:rsidRDefault="003C2EEE">
                <w:pPr>
                  <w:jc w:val="center"/>
                  <w:rPr>
                    <w:color w:val="000000" w:themeColor="text1"/>
                    <w:sz w:val="18"/>
                    <w:szCs w:val="18"/>
                  </w:rPr>
                </w:pPr>
                <w:r>
                  <w:rPr>
                    <w:rFonts w:hint="eastAsia"/>
                    <w:color w:val="000000" w:themeColor="text1"/>
                    <w:sz w:val="18"/>
                    <w:szCs w:val="18"/>
                  </w:rPr>
                  <w:t>余额</w:t>
                </w:r>
              </w:p>
            </w:tc>
          </w:sdtContent>
        </w:sdt>
      </w:tr>
      <w:tr w:rsidR="00597370">
        <w:tc>
          <w:tcPr>
            <w:tcW w:w="881" w:type="pct"/>
            <w:vMerge/>
            <w:shd w:val="clear" w:color="auto" w:fill="auto"/>
          </w:tcPr>
          <w:p w:rsidR="00597370" w:rsidRDefault="00597370">
            <w:pPr>
              <w:jc w:val="center"/>
              <w:rPr>
                <w:color w:val="000000" w:themeColor="text1"/>
                <w:sz w:val="18"/>
                <w:szCs w:val="18"/>
              </w:rPr>
            </w:pPr>
          </w:p>
        </w:tc>
        <w:tc>
          <w:tcPr>
            <w:tcW w:w="401" w:type="pct"/>
            <w:vMerge/>
            <w:shd w:val="clear" w:color="auto" w:fill="auto"/>
          </w:tcPr>
          <w:p w:rsidR="00597370" w:rsidRDefault="00597370">
            <w:pPr>
              <w:jc w:val="center"/>
              <w:rPr>
                <w:color w:val="000000" w:themeColor="text1"/>
                <w:sz w:val="18"/>
                <w:szCs w:val="18"/>
              </w:rPr>
            </w:pPr>
          </w:p>
        </w:tc>
        <w:sdt>
          <w:sdtPr>
            <w:rPr>
              <w:color w:val="000000" w:themeColor="text1"/>
              <w:sz w:val="18"/>
              <w:szCs w:val="18"/>
            </w:rPr>
            <w:tag w:val="_PLD_17c016c4311444368218ab16d2bc7a4c"/>
            <w:id w:val="-694457261"/>
          </w:sdtPr>
          <w:sdtEndPr/>
          <w:sdtContent>
            <w:tc>
              <w:tcPr>
                <w:tcW w:w="563"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本期所得税前发生额</w:t>
                </w:r>
              </w:p>
            </w:tc>
          </w:sdtContent>
        </w:sdt>
        <w:sdt>
          <w:sdtPr>
            <w:rPr>
              <w:color w:val="000000" w:themeColor="text1"/>
              <w:sz w:val="18"/>
              <w:szCs w:val="18"/>
            </w:rPr>
            <w:tag w:val="_PLD_8f95da21a802457ea1d7d10d5c90efb0"/>
            <w:id w:val="-150225405"/>
          </w:sdtPr>
          <w:sdtEndPr/>
          <w:sdtContent>
            <w:tc>
              <w:tcPr>
                <w:tcW w:w="481"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减：前期计入其他综合收益当期转入损益</w:t>
                </w:r>
              </w:p>
            </w:tc>
          </w:sdtContent>
        </w:sdt>
        <w:tc>
          <w:tcPr>
            <w:tcW w:w="482" w:type="pct"/>
          </w:tcPr>
          <w:sdt>
            <w:sdtPr>
              <w:rPr>
                <w:rFonts w:hint="eastAsia"/>
                <w:color w:val="000000" w:themeColor="text1"/>
                <w:sz w:val="18"/>
                <w:szCs w:val="18"/>
              </w:rPr>
              <w:tag w:val="_PLD_7f99e647a5874f909c48e6c0bbc8d50a"/>
              <w:id w:val="-243809365"/>
            </w:sdtPr>
            <w:sdtEndPr/>
            <w:sdtContent>
              <w:p w:rsidR="00597370" w:rsidRDefault="003C2EEE">
                <w:pPr>
                  <w:jc w:val="center"/>
                  <w:rPr>
                    <w:color w:val="000000" w:themeColor="text1"/>
                    <w:sz w:val="18"/>
                    <w:szCs w:val="18"/>
                  </w:rPr>
                </w:pPr>
                <w:r>
                  <w:rPr>
                    <w:rFonts w:hint="eastAsia"/>
                    <w:color w:val="000000" w:themeColor="text1"/>
                    <w:sz w:val="18"/>
                    <w:szCs w:val="18"/>
                  </w:rPr>
                  <w:t>减：前期计入其他综合收益当期转入留存收益</w:t>
                </w:r>
              </w:p>
            </w:sdtContent>
          </w:sdt>
        </w:tc>
        <w:sdt>
          <w:sdtPr>
            <w:rPr>
              <w:color w:val="000000" w:themeColor="text1"/>
              <w:sz w:val="18"/>
              <w:szCs w:val="18"/>
            </w:rPr>
            <w:tag w:val="_PLD_6ee499a1144a462687fb064cc4588343"/>
            <w:id w:val="-719895897"/>
          </w:sdtPr>
          <w:sdtEndPr/>
          <w:sdtContent>
            <w:tc>
              <w:tcPr>
                <w:tcW w:w="643"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减：所得税费用</w:t>
                </w:r>
              </w:p>
            </w:tc>
          </w:sdtContent>
        </w:sdt>
        <w:sdt>
          <w:sdtPr>
            <w:rPr>
              <w:color w:val="000000" w:themeColor="text1"/>
              <w:sz w:val="18"/>
              <w:szCs w:val="18"/>
            </w:rPr>
            <w:tag w:val="_PLD_97d686c5a0f042d49d097afc52b9ab56"/>
            <w:id w:val="1655256529"/>
          </w:sdtPr>
          <w:sdtEndPr/>
          <w:sdtContent>
            <w:tc>
              <w:tcPr>
                <w:tcW w:w="482"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税后归属于母公司</w:t>
                </w:r>
              </w:p>
            </w:tc>
          </w:sdtContent>
        </w:sdt>
        <w:sdt>
          <w:sdtPr>
            <w:rPr>
              <w:color w:val="000000" w:themeColor="text1"/>
              <w:sz w:val="18"/>
              <w:szCs w:val="18"/>
            </w:rPr>
            <w:tag w:val="_PLD_dc8c642f883f4ca1b1bbacf56198209b"/>
            <w:id w:val="-524490647"/>
          </w:sdtPr>
          <w:sdtEndPr/>
          <w:sdtContent>
            <w:tc>
              <w:tcPr>
                <w:tcW w:w="564" w:type="pct"/>
                <w:shd w:val="clear" w:color="auto" w:fill="auto"/>
                <w:vAlign w:val="center"/>
              </w:tcPr>
              <w:p w:rsidR="00597370" w:rsidRDefault="003C2EEE">
                <w:pPr>
                  <w:jc w:val="center"/>
                  <w:rPr>
                    <w:color w:val="000000" w:themeColor="text1"/>
                    <w:sz w:val="18"/>
                    <w:szCs w:val="18"/>
                  </w:rPr>
                </w:pPr>
                <w:r>
                  <w:rPr>
                    <w:rFonts w:hint="eastAsia"/>
                    <w:color w:val="000000" w:themeColor="text1"/>
                    <w:sz w:val="18"/>
                    <w:szCs w:val="18"/>
                  </w:rPr>
                  <w:t>税后归属于少数股东</w:t>
                </w:r>
              </w:p>
            </w:tc>
          </w:sdtContent>
        </w:sdt>
        <w:tc>
          <w:tcPr>
            <w:tcW w:w="503" w:type="pct"/>
            <w:vMerge/>
            <w:shd w:val="clear" w:color="auto" w:fill="auto"/>
          </w:tcPr>
          <w:p w:rsidR="00597370" w:rsidRDefault="00597370">
            <w:pPr>
              <w:jc w:val="center"/>
              <w:rPr>
                <w:color w:val="000000" w:themeColor="text1"/>
                <w:sz w:val="18"/>
                <w:szCs w:val="18"/>
              </w:rPr>
            </w:pPr>
          </w:p>
        </w:tc>
      </w:tr>
      <w:tr w:rsidR="00597370">
        <w:tc>
          <w:tcPr>
            <w:tcW w:w="881"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一、不能重分类进损益的其他综合收益</w:t>
            </w:r>
          </w:p>
        </w:tc>
        <w:tc>
          <w:tcPr>
            <w:tcW w:w="401" w:type="pct"/>
            <w:shd w:val="clear" w:color="auto" w:fill="auto"/>
            <w:vAlign w:val="center"/>
          </w:tcPr>
          <w:p w:rsidR="00597370" w:rsidRDefault="00597370">
            <w:pPr>
              <w:jc w:val="right"/>
              <w:rPr>
                <w:sz w:val="18"/>
                <w:szCs w:val="18"/>
              </w:rPr>
            </w:pPr>
          </w:p>
        </w:tc>
        <w:tc>
          <w:tcPr>
            <w:tcW w:w="563" w:type="pct"/>
            <w:shd w:val="clear" w:color="auto" w:fill="auto"/>
            <w:vAlign w:val="center"/>
          </w:tcPr>
          <w:p w:rsidR="00597370" w:rsidRDefault="003C2EEE">
            <w:pPr>
              <w:jc w:val="right"/>
              <w:rPr>
                <w:sz w:val="18"/>
                <w:szCs w:val="18"/>
              </w:rPr>
            </w:pPr>
            <w:r>
              <w:rPr>
                <w:rFonts w:hint="eastAsia"/>
                <w:color w:val="000000"/>
                <w:sz w:val="18"/>
                <w:szCs w:val="18"/>
              </w:rPr>
              <w:t xml:space="preserve"> 2,357,100.90 </w:t>
            </w:r>
          </w:p>
        </w:tc>
        <w:tc>
          <w:tcPr>
            <w:tcW w:w="481" w:type="pct"/>
            <w:shd w:val="clear" w:color="auto" w:fill="auto"/>
            <w:vAlign w:val="center"/>
          </w:tcPr>
          <w:p w:rsidR="00597370" w:rsidRDefault="00597370">
            <w:pPr>
              <w:jc w:val="right"/>
              <w:rPr>
                <w:sz w:val="18"/>
                <w:szCs w:val="18"/>
              </w:rPr>
            </w:pPr>
          </w:p>
        </w:tc>
        <w:tc>
          <w:tcPr>
            <w:tcW w:w="482" w:type="pct"/>
            <w:vAlign w:val="center"/>
          </w:tcPr>
          <w:p w:rsidR="00597370" w:rsidRDefault="00597370">
            <w:pPr>
              <w:jc w:val="right"/>
              <w:rPr>
                <w:sz w:val="18"/>
                <w:szCs w:val="18"/>
              </w:rPr>
            </w:pPr>
          </w:p>
        </w:tc>
        <w:tc>
          <w:tcPr>
            <w:tcW w:w="643" w:type="pct"/>
            <w:shd w:val="clear" w:color="auto" w:fill="auto"/>
            <w:vAlign w:val="center"/>
          </w:tcPr>
          <w:p w:rsidR="00597370" w:rsidRDefault="003C2EEE">
            <w:pPr>
              <w:jc w:val="right"/>
              <w:rPr>
                <w:sz w:val="18"/>
                <w:szCs w:val="18"/>
              </w:rPr>
            </w:pPr>
            <w:r>
              <w:rPr>
                <w:rFonts w:hint="eastAsia"/>
                <w:color w:val="000000"/>
                <w:sz w:val="18"/>
                <w:szCs w:val="18"/>
              </w:rPr>
              <w:t xml:space="preserve"> 353,565.14 </w:t>
            </w:r>
          </w:p>
        </w:tc>
        <w:tc>
          <w:tcPr>
            <w:tcW w:w="482" w:type="pct"/>
            <w:shd w:val="clear" w:color="auto" w:fill="auto"/>
            <w:vAlign w:val="center"/>
          </w:tcPr>
          <w:p w:rsidR="00597370" w:rsidRDefault="003C2EEE">
            <w:pPr>
              <w:jc w:val="right"/>
              <w:rPr>
                <w:sz w:val="18"/>
                <w:szCs w:val="18"/>
              </w:rPr>
            </w:pPr>
            <w:r>
              <w:rPr>
                <w:rFonts w:hint="eastAsia"/>
                <w:color w:val="000000"/>
                <w:sz w:val="18"/>
                <w:szCs w:val="18"/>
              </w:rPr>
              <w:t xml:space="preserve"> 1,602,227.5</w:t>
            </w:r>
            <w:r>
              <w:rPr>
                <w:color w:val="000000"/>
                <w:sz w:val="18"/>
                <w:szCs w:val="18"/>
              </w:rPr>
              <w:t>6</w:t>
            </w:r>
            <w:r>
              <w:rPr>
                <w:rFonts w:hint="eastAsia"/>
                <w:color w:val="000000"/>
                <w:sz w:val="18"/>
                <w:szCs w:val="18"/>
              </w:rPr>
              <w:t xml:space="preserve"> </w:t>
            </w:r>
          </w:p>
        </w:tc>
        <w:tc>
          <w:tcPr>
            <w:tcW w:w="564" w:type="pct"/>
            <w:shd w:val="clear" w:color="auto" w:fill="auto"/>
            <w:vAlign w:val="center"/>
          </w:tcPr>
          <w:p w:rsidR="00597370" w:rsidRDefault="003C2EEE">
            <w:pPr>
              <w:jc w:val="right"/>
              <w:rPr>
                <w:sz w:val="18"/>
                <w:szCs w:val="18"/>
              </w:rPr>
            </w:pPr>
            <w:r>
              <w:rPr>
                <w:rFonts w:hint="eastAsia"/>
                <w:color w:val="000000"/>
                <w:sz w:val="18"/>
                <w:szCs w:val="18"/>
              </w:rPr>
              <w:t xml:space="preserve"> 401,308.21 </w:t>
            </w:r>
          </w:p>
        </w:tc>
        <w:tc>
          <w:tcPr>
            <w:tcW w:w="503" w:type="pct"/>
            <w:shd w:val="clear" w:color="auto" w:fill="auto"/>
            <w:vAlign w:val="center"/>
          </w:tcPr>
          <w:p w:rsidR="00597370" w:rsidRDefault="003C2EEE">
            <w:pPr>
              <w:jc w:val="right"/>
              <w:rPr>
                <w:sz w:val="18"/>
                <w:szCs w:val="18"/>
              </w:rPr>
            </w:pPr>
            <w:r>
              <w:rPr>
                <w:color w:val="000000"/>
                <w:sz w:val="18"/>
                <w:szCs w:val="18"/>
              </w:rPr>
              <w:t>1,602,227.56</w:t>
            </w:r>
          </w:p>
        </w:tc>
      </w:tr>
      <w:tr w:rsidR="00597370">
        <w:tc>
          <w:tcPr>
            <w:tcW w:w="881"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其中：重新计量设定受益计划变动额</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lastRenderedPageBreak/>
              <w:t xml:space="preserve">  权益法下不能转损益的其他综合收益</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vAlign w:val="center"/>
          </w:tcPr>
          <w:p w:rsidR="00597370" w:rsidRDefault="003C2EEE">
            <w:pPr>
              <w:ind w:firstLineChars="100" w:firstLine="180"/>
              <w:rPr>
                <w:color w:val="000000" w:themeColor="text1"/>
                <w:sz w:val="18"/>
                <w:szCs w:val="18"/>
              </w:rPr>
            </w:pPr>
            <w:r>
              <w:rPr>
                <w:rFonts w:hint="eastAsia"/>
                <w:color w:val="000000" w:themeColor="text1"/>
                <w:sz w:val="18"/>
                <w:szCs w:val="18"/>
              </w:rPr>
              <w:t>其他权益工具投资公允价值变动</w:t>
            </w:r>
          </w:p>
        </w:tc>
        <w:tc>
          <w:tcPr>
            <w:tcW w:w="401" w:type="pct"/>
            <w:shd w:val="clear" w:color="auto" w:fill="auto"/>
          </w:tcPr>
          <w:p w:rsidR="00597370" w:rsidRDefault="00597370">
            <w:pPr>
              <w:jc w:val="right"/>
              <w:rPr>
                <w:sz w:val="18"/>
                <w:szCs w:val="18"/>
              </w:rPr>
            </w:pPr>
          </w:p>
        </w:tc>
        <w:tc>
          <w:tcPr>
            <w:tcW w:w="563" w:type="pct"/>
            <w:shd w:val="clear" w:color="auto" w:fill="auto"/>
            <w:vAlign w:val="center"/>
          </w:tcPr>
          <w:p w:rsidR="00597370" w:rsidRDefault="003C2EEE">
            <w:pPr>
              <w:jc w:val="right"/>
              <w:rPr>
                <w:sz w:val="18"/>
                <w:szCs w:val="18"/>
              </w:rPr>
            </w:pPr>
            <w:r>
              <w:rPr>
                <w:rFonts w:hint="eastAsia"/>
                <w:color w:val="000000"/>
                <w:sz w:val="18"/>
                <w:szCs w:val="18"/>
              </w:rPr>
              <w:t xml:space="preserve"> 2,357,100.90 </w:t>
            </w:r>
          </w:p>
        </w:tc>
        <w:tc>
          <w:tcPr>
            <w:tcW w:w="481" w:type="pct"/>
            <w:shd w:val="clear" w:color="auto" w:fill="auto"/>
            <w:vAlign w:val="center"/>
          </w:tcPr>
          <w:p w:rsidR="00597370" w:rsidRDefault="00597370">
            <w:pPr>
              <w:jc w:val="right"/>
              <w:rPr>
                <w:sz w:val="18"/>
                <w:szCs w:val="18"/>
              </w:rPr>
            </w:pPr>
          </w:p>
        </w:tc>
        <w:tc>
          <w:tcPr>
            <w:tcW w:w="482" w:type="pct"/>
            <w:vAlign w:val="center"/>
          </w:tcPr>
          <w:p w:rsidR="00597370" w:rsidRDefault="00597370">
            <w:pPr>
              <w:jc w:val="right"/>
              <w:rPr>
                <w:sz w:val="18"/>
                <w:szCs w:val="18"/>
              </w:rPr>
            </w:pPr>
          </w:p>
        </w:tc>
        <w:tc>
          <w:tcPr>
            <w:tcW w:w="643" w:type="pct"/>
            <w:shd w:val="clear" w:color="auto" w:fill="auto"/>
            <w:vAlign w:val="center"/>
          </w:tcPr>
          <w:p w:rsidR="00597370" w:rsidRDefault="003C2EEE">
            <w:pPr>
              <w:jc w:val="right"/>
              <w:rPr>
                <w:sz w:val="18"/>
                <w:szCs w:val="18"/>
              </w:rPr>
            </w:pPr>
            <w:r>
              <w:rPr>
                <w:rFonts w:hint="eastAsia"/>
                <w:color w:val="000000"/>
                <w:sz w:val="18"/>
                <w:szCs w:val="18"/>
              </w:rPr>
              <w:t xml:space="preserve"> 353,565.14 </w:t>
            </w:r>
          </w:p>
        </w:tc>
        <w:tc>
          <w:tcPr>
            <w:tcW w:w="482" w:type="pct"/>
            <w:shd w:val="clear" w:color="auto" w:fill="auto"/>
            <w:vAlign w:val="center"/>
          </w:tcPr>
          <w:p w:rsidR="00597370" w:rsidRDefault="003C2EEE">
            <w:pPr>
              <w:jc w:val="right"/>
              <w:rPr>
                <w:sz w:val="18"/>
                <w:szCs w:val="18"/>
              </w:rPr>
            </w:pPr>
            <w:r>
              <w:rPr>
                <w:rFonts w:hint="eastAsia"/>
                <w:color w:val="000000"/>
                <w:sz w:val="18"/>
                <w:szCs w:val="18"/>
              </w:rPr>
              <w:t xml:space="preserve"> 1,602,227.5</w:t>
            </w:r>
            <w:r>
              <w:rPr>
                <w:color w:val="000000"/>
                <w:sz w:val="18"/>
                <w:szCs w:val="18"/>
              </w:rPr>
              <w:t>6</w:t>
            </w:r>
            <w:r>
              <w:rPr>
                <w:rFonts w:hint="eastAsia"/>
                <w:color w:val="000000"/>
                <w:sz w:val="18"/>
                <w:szCs w:val="18"/>
              </w:rPr>
              <w:t xml:space="preserve"> </w:t>
            </w:r>
          </w:p>
        </w:tc>
        <w:tc>
          <w:tcPr>
            <w:tcW w:w="564" w:type="pct"/>
            <w:shd w:val="clear" w:color="auto" w:fill="auto"/>
            <w:vAlign w:val="center"/>
          </w:tcPr>
          <w:p w:rsidR="00597370" w:rsidRDefault="003C2EEE">
            <w:pPr>
              <w:jc w:val="right"/>
              <w:rPr>
                <w:sz w:val="18"/>
                <w:szCs w:val="18"/>
              </w:rPr>
            </w:pPr>
            <w:r>
              <w:rPr>
                <w:rFonts w:hint="eastAsia"/>
                <w:color w:val="000000"/>
                <w:sz w:val="18"/>
                <w:szCs w:val="18"/>
              </w:rPr>
              <w:t xml:space="preserve"> 401,308.21 </w:t>
            </w:r>
          </w:p>
        </w:tc>
        <w:tc>
          <w:tcPr>
            <w:tcW w:w="503" w:type="pct"/>
            <w:shd w:val="clear" w:color="auto" w:fill="auto"/>
            <w:vAlign w:val="center"/>
          </w:tcPr>
          <w:p w:rsidR="00597370" w:rsidRDefault="003C2EEE">
            <w:pPr>
              <w:jc w:val="right"/>
              <w:rPr>
                <w:sz w:val="18"/>
                <w:szCs w:val="18"/>
              </w:rPr>
            </w:pPr>
            <w:r>
              <w:rPr>
                <w:color w:val="000000"/>
                <w:sz w:val="18"/>
                <w:szCs w:val="18"/>
              </w:rPr>
              <w:t>1,602,227.56</w:t>
            </w:r>
          </w:p>
        </w:tc>
      </w:tr>
      <w:tr w:rsidR="00597370">
        <w:tc>
          <w:tcPr>
            <w:tcW w:w="881" w:type="pct"/>
            <w:shd w:val="clear" w:color="auto" w:fill="auto"/>
            <w:vAlign w:val="center"/>
          </w:tcPr>
          <w:p w:rsidR="00597370" w:rsidRDefault="003C2EEE">
            <w:pPr>
              <w:ind w:firstLineChars="100" w:firstLine="180"/>
              <w:rPr>
                <w:color w:val="000000" w:themeColor="text1"/>
                <w:sz w:val="18"/>
                <w:szCs w:val="18"/>
              </w:rPr>
            </w:pPr>
            <w:r>
              <w:rPr>
                <w:rFonts w:hint="eastAsia"/>
                <w:color w:val="000000" w:themeColor="text1"/>
                <w:sz w:val="18"/>
                <w:szCs w:val="18"/>
              </w:rPr>
              <w:t>企业自身信用风险公允价值变动</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tcPr>
          <w:p w:rsidR="00597370" w:rsidRDefault="003C2EEE">
            <w:pPr>
              <w:rPr>
                <w:color w:val="000000" w:themeColor="text1"/>
                <w:sz w:val="18"/>
                <w:szCs w:val="18"/>
              </w:rPr>
            </w:pPr>
            <w:r>
              <w:rPr>
                <w:rFonts w:hint="eastAsia"/>
                <w:color w:val="000000" w:themeColor="text1"/>
                <w:sz w:val="18"/>
                <w:szCs w:val="18"/>
              </w:rPr>
              <w:t>二、将重分类进损益的其他综合收益</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tcPr>
          <w:p w:rsidR="00597370" w:rsidRDefault="003C2EEE">
            <w:pPr>
              <w:rPr>
                <w:color w:val="000000" w:themeColor="text1"/>
                <w:sz w:val="18"/>
                <w:szCs w:val="18"/>
              </w:rPr>
            </w:pPr>
            <w:r>
              <w:rPr>
                <w:rFonts w:hint="eastAsia"/>
                <w:color w:val="000000" w:themeColor="text1"/>
                <w:sz w:val="18"/>
                <w:szCs w:val="18"/>
              </w:rPr>
              <w:t>其中：权益法下可转损益的其他综合收益</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tcPr>
          <w:p w:rsidR="00597370" w:rsidRDefault="003C2EEE">
            <w:pPr>
              <w:ind w:firstLineChars="100" w:firstLine="180"/>
              <w:rPr>
                <w:color w:val="000000" w:themeColor="text1"/>
                <w:sz w:val="18"/>
                <w:szCs w:val="18"/>
              </w:rPr>
            </w:pPr>
            <w:r>
              <w:rPr>
                <w:rFonts w:hint="eastAsia"/>
                <w:color w:val="000000" w:themeColor="text1"/>
                <w:sz w:val="18"/>
                <w:szCs w:val="18"/>
              </w:rPr>
              <w:t>其他债权投资公允价值变动</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tcPr>
          <w:p w:rsidR="00597370" w:rsidRDefault="003C2EEE">
            <w:pPr>
              <w:ind w:firstLineChars="100" w:firstLine="180"/>
              <w:rPr>
                <w:color w:val="000000" w:themeColor="text1"/>
                <w:sz w:val="18"/>
                <w:szCs w:val="18"/>
              </w:rPr>
            </w:pPr>
            <w:r>
              <w:rPr>
                <w:rFonts w:hint="eastAsia"/>
                <w:color w:val="000000" w:themeColor="text1"/>
                <w:sz w:val="18"/>
                <w:szCs w:val="18"/>
              </w:rPr>
              <w:t>金融资产重分类计入其他综合收益的金额</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tcPr>
          <w:p w:rsidR="00597370" w:rsidRDefault="003C2EEE">
            <w:pPr>
              <w:ind w:firstLineChars="100" w:firstLine="180"/>
              <w:rPr>
                <w:color w:val="000000" w:themeColor="text1"/>
                <w:sz w:val="18"/>
                <w:szCs w:val="18"/>
              </w:rPr>
            </w:pPr>
            <w:r>
              <w:rPr>
                <w:rFonts w:hint="eastAsia"/>
                <w:color w:val="000000" w:themeColor="text1"/>
                <w:sz w:val="18"/>
                <w:szCs w:val="18"/>
              </w:rPr>
              <w:t>其他债权投资信用减值准备</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tcPr>
          <w:p w:rsidR="00597370" w:rsidRDefault="003C2EEE">
            <w:pPr>
              <w:rPr>
                <w:color w:val="000000" w:themeColor="text1"/>
                <w:sz w:val="18"/>
                <w:szCs w:val="18"/>
              </w:rPr>
            </w:pPr>
            <w:r>
              <w:rPr>
                <w:rFonts w:hint="eastAsia"/>
                <w:color w:val="000000" w:themeColor="text1"/>
                <w:sz w:val="18"/>
                <w:szCs w:val="18"/>
              </w:rPr>
              <w:t xml:space="preserve">  </w:t>
            </w:r>
            <w:r>
              <w:rPr>
                <w:color w:val="000000" w:themeColor="text1"/>
                <w:sz w:val="18"/>
                <w:szCs w:val="18"/>
              </w:rPr>
              <w:t>现金流量套期储备</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tcPr>
          <w:p w:rsidR="00597370" w:rsidRDefault="003C2EEE">
            <w:pPr>
              <w:rPr>
                <w:color w:val="000000" w:themeColor="text1"/>
                <w:sz w:val="18"/>
                <w:szCs w:val="18"/>
              </w:rPr>
            </w:pPr>
            <w:r>
              <w:rPr>
                <w:rFonts w:hint="eastAsia"/>
                <w:color w:val="000000" w:themeColor="text1"/>
                <w:sz w:val="18"/>
                <w:szCs w:val="18"/>
              </w:rPr>
              <w:t xml:space="preserve">  外币财务报表折算差额</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597370">
            <w:pPr>
              <w:jc w:val="right"/>
              <w:rPr>
                <w:sz w:val="18"/>
                <w:szCs w:val="18"/>
              </w:rPr>
            </w:pP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597370">
            <w:pPr>
              <w:jc w:val="right"/>
              <w:rPr>
                <w:sz w:val="18"/>
                <w:szCs w:val="18"/>
              </w:rPr>
            </w:pPr>
          </w:p>
        </w:tc>
        <w:tc>
          <w:tcPr>
            <w:tcW w:w="482" w:type="pct"/>
            <w:shd w:val="clear" w:color="auto" w:fill="auto"/>
          </w:tcPr>
          <w:p w:rsidR="00597370" w:rsidRDefault="00597370">
            <w:pPr>
              <w:jc w:val="right"/>
              <w:rPr>
                <w:sz w:val="18"/>
                <w:szCs w:val="18"/>
              </w:rPr>
            </w:pPr>
          </w:p>
        </w:tc>
        <w:tc>
          <w:tcPr>
            <w:tcW w:w="564" w:type="pct"/>
            <w:shd w:val="clear" w:color="auto" w:fill="auto"/>
          </w:tcPr>
          <w:p w:rsidR="00597370" w:rsidRDefault="00597370">
            <w:pPr>
              <w:jc w:val="right"/>
              <w:rPr>
                <w:sz w:val="18"/>
                <w:szCs w:val="18"/>
              </w:rPr>
            </w:pPr>
          </w:p>
        </w:tc>
        <w:tc>
          <w:tcPr>
            <w:tcW w:w="503" w:type="pct"/>
            <w:shd w:val="clear" w:color="auto" w:fill="auto"/>
          </w:tcPr>
          <w:p w:rsidR="00597370" w:rsidRDefault="00597370">
            <w:pPr>
              <w:jc w:val="right"/>
              <w:rPr>
                <w:sz w:val="18"/>
                <w:szCs w:val="18"/>
              </w:rPr>
            </w:pPr>
          </w:p>
        </w:tc>
      </w:tr>
      <w:tr w:rsidR="00597370">
        <w:tc>
          <w:tcPr>
            <w:tcW w:w="881" w:type="pct"/>
            <w:shd w:val="clear" w:color="auto" w:fill="auto"/>
            <w:vAlign w:val="center"/>
          </w:tcPr>
          <w:p w:rsidR="00597370" w:rsidRDefault="003C2EEE">
            <w:pPr>
              <w:rPr>
                <w:color w:val="000000" w:themeColor="text1"/>
                <w:sz w:val="18"/>
                <w:szCs w:val="18"/>
              </w:rPr>
            </w:pPr>
            <w:r>
              <w:rPr>
                <w:rFonts w:hint="eastAsia"/>
                <w:color w:val="000000" w:themeColor="text1"/>
                <w:sz w:val="18"/>
                <w:szCs w:val="18"/>
              </w:rPr>
              <w:t>其他综合收益合计</w:t>
            </w:r>
          </w:p>
        </w:tc>
        <w:tc>
          <w:tcPr>
            <w:tcW w:w="401" w:type="pct"/>
            <w:shd w:val="clear" w:color="auto" w:fill="auto"/>
          </w:tcPr>
          <w:p w:rsidR="00597370" w:rsidRDefault="00597370">
            <w:pPr>
              <w:jc w:val="right"/>
              <w:rPr>
                <w:sz w:val="18"/>
                <w:szCs w:val="18"/>
              </w:rPr>
            </w:pPr>
          </w:p>
        </w:tc>
        <w:tc>
          <w:tcPr>
            <w:tcW w:w="563" w:type="pct"/>
            <w:shd w:val="clear" w:color="auto" w:fill="auto"/>
          </w:tcPr>
          <w:p w:rsidR="00597370" w:rsidRDefault="003C2EEE">
            <w:pPr>
              <w:jc w:val="right"/>
              <w:rPr>
                <w:sz w:val="18"/>
                <w:szCs w:val="18"/>
              </w:rPr>
            </w:pPr>
            <w:r>
              <w:rPr>
                <w:sz w:val="18"/>
                <w:szCs w:val="18"/>
              </w:rPr>
              <w:t>2,357,100.90</w:t>
            </w:r>
          </w:p>
        </w:tc>
        <w:tc>
          <w:tcPr>
            <w:tcW w:w="481" w:type="pct"/>
            <w:shd w:val="clear" w:color="auto" w:fill="auto"/>
          </w:tcPr>
          <w:p w:rsidR="00597370" w:rsidRDefault="00597370">
            <w:pPr>
              <w:jc w:val="right"/>
              <w:rPr>
                <w:sz w:val="18"/>
                <w:szCs w:val="18"/>
              </w:rPr>
            </w:pPr>
          </w:p>
        </w:tc>
        <w:tc>
          <w:tcPr>
            <w:tcW w:w="482" w:type="pct"/>
          </w:tcPr>
          <w:p w:rsidR="00597370" w:rsidRDefault="00597370">
            <w:pPr>
              <w:jc w:val="right"/>
              <w:rPr>
                <w:sz w:val="18"/>
                <w:szCs w:val="18"/>
              </w:rPr>
            </w:pPr>
          </w:p>
        </w:tc>
        <w:tc>
          <w:tcPr>
            <w:tcW w:w="643" w:type="pct"/>
            <w:shd w:val="clear" w:color="auto" w:fill="auto"/>
          </w:tcPr>
          <w:p w:rsidR="00597370" w:rsidRDefault="003C2EEE">
            <w:pPr>
              <w:jc w:val="right"/>
              <w:rPr>
                <w:sz w:val="18"/>
                <w:szCs w:val="18"/>
              </w:rPr>
            </w:pPr>
            <w:r>
              <w:rPr>
                <w:sz w:val="18"/>
                <w:szCs w:val="18"/>
              </w:rPr>
              <w:t>353,565.14</w:t>
            </w:r>
          </w:p>
        </w:tc>
        <w:tc>
          <w:tcPr>
            <w:tcW w:w="482" w:type="pct"/>
            <w:shd w:val="clear" w:color="auto" w:fill="auto"/>
          </w:tcPr>
          <w:p w:rsidR="00597370" w:rsidRDefault="003C2EEE">
            <w:pPr>
              <w:jc w:val="right"/>
              <w:rPr>
                <w:sz w:val="18"/>
                <w:szCs w:val="18"/>
              </w:rPr>
            </w:pPr>
            <w:r>
              <w:rPr>
                <w:sz w:val="18"/>
                <w:szCs w:val="18"/>
              </w:rPr>
              <w:t>1,602,227.56</w:t>
            </w:r>
          </w:p>
        </w:tc>
        <w:tc>
          <w:tcPr>
            <w:tcW w:w="564" w:type="pct"/>
            <w:shd w:val="clear" w:color="auto" w:fill="auto"/>
          </w:tcPr>
          <w:p w:rsidR="00597370" w:rsidRDefault="003C2EEE">
            <w:pPr>
              <w:jc w:val="right"/>
              <w:rPr>
                <w:sz w:val="18"/>
                <w:szCs w:val="18"/>
              </w:rPr>
            </w:pPr>
            <w:r>
              <w:rPr>
                <w:sz w:val="18"/>
                <w:szCs w:val="18"/>
              </w:rPr>
              <w:t>401,308.21</w:t>
            </w:r>
          </w:p>
        </w:tc>
        <w:tc>
          <w:tcPr>
            <w:tcW w:w="503" w:type="pct"/>
            <w:shd w:val="clear" w:color="auto" w:fill="auto"/>
          </w:tcPr>
          <w:p w:rsidR="00597370" w:rsidRDefault="003C2EEE">
            <w:pPr>
              <w:jc w:val="right"/>
              <w:rPr>
                <w:sz w:val="18"/>
                <w:szCs w:val="18"/>
              </w:rPr>
            </w:pPr>
            <w:r>
              <w:rPr>
                <w:sz w:val="18"/>
                <w:szCs w:val="18"/>
              </w:rPr>
              <w:t>1,602,227.56</w:t>
            </w:r>
          </w:p>
        </w:tc>
      </w:tr>
    </w:tbl>
    <w:p w:rsidR="00597370" w:rsidRDefault="00597370"/>
    <w:p w:rsidR="00597370" w:rsidRDefault="003C2EEE">
      <w:pPr>
        <w:spacing w:before="60" w:after="60"/>
        <w:rPr>
          <w:b/>
          <w:color w:val="000000" w:themeColor="text1"/>
        </w:rPr>
      </w:pPr>
      <w:r>
        <w:rPr>
          <w:rFonts w:hint="eastAsia"/>
          <w:color w:val="000000" w:themeColor="text1"/>
        </w:rPr>
        <w:t>其他说明，包括对现金流量套期损益的有效部分转为被套</w:t>
      </w:r>
      <w:proofErr w:type="gramStart"/>
      <w:r>
        <w:rPr>
          <w:rFonts w:hint="eastAsia"/>
          <w:color w:val="000000" w:themeColor="text1"/>
        </w:rPr>
        <w:t>期项目</w:t>
      </w:r>
      <w:proofErr w:type="gramEnd"/>
      <w:r>
        <w:rPr>
          <w:rFonts w:hint="eastAsia"/>
          <w:color w:val="000000" w:themeColor="text1"/>
        </w:rPr>
        <w:t>初始确认金额调整：</w:t>
      </w:r>
    </w:p>
    <w:sdt>
      <w:sdtPr>
        <w:rPr>
          <w:rFonts w:hint="eastAsia"/>
          <w:color w:val="000000" w:themeColor="text1"/>
        </w:rPr>
        <w:alias w:val="综合收益情况"/>
        <w:tag w:val="_GBC_c389c92b3ef04746a88c157ed2e05698"/>
        <w:id w:val="1910271344"/>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专项储备</w:t>
      </w:r>
    </w:p>
    <w:sdt>
      <w:sdtPr>
        <w:rPr>
          <w:color w:val="000000" w:themeColor="text1"/>
        </w:rPr>
        <w:alias w:val="是否适用：专项储备[双击切换]"/>
        <w:tag w:val="_GBC_291ec3c1c38144a3ac0bde67edb318cc"/>
        <w:id w:val="-112877817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专项储备"/>
          <w:tag w:val="_GBC_98a0a00169d7461b91b431ef8a517eb1"/>
          <w:id w:val="3489194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专项储备"/>
          <w:tag w:val="_GBC_95059903151b47a0a2c8b7569f80df5e"/>
          <w:id w:val="18541509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775"/>
        <w:gridCol w:w="1775"/>
        <w:gridCol w:w="1816"/>
        <w:gridCol w:w="1789"/>
      </w:tblGrid>
      <w:tr w:rsidR="00597370">
        <w:sdt>
          <w:sdtPr>
            <w:rPr>
              <w:color w:val="000000" w:themeColor="text1"/>
            </w:rPr>
            <w:tag w:val="_PLD_10185f3f00484e34ab2fc5b633938a01"/>
            <w:id w:val="-719284527"/>
          </w:sdtPr>
          <w:sdtEndPr/>
          <w:sdtContent>
            <w:tc>
              <w:tcPr>
                <w:tcW w:w="945" w:type="pct"/>
                <w:shd w:val="clear" w:color="auto" w:fill="auto"/>
                <w:vAlign w:val="center"/>
              </w:tcPr>
              <w:p w:rsidR="00597370" w:rsidRDefault="003C2EEE">
                <w:pPr>
                  <w:rPr>
                    <w:color w:val="000000" w:themeColor="text1"/>
                  </w:rPr>
                </w:pPr>
                <w:r>
                  <w:rPr>
                    <w:rFonts w:hint="eastAsia"/>
                    <w:color w:val="000000" w:themeColor="text1"/>
                  </w:rPr>
                  <w:t>项目</w:t>
                </w:r>
              </w:p>
            </w:tc>
          </w:sdtContent>
        </w:sdt>
        <w:sdt>
          <w:sdtPr>
            <w:rPr>
              <w:color w:val="000000" w:themeColor="text1"/>
            </w:rPr>
            <w:tag w:val="_PLD_3a7d7c052d7c403a8ae004d68db8fa4c"/>
            <w:id w:val="869650304"/>
          </w:sdtPr>
          <w:sdtEndPr/>
          <w:sdtContent>
            <w:tc>
              <w:tcPr>
                <w:tcW w:w="1006"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e06fab4ca3b8451eb31df81e9b4922ec"/>
            <w:id w:val="-658146886"/>
          </w:sdtPr>
          <w:sdtEndPr/>
          <w:sdtContent>
            <w:tc>
              <w:tcPr>
                <w:tcW w:w="1006" w:type="pct"/>
                <w:shd w:val="clear" w:color="auto" w:fill="auto"/>
                <w:vAlign w:val="center"/>
              </w:tcPr>
              <w:p w:rsidR="00597370" w:rsidRDefault="003C2EEE">
                <w:pPr>
                  <w:jc w:val="center"/>
                  <w:rPr>
                    <w:color w:val="000000" w:themeColor="text1"/>
                  </w:rPr>
                </w:pPr>
                <w:r>
                  <w:rPr>
                    <w:rFonts w:hint="eastAsia"/>
                    <w:color w:val="000000" w:themeColor="text1"/>
                  </w:rPr>
                  <w:t>本期增加</w:t>
                </w:r>
              </w:p>
            </w:tc>
          </w:sdtContent>
        </w:sdt>
        <w:sdt>
          <w:sdtPr>
            <w:rPr>
              <w:color w:val="000000" w:themeColor="text1"/>
            </w:rPr>
            <w:tag w:val="_PLD_2900f17d2ba041e9a7331e5ca367f7b9"/>
            <w:id w:val="850837766"/>
          </w:sdtPr>
          <w:sdtEndPr/>
          <w:sdtContent>
            <w:tc>
              <w:tcPr>
                <w:tcW w:w="1029" w:type="pct"/>
                <w:shd w:val="clear" w:color="auto" w:fill="auto"/>
                <w:vAlign w:val="center"/>
              </w:tcPr>
              <w:p w:rsidR="00597370" w:rsidRDefault="003C2EEE">
                <w:pPr>
                  <w:jc w:val="center"/>
                  <w:rPr>
                    <w:color w:val="000000" w:themeColor="text1"/>
                  </w:rPr>
                </w:pPr>
                <w:r>
                  <w:rPr>
                    <w:rFonts w:hint="eastAsia"/>
                    <w:color w:val="000000" w:themeColor="text1"/>
                  </w:rPr>
                  <w:t>本期减少</w:t>
                </w:r>
              </w:p>
            </w:tc>
          </w:sdtContent>
        </w:sdt>
        <w:sdt>
          <w:sdtPr>
            <w:rPr>
              <w:color w:val="000000" w:themeColor="text1"/>
            </w:rPr>
            <w:tag w:val="_PLD_7fcbcb783b95484a87e1a335f06dfcc3"/>
            <w:id w:val="1969930137"/>
          </w:sdtPr>
          <w:sdtEndPr/>
          <w:sdtContent>
            <w:tc>
              <w:tcPr>
                <w:tcW w:w="1014"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tr>
      <w:tr w:rsidR="00597370">
        <w:tc>
          <w:tcPr>
            <w:tcW w:w="945" w:type="pct"/>
            <w:shd w:val="clear" w:color="auto" w:fill="auto"/>
          </w:tcPr>
          <w:p w:rsidR="00597370" w:rsidRDefault="003C2EEE">
            <w:pPr>
              <w:rPr>
                <w:color w:val="000000" w:themeColor="text1"/>
              </w:rPr>
            </w:pPr>
            <w:r>
              <w:rPr>
                <w:rFonts w:hint="eastAsia"/>
                <w:color w:val="000000" w:themeColor="text1"/>
              </w:rPr>
              <w:t>安全生产费</w:t>
            </w:r>
          </w:p>
        </w:tc>
        <w:tc>
          <w:tcPr>
            <w:tcW w:w="1006" w:type="pct"/>
            <w:shd w:val="clear" w:color="auto" w:fill="auto"/>
          </w:tcPr>
          <w:p w:rsidR="00597370" w:rsidRDefault="003C2EEE">
            <w:pPr>
              <w:jc w:val="right"/>
            </w:pPr>
            <w:r>
              <w:rPr>
                <w:rFonts w:hint="eastAsia"/>
                <w:color w:val="000000"/>
              </w:rPr>
              <w:t xml:space="preserve"> 21,903,104.70 </w:t>
            </w:r>
          </w:p>
        </w:tc>
        <w:tc>
          <w:tcPr>
            <w:tcW w:w="1006" w:type="pct"/>
            <w:shd w:val="clear" w:color="auto" w:fill="auto"/>
          </w:tcPr>
          <w:p w:rsidR="00597370" w:rsidRDefault="003C2EEE">
            <w:pPr>
              <w:jc w:val="right"/>
            </w:pPr>
            <w:r>
              <w:rPr>
                <w:rFonts w:hint="eastAsia"/>
                <w:color w:val="000000"/>
              </w:rPr>
              <w:t xml:space="preserve"> 6,738,400.55 </w:t>
            </w:r>
          </w:p>
        </w:tc>
        <w:tc>
          <w:tcPr>
            <w:tcW w:w="1029" w:type="pct"/>
            <w:shd w:val="clear" w:color="auto" w:fill="auto"/>
          </w:tcPr>
          <w:p w:rsidR="00597370" w:rsidRDefault="003C2EEE">
            <w:pPr>
              <w:jc w:val="right"/>
            </w:pPr>
            <w:r>
              <w:rPr>
                <w:rFonts w:hint="eastAsia"/>
                <w:color w:val="000000"/>
              </w:rPr>
              <w:t xml:space="preserve"> 2,959,159.79 </w:t>
            </w:r>
          </w:p>
        </w:tc>
        <w:tc>
          <w:tcPr>
            <w:tcW w:w="1014" w:type="pct"/>
            <w:shd w:val="clear" w:color="auto" w:fill="auto"/>
          </w:tcPr>
          <w:p w:rsidR="00597370" w:rsidRDefault="003C2EEE">
            <w:pPr>
              <w:jc w:val="right"/>
            </w:pPr>
            <w:r>
              <w:rPr>
                <w:rFonts w:hint="eastAsia"/>
                <w:color w:val="000000"/>
              </w:rPr>
              <w:t xml:space="preserve"> 25,682,345.46 </w:t>
            </w:r>
          </w:p>
        </w:tc>
      </w:tr>
      <w:tr w:rsidR="00597370">
        <w:tc>
          <w:tcPr>
            <w:tcW w:w="945" w:type="pct"/>
            <w:shd w:val="clear" w:color="auto" w:fill="auto"/>
            <w:vAlign w:val="center"/>
          </w:tcPr>
          <w:p w:rsidR="00597370" w:rsidRDefault="003C2EEE">
            <w:pPr>
              <w:rPr>
                <w:color w:val="000000" w:themeColor="text1"/>
              </w:rPr>
            </w:pPr>
            <w:r>
              <w:rPr>
                <w:rFonts w:hint="eastAsia"/>
                <w:color w:val="000000" w:themeColor="text1"/>
              </w:rPr>
              <w:t>合计</w:t>
            </w:r>
          </w:p>
        </w:tc>
        <w:tc>
          <w:tcPr>
            <w:tcW w:w="1006" w:type="pct"/>
            <w:shd w:val="clear" w:color="auto" w:fill="auto"/>
          </w:tcPr>
          <w:p w:rsidR="00597370" w:rsidRDefault="003C2EEE">
            <w:pPr>
              <w:jc w:val="right"/>
            </w:pPr>
            <w:r>
              <w:rPr>
                <w:rFonts w:hint="eastAsia"/>
                <w:color w:val="000000"/>
              </w:rPr>
              <w:t xml:space="preserve"> 21,903,104.70 </w:t>
            </w:r>
          </w:p>
        </w:tc>
        <w:tc>
          <w:tcPr>
            <w:tcW w:w="1006" w:type="pct"/>
            <w:shd w:val="clear" w:color="auto" w:fill="auto"/>
          </w:tcPr>
          <w:p w:rsidR="00597370" w:rsidRDefault="003C2EEE">
            <w:pPr>
              <w:jc w:val="right"/>
            </w:pPr>
            <w:r>
              <w:rPr>
                <w:rFonts w:hint="eastAsia"/>
                <w:color w:val="000000"/>
              </w:rPr>
              <w:t xml:space="preserve"> 6,738,400.55 </w:t>
            </w:r>
          </w:p>
        </w:tc>
        <w:tc>
          <w:tcPr>
            <w:tcW w:w="1029" w:type="pct"/>
            <w:shd w:val="clear" w:color="auto" w:fill="auto"/>
          </w:tcPr>
          <w:p w:rsidR="00597370" w:rsidRDefault="003C2EEE">
            <w:pPr>
              <w:jc w:val="right"/>
            </w:pPr>
            <w:r>
              <w:rPr>
                <w:rFonts w:hint="eastAsia"/>
                <w:color w:val="000000"/>
              </w:rPr>
              <w:t xml:space="preserve"> 2,959,159.79 </w:t>
            </w:r>
          </w:p>
        </w:tc>
        <w:tc>
          <w:tcPr>
            <w:tcW w:w="1014" w:type="pct"/>
            <w:shd w:val="clear" w:color="auto" w:fill="auto"/>
          </w:tcPr>
          <w:p w:rsidR="00597370" w:rsidRDefault="003C2EEE">
            <w:pPr>
              <w:jc w:val="right"/>
            </w:pPr>
            <w:r>
              <w:rPr>
                <w:rFonts w:hint="eastAsia"/>
                <w:color w:val="000000"/>
              </w:rPr>
              <w:t xml:space="preserve"> 25,682,345.46 </w:t>
            </w:r>
          </w:p>
        </w:tc>
      </w:tr>
    </w:tbl>
    <w:p w:rsidR="00597370" w:rsidRDefault="003C2EEE">
      <w:pPr>
        <w:rPr>
          <w:color w:val="000000" w:themeColor="text1"/>
        </w:rPr>
      </w:pPr>
      <w:r>
        <w:rPr>
          <w:rFonts w:hint="eastAsia"/>
          <w:color w:val="000000" w:themeColor="text1"/>
        </w:rPr>
        <w:t>其他说明，包括本期增减变动情况、变动原因说明：</w:t>
      </w:r>
    </w:p>
    <w:p w:rsidR="00597370" w:rsidRDefault="006840ED">
      <w:pPr>
        <w:rPr>
          <w:color w:val="000000" w:themeColor="text1"/>
        </w:rPr>
      </w:pPr>
      <w:sdt>
        <w:sdtPr>
          <w:rPr>
            <w:color w:val="000000" w:themeColor="text1"/>
          </w:rPr>
          <w:alias w:val="专项储备情况说明"/>
          <w:tag w:val="_GBC_758f99495b434b96aea70b74014caac7"/>
          <w:id w:val="-1363052154"/>
          <w:placeholder>
            <w:docPart w:val="GBC22222222222222222222222222222"/>
          </w:placeholder>
        </w:sdtPr>
        <w:sdtEndPr/>
        <w:sdtContent>
          <w:r w:rsidR="003C2EEE">
            <w:rPr>
              <w:rFonts w:hint="eastAsia"/>
              <w:color w:val="000000" w:themeColor="text1"/>
            </w:rPr>
            <w:t>无</w:t>
          </w:r>
        </w:sdtContent>
      </w:sdt>
    </w:p>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盈余公积</w:t>
      </w:r>
    </w:p>
    <w:sdt>
      <w:sdtPr>
        <w:rPr>
          <w:color w:val="000000" w:themeColor="text1"/>
        </w:rPr>
        <w:alias w:val="是否适用：盈余公积[双击切换]"/>
        <w:tag w:val="_GBC_52b9917fb423490bb32a9d6648a07db9"/>
        <w:id w:val="201419064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盈余公积"/>
          <w:tag w:val="_GBC_ea3204141ce3498eaccd14c833f64973"/>
          <w:id w:val="-75620096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盈余公积"/>
          <w:tag w:val="_GBC_f5c6664d47b9454d919a38095dd3c48d"/>
          <w:id w:val="-12949763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59"/>
        <w:gridCol w:w="1784"/>
        <w:gridCol w:w="1789"/>
        <w:gridCol w:w="1802"/>
        <w:gridCol w:w="1789"/>
      </w:tblGrid>
      <w:tr w:rsidR="00597370">
        <w:sdt>
          <w:sdtPr>
            <w:rPr>
              <w:color w:val="000000" w:themeColor="text1"/>
            </w:rPr>
            <w:tag w:val="_PLD_70f0cea3df9b4646bf8f9454719b4599"/>
            <w:id w:val="-1450159006"/>
          </w:sdtPr>
          <w:sdtEndPr/>
          <w:sdtContent>
            <w:tc>
              <w:tcPr>
                <w:tcW w:w="940" w:type="pct"/>
              </w:tcPr>
              <w:p w:rsidR="00597370" w:rsidRDefault="003C2EEE">
                <w:pPr>
                  <w:autoSpaceDE w:val="0"/>
                  <w:autoSpaceDN w:val="0"/>
                  <w:adjustRightInd w:val="0"/>
                  <w:snapToGrid w:val="0"/>
                  <w:rPr>
                    <w:color w:val="000000" w:themeColor="text1"/>
                  </w:rPr>
                </w:pPr>
                <w:r>
                  <w:rPr>
                    <w:rFonts w:hint="eastAsia"/>
                    <w:color w:val="000000" w:themeColor="text1"/>
                  </w:rPr>
                  <w:t>项目</w:t>
                </w:r>
              </w:p>
            </w:tc>
          </w:sdtContent>
        </w:sdt>
        <w:sdt>
          <w:sdtPr>
            <w:rPr>
              <w:color w:val="000000" w:themeColor="text1"/>
            </w:rPr>
            <w:tag w:val="_PLD_5466d5e3c2b64aeb9abc2e1a21f2e6c0"/>
            <w:id w:val="2139909577"/>
          </w:sdtPr>
          <w:sdtEndPr/>
          <w:sdtContent>
            <w:tc>
              <w:tcPr>
                <w:tcW w:w="1011" w:type="pct"/>
              </w:tcPr>
              <w:p w:rsidR="00597370" w:rsidRDefault="003C2EEE">
                <w:pPr>
                  <w:autoSpaceDE w:val="0"/>
                  <w:autoSpaceDN w:val="0"/>
                  <w:adjustRightInd w:val="0"/>
                  <w:snapToGrid w:val="0"/>
                  <w:jc w:val="center"/>
                  <w:rPr>
                    <w:color w:val="000000" w:themeColor="text1"/>
                  </w:rPr>
                </w:pPr>
                <w:r>
                  <w:rPr>
                    <w:rFonts w:hint="eastAsia"/>
                    <w:color w:val="000000" w:themeColor="text1"/>
                  </w:rPr>
                  <w:t>期初余额</w:t>
                </w:r>
              </w:p>
            </w:tc>
          </w:sdtContent>
        </w:sdt>
        <w:sdt>
          <w:sdtPr>
            <w:rPr>
              <w:color w:val="000000" w:themeColor="text1"/>
            </w:rPr>
            <w:tag w:val="_PLD_44b0c825c55949b98cff671f8777dd39"/>
            <w:id w:val="213630991"/>
          </w:sdtPr>
          <w:sdtEndPr/>
          <w:sdtContent>
            <w:tc>
              <w:tcPr>
                <w:tcW w:w="1014" w:type="pct"/>
              </w:tcPr>
              <w:p w:rsidR="00597370" w:rsidRDefault="003C2EEE">
                <w:pPr>
                  <w:autoSpaceDE w:val="0"/>
                  <w:autoSpaceDN w:val="0"/>
                  <w:adjustRightInd w:val="0"/>
                  <w:snapToGrid w:val="0"/>
                  <w:jc w:val="center"/>
                  <w:rPr>
                    <w:color w:val="000000" w:themeColor="text1"/>
                  </w:rPr>
                </w:pPr>
                <w:r>
                  <w:rPr>
                    <w:rFonts w:hint="eastAsia"/>
                    <w:color w:val="000000" w:themeColor="text1"/>
                  </w:rPr>
                  <w:t>本期增加</w:t>
                </w:r>
              </w:p>
            </w:tc>
          </w:sdtContent>
        </w:sdt>
        <w:sdt>
          <w:sdtPr>
            <w:rPr>
              <w:color w:val="000000" w:themeColor="text1"/>
            </w:rPr>
            <w:tag w:val="_PLD_111b02bee52f4f1a879468aa2243106f"/>
            <w:id w:val="1880279630"/>
          </w:sdtPr>
          <w:sdtEndPr/>
          <w:sdtContent>
            <w:tc>
              <w:tcPr>
                <w:tcW w:w="1021" w:type="pct"/>
              </w:tcPr>
              <w:p w:rsidR="00597370" w:rsidRDefault="003C2EEE">
                <w:pPr>
                  <w:autoSpaceDE w:val="0"/>
                  <w:autoSpaceDN w:val="0"/>
                  <w:adjustRightInd w:val="0"/>
                  <w:snapToGrid w:val="0"/>
                  <w:jc w:val="center"/>
                  <w:rPr>
                    <w:color w:val="000000" w:themeColor="text1"/>
                  </w:rPr>
                </w:pPr>
                <w:r>
                  <w:rPr>
                    <w:rFonts w:hint="eastAsia"/>
                    <w:color w:val="000000" w:themeColor="text1"/>
                  </w:rPr>
                  <w:t>本期减少</w:t>
                </w:r>
              </w:p>
            </w:tc>
          </w:sdtContent>
        </w:sdt>
        <w:sdt>
          <w:sdtPr>
            <w:rPr>
              <w:color w:val="000000" w:themeColor="text1"/>
            </w:rPr>
            <w:tag w:val="_PLD_e6d9dff1341d44c99d9c3f51d8fd2c2f"/>
            <w:id w:val="2087570124"/>
          </w:sdtPr>
          <w:sdtEndPr/>
          <w:sdtContent>
            <w:tc>
              <w:tcPr>
                <w:tcW w:w="1014" w:type="pct"/>
              </w:tcPr>
              <w:p w:rsidR="00597370" w:rsidRDefault="003C2EEE">
                <w:pPr>
                  <w:autoSpaceDE w:val="0"/>
                  <w:autoSpaceDN w:val="0"/>
                  <w:adjustRightInd w:val="0"/>
                  <w:snapToGrid w:val="0"/>
                  <w:jc w:val="center"/>
                  <w:rPr>
                    <w:color w:val="000000" w:themeColor="text1"/>
                  </w:rPr>
                </w:pPr>
                <w:r>
                  <w:rPr>
                    <w:rFonts w:hint="eastAsia"/>
                    <w:color w:val="000000" w:themeColor="text1"/>
                  </w:rPr>
                  <w:t>期末余额</w:t>
                </w:r>
              </w:p>
            </w:tc>
          </w:sdtContent>
        </w:sdt>
      </w:tr>
      <w:tr w:rsidR="00597370">
        <w:tc>
          <w:tcPr>
            <w:tcW w:w="940" w:type="pct"/>
            <w:shd w:val="clear" w:color="auto" w:fill="auto"/>
            <w:vAlign w:val="center"/>
          </w:tcPr>
          <w:p w:rsidR="00597370" w:rsidRDefault="003C2EEE">
            <w:pPr>
              <w:autoSpaceDE w:val="0"/>
              <w:autoSpaceDN w:val="0"/>
              <w:adjustRightInd w:val="0"/>
              <w:snapToGrid w:val="0"/>
              <w:jc w:val="both"/>
              <w:rPr>
                <w:color w:val="000000" w:themeColor="text1"/>
              </w:rPr>
            </w:pPr>
            <w:r>
              <w:rPr>
                <w:rFonts w:hint="eastAsia"/>
                <w:color w:val="000000" w:themeColor="text1"/>
              </w:rPr>
              <w:t>法定盈余公积</w:t>
            </w:r>
          </w:p>
        </w:tc>
        <w:tc>
          <w:tcPr>
            <w:tcW w:w="1011" w:type="pct"/>
            <w:shd w:val="clear" w:color="auto" w:fill="auto"/>
          </w:tcPr>
          <w:p w:rsidR="00597370" w:rsidRDefault="003C2EEE">
            <w:pPr>
              <w:autoSpaceDE w:val="0"/>
              <w:autoSpaceDN w:val="0"/>
              <w:adjustRightInd w:val="0"/>
              <w:snapToGrid w:val="0"/>
              <w:ind w:right="180"/>
              <w:jc w:val="right"/>
            </w:pPr>
            <w:r>
              <w:rPr>
                <w:rFonts w:hint="eastAsia"/>
              </w:rPr>
              <w:t>118,088,672.71</w:t>
            </w:r>
          </w:p>
        </w:tc>
        <w:tc>
          <w:tcPr>
            <w:tcW w:w="1014" w:type="pct"/>
            <w:shd w:val="clear" w:color="auto" w:fill="auto"/>
          </w:tcPr>
          <w:p w:rsidR="00597370" w:rsidRDefault="00597370">
            <w:pPr>
              <w:autoSpaceDE w:val="0"/>
              <w:autoSpaceDN w:val="0"/>
              <w:adjustRightInd w:val="0"/>
              <w:snapToGrid w:val="0"/>
              <w:ind w:right="180"/>
              <w:jc w:val="right"/>
            </w:pPr>
          </w:p>
        </w:tc>
        <w:tc>
          <w:tcPr>
            <w:tcW w:w="1021" w:type="pct"/>
            <w:shd w:val="clear" w:color="auto" w:fill="auto"/>
          </w:tcPr>
          <w:p w:rsidR="00597370" w:rsidRDefault="00597370">
            <w:pPr>
              <w:autoSpaceDE w:val="0"/>
              <w:autoSpaceDN w:val="0"/>
              <w:adjustRightInd w:val="0"/>
              <w:snapToGrid w:val="0"/>
              <w:ind w:right="180"/>
              <w:jc w:val="right"/>
            </w:pPr>
          </w:p>
        </w:tc>
        <w:tc>
          <w:tcPr>
            <w:tcW w:w="1014" w:type="pct"/>
            <w:shd w:val="clear" w:color="auto" w:fill="auto"/>
          </w:tcPr>
          <w:p w:rsidR="00597370" w:rsidRDefault="003C2EEE">
            <w:pPr>
              <w:autoSpaceDE w:val="0"/>
              <w:autoSpaceDN w:val="0"/>
              <w:adjustRightInd w:val="0"/>
              <w:snapToGrid w:val="0"/>
              <w:ind w:right="180"/>
              <w:jc w:val="right"/>
            </w:pPr>
            <w:r>
              <w:t>118,088,672.71</w:t>
            </w:r>
          </w:p>
        </w:tc>
      </w:tr>
      <w:tr w:rsidR="00597370">
        <w:tc>
          <w:tcPr>
            <w:tcW w:w="940" w:type="pct"/>
          </w:tcPr>
          <w:p w:rsidR="00597370" w:rsidRDefault="003C2EEE">
            <w:pPr>
              <w:autoSpaceDE w:val="0"/>
              <w:autoSpaceDN w:val="0"/>
              <w:adjustRightInd w:val="0"/>
              <w:snapToGrid w:val="0"/>
              <w:rPr>
                <w:color w:val="000000" w:themeColor="text1"/>
              </w:rPr>
            </w:pPr>
            <w:r>
              <w:rPr>
                <w:rFonts w:hint="eastAsia"/>
                <w:color w:val="000000" w:themeColor="text1"/>
              </w:rPr>
              <w:t>合计</w:t>
            </w:r>
          </w:p>
        </w:tc>
        <w:tc>
          <w:tcPr>
            <w:tcW w:w="1011" w:type="pct"/>
          </w:tcPr>
          <w:p w:rsidR="00597370" w:rsidRDefault="003C2EEE">
            <w:pPr>
              <w:autoSpaceDE w:val="0"/>
              <w:autoSpaceDN w:val="0"/>
              <w:adjustRightInd w:val="0"/>
              <w:snapToGrid w:val="0"/>
              <w:ind w:right="180"/>
              <w:jc w:val="right"/>
            </w:pPr>
            <w:r>
              <w:rPr>
                <w:rFonts w:hint="eastAsia"/>
              </w:rPr>
              <w:t>118,088,672.71</w:t>
            </w:r>
          </w:p>
        </w:tc>
        <w:tc>
          <w:tcPr>
            <w:tcW w:w="1014" w:type="pct"/>
          </w:tcPr>
          <w:p w:rsidR="00597370" w:rsidRDefault="00597370">
            <w:pPr>
              <w:autoSpaceDE w:val="0"/>
              <w:autoSpaceDN w:val="0"/>
              <w:adjustRightInd w:val="0"/>
              <w:snapToGrid w:val="0"/>
              <w:ind w:right="180"/>
              <w:jc w:val="right"/>
            </w:pPr>
          </w:p>
        </w:tc>
        <w:tc>
          <w:tcPr>
            <w:tcW w:w="1021" w:type="pct"/>
          </w:tcPr>
          <w:p w:rsidR="00597370" w:rsidRDefault="00597370">
            <w:pPr>
              <w:autoSpaceDE w:val="0"/>
              <w:autoSpaceDN w:val="0"/>
              <w:adjustRightInd w:val="0"/>
              <w:snapToGrid w:val="0"/>
              <w:ind w:right="180"/>
              <w:jc w:val="right"/>
            </w:pPr>
          </w:p>
        </w:tc>
        <w:tc>
          <w:tcPr>
            <w:tcW w:w="1014" w:type="pct"/>
          </w:tcPr>
          <w:p w:rsidR="00597370" w:rsidRDefault="003C2EEE">
            <w:pPr>
              <w:autoSpaceDE w:val="0"/>
              <w:autoSpaceDN w:val="0"/>
              <w:adjustRightInd w:val="0"/>
              <w:snapToGrid w:val="0"/>
              <w:ind w:right="180"/>
              <w:jc w:val="right"/>
            </w:pPr>
            <w:r>
              <w:t>118,088,672.71</w:t>
            </w:r>
          </w:p>
        </w:tc>
      </w:tr>
    </w:tbl>
    <w:p w:rsidR="00597370" w:rsidRDefault="003C2EEE">
      <w:pPr>
        <w:spacing w:before="60" w:after="60"/>
        <w:rPr>
          <w:color w:val="000000" w:themeColor="text1"/>
        </w:rPr>
      </w:pPr>
      <w:r>
        <w:rPr>
          <w:rFonts w:hint="eastAsia"/>
          <w:color w:val="000000" w:themeColor="text1"/>
        </w:rPr>
        <w:t>盈余公积说明，包括本期增减变动情况、变动原因说明：</w:t>
      </w:r>
    </w:p>
    <w:sdt>
      <w:sdtPr>
        <w:rPr>
          <w:color w:val="000000" w:themeColor="text1"/>
        </w:rPr>
        <w:alias w:val="盈余公积说明"/>
        <w:tag w:val="_GBC_33c5d1ed862f4b36950b5ea2188f5b09"/>
        <w:id w:val="1773283666"/>
        <w:placeholder>
          <w:docPart w:val="GBC22222222222222222222222222222"/>
        </w:placeholder>
      </w:sdtPr>
      <w:sdtEndPr/>
      <w:sdtContent>
        <w:p w:rsidR="00597370" w:rsidRDefault="003C2EEE">
          <w:pPr>
            <w:autoSpaceDE w:val="0"/>
            <w:autoSpaceDN w:val="0"/>
            <w:adjustRightInd w:val="0"/>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未分配利润</w:t>
      </w:r>
    </w:p>
    <w:p w:rsidR="00597370" w:rsidRDefault="006840ED">
      <w:pPr>
        <w:rPr>
          <w:color w:val="000000" w:themeColor="text1"/>
        </w:rPr>
      </w:pPr>
      <w:sdt>
        <w:sdtPr>
          <w:rPr>
            <w:color w:val="000000" w:themeColor="text1"/>
          </w:rPr>
          <w:alias w:val="是否适用：未分配利润[双击切换]"/>
          <w:tag w:val="_GBC_32c558bdbb77445cabeee783e5ff910e"/>
          <w:id w:val="1911579663"/>
          <w:lock w:val="contentLocked"/>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未分配利润"/>
          <w:tag w:val="_GBC_cfb07ff3eded4b49916cfc42d821bab6"/>
          <w:id w:val="-5775195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未分配利润"/>
          <w:tag w:val="_GBC_55c70fe731be4b84be72ea88afd989b8"/>
          <w:id w:val="-10694137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2755"/>
        <w:gridCol w:w="2668"/>
      </w:tblGrid>
      <w:tr w:rsidR="00597370">
        <w:trPr>
          <w:cantSplit/>
        </w:trPr>
        <w:sdt>
          <w:sdtPr>
            <w:rPr>
              <w:color w:val="000000" w:themeColor="text1"/>
            </w:rPr>
            <w:tag w:val="_PLD_b6dc2bd7eebb4e6d9f1ccea8d86e6f47"/>
            <w:id w:val="-1889027139"/>
          </w:sdtPr>
          <w:sdtEndPr/>
          <w:sdtContent>
            <w:tc>
              <w:tcPr>
                <w:tcW w:w="1927" w:type="pct"/>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6e60054e3c3747d1a0ffc87edacae2b6"/>
            <w:id w:val="-1180581180"/>
          </w:sdtPr>
          <w:sdtEndPr/>
          <w:sdtContent>
            <w:tc>
              <w:tcPr>
                <w:tcW w:w="1561" w:type="pct"/>
                <w:vAlign w:val="center"/>
              </w:tcPr>
              <w:p w:rsidR="00597370" w:rsidRDefault="003C2EEE">
                <w:pPr>
                  <w:jc w:val="center"/>
                  <w:rPr>
                    <w:color w:val="000000" w:themeColor="text1"/>
                  </w:rPr>
                </w:pPr>
                <w:r>
                  <w:rPr>
                    <w:rFonts w:hint="eastAsia"/>
                    <w:color w:val="000000" w:themeColor="text1"/>
                  </w:rPr>
                  <w:t>本期</w:t>
                </w:r>
              </w:p>
            </w:tc>
          </w:sdtContent>
        </w:sdt>
        <w:sdt>
          <w:sdtPr>
            <w:rPr>
              <w:color w:val="000000" w:themeColor="text1"/>
            </w:rPr>
            <w:tag w:val="_PLD_9afd54e9959d4b22b00bfe92596a2a16"/>
            <w:id w:val="906892647"/>
          </w:sdtPr>
          <w:sdtEndPr/>
          <w:sdtContent>
            <w:tc>
              <w:tcPr>
                <w:tcW w:w="1512" w:type="pct"/>
                <w:vAlign w:val="center"/>
              </w:tcPr>
              <w:p w:rsidR="00597370" w:rsidRDefault="003C2EEE">
                <w:pPr>
                  <w:jc w:val="center"/>
                  <w:rPr>
                    <w:color w:val="000000" w:themeColor="text1"/>
                  </w:rPr>
                </w:pPr>
                <w:r>
                  <w:rPr>
                    <w:rFonts w:hint="eastAsia"/>
                    <w:color w:val="000000" w:themeColor="text1"/>
                  </w:rPr>
                  <w:t>上年度</w:t>
                </w:r>
              </w:p>
            </w:tc>
          </w:sdtContent>
        </w:sdt>
      </w:tr>
      <w:tr w:rsidR="00597370">
        <w:trPr>
          <w:cantSplit/>
        </w:trPr>
        <w:tc>
          <w:tcPr>
            <w:tcW w:w="1927" w:type="pct"/>
            <w:vAlign w:val="center"/>
          </w:tcPr>
          <w:p w:rsidR="00597370" w:rsidRDefault="003C2EEE">
            <w:pPr>
              <w:rPr>
                <w:color w:val="000000" w:themeColor="text1"/>
              </w:rPr>
            </w:pPr>
            <w:r>
              <w:rPr>
                <w:rFonts w:hint="eastAsia"/>
                <w:color w:val="000000" w:themeColor="text1"/>
              </w:rPr>
              <w:lastRenderedPageBreak/>
              <w:t>调整前上期末未分配利润</w:t>
            </w:r>
          </w:p>
        </w:tc>
        <w:tc>
          <w:tcPr>
            <w:tcW w:w="1561" w:type="pct"/>
            <w:vAlign w:val="bottom"/>
          </w:tcPr>
          <w:p w:rsidR="00597370" w:rsidRDefault="003C2EEE">
            <w:pPr>
              <w:jc w:val="right"/>
            </w:pPr>
            <w:r>
              <w:t>992,249,846.86</w:t>
            </w:r>
          </w:p>
        </w:tc>
        <w:tc>
          <w:tcPr>
            <w:tcW w:w="1512" w:type="pct"/>
            <w:vAlign w:val="bottom"/>
          </w:tcPr>
          <w:p w:rsidR="00597370" w:rsidRDefault="003C2EEE">
            <w:pPr>
              <w:jc w:val="right"/>
            </w:pPr>
            <w:r>
              <w:t>841,631,315.88</w:t>
            </w:r>
          </w:p>
        </w:tc>
      </w:tr>
      <w:tr w:rsidR="00597370">
        <w:trPr>
          <w:cantSplit/>
        </w:trPr>
        <w:tc>
          <w:tcPr>
            <w:tcW w:w="1927" w:type="pct"/>
            <w:vAlign w:val="center"/>
          </w:tcPr>
          <w:p w:rsidR="00597370" w:rsidRDefault="003C2EEE">
            <w:pPr>
              <w:rPr>
                <w:color w:val="000000" w:themeColor="text1"/>
              </w:rPr>
            </w:pPr>
            <w:r>
              <w:rPr>
                <w:rFonts w:hint="eastAsia"/>
                <w:color w:val="000000" w:themeColor="text1"/>
              </w:rPr>
              <w:t>调整期初未分配利润合计数（调增</w:t>
            </w:r>
            <w:r>
              <w:rPr>
                <w:color w:val="000000" w:themeColor="text1"/>
              </w:rPr>
              <w:t>+，调减－）</w:t>
            </w:r>
          </w:p>
        </w:tc>
        <w:tc>
          <w:tcPr>
            <w:tcW w:w="1561" w:type="pct"/>
            <w:vAlign w:val="bottom"/>
          </w:tcPr>
          <w:p w:rsidR="00597370" w:rsidRDefault="00597370">
            <w:pPr>
              <w:ind w:right="6"/>
              <w:jc w:val="right"/>
            </w:pPr>
          </w:p>
        </w:tc>
        <w:tc>
          <w:tcPr>
            <w:tcW w:w="1512" w:type="pct"/>
            <w:vAlign w:val="bottom"/>
          </w:tcPr>
          <w:p w:rsidR="00597370" w:rsidRDefault="00597370">
            <w:pPr>
              <w:ind w:right="6"/>
              <w:jc w:val="right"/>
            </w:pPr>
          </w:p>
        </w:tc>
      </w:tr>
      <w:tr w:rsidR="00597370">
        <w:trPr>
          <w:cantSplit/>
        </w:trPr>
        <w:tc>
          <w:tcPr>
            <w:tcW w:w="1927" w:type="pct"/>
            <w:vAlign w:val="center"/>
          </w:tcPr>
          <w:p w:rsidR="00597370" w:rsidRDefault="003C2EEE">
            <w:pPr>
              <w:rPr>
                <w:color w:val="000000" w:themeColor="text1"/>
              </w:rPr>
            </w:pPr>
            <w:r>
              <w:rPr>
                <w:rFonts w:hint="eastAsia"/>
                <w:color w:val="000000" w:themeColor="text1"/>
              </w:rPr>
              <w:t>调整后期初未分配利润</w:t>
            </w:r>
          </w:p>
        </w:tc>
        <w:tc>
          <w:tcPr>
            <w:tcW w:w="1561" w:type="pct"/>
            <w:vAlign w:val="bottom"/>
          </w:tcPr>
          <w:p w:rsidR="00597370" w:rsidRDefault="003C2EEE">
            <w:pPr>
              <w:ind w:right="6"/>
              <w:jc w:val="right"/>
            </w:pPr>
            <w:r>
              <w:t>992,249,846.86</w:t>
            </w:r>
          </w:p>
        </w:tc>
        <w:tc>
          <w:tcPr>
            <w:tcW w:w="1512" w:type="pct"/>
            <w:vAlign w:val="bottom"/>
          </w:tcPr>
          <w:p w:rsidR="00597370" w:rsidRDefault="003C2EEE">
            <w:pPr>
              <w:ind w:right="6"/>
              <w:jc w:val="right"/>
            </w:pPr>
            <w:r>
              <w:t>841,631,315.88</w:t>
            </w:r>
          </w:p>
        </w:tc>
      </w:tr>
      <w:tr w:rsidR="00597370">
        <w:trPr>
          <w:cantSplit/>
        </w:trPr>
        <w:tc>
          <w:tcPr>
            <w:tcW w:w="1927" w:type="pct"/>
            <w:vAlign w:val="center"/>
          </w:tcPr>
          <w:p w:rsidR="00597370" w:rsidRDefault="003C2EEE">
            <w:pPr>
              <w:ind w:right="6"/>
              <w:rPr>
                <w:color w:val="000000" w:themeColor="text1"/>
              </w:rPr>
            </w:pPr>
            <w:r>
              <w:rPr>
                <w:rFonts w:hint="eastAsia"/>
                <w:color w:val="000000" w:themeColor="text1"/>
              </w:rPr>
              <w:t>加：本期归属于母公司所有者的净利润</w:t>
            </w:r>
          </w:p>
        </w:tc>
        <w:tc>
          <w:tcPr>
            <w:tcW w:w="1561" w:type="pct"/>
            <w:vAlign w:val="bottom"/>
          </w:tcPr>
          <w:p w:rsidR="00597370" w:rsidRDefault="003C2EEE">
            <w:pPr>
              <w:ind w:right="6"/>
              <w:jc w:val="right"/>
            </w:pPr>
            <w:r>
              <w:t>34,793,222.68</w:t>
            </w:r>
          </w:p>
        </w:tc>
        <w:tc>
          <w:tcPr>
            <w:tcW w:w="1512" w:type="pct"/>
            <w:vAlign w:val="bottom"/>
          </w:tcPr>
          <w:p w:rsidR="00597370" w:rsidRDefault="003C2EEE">
            <w:pPr>
              <w:ind w:right="6"/>
              <w:jc w:val="right"/>
            </w:pPr>
            <w:r>
              <w:t>234,586,738.82</w:t>
            </w:r>
          </w:p>
        </w:tc>
      </w:tr>
      <w:tr w:rsidR="00597370">
        <w:trPr>
          <w:cantSplit/>
        </w:trPr>
        <w:tc>
          <w:tcPr>
            <w:tcW w:w="1927" w:type="pct"/>
            <w:vAlign w:val="center"/>
          </w:tcPr>
          <w:p w:rsidR="00597370" w:rsidRDefault="003C2EEE">
            <w:pPr>
              <w:autoSpaceDE w:val="0"/>
              <w:autoSpaceDN w:val="0"/>
              <w:adjustRightInd w:val="0"/>
              <w:rPr>
                <w:color w:val="000000" w:themeColor="text1"/>
              </w:rPr>
            </w:pPr>
            <w:r>
              <w:rPr>
                <w:rFonts w:hint="eastAsia"/>
                <w:color w:val="000000" w:themeColor="text1"/>
              </w:rPr>
              <w:t>减：提取法定盈余公积</w:t>
            </w:r>
          </w:p>
        </w:tc>
        <w:tc>
          <w:tcPr>
            <w:tcW w:w="1561" w:type="pct"/>
            <w:vAlign w:val="bottom"/>
          </w:tcPr>
          <w:p w:rsidR="00597370" w:rsidRDefault="00597370">
            <w:pPr>
              <w:jc w:val="right"/>
            </w:pPr>
          </w:p>
        </w:tc>
        <w:tc>
          <w:tcPr>
            <w:tcW w:w="1512" w:type="pct"/>
            <w:vAlign w:val="bottom"/>
          </w:tcPr>
          <w:p w:rsidR="00597370" w:rsidRDefault="003C2EEE">
            <w:pPr>
              <w:ind w:right="6"/>
              <w:jc w:val="right"/>
            </w:pPr>
            <w:r>
              <w:t>23,998,074.58</w:t>
            </w:r>
          </w:p>
        </w:tc>
      </w:tr>
      <w:tr w:rsidR="00597370">
        <w:trPr>
          <w:cantSplit/>
        </w:trPr>
        <w:tc>
          <w:tcPr>
            <w:tcW w:w="1927" w:type="pct"/>
            <w:vAlign w:val="center"/>
          </w:tcPr>
          <w:p w:rsidR="00597370" w:rsidRDefault="003C2EEE">
            <w:pPr>
              <w:autoSpaceDE w:val="0"/>
              <w:autoSpaceDN w:val="0"/>
              <w:adjustRightInd w:val="0"/>
              <w:rPr>
                <w:color w:val="000000" w:themeColor="text1"/>
              </w:rPr>
            </w:pPr>
            <w:r>
              <w:rPr>
                <w:rFonts w:hint="eastAsia"/>
                <w:color w:val="000000" w:themeColor="text1"/>
              </w:rPr>
              <w:t>提取任意盈余公积</w:t>
            </w:r>
          </w:p>
        </w:tc>
        <w:tc>
          <w:tcPr>
            <w:tcW w:w="1561" w:type="pct"/>
            <w:vAlign w:val="bottom"/>
          </w:tcPr>
          <w:p w:rsidR="00597370" w:rsidRDefault="00597370">
            <w:pPr>
              <w:jc w:val="right"/>
            </w:pPr>
          </w:p>
        </w:tc>
        <w:tc>
          <w:tcPr>
            <w:tcW w:w="1512" w:type="pct"/>
            <w:vAlign w:val="bottom"/>
          </w:tcPr>
          <w:p w:rsidR="00597370" w:rsidRDefault="00597370">
            <w:pPr>
              <w:ind w:right="6"/>
              <w:jc w:val="right"/>
            </w:pPr>
          </w:p>
        </w:tc>
      </w:tr>
      <w:tr w:rsidR="00597370">
        <w:trPr>
          <w:cantSplit/>
        </w:trPr>
        <w:tc>
          <w:tcPr>
            <w:tcW w:w="1927" w:type="pct"/>
            <w:vAlign w:val="center"/>
          </w:tcPr>
          <w:p w:rsidR="00597370" w:rsidRDefault="003C2EEE">
            <w:pPr>
              <w:autoSpaceDE w:val="0"/>
              <w:autoSpaceDN w:val="0"/>
              <w:adjustRightInd w:val="0"/>
              <w:rPr>
                <w:color w:val="000000" w:themeColor="text1"/>
              </w:rPr>
            </w:pPr>
            <w:r>
              <w:rPr>
                <w:rFonts w:hint="eastAsia"/>
                <w:color w:val="000000" w:themeColor="text1"/>
              </w:rPr>
              <w:t>提取一般风险准备</w:t>
            </w:r>
          </w:p>
        </w:tc>
        <w:tc>
          <w:tcPr>
            <w:tcW w:w="1561" w:type="pct"/>
            <w:vAlign w:val="bottom"/>
          </w:tcPr>
          <w:p w:rsidR="00597370" w:rsidRDefault="00597370">
            <w:pPr>
              <w:jc w:val="right"/>
            </w:pPr>
          </w:p>
        </w:tc>
        <w:tc>
          <w:tcPr>
            <w:tcW w:w="1512" w:type="pct"/>
            <w:vAlign w:val="bottom"/>
          </w:tcPr>
          <w:p w:rsidR="00597370" w:rsidRDefault="00597370">
            <w:pPr>
              <w:ind w:right="6"/>
              <w:jc w:val="right"/>
            </w:pPr>
          </w:p>
        </w:tc>
      </w:tr>
      <w:tr w:rsidR="00597370">
        <w:trPr>
          <w:cantSplit/>
        </w:trPr>
        <w:tc>
          <w:tcPr>
            <w:tcW w:w="1927" w:type="pct"/>
            <w:vAlign w:val="center"/>
          </w:tcPr>
          <w:p w:rsidR="00597370" w:rsidRDefault="003C2EEE">
            <w:pPr>
              <w:autoSpaceDE w:val="0"/>
              <w:autoSpaceDN w:val="0"/>
              <w:adjustRightInd w:val="0"/>
              <w:rPr>
                <w:color w:val="000000" w:themeColor="text1"/>
              </w:rPr>
            </w:pPr>
            <w:r>
              <w:rPr>
                <w:rFonts w:hint="eastAsia"/>
                <w:color w:val="000000" w:themeColor="text1"/>
              </w:rPr>
              <w:t>应付普通股股利</w:t>
            </w:r>
          </w:p>
        </w:tc>
        <w:tc>
          <w:tcPr>
            <w:tcW w:w="1561" w:type="pct"/>
            <w:vAlign w:val="bottom"/>
          </w:tcPr>
          <w:p w:rsidR="00597370" w:rsidRDefault="003C2EEE">
            <w:pPr>
              <w:jc w:val="right"/>
            </w:pPr>
            <w:r>
              <w:t>49,877,195.85</w:t>
            </w:r>
          </w:p>
        </w:tc>
        <w:tc>
          <w:tcPr>
            <w:tcW w:w="1512" w:type="pct"/>
            <w:vAlign w:val="bottom"/>
          </w:tcPr>
          <w:p w:rsidR="00597370" w:rsidRDefault="003C2EEE">
            <w:pPr>
              <w:ind w:right="6"/>
              <w:jc w:val="right"/>
            </w:pPr>
            <w:r>
              <w:t>59,970,133.26</w:t>
            </w:r>
          </w:p>
        </w:tc>
      </w:tr>
      <w:tr w:rsidR="00597370">
        <w:trPr>
          <w:cantSplit/>
        </w:trPr>
        <w:tc>
          <w:tcPr>
            <w:tcW w:w="1927" w:type="pct"/>
            <w:vAlign w:val="center"/>
          </w:tcPr>
          <w:p w:rsidR="00597370" w:rsidRDefault="003C2EEE">
            <w:pPr>
              <w:autoSpaceDE w:val="0"/>
              <w:autoSpaceDN w:val="0"/>
              <w:adjustRightInd w:val="0"/>
              <w:rPr>
                <w:color w:val="000000" w:themeColor="text1"/>
              </w:rPr>
            </w:pPr>
            <w:r>
              <w:rPr>
                <w:rFonts w:hint="eastAsia"/>
                <w:color w:val="000000" w:themeColor="text1"/>
              </w:rPr>
              <w:t>转作股本的普通股股利</w:t>
            </w:r>
          </w:p>
        </w:tc>
        <w:tc>
          <w:tcPr>
            <w:tcW w:w="1561" w:type="pct"/>
            <w:vAlign w:val="bottom"/>
          </w:tcPr>
          <w:p w:rsidR="00597370" w:rsidRDefault="00597370">
            <w:pPr>
              <w:jc w:val="right"/>
            </w:pPr>
          </w:p>
        </w:tc>
        <w:tc>
          <w:tcPr>
            <w:tcW w:w="1512" w:type="pct"/>
            <w:vAlign w:val="bottom"/>
          </w:tcPr>
          <w:p w:rsidR="00597370" w:rsidRDefault="00597370">
            <w:pPr>
              <w:ind w:right="6"/>
              <w:jc w:val="right"/>
            </w:pPr>
          </w:p>
        </w:tc>
      </w:tr>
      <w:tr w:rsidR="00597370">
        <w:trPr>
          <w:cantSplit/>
        </w:trPr>
        <w:tc>
          <w:tcPr>
            <w:tcW w:w="1927" w:type="pct"/>
          </w:tcPr>
          <w:p w:rsidR="00597370" w:rsidRDefault="003C2EEE">
            <w:pPr>
              <w:autoSpaceDE w:val="0"/>
              <w:autoSpaceDN w:val="0"/>
              <w:adjustRightInd w:val="0"/>
            </w:pPr>
            <w:r>
              <w:rPr>
                <w:rFonts w:hint="eastAsia"/>
              </w:rPr>
              <w:t>期末未分配利润</w:t>
            </w:r>
          </w:p>
        </w:tc>
        <w:tc>
          <w:tcPr>
            <w:tcW w:w="1561" w:type="pct"/>
            <w:vAlign w:val="bottom"/>
          </w:tcPr>
          <w:p w:rsidR="00597370" w:rsidRDefault="003C2EEE">
            <w:pPr>
              <w:ind w:right="6"/>
              <w:jc w:val="right"/>
            </w:pPr>
            <w:r>
              <w:t>977,165,873.69</w:t>
            </w:r>
          </w:p>
        </w:tc>
        <w:tc>
          <w:tcPr>
            <w:tcW w:w="1512" w:type="pct"/>
            <w:vAlign w:val="bottom"/>
          </w:tcPr>
          <w:p w:rsidR="00597370" w:rsidRDefault="003C2EEE">
            <w:pPr>
              <w:ind w:right="6"/>
              <w:jc w:val="right"/>
            </w:pPr>
            <w:r>
              <w:t>992,249,846.86</w:t>
            </w:r>
          </w:p>
        </w:tc>
      </w:tr>
    </w:tbl>
    <w:p w:rsidR="00597370" w:rsidRDefault="003C2EEE">
      <w:pPr>
        <w:spacing w:before="60" w:after="60"/>
        <w:rPr>
          <w:color w:val="000000" w:themeColor="text1"/>
        </w:rPr>
      </w:pPr>
      <w:r>
        <w:rPr>
          <w:rFonts w:hint="eastAsia"/>
          <w:color w:val="000000" w:themeColor="text1"/>
        </w:rPr>
        <w:t>调整期初未分配利润明细：</w:t>
      </w:r>
    </w:p>
    <w:p w:rsidR="00597370" w:rsidRDefault="003C2EEE">
      <w:pPr>
        <w:rPr>
          <w:color w:val="000000" w:themeColor="text1"/>
        </w:rPr>
      </w:pPr>
      <w:r>
        <w:rPr>
          <w:rFonts w:hint="eastAsia"/>
          <w:color w:val="000000" w:themeColor="text1"/>
        </w:rPr>
        <w:t>1、由于《企业会计准则》及其相关新规定进行追溯调整，影响期初未分配利润</w:t>
      </w:r>
      <w:sdt>
        <w:sdtPr>
          <w:rPr>
            <w:rFonts w:hint="eastAsia"/>
            <w:color w:val="000000" w:themeColor="text1"/>
          </w:rPr>
          <w:alias w:val="依据《企业会计准则》及其相关规定进行追溯调整影响年初未分配利润合计"/>
          <w:tag w:val="_GBC_a54a245e74754754a6239606b5ebbb06"/>
          <w:id w:val="1854227163"/>
          <w:placeholder>
            <w:docPart w:val="GBC22222222222222222222222222222"/>
          </w:placeholder>
        </w:sdtPr>
        <w:sdtEndPr/>
        <w:sdtContent>
          <w:r>
            <w:rPr>
              <w:color w:val="000000" w:themeColor="text1"/>
            </w:rPr>
            <w:t>0</w:t>
          </w:r>
        </w:sdtContent>
      </w:sdt>
      <w:r>
        <w:rPr>
          <w:rFonts w:hint="eastAsia"/>
          <w:color w:val="000000" w:themeColor="text1"/>
        </w:rPr>
        <w:t xml:space="preserve"> 元。</w:t>
      </w:r>
    </w:p>
    <w:p w:rsidR="00597370" w:rsidRDefault="003C2EEE">
      <w:pPr>
        <w:rPr>
          <w:color w:val="000000" w:themeColor="text1"/>
        </w:rPr>
      </w:pPr>
      <w:r>
        <w:rPr>
          <w:rFonts w:hint="eastAsia"/>
          <w:color w:val="000000" w:themeColor="text1"/>
        </w:rPr>
        <w:t>2、由于会计政策变更，影响期初未分配利润</w:t>
      </w:r>
      <w:sdt>
        <w:sdtPr>
          <w:rPr>
            <w:rFonts w:hint="eastAsia"/>
            <w:color w:val="000000" w:themeColor="text1"/>
          </w:rPr>
          <w:alias w:val="由于会计政策变更影响年初未分配利润"/>
          <w:tag w:val="_GBC_8295d6891c8842f58b58e4223b4e1700"/>
          <w:id w:val="809364450"/>
          <w:placeholder>
            <w:docPart w:val="GBC22222222222222222222222222222"/>
          </w:placeholder>
        </w:sdtPr>
        <w:sdtEndPr/>
        <w:sdtContent>
          <w:r>
            <w:rPr>
              <w:color w:val="000000" w:themeColor="text1"/>
            </w:rPr>
            <w:t>0</w:t>
          </w:r>
        </w:sdtContent>
      </w:sdt>
      <w:r>
        <w:rPr>
          <w:rFonts w:hint="eastAsia"/>
          <w:color w:val="000000" w:themeColor="text1"/>
        </w:rPr>
        <w:t xml:space="preserve"> 元。</w:t>
      </w:r>
    </w:p>
    <w:p w:rsidR="00597370" w:rsidRDefault="003C2EEE">
      <w:pPr>
        <w:rPr>
          <w:color w:val="000000" w:themeColor="text1"/>
        </w:rPr>
      </w:pPr>
      <w:r>
        <w:rPr>
          <w:rFonts w:hint="eastAsia"/>
          <w:color w:val="000000" w:themeColor="text1"/>
        </w:rPr>
        <w:t>3、由于重大会计差错更正，影响期初未分配利润</w:t>
      </w:r>
      <w:sdt>
        <w:sdtPr>
          <w:rPr>
            <w:rFonts w:hint="eastAsia"/>
            <w:color w:val="000000" w:themeColor="text1"/>
          </w:rPr>
          <w:alias w:val="由于重大会计差错更正影响年初未分配利润"/>
          <w:tag w:val="_GBC_34728ea6faff41218abab9b8fede268c"/>
          <w:id w:val="-1432350088"/>
          <w:placeholder>
            <w:docPart w:val="GBC22222222222222222222222222222"/>
          </w:placeholder>
        </w:sdtPr>
        <w:sdtEndPr/>
        <w:sdtContent>
          <w:r>
            <w:rPr>
              <w:color w:val="000000" w:themeColor="text1"/>
            </w:rPr>
            <w:t>0</w:t>
          </w:r>
        </w:sdtContent>
      </w:sdt>
      <w:r>
        <w:rPr>
          <w:rFonts w:hint="eastAsia"/>
          <w:color w:val="000000" w:themeColor="text1"/>
        </w:rPr>
        <w:t xml:space="preserve"> 元。</w:t>
      </w:r>
    </w:p>
    <w:p w:rsidR="00597370" w:rsidRDefault="003C2EEE">
      <w:pPr>
        <w:rPr>
          <w:color w:val="000000" w:themeColor="text1"/>
        </w:rPr>
      </w:pPr>
      <w:r>
        <w:rPr>
          <w:rFonts w:hint="eastAsia"/>
          <w:color w:val="000000" w:themeColor="text1"/>
        </w:rPr>
        <w:t>4、由于同</w:t>
      </w:r>
      <w:proofErr w:type="gramStart"/>
      <w:r>
        <w:rPr>
          <w:rFonts w:hint="eastAsia"/>
          <w:color w:val="000000" w:themeColor="text1"/>
        </w:rPr>
        <w:t>一控制</w:t>
      </w:r>
      <w:proofErr w:type="gramEnd"/>
      <w:r>
        <w:rPr>
          <w:rFonts w:hint="eastAsia"/>
          <w:color w:val="000000" w:themeColor="text1"/>
        </w:rPr>
        <w:t>导致的合并范围变更，影响期初未分配利润</w:t>
      </w:r>
      <w:sdt>
        <w:sdtPr>
          <w:rPr>
            <w:rFonts w:hint="eastAsia"/>
            <w:color w:val="000000" w:themeColor="text1"/>
          </w:rPr>
          <w:alias w:val="同一控制导致的合并范围变更影响年初未分配利润"/>
          <w:tag w:val="_GBC_4d9b7a873cb94aba9044210a45f81108"/>
          <w:id w:val="-918090032"/>
          <w:placeholder>
            <w:docPart w:val="GBC22222222222222222222222222222"/>
          </w:placeholder>
        </w:sdtPr>
        <w:sdtEndPr/>
        <w:sdtContent>
          <w:r>
            <w:rPr>
              <w:color w:val="000000" w:themeColor="text1"/>
            </w:rPr>
            <w:t>0</w:t>
          </w:r>
        </w:sdtContent>
      </w:sdt>
      <w:r>
        <w:rPr>
          <w:rFonts w:hint="eastAsia"/>
          <w:color w:val="000000" w:themeColor="text1"/>
        </w:rPr>
        <w:t xml:space="preserve"> 元。</w:t>
      </w:r>
    </w:p>
    <w:p w:rsidR="00597370" w:rsidRDefault="003C2EEE">
      <w:pPr>
        <w:rPr>
          <w:color w:val="000000" w:themeColor="text1"/>
        </w:rPr>
      </w:pPr>
      <w:r>
        <w:rPr>
          <w:rFonts w:hint="eastAsia"/>
          <w:color w:val="000000" w:themeColor="text1"/>
        </w:rPr>
        <w:t>5、其他调整合计影响期初未分配利润</w:t>
      </w:r>
      <w:sdt>
        <w:sdtPr>
          <w:rPr>
            <w:rFonts w:hint="eastAsia"/>
            <w:color w:val="000000" w:themeColor="text1"/>
          </w:rPr>
          <w:alias w:val="其他调整合计影响年初未分配利润"/>
          <w:tag w:val="_GBC_ccd86b3788e04a70a2e6a2167027d7cb"/>
          <w:id w:val="-1621836805"/>
          <w:placeholder>
            <w:docPart w:val="GBC22222222222222222222222222222"/>
          </w:placeholder>
        </w:sdtPr>
        <w:sdtEndPr/>
        <w:sdtContent>
          <w:r>
            <w:rPr>
              <w:color w:val="000000" w:themeColor="text1"/>
            </w:rPr>
            <w:t>0</w:t>
          </w:r>
        </w:sdtContent>
      </w:sdt>
      <w:r>
        <w:rPr>
          <w:rFonts w:hint="eastAsia"/>
          <w:color w:val="000000" w:themeColor="text1"/>
        </w:rPr>
        <w:t xml:space="preserve"> 元。</w:t>
      </w:r>
    </w:p>
    <w:p w:rsidR="00597370" w:rsidRDefault="00597370">
      <w:pPr>
        <w:rPr>
          <w:color w:val="000000" w:themeColor="text1"/>
        </w:rPr>
      </w:pPr>
    </w:p>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color w:val="000000" w:themeColor="text1"/>
          <w:szCs w:val="21"/>
        </w:rPr>
        <w:t>营业收入和营业成本</w:t>
      </w:r>
    </w:p>
    <w:p w:rsidR="00597370" w:rsidRDefault="003C2EEE">
      <w:pPr>
        <w:pStyle w:val="Style110"/>
        <w:numPr>
          <w:ilvl w:val="0"/>
          <w:numId w:val="84"/>
        </w:numPr>
        <w:ind w:left="426" w:hanging="426"/>
        <w:rPr>
          <w:rFonts w:ascii="宋体" w:hAnsi="宋体"/>
          <w:color w:val="000000" w:themeColor="text1"/>
        </w:rPr>
      </w:pPr>
      <w:r>
        <w:rPr>
          <w:rFonts w:ascii="宋体" w:hAnsi="宋体" w:hint="eastAsia"/>
          <w:color w:val="000000" w:themeColor="text1"/>
        </w:rPr>
        <w:t>营业收入和营业成本情况</w:t>
      </w:r>
    </w:p>
    <w:sdt>
      <w:sdtPr>
        <w:rPr>
          <w:color w:val="000000" w:themeColor="text1"/>
        </w:rPr>
        <w:alias w:val="是否适用：营业收入和营业成本[双击切换]"/>
        <w:tag w:val="_GBC_876680c4ba6b433896b625efff84d599"/>
        <w:id w:val="-24812898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营业收入"/>
          <w:tag w:val="_GBC_611ed6dd25a247cf86a0fb98cd86e68f"/>
          <w:id w:val="777987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营业收入"/>
          <w:tag w:val="_GBC_ba5cd3776b804cc291ae4c216c605f02"/>
          <w:id w:val="-18122372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896"/>
        <w:gridCol w:w="1896"/>
        <w:gridCol w:w="1896"/>
        <w:gridCol w:w="1722"/>
      </w:tblGrid>
      <w:tr w:rsidR="00597370">
        <w:sdt>
          <w:sdtPr>
            <w:rPr>
              <w:color w:val="000000" w:themeColor="text1"/>
            </w:rPr>
            <w:tag w:val="_PLD_d41752618c6a4ee08ca01f5944b34b81"/>
            <w:id w:val="1107854798"/>
          </w:sdtPr>
          <w:sdtEndPr/>
          <w:sdtContent>
            <w:tc>
              <w:tcPr>
                <w:tcW w:w="744"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f88658ae6cb94ea390736e112b0d5ffc"/>
            <w:id w:val="-1666383205"/>
          </w:sdtPr>
          <w:sdtEndPr/>
          <w:sdtContent>
            <w:tc>
              <w:tcPr>
                <w:tcW w:w="2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0840d72efce94f22bdf4d566046b2e87"/>
            <w:id w:val="1052125334"/>
          </w:sdtPr>
          <w:sdtEndPr/>
          <w:sdtContent>
            <w:tc>
              <w:tcPr>
                <w:tcW w:w="20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上期发生额</w:t>
                </w:r>
              </w:p>
            </w:tc>
          </w:sdtContent>
        </w:sdt>
      </w:tr>
      <w:tr w:rsidR="00597370">
        <w:tc>
          <w:tcPr>
            <w:tcW w:w="744" w:type="pct"/>
            <w:vMerge/>
            <w:tcBorders>
              <w:left w:val="single" w:sz="4" w:space="0" w:color="auto"/>
              <w:bottom w:val="single" w:sz="4" w:space="0" w:color="auto"/>
              <w:right w:val="single" w:sz="4" w:space="0" w:color="auto"/>
            </w:tcBorders>
            <w:shd w:val="clear" w:color="auto" w:fill="auto"/>
          </w:tcPr>
          <w:p w:rsidR="00597370" w:rsidRDefault="00597370">
            <w:pPr>
              <w:jc w:val="center"/>
              <w:rPr>
                <w:color w:val="000000" w:themeColor="text1"/>
              </w:rPr>
            </w:pPr>
          </w:p>
        </w:tc>
        <w:sdt>
          <w:sdtPr>
            <w:rPr>
              <w:color w:val="000000" w:themeColor="text1"/>
            </w:rPr>
            <w:tag w:val="_PLD_39942ac1f2654fa6bda80d7116d83859"/>
            <w:id w:val="1594275507"/>
          </w:sdtPr>
          <w:sdtEndPr/>
          <w:sdtContent>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收入</w:t>
                </w:r>
              </w:p>
            </w:tc>
          </w:sdtContent>
        </w:sdt>
        <w:sdt>
          <w:sdtPr>
            <w:rPr>
              <w:color w:val="000000" w:themeColor="text1"/>
            </w:rPr>
            <w:tag w:val="_PLD_5075262c52564bf09f90a67ee6a84b17"/>
            <w:id w:val="1592966320"/>
          </w:sdtPr>
          <w:sdtEndPr/>
          <w:sdtContent>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成本</w:t>
                </w:r>
              </w:p>
            </w:tc>
          </w:sdtContent>
        </w:sdt>
        <w:sdt>
          <w:sdtPr>
            <w:rPr>
              <w:color w:val="000000" w:themeColor="text1"/>
            </w:rPr>
            <w:tag w:val="_PLD_33a1015c666d49cba108bce6aafea1f7"/>
            <w:id w:val="342910313"/>
          </w:sdtPr>
          <w:sdtEndPr/>
          <w:sdtContent>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收入</w:t>
                </w:r>
              </w:p>
            </w:tc>
          </w:sdtContent>
        </w:sdt>
        <w:sdt>
          <w:sdtPr>
            <w:rPr>
              <w:color w:val="000000" w:themeColor="text1"/>
            </w:rPr>
            <w:tag w:val="_PLD_d09deaa2e4d443459a3584a1d7e92203"/>
            <w:id w:val="-992100187"/>
          </w:sdtPr>
          <w:sdtEndPr/>
          <w:sdtContent>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成本</w:t>
                </w:r>
              </w:p>
            </w:tc>
          </w:sdtContent>
        </w:sdt>
      </w:tr>
      <w:tr w:rsidR="00597370">
        <w:tc>
          <w:tcPr>
            <w:tcW w:w="74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主营业务</w:t>
            </w:r>
          </w:p>
        </w:tc>
        <w:tc>
          <w:tcPr>
            <w:tcW w:w="108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1,381,748,428.03</w:t>
            </w:r>
          </w:p>
        </w:tc>
        <w:tc>
          <w:tcPr>
            <w:tcW w:w="108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1,226,694,858.37</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1,201,505,785.03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926,880,403.54</w:t>
            </w:r>
          </w:p>
        </w:tc>
      </w:tr>
      <w:tr w:rsidR="00597370">
        <w:tc>
          <w:tcPr>
            <w:tcW w:w="74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其他业务</w:t>
            </w:r>
          </w:p>
        </w:tc>
        <w:tc>
          <w:tcPr>
            <w:tcW w:w="108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43,646,949.39</w:t>
            </w:r>
          </w:p>
        </w:tc>
        <w:tc>
          <w:tcPr>
            <w:tcW w:w="108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38,172,812.22</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33,375,662.89</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30,929,384.83</w:t>
            </w:r>
          </w:p>
        </w:tc>
      </w:tr>
      <w:tr w:rsidR="00597370">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color w:val="000000"/>
              </w:rPr>
              <w:t xml:space="preserve">1,425,395,377.42 </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color w:val="000000"/>
              </w:rPr>
              <w:t xml:space="preserve">1,264,867,670.59 </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1,234,881,447.92</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957,809,788.37</w:t>
            </w:r>
          </w:p>
        </w:tc>
      </w:tr>
    </w:tbl>
    <w:p w:rsidR="00597370" w:rsidRDefault="00597370">
      <w:pPr>
        <w:rPr>
          <w:color w:val="000000" w:themeColor="text1"/>
        </w:rPr>
      </w:pPr>
    </w:p>
    <w:bookmarkStart w:id="346" w:name="_Hlk533756233" w:displacedByCustomXml="next"/>
    <w:bookmarkStart w:id="347" w:name="_Hlk167969685" w:displacedByCustomXml="next"/>
    <w:sdt>
      <w:sdtPr>
        <w:rPr>
          <w:rFonts w:ascii="宋体" w:hAnsi="宋体" w:cs="宋体" w:hint="eastAsia"/>
          <w:b w:val="0"/>
          <w:bCs w:val="0"/>
          <w:color w:val="000000" w:themeColor="text1"/>
          <w:kern w:val="0"/>
          <w:szCs w:val="24"/>
        </w:rPr>
        <w:alias w:val="模块:合同产生的收入的情况"/>
        <w:tag w:val="_SEC_c4e8c6d213eb4da9850e04355e0aa292"/>
        <w:id w:val="-163402435"/>
        <w:placeholder>
          <w:docPart w:val="GBC22222222222222222222222222222"/>
        </w:placeholder>
      </w:sdtPr>
      <w:sdtEndPr>
        <w:rPr>
          <w:rFonts w:hint="default"/>
          <w:szCs w:val="21"/>
        </w:rPr>
      </w:sdtEndPr>
      <w:sdtContent>
        <w:p w:rsidR="00597370" w:rsidRDefault="003C2EEE">
          <w:pPr>
            <w:pStyle w:val="Style110"/>
            <w:numPr>
              <w:ilvl w:val="0"/>
              <w:numId w:val="84"/>
            </w:numPr>
            <w:ind w:left="426" w:hanging="426"/>
            <w:rPr>
              <w:rFonts w:ascii="宋体" w:hAnsi="宋体"/>
              <w:color w:val="000000" w:themeColor="text1"/>
            </w:rPr>
          </w:pPr>
          <w:r>
            <w:rPr>
              <w:rFonts w:ascii="宋体" w:hAnsi="宋体" w:hint="eastAsia"/>
              <w:color w:val="000000" w:themeColor="text1"/>
            </w:rPr>
            <w:t xml:space="preserve">营业收入、营业成本的分解信息 </w:t>
          </w:r>
        </w:p>
        <w:sdt>
          <w:sdtPr>
            <w:rPr>
              <w:rFonts w:ascii="宋体" w:hAnsi="宋体"/>
              <w:color w:val="000000" w:themeColor="text1"/>
              <w:szCs w:val="21"/>
            </w:rPr>
            <w:alias w:val="是否适用：营业收入、营业成本的分解信息 [双击切换]"/>
            <w:tag w:val="_GBC_efc78032c33b40119a8d8db1511a7505"/>
            <w:id w:val="-518400018"/>
            <w:placeholder>
              <w:docPart w:val="GBC22222222222222222222222222222"/>
            </w:placeholder>
          </w:sdtPr>
          <w:sdtEndPr/>
          <w:sdtContent>
            <w:p w:rsidR="00597370" w:rsidRDefault="003C2EEE">
              <w:pPr>
                <w:pStyle w:val="Style147"/>
                <w:ind w:firstLineChars="0" w:firstLine="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√适用 </w:instrText>
              </w:r>
              <w:r>
                <w:rPr>
                  <w:rFonts w:ascii="宋体" w:hAnsi="宋体"/>
                  <w:color w:val="000000" w:themeColor="text1"/>
                  <w:szCs w:val="21"/>
                </w:rPr>
                <w:fldChar w:fldCharType="end"/>
              </w: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□不适用 </w:instrText>
              </w:r>
              <w:r>
                <w:rPr>
                  <w:rFonts w:ascii="宋体" w:hAnsi="宋体"/>
                  <w:color w:val="000000" w:themeColor="text1"/>
                  <w:szCs w:val="21"/>
                </w:rPr>
                <w:fldChar w:fldCharType="end"/>
              </w:r>
            </w:p>
          </w:sdtContent>
        </w:sdt>
        <w:p w:rsidR="00597370" w:rsidRDefault="003C2EEE">
          <w:pPr>
            <w:pStyle w:val="Style14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营业收入、营业成本的分解信息 "/>
              <w:tag w:val="_GBC_3ccd36a6a17f4de6846b5579f456e2eb"/>
              <w:id w:val="8768970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营业收入、营业成本的分解信息 "/>
              <w:tag w:val="_GBC_4476d84f223c43caad2810c5a30db364"/>
              <w:id w:val="-18863257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751"/>
            <w:gridCol w:w="2747"/>
          </w:tblGrid>
          <w:tr w:rsidR="00597370">
            <w:sdt>
              <w:sdtPr>
                <w:rPr>
                  <w:rFonts w:hint="eastAsia"/>
                  <w:color w:val="000000" w:themeColor="text1"/>
                </w:rPr>
                <w:tag w:val="_PLD_c4e262a708374d868aa4623ec11e26b7"/>
                <w:id w:val="249172227"/>
              </w:sdtPr>
              <w:sdtEndPr/>
              <w:sdtContent>
                <w:tc>
                  <w:tcPr>
                    <w:tcW w:w="1884"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合同分类</w:t>
                    </w:r>
                  </w:p>
                </w:tc>
              </w:sdtContent>
            </w:sdt>
            <w:sdt>
              <w:sdtPr>
                <w:rPr>
                  <w:rFonts w:hint="eastAsia"/>
                  <w:color w:val="000000" w:themeColor="text1"/>
                </w:rPr>
                <w:tag w:val="_PLD_2383d04a4c7d404b94d983ebd7656098"/>
                <w:id w:val="-589001210"/>
              </w:sdtPr>
              <w:sdtEndPr/>
              <w:sdtContent>
                <w:tc>
                  <w:tcPr>
                    <w:tcW w:w="3116"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合计</w:t>
                    </w:r>
                  </w:p>
                </w:tc>
              </w:sdtContent>
            </w:sdt>
          </w:tr>
          <w:tr w:rsidR="00597370">
            <w:tc>
              <w:tcPr>
                <w:tcW w:w="1884" w:type="pct"/>
                <w:vMerge/>
                <w:tcBorders>
                  <w:left w:val="single" w:sz="4" w:space="0" w:color="auto"/>
                  <w:bottom w:val="single" w:sz="4" w:space="0" w:color="auto"/>
                  <w:right w:val="single" w:sz="4" w:space="0" w:color="auto"/>
                </w:tcBorders>
                <w:shd w:val="clear" w:color="auto" w:fill="auto"/>
              </w:tcPr>
              <w:p w:rsidR="00597370" w:rsidRDefault="00597370">
                <w:pPr>
                  <w:jc w:val="center"/>
                  <w:rPr>
                    <w:color w:val="000000" w:themeColor="text1"/>
                  </w:rPr>
                </w:pPr>
              </w:p>
            </w:tc>
            <w:sdt>
              <w:sdtPr>
                <w:rPr>
                  <w:rFonts w:hint="eastAsia"/>
                  <w:color w:val="000000" w:themeColor="text1"/>
                </w:rPr>
                <w:tag w:val="_PLD_58de911da1324e8586f84ab9937bcdeb"/>
                <w:id w:val="-361058583"/>
              </w:sdtPr>
              <w:sdtEndPr/>
              <w:sdtContent>
                <w:tc>
                  <w:tcPr>
                    <w:tcW w:w="1559"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营业收入</w:t>
                    </w:r>
                  </w:p>
                </w:tc>
              </w:sdtContent>
            </w:sdt>
            <w:sdt>
              <w:sdtPr>
                <w:rPr>
                  <w:rFonts w:hint="eastAsia"/>
                  <w:color w:val="000000" w:themeColor="text1"/>
                </w:rPr>
                <w:tag w:val="_PLD_b60d678e181949d998ae7d21f7dd9556"/>
                <w:id w:val="-1896499225"/>
              </w:sdtPr>
              <w:sdtEndPr/>
              <w:sdtContent>
                <w:tc>
                  <w:tcPr>
                    <w:tcW w:w="1557"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营业成本</w:t>
                    </w:r>
                  </w:p>
                </w:tc>
              </w:sdtContent>
            </w:sdt>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商品类型</w:t>
                </w:r>
              </w:p>
            </w:tc>
            <w:tc>
              <w:tcPr>
                <w:tcW w:w="1559" w:type="pct"/>
                <w:tcBorders>
                  <w:top w:val="single" w:sz="4" w:space="0" w:color="auto"/>
                  <w:left w:val="single" w:sz="4" w:space="0" w:color="auto"/>
                  <w:bottom w:val="single" w:sz="4" w:space="0" w:color="auto"/>
                  <w:right w:val="single" w:sz="4" w:space="0" w:color="auto"/>
                </w:tcBorders>
              </w:tcPr>
              <w:p w:rsidR="00597370" w:rsidRDefault="00597370">
                <w:pPr>
                  <w:jc w:val="right"/>
                  <w:rPr>
                    <w:color w:val="000000" w:themeColor="text1"/>
                  </w:rPr>
                </w:pP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rPr>
                    <w:rFonts w:hint="eastAsia"/>
                    <w:color w:val="000000" w:themeColor="text1"/>
                  </w:rPr>
                  <w:t xml:space="preserve">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r>
                  <w:rPr>
                    <w:rStyle w:val="font11"/>
                    <w:rFonts w:hint="default"/>
                  </w:rPr>
                  <w:t>输配电及控制设备</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pPr>
                <w:r>
                  <w:t>778,686,865.66</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pPr>
                <w:r>
                  <w:t>654,473,357.16</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Style w:val="font11"/>
                    <w:rFonts w:hint="default"/>
                  </w:rPr>
                  <w:t>取向硅钢</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603,061,562.37</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572,221,501.20</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Style w:val="font11"/>
                    <w:rFonts w:hint="default"/>
                  </w:rPr>
                  <w:t>其他</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43,646,949.39</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38,172,812.22</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按商品类型分类合计</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1,425,395,377.42</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1,264,867,670.58</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r>
                  <w:rPr>
                    <w:rFonts w:hint="eastAsia"/>
                  </w:rPr>
                  <w:t xml:space="preserve">按经营地区分类　</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rPr>
                  <w:t xml:space="preserve">　</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rPr>
                  <w:t xml:space="preserve">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Style w:val="font11"/>
                    <w:rFonts w:hint="default"/>
                  </w:rPr>
                  <w:t>国内销售</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rPr>
                    <w:color w:val="000000"/>
                  </w:rPr>
                  <w:t xml:space="preserve">1,230,611,464.36 </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 xml:space="preserve"> 1,105,421,675.97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rPr>
                  <w:t>国外销售</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rPr>
                    <w:color w:val="000000"/>
                  </w:rPr>
                  <w:t xml:space="preserve">194,783,913.06 </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 xml:space="preserve"> 159,445,994.62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Style w:val="font11"/>
                    <w:rFonts w:hint="default"/>
                  </w:rPr>
                  <w:t>按经营地区分类合计</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rPr>
                    <w:color w:val="000000"/>
                  </w:rPr>
                  <w:t xml:space="preserve">1,425,395,377.42 </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 xml:space="preserve"> 1,264,867,670.58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市场或客户类型</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rPr>
                    <w:rFonts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rPr>
                    <w:rFonts w:hint="eastAsia"/>
                    <w:color w:val="000000" w:themeColor="text1"/>
                  </w:rPr>
                  <w:t xml:space="preserve">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r>
                  <w:rPr>
                    <w:rFonts w:hint="eastAsia"/>
                  </w:rPr>
                  <w:t>直销</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pPr>
                <w:r>
                  <w:t>1,162,765,529.32</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pPr>
                <w:r>
                  <w:t xml:space="preserve"> 1,020,633,990.49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Style w:val="font11"/>
                    <w:rFonts w:hint="default"/>
                  </w:rPr>
                  <w:t>贸易商</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pPr>
                <w:r>
                  <w:t>262,629,848.10</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 xml:space="preserve"> 244,233,680.10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按市场或客户类型分类合计</w:t>
                </w:r>
              </w:p>
            </w:tc>
            <w:tc>
              <w:tcPr>
                <w:tcW w:w="1559"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rPr>
                    <w:color w:val="000000" w:themeColor="text1"/>
                  </w:rPr>
                  <w:t>1,425,395,377.42</w:t>
                </w:r>
                <w:r>
                  <w:rPr>
                    <w:rFonts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rsidR="00597370" w:rsidRDefault="003C2EEE">
                <w:pPr>
                  <w:jc w:val="right"/>
                  <w:rPr>
                    <w:color w:val="000000" w:themeColor="text1"/>
                  </w:rPr>
                </w:pPr>
                <w:r>
                  <w:t xml:space="preserve"> 1,264,867,670.59 </w:t>
                </w:r>
              </w:p>
            </w:tc>
          </w:tr>
        </w:tbl>
        <w:p w:rsidR="00597370" w:rsidRDefault="00597370"/>
        <w:p w:rsidR="00597370" w:rsidRDefault="003C2EEE">
          <w:pPr>
            <w:rPr>
              <w:color w:val="000000" w:themeColor="text1"/>
            </w:rPr>
          </w:pPr>
          <w:r>
            <w:rPr>
              <w:rFonts w:hint="eastAsia"/>
              <w:color w:val="000000" w:themeColor="text1"/>
            </w:rPr>
            <w:lastRenderedPageBreak/>
            <w:t>其他说明</w:t>
          </w:r>
        </w:p>
        <w:sdt>
          <w:sdtPr>
            <w:rPr>
              <w:color w:val="000000" w:themeColor="text1"/>
            </w:rPr>
            <w:alias w:val="是否适用：营业收入、营业成本的分解信息说明 [双击切换]"/>
            <w:tag w:val="_GBC_04602e125f9d4f519cbc5efd2f4ee0ea"/>
            <w:id w:val="182623938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Content>
    </w:sdt>
    <w:p w:rsidR="00597370" w:rsidRDefault="003C2EEE">
      <w:pPr>
        <w:pStyle w:val="Style110"/>
        <w:numPr>
          <w:ilvl w:val="0"/>
          <w:numId w:val="84"/>
        </w:numPr>
        <w:ind w:left="426" w:hanging="426"/>
        <w:rPr>
          <w:rFonts w:ascii="宋体" w:hAnsi="宋体"/>
          <w:color w:val="000000" w:themeColor="text1"/>
        </w:rPr>
      </w:pPr>
      <w:bookmarkStart w:id="348" w:name="_Hlk533670431"/>
      <w:bookmarkEnd w:id="346"/>
      <w:r>
        <w:rPr>
          <w:rFonts w:ascii="宋体" w:hAnsi="宋体" w:hint="eastAsia"/>
          <w:color w:val="000000" w:themeColor="text1"/>
        </w:rPr>
        <w:t>履约义务的说明</w:t>
      </w:r>
    </w:p>
    <w:sdt>
      <w:sdtPr>
        <w:rPr>
          <w:color w:val="000000" w:themeColor="text1"/>
        </w:rPr>
        <w:alias w:val="是否适用：履约义务的说明[双击切换]"/>
        <w:tag w:val="_GBC_ec22242632ae490ba6bc8afe3b2e35bc"/>
        <w:id w:val="139523872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4"/>
        </w:numPr>
        <w:ind w:left="426" w:hanging="426"/>
        <w:rPr>
          <w:rFonts w:ascii="宋体" w:hAnsi="宋体"/>
          <w:color w:val="000000" w:themeColor="text1"/>
        </w:rPr>
      </w:pPr>
      <w:bookmarkStart w:id="349" w:name="_Hlk10538107"/>
      <w:bookmarkStart w:id="350" w:name="_Hlk10538117"/>
      <w:bookmarkEnd w:id="348"/>
      <w:bookmarkEnd w:id="347"/>
      <w:r>
        <w:rPr>
          <w:rFonts w:ascii="宋体" w:hAnsi="宋体" w:hint="eastAsia"/>
          <w:color w:val="000000" w:themeColor="text1"/>
        </w:rPr>
        <w:t>分摊至剩余履约义务的说明</w:t>
      </w:r>
      <w:bookmarkEnd w:id="349"/>
    </w:p>
    <w:sdt>
      <w:sdtPr>
        <w:rPr>
          <w:color w:val="000000" w:themeColor="text1"/>
        </w:rPr>
        <w:alias w:val="是否适用：分摊至剩余履约义务的说明[双击切换]"/>
        <w:tag w:val="_GBC_3e12eb65fc9e4c7b80815a7392be58f2"/>
        <w:id w:val="-29900018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4"/>
        </w:numPr>
        <w:ind w:left="426" w:hanging="426"/>
        <w:rPr>
          <w:rFonts w:ascii="宋体" w:hAnsi="宋体"/>
          <w:color w:val="000000" w:themeColor="text1"/>
        </w:rPr>
      </w:pPr>
      <w:bookmarkStart w:id="351" w:name="_Hlk167969793"/>
      <w:bookmarkEnd w:id="350"/>
      <w:r>
        <w:rPr>
          <w:rFonts w:ascii="宋体" w:hAnsi="宋体" w:hint="eastAsia"/>
          <w:color w:val="000000" w:themeColor="text1"/>
        </w:rPr>
        <w:t>重大合同变更或重大交易价格调整</w:t>
      </w:r>
    </w:p>
    <w:sdt>
      <w:sdtPr>
        <w:rPr>
          <w:color w:val="000000" w:themeColor="text1"/>
        </w:rPr>
        <w:alias w:val="是否适用：重大合同变更或重大交易价格调整[双击切换]"/>
        <w:tag w:val="_GBC_4ff195f785f7474ba9def45795b4e11c"/>
        <w:id w:val="179864561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pacing w:before="60" w:after="60"/>
        <w:rPr>
          <w:color w:val="000000" w:themeColor="text1"/>
        </w:rPr>
      </w:pPr>
      <w:bookmarkStart w:id="352" w:name="_Hlk26364697"/>
      <w:bookmarkStart w:id="353" w:name="_Hlk41487523"/>
      <w:bookmarkEnd w:id="351"/>
      <w:r>
        <w:rPr>
          <w:rFonts w:hint="eastAsia"/>
          <w:color w:val="000000" w:themeColor="text1"/>
        </w:rPr>
        <w:t>其他说明：</w:t>
      </w:r>
    </w:p>
    <w:p w:rsidR="00597370" w:rsidRDefault="006840ED">
      <w:pPr>
        <w:rPr>
          <w:color w:val="000000" w:themeColor="text1"/>
        </w:rPr>
      </w:pPr>
      <w:sdt>
        <w:sdtPr>
          <w:rPr>
            <w:color w:val="000000" w:themeColor="text1"/>
          </w:rPr>
          <w:alias w:val="主营业务说明"/>
          <w:tag w:val="_GBC_72a96250960e4e188d2fa1097869655e"/>
          <w:id w:val="340676693"/>
          <w:placeholder>
            <w:docPart w:val="GBC22222222222222222222222222222"/>
          </w:placeholder>
        </w:sdtPr>
        <w:sdtEndPr/>
        <w:sdtContent>
          <w:r w:rsidR="003C2EEE">
            <w:rPr>
              <w:rFonts w:hint="eastAsia"/>
              <w:color w:val="000000" w:themeColor="text1"/>
            </w:rPr>
            <w:t>无</w:t>
          </w:r>
        </w:sdtContent>
      </w:sdt>
      <w:bookmarkEnd w:id="352"/>
    </w:p>
    <w:bookmarkEnd w:id="353"/>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税金及附加</w:t>
      </w:r>
    </w:p>
    <w:sdt>
      <w:sdtPr>
        <w:rPr>
          <w:color w:val="000000" w:themeColor="text1"/>
        </w:rPr>
        <w:alias w:val="是否适用：税金及附加[双击切换]"/>
        <w:tag w:val="_GBC_e6e37ca7fd2a435e8e042586945bb4d2"/>
        <w:id w:val="69041239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b/>
          <w:color w:val="000000" w:themeColor="text1"/>
        </w:rPr>
      </w:pPr>
      <w:r>
        <w:rPr>
          <w:rFonts w:hint="eastAsia"/>
          <w:color w:val="000000" w:themeColor="text1"/>
        </w:rPr>
        <w:t>单位：</w:t>
      </w:r>
      <w:sdt>
        <w:sdtPr>
          <w:rPr>
            <w:rFonts w:hint="eastAsia"/>
            <w:color w:val="000000" w:themeColor="text1"/>
          </w:rPr>
          <w:alias w:val="单位：财务附注：税金及附加"/>
          <w:tag w:val="_GBC_bdd382ceb0b74413bcc8ce354afae4a8"/>
          <w:id w:val="14431140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税金及附加"/>
          <w:tag w:val="_GBC_ecf8b53c11ec4336b91007df3f6b5f78"/>
          <w:id w:val="-16018721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34"/>
        <w:gridCol w:w="2992"/>
        <w:gridCol w:w="2991"/>
      </w:tblGrid>
      <w:tr w:rsidR="00597370">
        <w:sdt>
          <w:sdtPr>
            <w:rPr>
              <w:color w:val="000000" w:themeColor="text1"/>
            </w:rPr>
            <w:tag w:val="_PLD_444bcf5500dc4f7f9041afd20c147408"/>
            <w:id w:val="-1216969755"/>
          </w:sdtPr>
          <w:sdtEndPr/>
          <w:sdtContent>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rPr>
              <w:color w:val="000000" w:themeColor="text1"/>
            </w:rPr>
            <w:tag w:val="_PLD_986496e04f5841889074687e953bf8a9"/>
            <w:id w:val="1432011903"/>
          </w:sdtPr>
          <w:sdtEndPr/>
          <w:sdtContent>
            <w:tc>
              <w:tcPr>
                <w:tcW w:w="1697" w:type="pct"/>
                <w:tcBorders>
                  <w:top w:val="single" w:sz="6" w:space="0" w:color="auto"/>
                  <w:left w:val="single" w:sz="6" w:space="0" w:color="auto"/>
                  <w:bottom w:val="single" w:sz="6" w:space="0" w:color="auto"/>
                  <w:right w:val="single" w:sz="6" w:space="0" w:color="auto"/>
                </w:tcBorders>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4ab1376344dc484195a5459c78069a64"/>
            <w:id w:val="-1811556962"/>
          </w:sdtPr>
          <w:sdtEndPr/>
          <w:sdtContent>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center"/>
                  <w:rPr>
                    <w:color w:val="000000" w:themeColor="text1"/>
                  </w:rPr>
                </w:pPr>
                <w:r>
                  <w:rPr>
                    <w:rFonts w:hint="eastAsia"/>
                    <w:color w:val="000000" w:themeColor="text1"/>
                  </w:rPr>
                  <w:t>上期发生额</w:t>
                </w:r>
              </w:p>
            </w:tc>
          </w:sdtContent>
        </w:sdt>
      </w:tr>
      <w:tr w:rsidR="00597370">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pPr>
            <w:r>
              <w:t>房产税</w:t>
            </w:r>
          </w:p>
        </w:tc>
        <w:tc>
          <w:tcPr>
            <w:tcW w:w="1697" w:type="pct"/>
            <w:tcBorders>
              <w:top w:val="single" w:sz="6" w:space="0" w:color="auto"/>
              <w:left w:val="single" w:sz="6" w:space="0" w:color="auto"/>
              <w:bottom w:val="single" w:sz="6" w:space="0" w:color="auto"/>
              <w:right w:val="single" w:sz="6" w:space="0" w:color="auto"/>
            </w:tcBorders>
          </w:tcPr>
          <w:p w:rsidR="00597370" w:rsidRDefault="003C2EEE">
            <w:pPr>
              <w:autoSpaceDE w:val="0"/>
              <w:autoSpaceDN w:val="0"/>
              <w:adjustRightInd w:val="0"/>
              <w:snapToGrid w:val="0"/>
              <w:spacing w:line="240" w:lineRule="atLeast"/>
              <w:jc w:val="right"/>
            </w:pPr>
            <w:r>
              <w:t>2,690,445.36</w:t>
            </w:r>
          </w:p>
        </w:tc>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pPr>
            <w:r>
              <w:t>1,948,427.46</w:t>
            </w:r>
          </w:p>
        </w:tc>
      </w:tr>
      <w:tr w:rsidR="00597370">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pPr>
            <w:r>
              <w:t>土地使用税</w:t>
            </w:r>
          </w:p>
        </w:tc>
        <w:tc>
          <w:tcPr>
            <w:tcW w:w="1697" w:type="pct"/>
            <w:tcBorders>
              <w:top w:val="single" w:sz="6" w:space="0" w:color="auto"/>
              <w:left w:val="single" w:sz="6" w:space="0" w:color="auto"/>
              <w:bottom w:val="single" w:sz="6" w:space="0" w:color="auto"/>
              <w:right w:val="single" w:sz="6" w:space="0" w:color="auto"/>
            </w:tcBorders>
          </w:tcPr>
          <w:p w:rsidR="00597370" w:rsidRDefault="003C2EEE">
            <w:pPr>
              <w:autoSpaceDE w:val="0"/>
              <w:autoSpaceDN w:val="0"/>
              <w:adjustRightInd w:val="0"/>
              <w:snapToGrid w:val="0"/>
              <w:spacing w:line="240" w:lineRule="atLeast"/>
              <w:jc w:val="right"/>
            </w:pPr>
            <w:r>
              <w:t>1,849,370.48</w:t>
            </w:r>
          </w:p>
        </w:tc>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pPr>
            <w:r>
              <w:t>1,382,166.66</w:t>
            </w:r>
          </w:p>
        </w:tc>
      </w:tr>
      <w:tr w:rsidR="00597370">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pPr>
            <w:r>
              <w:t>印花税</w:t>
            </w:r>
          </w:p>
        </w:tc>
        <w:tc>
          <w:tcPr>
            <w:tcW w:w="1697" w:type="pct"/>
            <w:tcBorders>
              <w:top w:val="single" w:sz="6" w:space="0" w:color="auto"/>
              <w:left w:val="single" w:sz="6" w:space="0" w:color="auto"/>
              <w:bottom w:val="single" w:sz="6" w:space="0" w:color="auto"/>
              <w:right w:val="single" w:sz="6" w:space="0" w:color="auto"/>
            </w:tcBorders>
          </w:tcPr>
          <w:p w:rsidR="00597370" w:rsidRDefault="003C2EEE">
            <w:pPr>
              <w:autoSpaceDE w:val="0"/>
              <w:autoSpaceDN w:val="0"/>
              <w:adjustRightInd w:val="0"/>
              <w:snapToGrid w:val="0"/>
              <w:spacing w:line="240" w:lineRule="atLeast"/>
              <w:jc w:val="right"/>
            </w:pPr>
            <w:r>
              <w:t>782,898.23</w:t>
            </w:r>
          </w:p>
        </w:tc>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pPr>
            <w:r>
              <w:t>651,288.13</w:t>
            </w:r>
          </w:p>
        </w:tc>
      </w:tr>
      <w:tr w:rsidR="00597370">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pPr>
            <w:r>
              <w:t>城市维护建设税</w:t>
            </w:r>
          </w:p>
        </w:tc>
        <w:tc>
          <w:tcPr>
            <w:tcW w:w="1697" w:type="pct"/>
            <w:tcBorders>
              <w:top w:val="single" w:sz="6" w:space="0" w:color="auto"/>
              <w:left w:val="single" w:sz="6" w:space="0" w:color="auto"/>
              <w:bottom w:val="single" w:sz="6" w:space="0" w:color="auto"/>
              <w:right w:val="single" w:sz="6" w:space="0" w:color="auto"/>
            </w:tcBorders>
          </w:tcPr>
          <w:p w:rsidR="00597370" w:rsidRDefault="003C2EEE">
            <w:pPr>
              <w:autoSpaceDE w:val="0"/>
              <w:autoSpaceDN w:val="0"/>
              <w:adjustRightInd w:val="0"/>
              <w:snapToGrid w:val="0"/>
              <w:spacing w:line="240" w:lineRule="atLeast"/>
              <w:jc w:val="right"/>
            </w:pPr>
            <w:r>
              <w:t>110,554.06</w:t>
            </w:r>
          </w:p>
        </w:tc>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pPr>
            <w:r>
              <w:t>86,695.02</w:t>
            </w:r>
          </w:p>
        </w:tc>
      </w:tr>
      <w:tr w:rsidR="00597370">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pPr>
            <w:r>
              <w:t>教育费附加</w:t>
            </w:r>
          </w:p>
        </w:tc>
        <w:tc>
          <w:tcPr>
            <w:tcW w:w="1697" w:type="pct"/>
            <w:tcBorders>
              <w:top w:val="single" w:sz="6" w:space="0" w:color="auto"/>
              <w:left w:val="single" w:sz="6" w:space="0" w:color="auto"/>
              <w:bottom w:val="single" w:sz="6" w:space="0" w:color="auto"/>
              <w:right w:val="single" w:sz="6" w:space="0" w:color="auto"/>
            </w:tcBorders>
          </w:tcPr>
          <w:p w:rsidR="00597370" w:rsidRDefault="003C2EEE">
            <w:pPr>
              <w:autoSpaceDE w:val="0"/>
              <w:autoSpaceDN w:val="0"/>
              <w:adjustRightInd w:val="0"/>
              <w:snapToGrid w:val="0"/>
              <w:spacing w:line="240" w:lineRule="atLeast"/>
              <w:jc w:val="right"/>
            </w:pPr>
            <w:r>
              <w:t>79,031.95</w:t>
            </w:r>
          </w:p>
        </w:tc>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pPr>
            <w:r>
              <w:t>61,925.05</w:t>
            </w:r>
          </w:p>
        </w:tc>
      </w:tr>
      <w:tr w:rsidR="00597370">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pPr>
            <w:r>
              <w:t>车船税</w:t>
            </w:r>
          </w:p>
        </w:tc>
        <w:tc>
          <w:tcPr>
            <w:tcW w:w="1697" w:type="pct"/>
            <w:tcBorders>
              <w:top w:val="single" w:sz="6" w:space="0" w:color="auto"/>
              <w:left w:val="single" w:sz="6" w:space="0" w:color="auto"/>
              <w:bottom w:val="single" w:sz="6" w:space="0" w:color="auto"/>
              <w:right w:val="single" w:sz="6" w:space="0" w:color="auto"/>
            </w:tcBorders>
          </w:tcPr>
          <w:p w:rsidR="00597370" w:rsidRDefault="003C2EEE">
            <w:pPr>
              <w:autoSpaceDE w:val="0"/>
              <w:autoSpaceDN w:val="0"/>
              <w:adjustRightInd w:val="0"/>
              <w:snapToGrid w:val="0"/>
              <w:spacing w:line="240" w:lineRule="atLeast"/>
              <w:jc w:val="right"/>
            </w:pPr>
            <w:r>
              <w:t>21,022.80</w:t>
            </w:r>
          </w:p>
        </w:tc>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pPr>
            <w:r>
              <w:t>17,921.64</w:t>
            </w:r>
          </w:p>
        </w:tc>
      </w:tr>
      <w:tr w:rsidR="00597370">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pPr>
            <w:r>
              <w:t>环境保护税</w:t>
            </w:r>
          </w:p>
        </w:tc>
        <w:tc>
          <w:tcPr>
            <w:tcW w:w="1697" w:type="pct"/>
            <w:tcBorders>
              <w:top w:val="single" w:sz="6" w:space="0" w:color="auto"/>
              <w:left w:val="single" w:sz="6" w:space="0" w:color="auto"/>
              <w:bottom w:val="single" w:sz="6" w:space="0" w:color="auto"/>
              <w:right w:val="single" w:sz="6" w:space="0" w:color="auto"/>
            </w:tcBorders>
          </w:tcPr>
          <w:p w:rsidR="00597370" w:rsidRDefault="003C2EEE">
            <w:pPr>
              <w:autoSpaceDE w:val="0"/>
              <w:autoSpaceDN w:val="0"/>
              <w:adjustRightInd w:val="0"/>
              <w:snapToGrid w:val="0"/>
              <w:spacing w:line="240" w:lineRule="atLeast"/>
              <w:jc w:val="right"/>
            </w:pPr>
            <w:r>
              <w:t>137,219.23</w:t>
            </w:r>
          </w:p>
        </w:tc>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pPr>
            <w:r>
              <w:t>69,194.48</w:t>
            </w:r>
          </w:p>
        </w:tc>
      </w:tr>
      <w:tr w:rsidR="00597370">
        <w:tc>
          <w:tcPr>
            <w:tcW w:w="1607" w:type="pct"/>
            <w:tcBorders>
              <w:top w:val="single" w:sz="6" w:space="0" w:color="auto"/>
              <w:left w:val="single" w:sz="6" w:space="0" w:color="auto"/>
              <w:bottom w:val="single" w:sz="6" w:space="0" w:color="auto"/>
              <w:right w:val="single" w:sz="6" w:space="0" w:color="auto"/>
            </w:tcBorders>
            <w:vAlign w:val="center"/>
          </w:tcPr>
          <w:p w:rsidR="00597370" w:rsidRDefault="003C2EEE">
            <w:pPr>
              <w:autoSpaceDE w:val="0"/>
              <w:autoSpaceDN w:val="0"/>
              <w:adjustRightInd w:val="0"/>
              <w:snapToGrid w:val="0"/>
              <w:spacing w:line="240" w:lineRule="atLeast"/>
            </w:pPr>
            <w:r>
              <w:t>合计</w:t>
            </w:r>
          </w:p>
        </w:tc>
        <w:tc>
          <w:tcPr>
            <w:tcW w:w="1697" w:type="pct"/>
            <w:tcBorders>
              <w:top w:val="single" w:sz="6" w:space="0" w:color="auto"/>
              <w:left w:val="single" w:sz="6" w:space="0" w:color="auto"/>
              <w:bottom w:val="single" w:sz="6" w:space="0" w:color="auto"/>
              <w:right w:val="single" w:sz="6" w:space="0" w:color="auto"/>
            </w:tcBorders>
          </w:tcPr>
          <w:p w:rsidR="00597370" w:rsidRDefault="003C2EEE">
            <w:pPr>
              <w:autoSpaceDE w:val="0"/>
              <w:autoSpaceDN w:val="0"/>
              <w:adjustRightInd w:val="0"/>
              <w:snapToGrid w:val="0"/>
              <w:spacing w:line="240" w:lineRule="atLeast"/>
              <w:jc w:val="right"/>
            </w:pPr>
            <w:r>
              <w:t>5,670,542.11</w:t>
            </w:r>
          </w:p>
        </w:tc>
        <w:tc>
          <w:tcPr>
            <w:tcW w:w="1696"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pPr>
            <w:r>
              <w:t>4,217,618.44</w:t>
            </w:r>
          </w:p>
        </w:tc>
      </w:tr>
    </w:tbl>
    <w:p w:rsidR="00597370" w:rsidRDefault="00597370">
      <w:pPr>
        <w:pStyle w:val="Style106"/>
      </w:pPr>
    </w:p>
    <w:p w:rsidR="00597370" w:rsidRDefault="003C2EEE">
      <w:pPr>
        <w:spacing w:before="60" w:after="60"/>
        <w:rPr>
          <w:color w:val="000000" w:themeColor="text1"/>
        </w:rPr>
      </w:pPr>
      <w:r>
        <w:rPr>
          <w:rFonts w:hint="eastAsia"/>
          <w:color w:val="000000" w:themeColor="text1"/>
        </w:rPr>
        <w:t>其他说明：</w:t>
      </w:r>
    </w:p>
    <w:sdt>
      <w:sdtPr>
        <w:rPr>
          <w:rFonts w:hint="eastAsia"/>
          <w:color w:val="000000" w:themeColor="text1"/>
        </w:rPr>
        <w:alias w:val="税金及附加说明"/>
        <w:tag w:val="_GBC_f78e413320ad4d20a3dab91dff935491"/>
        <w:id w:val="-1973206244"/>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s="宋体"/>
          <w:bCs w:val="0"/>
          <w:color w:val="000000" w:themeColor="text1"/>
          <w:kern w:val="0"/>
          <w:szCs w:val="21"/>
        </w:rPr>
      </w:pPr>
      <w:r>
        <w:rPr>
          <w:rFonts w:ascii="宋体" w:hAnsi="宋体" w:cs="宋体" w:hint="eastAsia"/>
          <w:color w:val="000000" w:themeColor="text1"/>
          <w:kern w:val="0"/>
          <w:szCs w:val="21"/>
        </w:rPr>
        <w:t>销售费用</w:t>
      </w:r>
    </w:p>
    <w:sdt>
      <w:sdtPr>
        <w:rPr>
          <w:color w:val="000000" w:themeColor="text1"/>
        </w:rPr>
        <w:alias w:val="是否适用：销售费用[双击切换]"/>
        <w:tag w:val="_GBC_5302d6af48674660a2279c7c8a87bb8c"/>
        <w:id w:val="-28358721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销售费用"/>
          <w:tag w:val="_GBC_893203a5a3df44649aef388407d22c68"/>
          <w:id w:val="2107791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销售费用"/>
          <w:tag w:val="_GBC_4954a9fca98d4f279270fb28f987aa6f"/>
          <w:id w:val="-20530733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2626"/>
        <w:gridCol w:w="2359"/>
      </w:tblGrid>
      <w:tr w:rsidR="00597370">
        <w:sdt>
          <w:sdtPr>
            <w:rPr>
              <w:color w:val="000000" w:themeColor="text1"/>
            </w:rPr>
            <w:tag w:val="_PLD_16c47970a3b145c98f438f3cb34ff636"/>
            <w:id w:val="1397933214"/>
          </w:sdtPr>
          <w:sdtEnd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b3ce435531054240b373e649bc9ae7a1"/>
            <w:id w:val="1488062846"/>
          </w:sdtPr>
          <w:sdtEnd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9480cd5806624557b975b5d0ce06575b"/>
            <w:id w:val="-1886481338"/>
          </w:sdtPr>
          <w:sdtEnd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上期发生额</w:t>
                </w:r>
              </w:p>
            </w:tc>
          </w:sdtContent>
        </w:sdt>
      </w:tr>
      <w:tr w:rsidR="00597370">
        <w:tc>
          <w:tcPr>
            <w:tcW w:w="217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职工薪酬</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22,584,537.63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20,816,708.57 </w:t>
            </w:r>
          </w:p>
        </w:tc>
      </w:tr>
      <w:tr w:rsidR="00597370">
        <w:tc>
          <w:tcPr>
            <w:tcW w:w="217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业务招待费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10,006,273.43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10,753,713.94 </w:t>
            </w:r>
          </w:p>
        </w:tc>
      </w:tr>
      <w:tr w:rsidR="00597370">
        <w:tc>
          <w:tcPr>
            <w:tcW w:w="217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差旅费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6,393,684.75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4,707,501.83 </w:t>
            </w:r>
          </w:p>
        </w:tc>
      </w:tr>
      <w:tr w:rsidR="00597370">
        <w:tc>
          <w:tcPr>
            <w:tcW w:w="217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售后费用</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4,678,403.62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160,363.56 </w:t>
            </w:r>
          </w:p>
        </w:tc>
      </w:tr>
      <w:tr w:rsidR="00597370">
        <w:tc>
          <w:tcPr>
            <w:tcW w:w="217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办公费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3,325,348.64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1,557,717.73 </w:t>
            </w:r>
          </w:p>
        </w:tc>
      </w:tr>
      <w:tr w:rsidR="00597370">
        <w:tc>
          <w:tcPr>
            <w:tcW w:w="217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投标服务费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3,859,181.41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2,877,303.49 </w:t>
            </w:r>
          </w:p>
        </w:tc>
      </w:tr>
      <w:tr w:rsidR="00597370">
        <w:tc>
          <w:tcPr>
            <w:tcW w:w="2175"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其他</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8,165,740.86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jc w:val="right"/>
            </w:pPr>
            <w:r>
              <w:rPr>
                <w:rFonts w:hint="eastAsia"/>
                <w:color w:val="000000"/>
              </w:rPr>
              <w:t xml:space="preserve"> 1,150,665.47 </w:t>
            </w:r>
          </w:p>
        </w:tc>
      </w:tr>
      <w:tr w:rsidR="00597370">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rPr>
                <w:rFonts w:hint="eastAsia"/>
              </w:rPr>
              <w:t>合计</w:t>
            </w:r>
          </w:p>
        </w:tc>
        <w:tc>
          <w:tcPr>
            <w:tcW w:w="148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59,013,170.34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42,023,974.59</w:t>
            </w:r>
          </w:p>
        </w:tc>
      </w:tr>
    </w:tbl>
    <w:p w:rsidR="00597370" w:rsidRDefault="00597370">
      <w:pPr>
        <w:pStyle w:val="Style106"/>
      </w:pPr>
    </w:p>
    <w:p w:rsidR="00597370" w:rsidRDefault="003C2EEE">
      <w:pPr>
        <w:spacing w:before="60" w:after="60"/>
        <w:rPr>
          <w:color w:val="000000" w:themeColor="text1"/>
        </w:rPr>
      </w:pPr>
      <w:r>
        <w:rPr>
          <w:rFonts w:hint="eastAsia"/>
          <w:color w:val="000000" w:themeColor="text1"/>
        </w:rPr>
        <w:t>其他说明：</w:t>
      </w:r>
    </w:p>
    <w:sdt>
      <w:sdtPr>
        <w:rPr>
          <w:color w:val="000000" w:themeColor="text1"/>
        </w:rPr>
        <w:alias w:val="销售费用的其他说明事项"/>
        <w:tag w:val="_GBC_42921bca5478449e9dd3932a8303975a"/>
        <w:id w:val="-1504808949"/>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管理费用</w:t>
      </w:r>
    </w:p>
    <w:sdt>
      <w:sdtPr>
        <w:rPr>
          <w:color w:val="000000" w:themeColor="text1"/>
        </w:rPr>
        <w:alias w:val="是否适用：管理费用[双击切换]"/>
        <w:tag w:val="_GBC_864c9dd9adce435698261f1da02ab8fb"/>
        <w:id w:val="-131640580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管理费用"/>
          <w:tag w:val="_GBC_b8198aec3f7748d28785c1eebbf02df7"/>
          <w:id w:val="-111883019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管理费用"/>
          <w:tag w:val="_GBC_f92af61f8b3b45ba9ec818ede9725428"/>
          <w:id w:val="17121518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597370">
        <w:sdt>
          <w:sdtPr>
            <w:rPr>
              <w:color w:val="000000" w:themeColor="text1"/>
            </w:rPr>
            <w:tag w:val="_PLD_249fd0c096ba421285089a0fada9d43a"/>
            <w:id w:val="1483118807"/>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acf5bcbf929244268be56ad5d0f3ea18"/>
            <w:id w:val="-1021769887"/>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d37d8a59d4d74c26ac22dc33983efa29"/>
            <w:id w:val="1714692545"/>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上期发生额</w:t>
                </w:r>
              </w:p>
            </w:tc>
          </w:sdtContent>
        </w:sdt>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22,693,782.98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15,086,984.18</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lastRenderedPageBreak/>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2,972,006.13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3,697,215.60</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安全生产费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6,893,271.02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5,402,221.27</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1,599,422.27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2,719,403.77</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中介机构服务费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6,716,210.35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3,514,766.58</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折旧及摊销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8,598,007.47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4,233,062.14</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物业费用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1,063,608.08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1,169,662.39</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580,309.11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320,409.71</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3,048,194.17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1,182,971.24</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pStyle w:val="Style106"/>
            </w:pPr>
            <w:r>
              <w:rPr>
                <w:rFonts w:hint="eastAsia"/>
              </w:rPr>
              <w:t>合计</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54,164,811.58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37,326,696.88</w:t>
            </w:r>
          </w:p>
        </w:tc>
      </w:tr>
    </w:tbl>
    <w:p w:rsidR="00597370" w:rsidRDefault="00597370">
      <w:pPr>
        <w:pStyle w:val="Style106"/>
      </w:pPr>
    </w:p>
    <w:p w:rsidR="00597370" w:rsidRDefault="003C2EEE">
      <w:pPr>
        <w:rPr>
          <w:color w:val="000000" w:themeColor="text1"/>
        </w:rPr>
      </w:pPr>
      <w:r>
        <w:rPr>
          <w:rFonts w:hint="eastAsia"/>
          <w:color w:val="000000" w:themeColor="text1"/>
        </w:rPr>
        <w:t>其他说明：</w:t>
      </w:r>
    </w:p>
    <w:sdt>
      <w:sdtPr>
        <w:rPr>
          <w:color w:val="000000" w:themeColor="text1"/>
        </w:rPr>
        <w:alias w:val="管理费用的其他说明事项"/>
        <w:tag w:val="_GBC_2ddba7c397f842b2a457e4f7fe020aca"/>
        <w:id w:val="753478719"/>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bookmarkStart w:id="354" w:name="_Hlk10538261"/>
      <w:r>
        <w:rPr>
          <w:rFonts w:ascii="宋体" w:hAnsi="宋体" w:hint="eastAsia"/>
          <w:color w:val="000000" w:themeColor="text1"/>
          <w:szCs w:val="21"/>
        </w:rPr>
        <w:t>研发费用</w:t>
      </w:r>
    </w:p>
    <w:sdt>
      <w:sdtPr>
        <w:rPr>
          <w:color w:val="000000" w:themeColor="text1"/>
        </w:rPr>
        <w:alias w:val="是否适用：研发费用[双击切换]"/>
        <w:tag w:val="_GBC_48b4a6beb6f54c3ba7c01af3727337bb"/>
        <w:id w:val="-143898242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left="420"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研发费用"/>
          <w:tag w:val="_GBC_a0292321d82f46b8823ab163b1084fea"/>
          <w:id w:val="14287712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研发费用"/>
          <w:tag w:val="_GBC_a0b2b92cacc24641a2d69fc025b920ea"/>
          <w:id w:val="20106463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597370">
        <w:sdt>
          <w:sdtPr>
            <w:rPr>
              <w:color w:val="000000" w:themeColor="text1"/>
            </w:rPr>
            <w:tag w:val="_PLD_878c2bf88dff43e8bf48fe187921cf85"/>
            <w:id w:val="397103934"/>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043e1c3ae76a497c9be9c1eef3db33c6"/>
            <w:id w:val="-1259519481"/>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d0588c88282b4dae9e42d7ffd38d27c6"/>
            <w:id w:val="1564292036"/>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上期发生额</w:t>
                </w:r>
              </w:p>
            </w:tc>
          </w:sdtContent>
        </w:sdt>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材料</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8,079,531.12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9,123,440.09</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7,538,402.47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4,154,163.49</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检测</w:t>
            </w:r>
            <w:proofErr w:type="gramStart"/>
            <w:r>
              <w:t>费及委外</w:t>
            </w:r>
            <w:proofErr w:type="gramEnd"/>
            <w:r>
              <w:t>研究费用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2,679,953.32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3,625,279.53</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折旧费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1,633,550.48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343,472.91</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燃料及动力</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42,223.63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pP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640,113.43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572,619.70</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color w:val="000000" w:themeColor="text1"/>
              </w:rPr>
            </w:pPr>
            <w:r>
              <w:rPr>
                <w:rFonts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20,613,774.45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17,818,975.72</w:t>
            </w:r>
          </w:p>
        </w:tc>
      </w:tr>
    </w:tbl>
    <w:p w:rsidR="00597370" w:rsidRDefault="00597370">
      <w:pPr>
        <w:pStyle w:val="Style106"/>
      </w:pPr>
    </w:p>
    <w:p w:rsidR="00597370" w:rsidRDefault="003C2EEE">
      <w:pPr>
        <w:rPr>
          <w:color w:val="000000" w:themeColor="text1"/>
        </w:rPr>
      </w:pPr>
      <w:r>
        <w:rPr>
          <w:rFonts w:hint="eastAsia"/>
          <w:color w:val="000000" w:themeColor="text1"/>
        </w:rPr>
        <w:t>其他说明：</w:t>
      </w:r>
    </w:p>
    <w:sdt>
      <w:sdtPr>
        <w:rPr>
          <w:color w:val="000000" w:themeColor="text1"/>
        </w:rPr>
        <w:alias w:val="研发费用其他说明"/>
        <w:tag w:val="_GBC_f09ad1e9748e43059f8db34f9454426c"/>
        <w:id w:val="814843524"/>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bookmarkEnd w:id="354"/>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财务费用</w:t>
      </w:r>
    </w:p>
    <w:sdt>
      <w:sdtPr>
        <w:rPr>
          <w:color w:val="000000" w:themeColor="text1"/>
        </w:rPr>
        <w:alias w:val="是否适用：财务费用[双击切换]"/>
        <w:tag w:val="_GBC_699d8bdb2f1f4504a0ea4ccbc8889cfa"/>
        <w:id w:val="-73902049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费用"/>
          <w:tag w:val="_GBC_eb9e02dce68144759561a3427fb3099a"/>
          <w:id w:val="-13715991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费用"/>
          <w:tag w:val="_GBC_8e992a76854b4bd0a3f5cd49b31a4604"/>
          <w:id w:val="16269634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597370">
        <w:sdt>
          <w:sdtPr>
            <w:rPr>
              <w:color w:val="000000" w:themeColor="text1"/>
            </w:rPr>
            <w:tag w:val="_PLD_c57c227174f044c4bfa2c0fda1e37156"/>
            <w:id w:val="774748777"/>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d7b23aa0bcb6433894875c858270ab7f"/>
            <w:id w:val="-1525397947"/>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d79245f93e3d475b953b3e44bb1c6425"/>
            <w:id w:val="272821473"/>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上期发生额</w:t>
                </w:r>
              </w:p>
            </w:tc>
          </w:sdtContent>
        </w:sdt>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19,340,237.74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5,861,909.57</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17,601,283.27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15,256,155.63</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-2,605,308.90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333,735.19</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银行手续费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672,049.12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385,399.10</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pStyle w:val="Style106"/>
            </w:pPr>
            <w:r>
              <w:t>融资租赁利息</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159,604.80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113,307.00</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-34,700.51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-8,561,804.77</w:t>
            </w:r>
          </w:p>
        </w:tc>
      </w:tr>
    </w:tbl>
    <w:p w:rsidR="00597370" w:rsidRDefault="00597370">
      <w:pPr>
        <w:pStyle w:val="Style106"/>
      </w:pPr>
    </w:p>
    <w:p w:rsidR="00597370" w:rsidRDefault="003C2EEE">
      <w:pPr>
        <w:rPr>
          <w:color w:val="000000" w:themeColor="text1"/>
        </w:rPr>
      </w:pPr>
      <w:r>
        <w:rPr>
          <w:rFonts w:hint="eastAsia"/>
          <w:color w:val="000000" w:themeColor="text1"/>
        </w:rPr>
        <w:t>其他说明：</w:t>
      </w:r>
    </w:p>
    <w:sdt>
      <w:sdtPr>
        <w:rPr>
          <w:color w:val="000000" w:themeColor="text1"/>
        </w:rPr>
        <w:alias w:val="财务费用的其他说明事项"/>
        <w:tag w:val="_GBC_5bd15645edcc4a51b94ddca48ee9be98"/>
        <w:id w:val="-350885186"/>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597370">
      <w:pPr>
        <w:rPr>
          <w:color w:val="000000" w:themeColor="text1"/>
        </w:rPr>
      </w:pPr>
    </w:p>
    <w:p w:rsidR="00597370" w:rsidRDefault="003C2EEE">
      <w:pPr>
        <w:pStyle w:val="Style109"/>
        <w:numPr>
          <w:ilvl w:val="0"/>
          <w:numId w:val="46"/>
        </w:numPr>
        <w:tabs>
          <w:tab w:val="left" w:pos="504"/>
        </w:tabs>
        <w:rPr>
          <w:rFonts w:ascii="宋体" w:hAnsi="宋体"/>
          <w:color w:val="000000" w:themeColor="text1"/>
        </w:rPr>
      </w:pPr>
      <w:r>
        <w:rPr>
          <w:rFonts w:ascii="宋体" w:hAnsi="宋体" w:hint="eastAsia"/>
          <w:color w:val="000000" w:themeColor="text1"/>
        </w:rPr>
        <w:t>其他收益</w:t>
      </w:r>
    </w:p>
    <w:sdt>
      <w:sdtPr>
        <w:rPr>
          <w:color w:val="000000" w:themeColor="text1"/>
        </w:rPr>
        <w:alias w:val="是否适用：财务报表其他收益[双击切换]"/>
        <w:tag w:val="_GBC_86fde94b0d4e4b1f997adc6f063babf7"/>
        <w:id w:val="-52417071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rFonts w:cstheme="minorBidi"/>
          <w:color w:val="000000" w:themeColor="text1"/>
          <w:szCs w:val="22"/>
        </w:rPr>
      </w:pPr>
      <w:r>
        <w:rPr>
          <w:rFonts w:cstheme="minorBidi"/>
          <w:color w:val="000000" w:themeColor="text1"/>
          <w:szCs w:val="22"/>
        </w:rPr>
        <w:t>单位：</w:t>
      </w:r>
      <w:sdt>
        <w:sdtPr>
          <w:rPr>
            <w:rFonts w:cstheme="minorBidi"/>
            <w:color w:val="000000" w:themeColor="text1"/>
            <w:szCs w:val="22"/>
          </w:rPr>
          <w:alias w:val="单位：财务报表其他收益明细"/>
          <w:tag w:val="_GBC_12755937dc3b48a489abda6cc5cda8d6"/>
          <w:id w:val="-73624643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cstheme="minorBidi" w:hint="eastAsia"/>
              <w:color w:val="000000" w:themeColor="text1"/>
              <w:szCs w:val="22"/>
            </w:rPr>
            <w:t>元</w:t>
          </w:r>
        </w:sdtContent>
      </w:sdt>
      <w:r>
        <w:rPr>
          <w:rFonts w:cstheme="minorBidi"/>
          <w:color w:val="000000" w:themeColor="text1"/>
          <w:szCs w:val="22"/>
        </w:rPr>
        <w:t xml:space="preserve">  币种：</w:t>
      </w:r>
      <w:sdt>
        <w:sdtPr>
          <w:rPr>
            <w:rFonts w:cstheme="minorBidi"/>
            <w:color w:val="000000" w:themeColor="text1"/>
            <w:szCs w:val="22"/>
          </w:rPr>
          <w:alias w:val="币种：财务报表其他收益明细"/>
          <w:tag w:val="_GBC_3daaaf66c73e4201b067378f3d17e13f"/>
          <w:id w:val="13516078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theme="minorBidi" w:hint="eastAsia"/>
              <w:color w:val="000000" w:themeColor="text1"/>
              <w:szCs w:val="22"/>
            </w:rPr>
            <w:t>人民币</w:t>
          </w:r>
        </w:sdtContent>
      </w:sdt>
    </w:p>
    <w:tbl>
      <w:tblPr>
        <w:tblStyle w:val="g3"/>
        <w:tblW w:w="0" w:type="auto"/>
        <w:tblLook w:val="04A0" w:firstRow="1" w:lastRow="0" w:firstColumn="1" w:lastColumn="0" w:noHBand="0" w:noVBand="1"/>
      </w:tblPr>
      <w:tblGrid>
        <w:gridCol w:w="3971"/>
        <w:gridCol w:w="2490"/>
        <w:gridCol w:w="2362"/>
      </w:tblGrid>
      <w:tr w:rsidR="00597370">
        <w:tc>
          <w:tcPr>
            <w:tcW w:w="3971" w:type="dxa"/>
          </w:tcPr>
          <w:sdt>
            <w:sdtPr>
              <w:rPr>
                <w:rFonts w:ascii="Times New Roman" w:hAnsi="Times New Roman" w:hint="eastAsia"/>
                <w:color w:val="000000" w:themeColor="text1"/>
              </w:rPr>
              <w:tag w:val="_PLD_92b33ced889140b7b84894c5f486f4e6"/>
              <w:id w:val="43490513"/>
            </w:sdtPr>
            <w:sdtEndPr/>
            <w:sdtContent>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按性质分类</w:t>
                </w:r>
              </w:p>
            </w:sdtContent>
          </w:sdt>
        </w:tc>
        <w:tc>
          <w:tcPr>
            <w:tcW w:w="2490" w:type="dxa"/>
          </w:tcPr>
          <w:sdt>
            <w:sdtPr>
              <w:rPr>
                <w:rFonts w:ascii="Times New Roman" w:hAnsi="Times New Roman" w:hint="eastAsia"/>
                <w:color w:val="000000" w:themeColor="text1"/>
              </w:rPr>
              <w:tag w:val="_PLD_73b3023fbaed423bbb8ca1ec42a2eaf9"/>
              <w:id w:val="1811512338"/>
            </w:sdtPr>
            <w:sdtEndPr/>
            <w:sdtContent>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本期发生额</w:t>
                </w:r>
              </w:p>
            </w:sdtContent>
          </w:sdt>
        </w:tc>
        <w:tc>
          <w:tcPr>
            <w:tcW w:w="2362" w:type="dxa"/>
          </w:tcPr>
          <w:sdt>
            <w:sdtPr>
              <w:rPr>
                <w:rFonts w:ascii="Times New Roman" w:hAnsi="Times New Roman" w:hint="eastAsia"/>
                <w:color w:val="000000" w:themeColor="text1"/>
              </w:rPr>
              <w:tag w:val="_PLD_9f39351a333c497da22a0955aff07b4c"/>
              <w:id w:val="354923310"/>
            </w:sdtPr>
            <w:sdtEndPr/>
            <w:sdtContent>
              <w:p w:rsidR="00597370" w:rsidRDefault="003C2EEE">
                <w:pPr>
                  <w:jc w:val="center"/>
                  <w:rPr>
                    <w:rFonts w:ascii="Times New Roman" w:hAnsi="Times New Roman"/>
                    <w:color w:val="000000" w:themeColor="text1"/>
                  </w:rPr>
                </w:pPr>
                <w:r>
                  <w:rPr>
                    <w:rFonts w:ascii="Times New Roman" w:hAnsi="Times New Roman" w:hint="eastAsia"/>
                    <w:color w:val="000000" w:themeColor="text1"/>
                  </w:rPr>
                  <w:t>上期发生额</w:t>
                </w:r>
              </w:p>
            </w:sdtContent>
          </w:sdt>
        </w:tc>
      </w:tr>
      <w:tr w:rsidR="00597370">
        <w:tc>
          <w:tcPr>
            <w:tcW w:w="3971" w:type="dxa"/>
          </w:tcPr>
          <w:p w:rsidR="00597370" w:rsidRDefault="003C2EEE">
            <w:pPr>
              <w:pStyle w:val="Style106"/>
              <w:rPr>
                <w:rFonts w:ascii="Times New Roman" w:hAnsi="Times New Roman"/>
              </w:rPr>
            </w:pPr>
            <w:r>
              <w:rPr>
                <w:rFonts w:ascii="Times New Roman" w:hAnsi="Times New Roman"/>
              </w:rPr>
              <w:t>政府补助</w:t>
            </w:r>
          </w:p>
        </w:tc>
        <w:tc>
          <w:tcPr>
            <w:tcW w:w="2490" w:type="dxa"/>
          </w:tcPr>
          <w:p w:rsidR="00597370" w:rsidRDefault="003C2EEE">
            <w:pPr>
              <w:jc w:val="right"/>
              <w:rPr>
                <w:rFonts w:asciiTheme="minorEastAsia" w:eastAsiaTheme="minorEastAsia" w:hAnsiTheme="minorEastAsia"/>
              </w:rPr>
            </w:pPr>
            <w:r>
              <w:rPr>
                <w:rFonts w:asciiTheme="minorEastAsia" w:eastAsiaTheme="minorEastAsia" w:hAnsiTheme="minorEastAsia"/>
              </w:rPr>
              <w:t>43,522,541.83</w:t>
            </w:r>
          </w:p>
        </w:tc>
        <w:tc>
          <w:tcPr>
            <w:tcW w:w="2362"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3,157,458.80</w:t>
            </w:r>
          </w:p>
        </w:tc>
      </w:tr>
      <w:tr w:rsidR="00597370">
        <w:tc>
          <w:tcPr>
            <w:tcW w:w="3971" w:type="dxa"/>
          </w:tcPr>
          <w:p w:rsidR="00597370" w:rsidRDefault="003C2EEE">
            <w:pPr>
              <w:pStyle w:val="Style106"/>
              <w:rPr>
                <w:rFonts w:ascii="Times New Roman" w:hAnsi="Times New Roman"/>
              </w:rPr>
            </w:pPr>
            <w:r>
              <w:rPr>
                <w:rFonts w:ascii="Times New Roman" w:hAnsi="Times New Roman" w:hint="eastAsia"/>
              </w:rPr>
              <w:t>增值税加计抵减</w:t>
            </w:r>
          </w:p>
        </w:tc>
        <w:tc>
          <w:tcPr>
            <w:tcW w:w="2490" w:type="dxa"/>
          </w:tcPr>
          <w:p w:rsidR="00597370" w:rsidRDefault="003C2EEE">
            <w:pPr>
              <w:jc w:val="right"/>
              <w:rPr>
                <w:rFonts w:asciiTheme="minorEastAsia" w:eastAsiaTheme="minorEastAsia" w:hAnsiTheme="minorEastAsia"/>
              </w:rPr>
            </w:pPr>
            <w:r>
              <w:rPr>
                <w:rFonts w:asciiTheme="minorEastAsia" w:eastAsiaTheme="minorEastAsia" w:hAnsiTheme="minorEastAsia"/>
              </w:rPr>
              <w:t>8,428,670.79</w:t>
            </w:r>
          </w:p>
        </w:tc>
        <w:tc>
          <w:tcPr>
            <w:tcW w:w="2362" w:type="dxa"/>
            <w:vAlign w:val="center"/>
          </w:tcPr>
          <w:p w:rsidR="00597370" w:rsidRDefault="00597370">
            <w:pPr>
              <w:jc w:val="right"/>
              <w:rPr>
                <w:rFonts w:asciiTheme="minorEastAsia" w:eastAsiaTheme="minorEastAsia" w:hAnsiTheme="minorEastAsia"/>
              </w:rPr>
            </w:pPr>
          </w:p>
        </w:tc>
      </w:tr>
      <w:tr w:rsidR="00597370">
        <w:tc>
          <w:tcPr>
            <w:tcW w:w="3971" w:type="dxa"/>
          </w:tcPr>
          <w:p w:rsidR="00597370" w:rsidRDefault="003C2EEE">
            <w:pPr>
              <w:pStyle w:val="Style106"/>
              <w:rPr>
                <w:rFonts w:ascii="Times New Roman" w:hAnsi="Times New Roman"/>
              </w:rPr>
            </w:pPr>
            <w:r>
              <w:rPr>
                <w:rFonts w:ascii="Times New Roman" w:hAnsi="Times New Roman"/>
              </w:rPr>
              <w:t>其他</w:t>
            </w:r>
          </w:p>
        </w:tc>
        <w:tc>
          <w:tcPr>
            <w:tcW w:w="2490" w:type="dxa"/>
          </w:tcPr>
          <w:p w:rsidR="00597370" w:rsidRDefault="003C2EEE">
            <w:pPr>
              <w:jc w:val="right"/>
              <w:rPr>
                <w:rFonts w:asciiTheme="minorEastAsia" w:eastAsiaTheme="minorEastAsia" w:hAnsiTheme="minorEastAsia"/>
              </w:rPr>
            </w:pPr>
            <w:r>
              <w:rPr>
                <w:rFonts w:asciiTheme="minorEastAsia" w:eastAsiaTheme="minorEastAsia" w:hAnsiTheme="minorEastAsia"/>
              </w:rPr>
              <w:t>148,930.25</w:t>
            </w:r>
          </w:p>
        </w:tc>
        <w:tc>
          <w:tcPr>
            <w:tcW w:w="2362"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56,680.18</w:t>
            </w:r>
          </w:p>
        </w:tc>
      </w:tr>
      <w:tr w:rsidR="00597370">
        <w:tc>
          <w:tcPr>
            <w:tcW w:w="3971" w:type="dxa"/>
          </w:tcPr>
          <w:p w:rsidR="00597370" w:rsidRDefault="003C2EEE">
            <w:pPr>
              <w:jc w:val="left"/>
              <w:rPr>
                <w:rFonts w:ascii="Times New Roman" w:hAnsi="Times New Roman"/>
                <w:color w:val="000000" w:themeColor="text1"/>
              </w:rPr>
            </w:pPr>
            <w:r>
              <w:rPr>
                <w:rFonts w:ascii="Times New Roman" w:hAnsi="Times New Roman" w:hint="eastAsia"/>
                <w:color w:val="000000" w:themeColor="text1"/>
              </w:rPr>
              <w:t>合计</w:t>
            </w:r>
          </w:p>
        </w:tc>
        <w:tc>
          <w:tcPr>
            <w:tcW w:w="2490" w:type="dxa"/>
          </w:tcPr>
          <w:p w:rsidR="00597370" w:rsidRDefault="003C2EEE">
            <w:pPr>
              <w:jc w:val="right"/>
              <w:rPr>
                <w:rFonts w:asciiTheme="minorEastAsia" w:eastAsiaTheme="minorEastAsia" w:hAnsiTheme="minorEastAsia"/>
              </w:rPr>
            </w:pPr>
            <w:r>
              <w:rPr>
                <w:rFonts w:asciiTheme="minorEastAsia" w:eastAsiaTheme="minorEastAsia" w:hAnsiTheme="minorEastAsia"/>
              </w:rPr>
              <w:t>52,100,142.87</w:t>
            </w:r>
          </w:p>
        </w:tc>
        <w:tc>
          <w:tcPr>
            <w:tcW w:w="2362"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3,214,138.98</w:t>
            </w:r>
          </w:p>
        </w:tc>
      </w:tr>
    </w:tbl>
    <w:p w:rsidR="00597370" w:rsidRDefault="00597370">
      <w:pPr>
        <w:pStyle w:val="Style106"/>
      </w:pPr>
    </w:p>
    <w:p w:rsidR="00597370" w:rsidRDefault="003C2EEE">
      <w:pPr>
        <w:rPr>
          <w:color w:val="000000" w:themeColor="text1"/>
        </w:rPr>
      </w:pPr>
      <w:r>
        <w:rPr>
          <w:rFonts w:hint="eastAsia"/>
          <w:color w:val="000000" w:themeColor="text1"/>
        </w:rPr>
        <w:t>其他</w:t>
      </w:r>
      <w:r>
        <w:rPr>
          <w:color w:val="000000" w:themeColor="text1"/>
        </w:rPr>
        <w:t>说明：</w:t>
      </w:r>
    </w:p>
    <w:p w:rsidR="00597370" w:rsidRDefault="003C2EEE">
      <w:pPr>
        <w:spacing w:line="360" w:lineRule="auto"/>
        <w:rPr>
          <w:rFonts w:asciiTheme="minorEastAsia" w:eastAsiaTheme="minorEastAsia" w:hAnsiTheme="minorEastAsia"/>
        </w:rPr>
      </w:pPr>
      <w:r>
        <w:rPr>
          <w:rFonts w:asciiTheme="minorEastAsia" w:eastAsiaTheme="minorEastAsia" w:hAnsiTheme="minorEastAsia" w:hint="eastAsia"/>
        </w:rPr>
        <w:t>无</w:t>
      </w:r>
    </w:p>
    <w:p w:rsidR="00597370" w:rsidRDefault="003C2EEE">
      <w:pPr>
        <w:pStyle w:val="Style109"/>
        <w:numPr>
          <w:ilvl w:val="0"/>
          <w:numId w:val="46"/>
        </w:numPr>
        <w:tabs>
          <w:tab w:val="left" w:pos="504"/>
        </w:tabs>
        <w:rPr>
          <w:rFonts w:ascii="宋体" w:hAnsi="宋体"/>
          <w:color w:val="000000" w:themeColor="text1"/>
          <w:szCs w:val="21"/>
        </w:rPr>
      </w:pPr>
      <w:bookmarkStart w:id="355" w:name="_Hlk11857276"/>
      <w:r>
        <w:rPr>
          <w:rFonts w:ascii="宋体" w:hAnsi="宋体" w:hint="eastAsia"/>
          <w:color w:val="000000" w:themeColor="text1"/>
          <w:szCs w:val="21"/>
        </w:rPr>
        <w:t>投资收益</w:t>
      </w:r>
    </w:p>
    <w:sdt>
      <w:sdtPr>
        <w:rPr>
          <w:color w:val="000000" w:themeColor="text1"/>
        </w:rPr>
        <w:alias w:val="是否适用：投资收益[双击切换]"/>
        <w:tag w:val="_GBC_39356fd9dd9e4f5497d61d781210b2fe"/>
        <w:id w:val="126927104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b/>
          <w:color w:val="000000" w:themeColor="text1"/>
        </w:rPr>
      </w:pPr>
      <w:bookmarkStart w:id="356" w:name="_Hlk10538462"/>
      <w:r>
        <w:rPr>
          <w:color w:val="000000" w:themeColor="text1"/>
        </w:rPr>
        <w:t>单位</w:t>
      </w:r>
      <w:r>
        <w:rPr>
          <w:rFonts w:hint="eastAsia"/>
          <w:color w:val="000000" w:themeColor="text1"/>
        </w:rPr>
        <w:t>：</w:t>
      </w:r>
      <w:sdt>
        <w:sdtPr>
          <w:rPr>
            <w:rFonts w:hint="eastAsia"/>
            <w:color w:val="000000" w:themeColor="text1"/>
          </w:rPr>
          <w:alias w:val="单位：财务附注：会计报表中的投资收益项目增加"/>
          <w:tag w:val="_GBC_8785b82a02ca4b0db1de3227128775b4"/>
          <w:id w:val="-3873403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r>
        <w:rPr>
          <w:rFonts w:hint="eastAsia"/>
          <w:color w:val="000000" w:themeColor="text1"/>
        </w:rPr>
        <w:t>：</w:t>
      </w:r>
      <w:sdt>
        <w:sdtPr>
          <w:rPr>
            <w:rFonts w:hint="eastAsia"/>
            <w:color w:val="000000" w:themeColor="text1"/>
          </w:rPr>
          <w:alias w:val="币种：财务附注：会计报表中的投资收益项目增加"/>
          <w:tag w:val="_GBC_c4394dc445a94e9a8a4b83889c79fcb1"/>
          <w:id w:val="256101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2626"/>
        <w:gridCol w:w="2636"/>
      </w:tblGrid>
      <w:tr w:rsidR="00597370">
        <w:sdt>
          <w:sdtPr>
            <w:rPr>
              <w:color w:val="000000" w:themeColor="text1"/>
            </w:rPr>
            <w:tag w:val="_PLD_2fef67a5db2c453288257a2dfe03fd6e"/>
            <w:id w:val="1697424880"/>
          </w:sdtPr>
          <w:sdtEndPr/>
          <w:sdtContent>
            <w:tc>
              <w:tcPr>
                <w:tcW w:w="2018" w:type="pct"/>
                <w:vAlign w:val="center"/>
              </w:tcPr>
              <w:p w:rsidR="00597370" w:rsidRDefault="003C2EEE">
                <w:pPr>
                  <w:ind w:left="420" w:hanging="420"/>
                  <w:jc w:val="center"/>
                  <w:rPr>
                    <w:color w:val="000000" w:themeColor="text1"/>
                  </w:rPr>
                </w:pPr>
                <w:r>
                  <w:rPr>
                    <w:rFonts w:hint="eastAsia"/>
                    <w:color w:val="000000" w:themeColor="text1"/>
                  </w:rPr>
                  <w:t>项目</w:t>
                </w:r>
              </w:p>
            </w:tc>
          </w:sdtContent>
        </w:sdt>
        <w:sdt>
          <w:sdtPr>
            <w:rPr>
              <w:color w:val="000000" w:themeColor="text1"/>
            </w:rPr>
            <w:tag w:val="_PLD_3f927d0ff25c47abb0f9b18794554af6"/>
            <w:id w:val="1412045452"/>
          </w:sdtPr>
          <w:sdtEndPr/>
          <w:sdtContent>
            <w:tc>
              <w:tcPr>
                <w:tcW w:w="1488" w:type="pct"/>
                <w:vAlign w:val="center"/>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a6cbfed1438f48b7947079a5821a9eba"/>
            <w:id w:val="-856266127"/>
          </w:sdtPr>
          <w:sdtEndPr/>
          <w:sdtContent>
            <w:tc>
              <w:tcPr>
                <w:tcW w:w="1494" w:type="pct"/>
                <w:vAlign w:val="center"/>
              </w:tcPr>
              <w:p w:rsidR="00597370" w:rsidRDefault="003C2EEE">
                <w:pPr>
                  <w:jc w:val="center"/>
                  <w:rPr>
                    <w:color w:val="000000" w:themeColor="text1"/>
                  </w:rPr>
                </w:pPr>
                <w:r>
                  <w:rPr>
                    <w:rFonts w:hint="eastAsia"/>
                    <w:color w:val="000000" w:themeColor="text1"/>
                  </w:rPr>
                  <w:t>上期发生额</w:t>
                </w:r>
              </w:p>
            </w:tc>
          </w:sdtContent>
        </w:sdt>
      </w:tr>
      <w:tr w:rsidR="00597370">
        <w:trPr>
          <w:trHeight w:val="453"/>
        </w:trPr>
        <w:sdt>
          <w:sdtPr>
            <w:rPr>
              <w:rFonts w:ascii="Times New Roman" w:hAnsi="Times New Roman"/>
            </w:rPr>
            <w:tag w:val="_PLD_095c5821555f4f22a6901c43ff8cf9ed"/>
            <w:id w:val="-898050002"/>
          </w:sdtPr>
          <w:sdtEndPr/>
          <w:sdtContent>
            <w:tc>
              <w:tcPr>
                <w:tcW w:w="2018" w:type="pct"/>
              </w:tcPr>
              <w:p w:rsidR="00597370" w:rsidRDefault="003C2EEE">
                <w:pPr>
                  <w:widowControl w:val="0"/>
                  <w:jc w:val="both"/>
                </w:pPr>
                <w:r>
                  <w:rPr>
                    <w:rFonts w:ascii="Times New Roman" w:hAnsi="Times New Roman" w:hint="eastAsia"/>
                  </w:rPr>
                  <w:t>权益法核算的长期股权投资收益</w:t>
                </w:r>
              </w:p>
            </w:tc>
          </w:sdtContent>
        </w:sdt>
        <w:tc>
          <w:tcPr>
            <w:tcW w:w="1488" w:type="pct"/>
          </w:tcPr>
          <w:p w:rsidR="00597370" w:rsidRDefault="003C2EEE">
            <w:pPr>
              <w:jc w:val="right"/>
            </w:pPr>
            <w:r>
              <w:t>-74,502.67</w:t>
            </w:r>
          </w:p>
        </w:tc>
        <w:tc>
          <w:tcPr>
            <w:tcW w:w="1494" w:type="pct"/>
            <w:vAlign w:val="center"/>
          </w:tcPr>
          <w:p w:rsidR="00597370" w:rsidRDefault="003C2EEE">
            <w:pPr>
              <w:jc w:val="right"/>
            </w:pPr>
            <w:r>
              <w:t>639,872.89</w:t>
            </w:r>
          </w:p>
        </w:tc>
      </w:tr>
      <w:tr w:rsidR="00597370">
        <w:tc>
          <w:tcPr>
            <w:tcW w:w="2018" w:type="pct"/>
          </w:tcPr>
          <w:sdt>
            <w:sdtPr>
              <w:rPr>
                <w:rFonts w:ascii="Times New Roman" w:hAnsi="Times New Roman" w:hint="eastAsia"/>
              </w:rPr>
              <w:tag w:val="_PLD_3fb066cc533f4905803faa53dcf2b7bb"/>
              <w:id w:val="-1078363447"/>
            </w:sdtPr>
            <w:sdtEndPr/>
            <w:sdtContent>
              <w:p w:rsidR="00597370" w:rsidRDefault="003C2EEE">
                <w:pPr>
                  <w:widowControl w:val="0"/>
                  <w:jc w:val="both"/>
                </w:pPr>
                <w:r>
                  <w:rPr>
                    <w:rFonts w:ascii="Times New Roman" w:hAnsi="Times New Roman" w:hint="eastAsia"/>
                  </w:rPr>
                  <w:t>处置交易性金融资产取得的投资收益</w:t>
                </w:r>
              </w:p>
            </w:sdtContent>
          </w:sdt>
        </w:tc>
        <w:tc>
          <w:tcPr>
            <w:tcW w:w="1488" w:type="pct"/>
          </w:tcPr>
          <w:p w:rsidR="00597370" w:rsidRDefault="00597370">
            <w:pPr>
              <w:jc w:val="right"/>
            </w:pPr>
          </w:p>
        </w:tc>
        <w:tc>
          <w:tcPr>
            <w:tcW w:w="1494" w:type="pct"/>
            <w:vAlign w:val="center"/>
          </w:tcPr>
          <w:p w:rsidR="00597370" w:rsidRDefault="003C2EEE">
            <w:pPr>
              <w:jc w:val="right"/>
            </w:pPr>
            <w:r>
              <w:t>80,361.86</w:t>
            </w:r>
          </w:p>
        </w:tc>
      </w:tr>
      <w:tr w:rsidR="00597370">
        <w:tc>
          <w:tcPr>
            <w:tcW w:w="2018" w:type="pct"/>
            <w:vAlign w:val="center"/>
          </w:tcPr>
          <w:p w:rsidR="00597370" w:rsidRDefault="003C2EEE">
            <w:pPr>
              <w:rPr>
                <w:color w:val="000000" w:themeColor="text1"/>
              </w:rPr>
            </w:pPr>
            <w:r>
              <w:rPr>
                <w:rFonts w:hint="eastAsia"/>
                <w:color w:val="000000" w:themeColor="text1"/>
              </w:rPr>
              <w:t>合计</w:t>
            </w:r>
          </w:p>
        </w:tc>
        <w:tc>
          <w:tcPr>
            <w:tcW w:w="1488" w:type="pct"/>
          </w:tcPr>
          <w:p w:rsidR="00597370" w:rsidRDefault="003C2EEE">
            <w:pPr>
              <w:jc w:val="right"/>
            </w:pPr>
            <w:r>
              <w:t>-74,502.67</w:t>
            </w:r>
          </w:p>
        </w:tc>
        <w:tc>
          <w:tcPr>
            <w:tcW w:w="1494" w:type="pct"/>
            <w:vAlign w:val="center"/>
          </w:tcPr>
          <w:p w:rsidR="00597370" w:rsidRDefault="003C2EEE">
            <w:pPr>
              <w:jc w:val="right"/>
            </w:pPr>
            <w:r>
              <w:t>720,234.75</w:t>
            </w:r>
          </w:p>
        </w:tc>
      </w:tr>
    </w:tbl>
    <w:bookmarkEnd w:id="356"/>
    <w:p w:rsidR="00597370" w:rsidRDefault="003C2EEE">
      <w:pPr>
        <w:spacing w:before="60" w:after="60" w:line="360" w:lineRule="exact"/>
        <w:rPr>
          <w:color w:val="000000" w:themeColor="text1"/>
        </w:rPr>
      </w:pPr>
      <w:r>
        <w:rPr>
          <w:rFonts w:hint="eastAsia"/>
          <w:color w:val="000000" w:themeColor="text1"/>
        </w:rPr>
        <w:t>其他说明：</w:t>
      </w:r>
    </w:p>
    <w:sdt>
      <w:sdtPr>
        <w:rPr>
          <w:rFonts w:hint="eastAsia"/>
          <w:color w:val="000000" w:themeColor="text1"/>
        </w:rPr>
        <w:alias w:val="投资收益说明"/>
        <w:tag w:val="_GBC_911712f239a14e98b4c6c89180ceef27"/>
        <w:id w:val="-919875479"/>
        <w:placeholder>
          <w:docPart w:val="GBC22222222222222222222222222222"/>
        </w:placeholder>
      </w:sdtPr>
      <w:sdtEndPr/>
      <w:sdtContent>
        <w:p w:rsidR="00597370" w:rsidRDefault="003C2EEE">
          <w:pPr>
            <w:autoSpaceDE w:val="0"/>
            <w:autoSpaceDN w:val="0"/>
            <w:adjustRightInd w:val="0"/>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bookmarkStart w:id="357" w:name="_Hlk10538831"/>
      <w:bookmarkEnd w:id="355"/>
      <w:r>
        <w:rPr>
          <w:rFonts w:ascii="宋体" w:hAnsi="宋体" w:hint="eastAsia"/>
          <w:color w:val="000000" w:themeColor="text1"/>
          <w:szCs w:val="21"/>
        </w:rPr>
        <w:t>净敞口套期收益</w:t>
      </w:r>
    </w:p>
    <w:sdt>
      <w:sdtPr>
        <w:rPr>
          <w:color w:val="000000" w:themeColor="text1"/>
        </w:rPr>
        <w:alias w:val="是否适用：净敞口套期收益[双击切换]"/>
        <w:tag w:val="_GBC_33e106b71ec640cd9126570421557bda"/>
        <w:id w:val="-140521255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bookmarkStart w:id="358" w:name="_Hlk10538896"/>
      <w:bookmarkEnd w:id="357"/>
      <w:r>
        <w:rPr>
          <w:rFonts w:ascii="宋体" w:hAnsi="宋体" w:hint="eastAsia"/>
          <w:color w:val="000000" w:themeColor="text1"/>
          <w:szCs w:val="21"/>
        </w:rPr>
        <w:t>公允价值变动收益</w:t>
      </w:r>
    </w:p>
    <w:sdt>
      <w:sdtPr>
        <w:rPr>
          <w:color w:val="000000" w:themeColor="text1"/>
        </w:rPr>
        <w:alias w:val="是否适用：公允价值变动收益[双击切换]"/>
        <w:tag w:val="_GBC_21669fdeb74c4273a55facece1a56109"/>
        <w:id w:val="-64698049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color w:val="000000" w:themeColor="text1"/>
        </w:rPr>
      </w:pPr>
      <w:bookmarkStart w:id="359" w:name="_Hlk167969990"/>
      <w:bookmarkEnd w:id="358"/>
      <w:r>
        <w:rPr>
          <w:rFonts w:hint="eastAsia"/>
          <w:color w:val="000000" w:themeColor="text1"/>
        </w:rPr>
        <w:t>信用减值损失</w:t>
      </w:r>
    </w:p>
    <w:sdt>
      <w:sdtPr>
        <w:rPr>
          <w:color w:val="000000" w:themeColor="text1"/>
        </w:rPr>
        <w:alias w:val="是否适用：信用减值损失[双击切换]"/>
        <w:tag w:val="_GBC_7f51453d7f2c4601a61d6f9899836b88"/>
        <w:id w:val="27128585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left="420" w:firstLineChars="0" w:firstLine="0"/>
        <w:jc w:val="right"/>
        <w:rPr>
          <w:color w:val="000000" w:themeColor="text1"/>
        </w:rPr>
      </w:pPr>
      <w:r>
        <w:rPr>
          <w:rFonts w:hint="eastAsia"/>
          <w:color w:val="000000" w:themeColor="text1"/>
        </w:rPr>
        <w:t>单位：</w:t>
      </w:r>
      <w:sdt>
        <w:sdtPr>
          <w:rPr>
            <w:rFonts w:hint="eastAsia"/>
            <w:color w:val="000000" w:themeColor="text1"/>
          </w:rPr>
          <w:alias w:val="单位：信用减值损失"/>
          <w:tag w:val="_GBC_04574a815f0f459c8817f0fb84a3e2d6"/>
          <w:id w:val="13031164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信用减值损失"/>
          <w:tag w:val="_GBC_5ba737d77bb34cc79c6966984148e6e6"/>
          <w:id w:val="14604524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620"/>
        <w:gridCol w:w="2643"/>
      </w:tblGrid>
      <w:tr w:rsidR="00597370">
        <w:sdt>
          <w:sdtPr>
            <w:rPr>
              <w:color w:val="000000" w:themeColor="text1"/>
            </w:rPr>
            <w:tag w:val="_PLD_2cc5ebd0cdc447b691d0c5739979c390"/>
            <w:id w:val="-1623446825"/>
          </w:sdtPr>
          <w:sdtEndPr/>
          <w:sdtContent>
            <w:tc>
              <w:tcPr>
                <w:tcW w:w="2017"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667ef9498e104cfdabeee4ef172c6ab3"/>
            <w:id w:val="-767149010"/>
          </w:sdtPr>
          <w:sdtEndPr/>
          <w:sdtContent>
            <w:tc>
              <w:tcPr>
                <w:tcW w:w="1485" w:type="pct"/>
                <w:shd w:val="clear" w:color="auto" w:fill="auto"/>
                <w:vAlign w:val="center"/>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8c64052cb7e64d9095f4b7e849e06d53"/>
            <w:id w:val="61377038"/>
          </w:sdtPr>
          <w:sdtEndPr/>
          <w:sdtContent>
            <w:tc>
              <w:tcPr>
                <w:tcW w:w="1498" w:type="pct"/>
                <w:shd w:val="clear" w:color="auto" w:fill="auto"/>
                <w:vAlign w:val="center"/>
              </w:tcPr>
              <w:p w:rsidR="00597370" w:rsidRDefault="003C2EEE">
                <w:pPr>
                  <w:jc w:val="center"/>
                  <w:rPr>
                    <w:color w:val="000000" w:themeColor="text1"/>
                  </w:rPr>
                </w:pPr>
                <w:r>
                  <w:rPr>
                    <w:rFonts w:hint="eastAsia"/>
                    <w:color w:val="000000" w:themeColor="text1"/>
                  </w:rPr>
                  <w:t>上期发生额</w:t>
                </w:r>
              </w:p>
            </w:tc>
          </w:sdtContent>
        </w:sdt>
      </w:tr>
      <w:tr w:rsidR="00597370">
        <w:tc>
          <w:tcPr>
            <w:tcW w:w="2017" w:type="pct"/>
            <w:shd w:val="clear" w:color="auto" w:fill="auto"/>
          </w:tcPr>
          <w:p w:rsidR="00597370" w:rsidRDefault="003C2EEE">
            <w:pPr>
              <w:rPr>
                <w:color w:val="000000" w:themeColor="text1"/>
              </w:rPr>
            </w:pPr>
            <w:r>
              <w:rPr>
                <w:rFonts w:hint="eastAsia"/>
              </w:rPr>
              <w:t>应收票据坏账损失</w:t>
            </w:r>
          </w:p>
        </w:tc>
        <w:tc>
          <w:tcPr>
            <w:tcW w:w="1485" w:type="pct"/>
            <w:shd w:val="clear" w:color="auto" w:fill="auto"/>
          </w:tcPr>
          <w:p w:rsidR="00597370" w:rsidRDefault="003C2EEE">
            <w:pPr>
              <w:jc w:val="right"/>
            </w:pPr>
            <w:r>
              <w:t>-4,274,185.16</w:t>
            </w:r>
          </w:p>
        </w:tc>
        <w:tc>
          <w:tcPr>
            <w:tcW w:w="1498" w:type="pct"/>
            <w:shd w:val="clear" w:color="auto" w:fill="auto"/>
            <w:vAlign w:val="center"/>
          </w:tcPr>
          <w:p w:rsidR="00597370" w:rsidRDefault="003C2EEE">
            <w:pPr>
              <w:jc w:val="right"/>
            </w:pPr>
            <w:r>
              <w:t>2,132,771.51</w:t>
            </w:r>
          </w:p>
        </w:tc>
      </w:tr>
      <w:tr w:rsidR="00597370">
        <w:tc>
          <w:tcPr>
            <w:tcW w:w="2017" w:type="pct"/>
            <w:shd w:val="clear" w:color="auto" w:fill="auto"/>
          </w:tcPr>
          <w:p w:rsidR="00597370" w:rsidRDefault="003C2EEE">
            <w:pPr>
              <w:rPr>
                <w:color w:val="000000" w:themeColor="text1"/>
              </w:rPr>
            </w:pPr>
            <w:r>
              <w:rPr>
                <w:rFonts w:hint="eastAsia"/>
              </w:rPr>
              <w:t>应收账款坏账损失</w:t>
            </w:r>
          </w:p>
        </w:tc>
        <w:tc>
          <w:tcPr>
            <w:tcW w:w="1485" w:type="pct"/>
            <w:shd w:val="clear" w:color="auto" w:fill="auto"/>
          </w:tcPr>
          <w:p w:rsidR="00597370" w:rsidRDefault="003C2EEE">
            <w:pPr>
              <w:jc w:val="right"/>
            </w:pPr>
            <w:r>
              <w:t>-4,906,325.65</w:t>
            </w:r>
          </w:p>
        </w:tc>
        <w:tc>
          <w:tcPr>
            <w:tcW w:w="1498" w:type="pct"/>
            <w:shd w:val="clear" w:color="auto" w:fill="auto"/>
            <w:vAlign w:val="center"/>
          </w:tcPr>
          <w:p w:rsidR="00597370" w:rsidRDefault="003C2EEE">
            <w:pPr>
              <w:jc w:val="right"/>
            </w:pPr>
            <w:r>
              <w:t>-11,402,072.76</w:t>
            </w:r>
          </w:p>
        </w:tc>
      </w:tr>
      <w:tr w:rsidR="00597370">
        <w:tc>
          <w:tcPr>
            <w:tcW w:w="2017" w:type="pct"/>
            <w:shd w:val="clear" w:color="auto" w:fill="auto"/>
          </w:tcPr>
          <w:p w:rsidR="00597370" w:rsidRDefault="003C2EEE">
            <w:pPr>
              <w:rPr>
                <w:color w:val="000000" w:themeColor="text1"/>
              </w:rPr>
            </w:pPr>
            <w:r>
              <w:rPr>
                <w:rFonts w:hint="eastAsia"/>
              </w:rPr>
              <w:t>其他应收款坏账损失</w:t>
            </w:r>
          </w:p>
        </w:tc>
        <w:tc>
          <w:tcPr>
            <w:tcW w:w="1485" w:type="pct"/>
            <w:shd w:val="clear" w:color="auto" w:fill="auto"/>
          </w:tcPr>
          <w:p w:rsidR="00597370" w:rsidRDefault="003C2EEE">
            <w:pPr>
              <w:jc w:val="right"/>
            </w:pPr>
            <w:r>
              <w:t>-264,921.23</w:t>
            </w:r>
          </w:p>
        </w:tc>
        <w:tc>
          <w:tcPr>
            <w:tcW w:w="1498" w:type="pct"/>
            <w:shd w:val="clear" w:color="auto" w:fill="auto"/>
            <w:vAlign w:val="center"/>
          </w:tcPr>
          <w:p w:rsidR="00597370" w:rsidRDefault="003C2EEE">
            <w:pPr>
              <w:jc w:val="right"/>
            </w:pPr>
            <w:r>
              <w:t>473,250.45</w:t>
            </w:r>
          </w:p>
        </w:tc>
      </w:tr>
      <w:tr w:rsidR="00597370">
        <w:tc>
          <w:tcPr>
            <w:tcW w:w="2017" w:type="pct"/>
            <w:shd w:val="clear" w:color="auto" w:fill="auto"/>
          </w:tcPr>
          <w:p w:rsidR="00597370" w:rsidRDefault="003C2EEE">
            <w:pPr>
              <w:rPr>
                <w:color w:val="000000" w:themeColor="text1"/>
              </w:rPr>
            </w:pPr>
            <w:r>
              <w:rPr>
                <w:rFonts w:hint="eastAsia"/>
              </w:rPr>
              <w:t>应收款项融资坏账损失</w:t>
            </w:r>
          </w:p>
        </w:tc>
        <w:tc>
          <w:tcPr>
            <w:tcW w:w="1485" w:type="pct"/>
            <w:shd w:val="clear" w:color="auto" w:fill="auto"/>
          </w:tcPr>
          <w:p w:rsidR="00597370" w:rsidRDefault="003C2EEE">
            <w:pPr>
              <w:jc w:val="right"/>
            </w:pPr>
            <w:r>
              <w:t>-43,795.55</w:t>
            </w:r>
          </w:p>
        </w:tc>
        <w:tc>
          <w:tcPr>
            <w:tcW w:w="1498" w:type="pct"/>
            <w:shd w:val="clear" w:color="auto" w:fill="auto"/>
            <w:vAlign w:val="center"/>
          </w:tcPr>
          <w:p w:rsidR="00597370" w:rsidRDefault="00597370">
            <w:pPr>
              <w:jc w:val="right"/>
            </w:pPr>
          </w:p>
        </w:tc>
      </w:tr>
      <w:tr w:rsidR="00597370">
        <w:tc>
          <w:tcPr>
            <w:tcW w:w="2017" w:type="pct"/>
            <w:shd w:val="clear" w:color="auto" w:fill="auto"/>
          </w:tcPr>
          <w:p w:rsidR="00597370" w:rsidRDefault="003C2EEE">
            <w:pPr>
              <w:rPr>
                <w:color w:val="000000" w:themeColor="text1"/>
              </w:rPr>
            </w:pPr>
            <w:r>
              <w:rPr>
                <w:rFonts w:hint="eastAsia"/>
              </w:rPr>
              <w:t>其他债权投资减值损失</w:t>
            </w:r>
          </w:p>
        </w:tc>
        <w:tc>
          <w:tcPr>
            <w:tcW w:w="1485" w:type="pct"/>
            <w:shd w:val="clear" w:color="auto" w:fill="auto"/>
          </w:tcPr>
          <w:p w:rsidR="00597370" w:rsidRDefault="00597370">
            <w:pPr>
              <w:jc w:val="right"/>
            </w:pPr>
          </w:p>
        </w:tc>
        <w:tc>
          <w:tcPr>
            <w:tcW w:w="1498" w:type="pct"/>
            <w:shd w:val="clear" w:color="auto" w:fill="auto"/>
            <w:vAlign w:val="center"/>
          </w:tcPr>
          <w:p w:rsidR="00597370" w:rsidRDefault="00597370">
            <w:pPr>
              <w:jc w:val="right"/>
            </w:pPr>
          </w:p>
        </w:tc>
      </w:tr>
      <w:tr w:rsidR="00597370">
        <w:tc>
          <w:tcPr>
            <w:tcW w:w="2017" w:type="pct"/>
            <w:shd w:val="clear" w:color="auto" w:fill="auto"/>
          </w:tcPr>
          <w:p w:rsidR="00597370" w:rsidRDefault="003C2EEE">
            <w:pPr>
              <w:rPr>
                <w:color w:val="000000" w:themeColor="text1"/>
              </w:rPr>
            </w:pPr>
            <w:r>
              <w:rPr>
                <w:rFonts w:hint="eastAsia"/>
              </w:rPr>
              <w:t>长期应收款坏账损失</w:t>
            </w:r>
          </w:p>
        </w:tc>
        <w:tc>
          <w:tcPr>
            <w:tcW w:w="1485" w:type="pct"/>
            <w:shd w:val="clear" w:color="auto" w:fill="auto"/>
          </w:tcPr>
          <w:p w:rsidR="00597370" w:rsidRDefault="003C2EEE">
            <w:pPr>
              <w:jc w:val="right"/>
            </w:pPr>
            <w:r>
              <w:t>6,868.39</w:t>
            </w:r>
          </w:p>
        </w:tc>
        <w:tc>
          <w:tcPr>
            <w:tcW w:w="1498" w:type="pct"/>
            <w:shd w:val="clear" w:color="auto" w:fill="auto"/>
            <w:vAlign w:val="center"/>
          </w:tcPr>
          <w:p w:rsidR="00597370" w:rsidRDefault="003C2EEE">
            <w:pPr>
              <w:jc w:val="right"/>
            </w:pPr>
            <w:r>
              <w:t>-348.50</w:t>
            </w:r>
          </w:p>
        </w:tc>
      </w:tr>
      <w:tr w:rsidR="00597370">
        <w:tc>
          <w:tcPr>
            <w:tcW w:w="2017" w:type="pct"/>
            <w:shd w:val="clear" w:color="auto" w:fill="auto"/>
            <w:vAlign w:val="center"/>
          </w:tcPr>
          <w:p w:rsidR="00597370" w:rsidRDefault="003C2EEE">
            <w:pPr>
              <w:rPr>
                <w:color w:val="000000" w:themeColor="text1"/>
              </w:rPr>
            </w:pPr>
            <w:r>
              <w:rPr>
                <w:rFonts w:hint="eastAsia"/>
                <w:color w:val="000000" w:themeColor="text1"/>
              </w:rPr>
              <w:t>合计</w:t>
            </w:r>
          </w:p>
        </w:tc>
        <w:tc>
          <w:tcPr>
            <w:tcW w:w="1485" w:type="pct"/>
            <w:shd w:val="clear" w:color="auto" w:fill="auto"/>
          </w:tcPr>
          <w:p w:rsidR="00597370" w:rsidRDefault="003C2EEE">
            <w:pPr>
              <w:jc w:val="right"/>
            </w:pPr>
            <w:r>
              <w:t>-9,482,359.20</w:t>
            </w:r>
          </w:p>
        </w:tc>
        <w:tc>
          <w:tcPr>
            <w:tcW w:w="1498" w:type="pct"/>
            <w:shd w:val="clear" w:color="auto" w:fill="auto"/>
            <w:vAlign w:val="center"/>
          </w:tcPr>
          <w:p w:rsidR="00597370" w:rsidRDefault="003C2EEE">
            <w:pPr>
              <w:jc w:val="right"/>
            </w:pPr>
            <w:r>
              <w:t>-8,796,399.30</w:t>
            </w:r>
          </w:p>
        </w:tc>
      </w:tr>
    </w:tbl>
    <w:p w:rsidR="00597370" w:rsidRDefault="003C2EEE">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信用减值损失其他说明"/>
        <w:tag w:val="_GBC_9228576c4e3741acb19023ad6b79421f"/>
        <w:id w:val="-1746029343"/>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bookmarkStart w:id="360" w:name="_Hlk167970079"/>
      <w:bookmarkEnd w:id="359"/>
      <w:r>
        <w:rPr>
          <w:rFonts w:ascii="宋体" w:hAnsi="宋体" w:hint="eastAsia"/>
          <w:color w:val="000000" w:themeColor="text1"/>
          <w:szCs w:val="21"/>
        </w:rPr>
        <w:t>资产减值</w:t>
      </w:r>
      <w:r>
        <w:rPr>
          <w:rFonts w:ascii="宋体" w:hAnsi="宋体" w:cs="宋体" w:hint="eastAsia"/>
          <w:color w:val="000000" w:themeColor="text1"/>
          <w:kern w:val="0"/>
          <w:szCs w:val="24"/>
        </w:rPr>
        <w:t>损失</w:t>
      </w:r>
    </w:p>
    <w:sdt>
      <w:sdtPr>
        <w:rPr>
          <w:color w:val="000000" w:themeColor="text1"/>
        </w:rPr>
        <w:alias w:val="是否适用：资产减值损失[双击切换]"/>
        <w:tag w:val="_GBC_d729834ad00147fc807d3aad7ca8698d"/>
        <w:id w:val="203884981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资产减值损失"/>
          <w:tag w:val="_GBC_5d74a968092c4c99a3fdb43c04a992ef"/>
          <w:id w:val="-5478374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资产减值损失"/>
          <w:tag w:val="_GBC_9cac437936ec413c943d5e1475abfd21"/>
          <w:id w:val="2102281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2509"/>
        <w:gridCol w:w="3000"/>
      </w:tblGrid>
      <w:tr w:rsidR="00597370">
        <w:sdt>
          <w:sdtPr>
            <w:rPr>
              <w:color w:val="000000" w:themeColor="text1"/>
            </w:rPr>
            <w:tag w:val="_PLD_3f6f45e6360d44d4b7b42549a3560832"/>
            <w:id w:val="-37587314"/>
          </w:sdtPr>
          <w:sdtEndPr/>
          <w:sdtContent>
            <w:tc>
              <w:tcPr>
                <w:tcW w:w="187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项目</w:t>
                </w:r>
              </w:p>
            </w:tc>
          </w:sdtContent>
        </w:sdt>
        <w:sdt>
          <w:sdtPr>
            <w:rPr>
              <w:color w:val="000000" w:themeColor="text1"/>
            </w:rPr>
            <w:tag w:val="_PLD_3f2aa2c829b6428e99a0c7c8da36e428"/>
            <w:id w:val="1908649984"/>
          </w:sdtPr>
          <w:sdtEndPr/>
          <w:sdtContent>
            <w:tc>
              <w:tcPr>
                <w:tcW w:w="1422"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本期发生额</w:t>
                </w:r>
              </w:p>
            </w:tc>
          </w:sdtContent>
        </w:sdt>
        <w:sdt>
          <w:sdtPr>
            <w:rPr>
              <w:color w:val="000000" w:themeColor="text1"/>
            </w:rPr>
            <w:tag w:val="_PLD_071b09715e3b43be922c6fbde3b45eb6"/>
            <w:id w:val="1465544985"/>
          </w:sdtPr>
          <w:sdtEndPr/>
          <w:sdtContent>
            <w:tc>
              <w:tcPr>
                <w:tcW w:w="170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上期发生额</w:t>
                </w:r>
              </w:p>
            </w:tc>
          </w:sdtContent>
        </w:sdt>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一、合同资产减值损失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二、存货跌价损失及合同履约成本减值损失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3C2EEE">
            <w:pPr>
              <w:jc w:val="right"/>
            </w:pPr>
            <w:r>
              <w:t>-2,866,850.71</w:t>
            </w:r>
          </w:p>
        </w:tc>
        <w:tc>
          <w:tcPr>
            <w:tcW w:w="1700"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rPr>
              <w:t>-1,787,685.05</w:t>
            </w: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三、长期股权投资减值损失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autoSpaceDE w:val="0"/>
              <w:autoSpaceDN w:val="0"/>
              <w:adjustRightInd w:val="0"/>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autoSpaceDE w:val="0"/>
              <w:autoSpaceDN w:val="0"/>
              <w:adjustRightInd w:val="0"/>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四、投资性房地产减值损失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五、固定资产减值损失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六、工程物资减值损失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七、在建工程减值损失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八、生产性生物资产减值损失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九、油气资产减值损失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十、无形资产减值损失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lastRenderedPageBreak/>
              <w:t>十一、商誉减值损失</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十二、其他</w:t>
            </w:r>
          </w:p>
        </w:tc>
        <w:tc>
          <w:tcPr>
            <w:tcW w:w="142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700"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c>
          <w:tcPr>
            <w:tcW w:w="1878"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合计</w:t>
            </w:r>
          </w:p>
        </w:tc>
        <w:tc>
          <w:tcPr>
            <w:tcW w:w="1422" w:type="pct"/>
            <w:tcBorders>
              <w:top w:val="single" w:sz="4" w:space="0" w:color="auto"/>
              <w:left w:val="single" w:sz="4" w:space="0" w:color="auto"/>
              <w:bottom w:val="single" w:sz="4" w:space="0" w:color="auto"/>
              <w:right w:val="single" w:sz="4" w:space="0" w:color="auto"/>
            </w:tcBorders>
          </w:tcPr>
          <w:p w:rsidR="00597370" w:rsidRDefault="003C2EEE">
            <w:pPr>
              <w:jc w:val="right"/>
            </w:pPr>
            <w:r>
              <w:t>-2,866,850.71</w:t>
            </w:r>
          </w:p>
        </w:tc>
        <w:tc>
          <w:tcPr>
            <w:tcW w:w="1700"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rPr>
              <w:t>-1,787,685.05</w:t>
            </w:r>
          </w:p>
        </w:tc>
      </w:tr>
    </w:tbl>
    <w:p w:rsidR="00597370" w:rsidRDefault="003C2EEE">
      <w:pPr>
        <w:spacing w:before="60" w:after="60"/>
        <w:rPr>
          <w:color w:val="000000" w:themeColor="text1"/>
        </w:rPr>
      </w:pPr>
      <w:r>
        <w:rPr>
          <w:rFonts w:hint="eastAsia"/>
          <w:color w:val="000000" w:themeColor="text1"/>
        </w:rPr>
        <w:t>其他说明：</w:t>
      </w:r>
    </w:p>
    <w:p w:rsidR="00597370" w:rsidRDefault="003C2EEE">
      <w:pPr>
        <w:rPr>
          <w:color w:val="000000" w:themeColor="text1"/>
        </w:rPr>
      </w:pPr>
      <w:r>
        <w:rPr>
          <w:rFonts w:hint="eastAsia"/>
          <w:color w:val="000000" w:themeColor="text1"/>
        </w:rPr>
        <w:t>无</w:t>
      </w:r>
    </w:p>
    <w:bookmarkEnd w:id="360"/>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资产处置收益</w:t>
      </w:r>
    </w:p>
    <w:sdt>
      <w:sdtPr>
        <w:rPr>
          <w:rFonts w:hint="eastAsia"/>
          <w:color w:val="000000" w:themeColor="text1"/>
        </w:rPr>
        <w:alias w:val="是否适用：资产处置收益[双击切换]"/>
        <w:tag w:val="_GBC_9e584d6f46c648d195946caa434a4619"/>
        <w:id w:val="54410868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color w:val="000000" w:themeColor="text1"/>
        </w:rPr>
        <w:t>单位：</w:t>
      </w:r>
      <w:sdt>
        <w:sdtPr>
          <w:rPr>
            <w:color w:val="000000" w:themeColor="text1"/>
          </w:rPr>
          <w:alias w:val="单位：资产处置收益明细"/>
          <w:tag w:val="_GBC_72dc168499e249b988d6753a6df1ce44"/>
          <w:id w:val="-129412640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color w:val="000000" w:themeColor="text1"/>
        </w:rPr>
        <w:t xml:space="preserve">  币种：</w:t>
      </w:r>
      <w:sdt>
        <w:sdtPr>
          <w:rPr>
            <w:color w:val="000000" w:themeColor="text1"/>
          </w:rPr>
          <w:alias w:val="币种：资产处置收益明细"/>
          <w:tag w:val="_GBC_d68880ec5b074fdc8846b703ead631e2"/>
          <w:id w:val="17199261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3"/>
        <w:tblW w:w="0" w:type="auto"/>
        <w:tblLook w:val="04A0" w:firstRow="1" w:lastRow="0" w:firstColumn="1" w:lastColumn="0" w:noHBand="0" w:noVBand="1"/>
      </w:tblPr>
      <w:tblGrid>
        <w:gridCol w:w="2933"/>
        <w:gridCol w:w="2956"/>
        <w:gridCol w:w="2934"/>
      </w:tblGrid>
      <w:tr w:rsidR="00597370">
        <w:tc>
          <w:tcPr>
            <w:tcW w:w="2933" w:type="dxa"/>
          </w:tcPr>
          <w:sdt>
            <w:sdtPr>
              <w:rPr>
                <w:rFonts w:ascii="Times New Roman" w:hAnsi="Times New Roman" w:hint="eastAsia"/>
                <w:color w:val="000000" w:themeColor="text1"/>
              </w:rPr>
              <w:tag w:val="_PLD_5ae5d7d7d48342e7bc1da8d90a245459"/>
              <w:id w:val="-14611841"/>
            </w:sdtPr>
            <w:sdtEndPr/>
            <w:sdtContent>
              <w:p w:rsidR="00597370" w:rsidRDefault="003C2EEE">
                <w:pPr>
                  <w:jc w:val="center"/>
                  <w:rPr>
                    <w:rFonts w:ascii="Times New Roman" w:hAnsi="Times New Roman"/>
                    <w:color w:val="000000" w:themeColor="text1"/>
                  </w:rPr>
                </w:pPr>
                <w:r>
                  <w:rPr>
                    <w:rFonts w:ascii="Times New Roman" w:hAnsi="Times New Roman" w:hint="eastAsia"/>
                    <w:color w:val="000000" w:themeColor="text1"/>
                  </w:rPr>
                  <w:t>项目</w:t>
                </w:r>
              </w:p>
            </w:sdtContent>
          </w:sdt>
        </w:tc>
        <w:tc>
          <w:tcPr>
            <w:tcW w:w="2956" w:type="dxa"/>
          </w:tcPr>
          <w:sdt>
            <w:sdtPr>
              <w:rPr>
                <w:rFonts w:ascii="Times New Roman" w:hAnsi="Times New Roman" w:hint="eastAsia"/>
                <w:color w:val="000000" w:themeColor="text1"/>
              </w:rPr>
              <w:tag w:val="_PLD_879cf215b86c45c790218e646c831e7d"/>
              <w:id w:val="-186218261"/>
            </w:sdtPr>
            <w:sdtEndPr/>
            <w:sdtContent>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本期发生额</w:t>
                </w:r>
              </w:p>
            </w:sdtContent>
          </w:sdt>
        </w:tc>
        <w:tc>
          <w:tcPr>
            <w:tcW w:w="2934" w:type="dxa"/>
          </w:tcPr>
          <w:sdt>
            <w:sdtPr>
              <w:rPr>
                <w:rFonts w:ascii="Times New Roman" w:hAnsi="Times New Roman" w:hint="eastAsia"/>
                <w:color w:val="000000" w:themeColor="text1"/>
              </w:rPr>
              <w:tag w:val="_PLD_8860a002ccc44e14bf36aa3e10fb5d70"/>
              <w:id w:val="219794824"/>
            </w:sdtPr>
            <w:sdtEndPr/>
            <w:sdtContent>
              <w:p w:rsidR="00597370" w:rsidRDefault="003C2EEE">
                <w:pPr>
                  <w:jc w:val="center"/>
                  <w:rPr>
                    <w:rFonts w:ascii="Times New Roman" w:hAnsi="Times New Roman"/>
                    <w:color w:val="000000" w:themeColor="text1"/>
                  </w:rPr>
                </w:pPr>
                <w:r>
                  <w:rPr>
                    <w:rFonts w:ascii="Times New Roman" w:hAnsi="Times New Roman" w:hint="eastAsia"/>
                    <w:color w:val="000000" w:themeColor="text1"/>
                  </w:rPr>
                  <w:t>上期发生额</w:t>
                </w:r>
              </w:p>
            </w:sdtContent>
          </w:sdt>
        </w:tc>
      </w:tr>
      <w:tr w:rsidR="00597370">
        <w:tc>
          <w:tcPr>
            <w:tcW w:w="2933" w:type="dxa"/>
          </w:tcPr>
          <w:p w:rsidR="00597370" w:rsidRDefault="003C2EEE">
            <w:pPr>
              <w:pStyle w:val="35"/>
              <w:rPr>
                <w:rFonts w:ascii="Times New Roman" w:hAnsi="Times New Roman"/>
              </w:rPr>
            </w:pPr>
            <w:r>
              <w:rPr>
                <w:rFonts w:ascii="Times New Roman" w:hAnsi="Times New Roman" w:hint="eastAsia"/>
              </w:rPr>
              <w:t>固定资产处置利得或损失</w:t>
            </w:r>
          </w:p>
        </w:tc>
        <w:tc>
          <w:tcPr>
            <w:tcW w:w="2956" w:type="dxa"/>
          </w:tcPr>
          <w:p w:rsidR="00597370" w:rsidRDefault="003C2EEE">
            <w:pPr>
              <w:jc w:val="right"/>
              <w:rPr>
                <w:rFonts w:asciiTheme="minorEastAsia" w:eastAsiaTheme="minorEastAsia" w:hAnsiTheme="minorEastAsia"/>
              </w:rPr>
            </w:pPr>
            <w:r>
              <w:rPr>
                <w:rFonts w:asciiTheme="minorEastAsia" w:eastAsiaTheme="minorEastAsia" w:hAnsiTheme="minorEastAsia"/>
              </w:rPr>
              <w:t>39,219.18</w:t>
            </w:r>
          </w:p>
        </w:tc>
        <w:tc>
          <w:tcPr>
            <w:tcW w:w="2934" w:type="dxa"/>
          </w:tcPr>
          <w:p w:rsidR="00597370" w:rsidRDefault="00597370">
            <w:pPr>
              <w:jc w:val="right"/>
              <w:rPr>
                <w:rFonts w:ascii="Times New Roman" w:hAnsi="Times New Roman"/>
              </w:rPr>
            </w:pPr>
          </w:p>
        </w:tc>
      </w:tr>
      <w:tr w:rsidR="00597370">
        <w:tc>
          <w:tcPr>
            <w:tcW w:w="2933" w:type="dxa"/>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合计</w:t>
            </w:r>
          </w:p>
        </w:tc>
        <w:tc>
          <w:tcPr>
            <w:tcW w:w="2956" w:type="dxa"/>
          </w:tcPr>
          <w:p w:rsidR="00597370" w:rsidRDefault="003C2EEE">
            <w:pPr>
              <w:jc w:val="right"/>
              <w:rPr>
                <w:rFonts w:asciiTheme="minorEastAsia" w:eastAsiaTheme="minorEastAsia" w:hAnsiTheme="minorEastAsia"/>
              </w:rPr>
            </w:pPr>
            <w:r>
              <w:rPr>
                <w:rFonts w:asciiTheme="minorEastAsia" w:eastAsiaTheme="minorEastAsia" w:hAnsiTheme="minorEastAsia"/>
              </w:rPr>
              <w:t>39,219.18</w:t>
            </w:r>
          </w:p>
        </w:tc>
        <w:tc>
          <w:tcPr>
            <w:tcW w:w="2934" w:type="dxa"/>
          </w:tcPr>
          <w:p w:rsidR="00597370" w:rsidRDefault="00597370">
            <w:pPr>
              <w:jc w:val="right"/>
              <w:rPr>
                <w:rFonts w:ascii="Times New Roman" w:hAnsi="Times New Roman"/>
              </w:rPr>
            </w:pP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资产处置收益其他说明[双击切换]"/>
        <w:tag w:val="_GBC_15965d17bc0a4e6788b5c6faf8c51b58"/>
        <w:id w:val="133371473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资产处置收益其他说明"/>
        <w:tag w:val="_GBC_8f98405f78134a5d91f9050d99982332"/>
        <w:id w:val="-1951928826"/>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营业外收入</w:t>
      </w:r>
    </w:p>
    <w:sdt>
      <w:sdtPr>
        <w:rPr>
          <w:rFonts w:cstheme="minorBidi" w:hint="eastAsia"/>
          <w:color w:val="000000" w:themeColor="text1"/>
          <w:szCs w:val="22"/>
        </w:rPr>
        <w:alias w:val="是否适用：营业外收入情况 [双击切换]"/>
        <w:tag w:val="_GBC_b6e9df1124844122abb2dde58392c605"/>
        <w:id w:val="-744872678"/>
        <w:lock w:val="contentLocked"/>
        <w:placeholder>
          <w:docPart w:val="GBC22222222222222222222222222222"/>
        </w:placeholder>
      </w:sdtPr>
      <w:sdtEndPr/>
      <w:sdtContent>
        <w:p w:rsidR="00597370" w:rsidRDefault="003C2EEE">
          <w:pPr>
            <w:rPr>
              <w:rFonts w:cstheme="minorBidi"/>
              <w:color w:val="000000" w:themeColor="text1"/>
              <w:szCs w:val="22"/>
            </w:rPr>
          </w:pPr>
          <w:r>
            <w:rPr>
              <w:rFonts w:cstheme="minorBidi"/>
              <w:color w:val="000000" w:themeColor="text1"/>
              <w:szCs w:val="22"/>
            </w:rPr>
            <w:fldChar w:fldCharType="begin"/>
          </w:r>
          <w:r>
            <w:rPr>
              <w:rFonts w:cstheme="minorBidi"/>
              <w:color w:val="000000" w:themeColor="text1"/>
              <w:szCs w:val="22"/>
            </w:rPr>
            <w:instrText xml:space="preserve"> </w:instrText>
          </w:r>
          <w:r>
            <w:rPr>
              <w:rFonts w:cstheme="minorBidi" w:hint="eastAsia"/>
              <w:color w:val="000000" w:themeColor="text1"/>
              <w:szCs w:val="22"/>
            </w:rPr>
            <w:instrText>MACROBUTTON  SnrToggleCheckbox √适用</w:instrText>
          </w:r>
          <w:r>
            <w:rPr>
              <w:rFonts w:cstheme="minorBidi"/>
              <w:color w:val="000000" w:themeColor="text1"/>
              <w:szCs w:val="22"/>
            </w:rPr>
            <w:instrText xml:space="preserve">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□不适用 </w:instrText>
          </w:r>
          <w:r>
            <w:rPr>
              <w:rFonts w:cstheme="minorBidi"/>
              <w:color w:val="000000" w:themeColor="text1"/>
              <w:szCs w:val="22"/>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营业外收入"/>
          <w:tag w:val="_GBC_dd93a692e0c045038f9ddf46f86e7289"/>
          <w:id w:val="-12669218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营业外收入"/>
          <w:tag w:val="_GBC_598cac7504eb4ef39ddc19fb969bdd53"/>
          <w:id w:val="-8349959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044"/>
        <w:gridCol w:w="2257"/>
        <w:gridCol w:w="2259"/>
      </w:tblGrid>
      <w:tr w:rsidR="00597370">
        <w:sdt>
          <w:sdtPr>
            <w:rPr>
              <w:color w:val="000000" w:themeColor="text1"/>
            </w:rPr>
            <w:tag w:val="_PLD_d649e0d07dd047a497e69591bf3e322c"/>
            <w:id w:val="549660722"/>
          </w:sdtPr>
          <w:sdtEndPr/>
          <w:sdtContent>
            <w:tc>
              <w:tcPr>
                <w:tcW w:w="1282"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项目</w:t>
                </w:r>
              </w:p>
            </w:tc>
          </w:sdtContent>
        </w:sdt>
        <w:sdt>
          <w:sdtPr>
            <w:rPr>
              <w:color w:val="000000" w:themeColor="text1"/>
            </w:rPr>
            <w:tag w:val="_PLD_eabf358cb2c947a9b4e7bacb394074db"/>
            <w:id w:val="1623658405"/>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本期发生额</w:t>
                </w:r>
              </w:p>
            </w:tc>
          </w:sdtContent>
        </w:sdt>
        <w:sdt>
          <w:sdtPr>
            <w:rPr>
              <w:color w:val="000000" w:themeColor="text1"/>
            </w:rPr>
            <w:tag w:val="_PLD_0469d808d7334ff0ab3460273b0c8f8f"/>
            <w:id w:val="-2098159505"/>
          </w:sdtPr>
          <w:sdtEndPr/>
          <w:sdtContent>
            <w:tc>
              <w:tcPr>
                <w:tcW w:w="1279"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上期发生额</w:t>
                </w:r>
              </w:p>
            </w:tc>
          </w:sdtContent>
        </w:sdt>
        <w:sdt>
          <w:sdtPr>
            <w:rPr>
              <w:color w:val="000000" w:themeColor="text1"/>
            </w:rPr>
            <w:tag w:val="_PLD_121bda757dda46918753fabf9329298f"/>
            <w:id w:val="293181631"/>
          </w:sdtPr>
          <w:sdtEndPr/>
          <w:sdtContent>
            <w:tc>
              <w:tcPr>
                <w:tcW w:w="128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计入当期非经常性损益的金额</w:t>
                </w:r>
              </w:p>
            </w:tc>
          </w:sdtContent>
        </w:sdt>
      </w:tr>
      <w:tr w:rsidR="00597370">
        <w:tc>
          <w:tcPr>
            <w:tcW w:w="1282"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非流动资产报废利得</w:t>
            </w:r>
          </w:p>
        </w:tc>
        <w:tc>
          <w:tcPr>
            <w:tcW w:w="1158"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 xml:space="preserve"> 523,284.75 </w:t>
            </w:r>
          </w:p>
        </w:tc>
        <w:tc>
          <w:tcPr>
            <w:tcW w:w="1279"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363,015.72</w:t>
            </w:r>
          </w:p>
        </w:tc>
        <w:tc>
          <w:tcPr>
            <w:tcW w:w="128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jc w:val="right"/>
            </w:pPr>
            <w:r>
              <w:rPr>
                <w:rFonts w:hint="eastAsia"/>
                <w:color w:val="000000"/>
              </w:rPr>
              <w:t xml:space="preserve"> 523,284.75 </w:t>
            </w:r>
          </w:p>
        </w:tc>
      </w:tr>
      <w:tr w:rsidR="00597370">
        <w:tc>
          <w:tcPr>
            <w:tcW w:w="1282"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其他</w:t>
            </w:r>
          </w:p>
        </w:tc>
        <w:tc>
          <w:tcPr>
            <w:tcW w:w="1158"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 xml:space="preserve"> 776,660.00 </w:t>
            </w:r>
          </w:p>
        </w:tc>
        <w:tc>
          <w:tcPr>
            <w:tcW w:w="127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128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jc w:val="right"/>
            </w:pPr>
            <w:r>
              <w:rPr>
                <w:rFonts w:hint="eastAsia"/>
                <w:color w:val="000000"/>
              </w:rPr>
              <w:t xml:space="preserve"> 776,660.00 </w:t>
            </w:r>
          </w:p>
        </w:tc>
      </w:tr>
      <w:tr w:rsidR="00597370">
        <w:tc>
          <w:tcPr>
            <w:tcW w:w="1282" w:type="pct"/>
            <w:tcBorders>
              <w:top w:val="single" w:sz="4" w:space="0" w:color="auto"/>
              <w:left w:val="single" w:sz="4" w:space="0" w:color="auto"/>
              <w:bottom w:val="single" w:sz="4" w:space="0" w:color="auto"/>
              <w:right w:val="single" w:sz="4" w:space="0" w:color="auto"/>
            </w:tcBorders>
            <w:vAlign w:val="center"/>
          </w:tcPr>
          <w:p w:rsidR="00597370" w:rsidRDefault="003C2EEE">
            <w:pPr>
              <w:rPr>
                <w:color w:val="000000" w:themeColor="text1"/>
              </w:rPr>
            </w:pPr>
            <w:r>
              <w:rPr>
                <w:rFonts w:hint="eastAsia"/>
                <w:color w:val="000000" w:themeColor="text1"/>
              </w:rPr>
              <w:t>合计</w:t>
            </w:r>
          </w:p>
        </w:tc>
        <w:tc>
          <w:tcPr>
            <w:tcW w:w="1158" w:type="pct"/>
            <w:tcBorders>
              <w:top w:val="single" w:sz="4" w:space="0" w:color="auto"/>
              <w:left w:val="single" w:sz="4" w:space="0" w:color="auto"/>
              <w:bottom w:val="single" w:sz="4" w:space="0" w:color="auto"/>
              <w:right w:val="single" w:sz="4" w:space="0" w:color="auto"/>
            </w:tcBorders>
          </w:tcPr>
          <w:p w:rsidR="00597370" w:rsidRDefault="003C2EEE">
            <w:pPr>
              <w:jc w:val="right"/>
            </w:pPr>
            <w:r>
              <w:t>1,299,944.75</w:t>
            </w:r>
          </w:p>
        </w:tc>
        <w:tc>
          <w:tcPr>
            <w:tcW w:w="1279" w:type="pct"/>
            <w:tcBorders>
              <w:top w:val="single" w:sz="4" w:space="0" w:color="auto"/>
              <w:left w:val="single" w:sz="4" w:space="0" w:color="auto"/>
              <w:bottom w:val="single" w:sz="4" w:space="0" w:color="auto"/>
              <w:right w:val="single" w:sz="4" w:space="0" w:color="auto"/>
            </w:tcBorders>
          </w:tcPr>
          <w:p w:rsidR="00597370" w:rsidRDefault="003C2EEE">
            <w:pPr>
              <w:jc w:val="right"/>
            </w:pPr>
            <w:r>
              <w:t>363,015.72</w:t>
            </w:r>
          </w:p>
        </w:tc>
        <w:tc>
          <w:tcPr>
            <w:tcW w:w="128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jc w:val="right"/>
            </w:pPr>
            <w:r>
              <w:t>1,299,944.75</w:t>
            </w:r>
          </w:p>
        </w:tc>
      </w:tr>
    </w:tbl>
    <w:p w:rsidR="00597370" w:rsidRDefault="00597370">
      <w:pPr>
        <w:rPr>
          <w:color w:val="000000" w:themeColor="text1"/>
        </w:rPr>
      </w:pPr>
    </w:p>
    <w:p w:rsidR="00597370" w:rsidRDefault="003C2EEE">
      <w:pPr>
        <w:spacing w:line="360" w:lineRule="exact"/>
        <w:rPr>
          <w:color w:val="000000" w:themeColor="text1"/>
        </w:rPr>
      </w:pPr>
      <w:r>
        <w:rPr>
          <w:rFonts w:hint="eastAsia"/>
          <w:color w:val="000000" w:themeColor="text1"/>
        </w:rPr>
        <w:t>其他说明：</w:t>
      </w:r>
    </w:p>
    <w:sdt>
      <w:sdtPr>
        <w:rPr>
          <w:color w:val="000000" w:themeColor="text1"/>
        </w:rPr>
        <w:alias w:val="是否适用：营业外收入说明[双击切换]"/>
        <w:tag w:val="_GBC_9bd4fc9f0fcc4e85bee85b3ce60c8b2c"/>
        <w:id w:val="119673704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营业外收入说明"/>
        <w:tag w:val="_GBC_16317ee6171e4de2aa4eeba65e7b2cae"/>
        <w:id w:val="-546679565"/>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营业外支出</w:t>
      </w:r>
    </w:p>
    <w:sdt>
      <w:sdtPr>
        <w:rPr>
          <w:color w:val="000000" w:themeColor="text1"/>
        </w:rPr>
        <w:alias w:val="是否适用：营业外支出[双击切换]"/>
        <w:tag w:val="_GBC_6d4b8ac674ce425b8c798e92aa1fe455"/>
        <w:id w:val="135268783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营业外支出"/>
          <w:tag w:val="_GBC_f8678a9a1bbf4b0697744c5d21146839"/>
          <w:id w:val="-17541135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营业外支出"/>
          <w:tag w:val="_GBC_61e3e82ad5404a9987623525ac03d95e"/>
          <w:id w:val="7909435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317"/>
        <w:gridCol w:w="2271"/>
        <w:gridCol w:w="2260"/>
      </w:tblGrid>
      <w:tr w:rsidR="00597370">
        <w:sdt>
          <w:sdtPr>
            <w:rPr>
              <w:color w:val="000000" w:themeColor="text1"/>
            </w:rPr>
            <w:tag w:val="_PLD_6abf292cb0a7463788e39d1bdabb85fc"/>
            <w:id w:val="2022425107"/>
          </w:sdtPr>
          <w:sdtEndPr/>
          <w:sdtContent>
            <w:tc>
              <w:tcPr>
                <w:tcW w:w="112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项目</w:t>
                </w:r>
              </w:p>
            </w:tc>
          </w:sdtContent>
        </w:sdt>
        <w:sdt>
          <w:sdtPr>
            <w:rPr>
              <w:color w:val="000000" w:themeColor="text1"/>
            </w:rPr>
            <w:tag w:val="_PLD_36a30142728e41bb9c215b73cfe3204c"/>
            <w:id w:val="-929507592"/>
          </w:sdtPr>
          <w:sdtEndPr/>
          <w:sdtContent>
            <w:tc>
              <w:tcPr>
                <w:tcW w:w="1312"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本期发生额</w:t>
                </w:r>
              </w:p>
            </w:tc>
          </w:sdtContent>
        </w:sdt>
        <w:sdt>
          <w:sdtPr>
            <w:rPr>
              <w:color w:val="000000" w:themeColor="text1"/>
            </w:rPr>
            <w:tag w:val="_PLD_16b0936bf8024bdf99cf883b1827419f"/>
            <w:id w:val="1641923203"/>
          </w:sdtPr>
          <w:sdtEndPr/>
          <w:sdtContent>
            <w:tc>
              <w:tcPr>
                <w:tcW w:w="1286"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上期发生额</w:t>
                </w:r>
              </w:p>
            </w:tc>
          </w:sdtContent>
        </w:sdt>
        <w:sdt>
          <w:sdtPr>
            <w:rPr>
              <w:color w:val="000000" w:themeColor="text1"/>
            </w:rPr>
            <w:tag w:val="_PLD_92014506c2824f6fbe79731f91aa61bc"/>
            <w:id w:val="-2056465332"/>
          </w:sdtPr>
          <w:sdtEndPr/>
          <w:sdtContent>
            <w:tc>
              <w:tcPr>
                <w:tcW w:w="128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color w:val="000000" w:themeColor="text1"/>
                  </w:rPr>
                </w:pPr>
                <w:r>
                  <w:rPr>
                    <w:rFonts w:hint="eastAsia"/>
                    <w:color w:val="000000" w:themeColor="text1"/>
                  </w:rPr>
                  <w:t>计入当期非经常性损益的金额</w:t>
                </w:r>
              </w:p>
            </w:tc>
          </w:sdtContent>
        </w:sdt>
      </w:tr>
      <w:tr w:rsidR="00597370">
        <w:tc>
          <w:tcPr>
            <w:tcW w:w="112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非流动资产处置损失合计</w:t>
            </w:r>
          </w:p>
        </w:tc>
        <w:tc>
          <w:tcPr>
            <w:tcW w:w="1312" w:type="pct"/>
            <w:tcBorders>
              <w:top w:val="single" w:sz="4" w:space="0" w:color="auto"/>
              <w:left w:val="single" w:sz="4" w:space="0" w:color="auto"/>
              <w:bottom w:val="single" w:sz="4" w:space="0" w:color="auto"/>
              <w:right w:val="single" w:sz="4" w:space="0" w:color="auto"/>
            </w:tcBorders>
          </w:tcPr>
          <w:p w:rsidR="00597370" w:rsidRDefault="003C2EEE">
            <w:pPr>
              <w:jc w:val="right"/>
            </w:pPr>
            <w:r>
              <w:t>1,858,296.12</w:t>
            </w:r>
          </w:p>
        </w:tc>
        <w:tc>
          <w:tcPr>
            <w:tcW w:w="128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28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1,858,296.12</w:t>
            </w:r>
          </w:p>
        </w:tc>
      </w:tr>
      <w:tr w:rsidR="00597370">
        <w:tc>
          <w:tcPr>
            <w:tcW w:w="112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其中：固定资产处置损失</w:t>
            </w:r>
          </w:p>
        </w:tc>
        <w:tc>
          <w:tcPr>
            <w:tcW w:w="1312" w:type="pct"/>
            <w:tcBorders>
              <w:top w:val="single" w:sz="4" w:space="0" w:color="auto"/>
              <w:left w:val="single" w:sz="4" w:space="0" w:color="auto"/>
              <w:bottom w:val="single" w:sz="4" w:space="0" w:color="auto"/>
              <w:right w:val="single" w:sz="4" w:space="0" w:color="auto"/>
            </w:tcBorders>
          </w:tcPr>
          <w:p w:rsidR="00597370" w:rsidRDefault="003C2EEE">
            <w:pPr>
              <w:jc w:val="right"/>
            </w:pPr>
            <w:r>
              <w:t>1,858,296.12</w:t>
            </w:r>
          </w:p>
        </w:tc>
        <w:tc>
          <w:tcPr>
            <w:tcW w:w="128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28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1,858,296.12</w:t>
            </w:r>
          </w:p>
        </w:tc>
      </w:tr>
      <w:tr w:rsidR="00597370">
        <w:tc>
          <w:tcPr>
            <w:tcW w:w="1120"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rPr>
                <w:color w:val="000000" w:themeColor="text1"/>
              </w:rPr>
            </w:pPr>
            <w:r>
              <w:rPr>
                <w:rFonts w:hint="eastAsia"/>
                <w:color w:val="000000" w:themeColor="text1"/>
              </w:rPr>
              <w:t>对外捐赠</w:t>
            </w:r>
          </w:p>
        </w:tc>
        <w:tc>
          <w:tcPr>
            <w:tcW w:w="131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20,000,000.00</w:t>
            </w:r>
          </w:p>
        </w:tc>
        <w:tc>
          <w:tcPr>
            <w:tcW w:w="12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2,550,000.00</w:t>
            </w:r>
          </w:p>
        </w:tc>
        <w:tc>
          <w:tcPr>
            <w:tcW w:w="128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20,000,000.00</w:t>
            </w:r>
          </w:p>
        </w:tc>
      </w:tr>
      <w:tr w:rsidR="00597370">
        <w:tc>
          <w:tcPr>
            <w:tcW w:w="1120" w:type="pct"/>
            <w:tcBorders>
              <w:top w:val="single" w:sz="4" w:space="0" w:color="auto"/>
              <w:left w:val="single" w:sz="4" w:space="0" w:color="auto"/>
              <w:bottom w:val="single" w:sz="4" w:space="0" w:color="auto"/>
              <w:right w:val="single" w:sz="4" w:space="0" w:color="auto"/>
            </w:tcBorders>
          </w:tcPr>
          <w:p w:rsidR="00597370" w:rsidRDefault="003C2EEE">
            <w:pPr>
              <w:pStyle w:val="Style106"/>
            </w:pPr>
            <w:r>
              <w:rPr>
                <w:rFonts w:hint="eastAsia"/>
              </w:rPr>
              <w:t>其他</w:t>
            </w:r>
          </w:p>
        </w:tc>
        <w:tc>
          <w:tcPr>
            <w:tcW w:w="131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506,243.27</w:t>
            </w:r>
          </w:p>
        </w:tc>
        <w:tc>
          <w:tcPr>
            <w:tcW w:w="12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1.61</w:t>
            </w:r>
          </w:p>
        </w:tc>
        <w:tc>
          <w:tcPr>
            <w:tcW w:w="1280"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506,243.27</w:t>
            </w:r>
          </w:p>
        </w:tc>
      </w:tr>
      <w:tr w:rsidR="00597370">
        <w:tc>
          <w:tcPr>
            <w:tcW w:w="1120" w:type="pct"/>
            <w:tcBorders>
              <w:top w:val="single" w:sz="4" w:space="0" w:color="auto"/>
              <w:left w:val="single" w:sz="4" w:space="0" w:color="auto"/>
              <w:bottom w:val="single" w:sz="4" w:space="0" w:color="auto"/>
              <w:right w:val="single" w:sz="4" w:space="0" w:color="auto"/>
            </w:tcBorders>
          </w:tcPr>
          <w:p w:rsidR="00597370" w:rsidRDefault="003C2EEE">
            <w:pPr>
              <w:ind w:right="6"/>
              <w:rPr>
                <w:color w:val="000000" w:themeColor="text1"/>
              </w:rPr>
            </w:pPr>
            <w:r>
              <w:rPr>
                <w:rFonts w:hint="eastAsia"/>
                <w:color w:val="000000" w:themeColor="text1"/>
              </w:rPr>
              <w:t>合计</w:t>
            </w:r>
          </w:p>
        </w:tc>
        <w:tc>
          <w:tcPr>
            <w:tcW w:w="1312" w:type="pct"/>
            <w:tcBorders>
              <w:top w:val="single" w:sz="4" w:space="0" w:color="auto"/>
              <w:left w:val="single" w:sz="4" w:space="0" w:color="auto"/>
              <w:bottom w:val="single" w:sz="4" w:space="0" w:color="auto"/>
              <w:right w:val="single" w:sz="4" w:space="0" w:color="auto"/>
            </w:tcBorders>
          </w:tcPr>
          <w:p w:rsidR="00597370" w:rsidRDefault="003C2EEE">
            <w:pPr>
              <w:jc w:val="right"/>
            </w:pPr>
            <w:r>
              <w:t>22,364,539.39</w:t>
            </w:r>
          </w:p>
        </w:tc>
        <w:tc>
          <w:tcPr>
            <w:tcW w:w="12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2,550,001.61</w:t>
            </w:r>
          </w:p>
        </w:tc>
        <w:tc>
          <w:tcPr>
            <w:tcW w:w="1280"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22,364,539.39</w:t>
            </w:r>
          </w:p>
        </w:tc>
      </w:tr>
    </w:tbl>
    <w:p w:rsidR="00597370" w:rsidRDefault="003C2EEE">
      <w:pPr>
        <w:spacing w:before="60" w:after="60"/>
        <w:rPr>
          <w:color w:val="000000" w:themeColor="text1"/>
        </w:rPr>
      </w:pPr>
      <w:r>
        <w:rPr>
          <w:rFonts w:hint="eastAsia"/>
          <w:color w:val="000000" w:themeColor="text1"/>
        </w:rPr>
        <w:t>其他说明：</w:t>
      </w:r>
    </w:p>
    <w:sdt>
      <w:sdtPr>
        <w:rPr>
          <w:rFonts w:hint="eastAsia"/>
          <w:color w:val="000000" w:themeColor="text1"/>
        </w:rPr>
        <w:alias w:val="营业外支出说明"/>
        <w:tag w:val="_GBC_948d4d2c5cfc43b999d968de3476bc75"/>
        <w:id w:val="-508836742"/>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所得税费用</w:t>
      </w:r>
    </w:p>
    <w:p w:rsidR="00597370" w:rsidRDefault="003C2EEE">
      <w:pPr>
        <w:pStyle w:val="Style110"/>
        <w:numPr>
          <w:ilvl w:val="0"/>
          <w:numId w:val="85"/>
        </w:numPr>
        <w:rPr>
          <w:rFonts w:ascii="宋体" w:hAnsi="宋体"/>
          <w:color w:val="000000" w:themeColor="text1"/>
        </w:rPr>
      </w:pPr>
      <w:r>
        <w:rPr>
          <w:rFonts w:ascii="宋体" w:hAnsi="宋体" w:hint="eastAsia"/>
          <w:color w:val="000000" w:themeColor="text1"/>
        </w:rPr>
        <w:t>所得税费用表</w:t>
      </w:r>
    </w:p>
    <w:sdt>
      <w:sdtPr>
        <w:rPr>
          <w:color w:val="000000" w:themeColor="text1"/>
        </w:rPr>
        <w:alias w:val="是否适用：所得税费用表[双击切换]"/>
        <w:tag w:val="_GBC_61ff35087b014685a6e03347957ab922"/>
        <w:id w:val="-25953351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wordWrap w:val="0"/>
        <w:jc w:val="right"/>
        <w:rPr>
          <w:color w:val="000000" w:themeColor="text1"/>
        </w:rPr>
      </w:pPr>
      <w:r>
        <w:rPr>
          <w:rFonts w:hint="eastAsia"/>
          <w:color w:val="000000" w:themeColor="text1"/>
        </w:rPr>
        <w:t>单位：</w:t>
      </w:r>
      <w:sdt>
        <w:sdtPr>
          <w:rPr>
            <w:rFonts w:hint="eastAsia"/>
            <w:color w:val="000000" w:themeColor="text1"/>
          </w:rPr>
          <w:alias w:val="单位：财务附注：所得税费用"/>
          <w:tag w:val="_GBC_18ed8ed511fe4791a90ee25fc956bd2b"/>
          <w:id w:val="18268527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所得税费用"/>
          <w:tag w:val="_GBC_ecc6df02f1744ff084d6c0d30045219a"/>
          <w:id w:val="8261690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2"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3133"/>
        <w:gridCol w:w="2855"/>
        <w:gridCol w:w="2839"/>
      </w:tblGrid>
      <w:tr w:rsidR="00597370">
        <w:trPr>
          <w:trHeight w:val="397"/>
          <w:jc w:val="center"/>
        </w:trPr>
        <w:sdt>
          <w:sdtPr>
            <w:rPr>
              <w:color w:val="000000" w:themeColor="text1"/>
            </w:rPr>
            <w:tag w:val="_PLD_951f380ec376457cb80126c7d6018f65"/>
            <w:id w:val="1509480835"/>
          </w:sdtPr>
          <w:sdtEndPr/>
          <w:sdtContent>
            <w:tc>
              <w:tcPr>
                <w:tcW w:w="1774" w:type="pct"/>
                <w:vAlign w:val="center"/>
              </w:tcPr>
              <w:p w:rsidR="00597370" w:rsidRDefault="003C2EEE">
                <w:pPr>
                  <w:ind w:right="6"/>
                  <w:jc w:val="center"/>
                  <w:rPr>
                    <w:color w:val="000000" w:themeColor="text1"/>
                  </w:rPr>
                </w:pPr>
                <w:r>
                  <w:rPr>
                    <w:rFonts w:hint="eastAsia"/>
                    <w:color w:val="000000" w:themeColor="text1"/>
                  </w:rPr>
                  <w:t>项目</w:t>
                </w:r>
              </w:p>
            </w:tc>
          </w:sdtContent>
        </w:sdt>
        <w:sdt>
          <w:sdtPr>
            <w:rPr>
              <w:color w:val="000000" w:themeColor="text1"/>
            </w:rPr>
            <w:tag w:val="_PLD_1e59791ce9d340b7b60e63b833f13708"/>
            <w:id w:val="-756131916"/>
          </w:sdtPr>
          <w:sdtEndPr/>
          <w:sdtContent>
            <w:tc>
              <w:tcPr>
                <w:tcW w:w="1617" w:type="pct"/>
                <w:vAlign w:val="center"/>
              </w:tcPr>
              <w:p w:rsidR="00597370" w:rsidRDefault="003C2EEE">
                <w:pPr>
                  <w:ind w:right="6"/>
                  <w:jc w:val="center"/>
                  <w:rPr>
                    <w:color w:val="000000" w:themeColor="text1"/>
                  </w:rPr>
                </w:pPr>
                <w:r>
                  <w:rPr>
                    <w:rFonts w:hint="eastAsia"/>
                    <w:color w:val="000000" w:themeColor="text1"/>
                  </w:rPr>
                  <w:t>本期发生额</w:t>
                </w:r>
              </w:p>
            </w:tc>
          </w:sdtContent>
        </w:sdt>
        <w:sdt>
          <w:sdtPr>
            <w:rPr>
              <w:color w:val="000000" w:themeColor="text1"/>
            </w:rPr>
            <w:tag w:val="_PLD_23c0825dcbc74481a17a7811dee40e02"/>
            <w:id w:val="-301006942"/>
          </w:sdtPr>
          <w:sdtEndPr/>
          <w:sdtContent>
            <w:tc>
              <w:tcPr>
                <w:tcW w:w="1608" w:type="pct"/>
                <w:vAlign w:val="center"/>
              </w:tcPr>
              <w:p w:rsidR="00597370" w:rsidRDefault="003C2EEE">
                <w:pPr>
                  <w:ind w:right="6"/>
                  <w:jc w:val="center"/>
                  <w:rPr>
                    <w:color w:val="000000" w:themeColor="text1"/>
                  </w:rPr>
                </w:pPr>
                <w:r>
                  <w:rPr>
                    <w:rFonts w:hint="eastAsia"/>
                    <w:color w:val="000000" w:themeColor="text1"/>
                  </w:rPr>
                  <w:t>上期发生额</w:t>
                </w:r>
              </w:p>
            </w:tc>
          </w:sdtContent>
        </w:sdt>
      </w:tr>
      <w:tr w:rsidR="00597370">
        <w:trPr>
          <w:trHeight w:val="397"/>
          <w:jc w:val="center"/>
        </w:trPr>
        <w:tc>
          <w:tcPr>
            <w:tcW w:w="1774" w:type="pct"/>
          </w:tcPr>
          <w:p w:rsidR="00597370" w:rsidRDefault="003C2EEE">
            <w:pPr>
              <w:ind w:right="6"/>
              <w:rPr>
                <w:b/>
                <w:color w:val="000000" w:themeColor="text1"/>
              </w:rPr>
            </w:pPr>
            <w:r>
              <w:rPr>
                <w:rFonts w:hint="eastAsia"/>
                <w:color w:val="000000" w:themeColor="text1"/>
              </w:rPr>
              <w:lastRenderedPageBreak/>
              <w:t>当期所得税费用</w:t>
            </w:r>
          </w:p>
        </w:tc>
        <w:tc>
          <w:tcPr>
            <w:tcW w:w="1617" w:type="pct"/>
            <w:shd w:val="clear" w:color="auto" w:fill="auto"/>
            <w:vAlign w:val="bottom"/>
          </w:tcPr>
          <w:p w:rsidR="00597370" w:rsidRDefault="003C2EEE">
            <w:pPr>
              <w:jc w:val="right"/>
              <w:textAlignment w:val="top"/>
              <w:rPr>
                <w:color w:val="000000"/>
              </w:rPr>
            </w:pPr>
            <w:r>
              <w:rPr>
                <w:rFonts w:hint="eastAsia"/>
                <w:color w:val="000000"/>
                <w:lang w:bidi="ar"/>
              </w:rPr>
              <w:t xml:space="preserve"> -3,123,506.24 </w:t>
            </w:r>
          </w:p>
        </w:tc>
        <w:tc>
          <w:tcPr>
            <w:tcW w:w="1608" w:type="pct"/>
            <w:vAlign w:val="bottom"/>
          </w:tcPr>
          <w:p w:rsidR="00597370" w:rsidRDefault="003C2EEE">
            <w:pPr>
              <w:ind w:right="6"/>
              <w:jc w:val="right"/>
            </w:pPr>
            <w:r>
              <w:t>26,723,528.76</w:t>
            </w:r>
          </w:p>
        </w:tc>
      </w:tr>
      <w:tr w:rsidR="00597370">
        <w:trPr>
          <w:trHeight w:val="397"/>
          <w:jc w:val="center"/>
        </w:trPr>
        <w:tc>
          <w:tcPr>
            <w:tcW w:w="1774" w:type="pct"/>
          </w:tcPr>
          <w:p w:rsidR="00597370" w:rsidRDefault="003C2EEE">
            <w:pPr>
              <w:ind w:right="6"/>
              <w:rPr>
                <w:color w:val="000000" w:themeColor="text1"/>
              </w:rPr>
            </w:pPr>
            <w:r>
              <w:rPr>
                <w:rFonts w:hint="eastAsia"/>
                <w:color w:val="000000" w:themeColor="text1"/>
              </w:rPr>
              <w:t>递延所得税费用</w:t>
            </w:r>
          </w:p>
        </w:tc>
        <w:tc>
          <w:tcPr>
            <w:tcW w:w="1617" w:type="pct"/>
            <w:vAlign w:val="bottom"/>
          </w:tcPr>
          <w:p w:rsidR="00597370" w:rsidRDefault="003C2EEE">
            <w:pPr>
              <w:jc w:val="right"/>
              <w:textAlignment w:val="top"/>
              <w:rPr>
                <w:rFonts w:asciiTheme="minorEastAsia" w:eastAsiaTheme="minorEastAsia" w:hAnsiTheme="minorEastAsia"/>
              </w:rPr>
            </w:pPr>
            <w:r>
              <w:rPr>
                <w:rFonts w:hint="eastAsia"/>
                <w:color w:val="000000"/>
                <w:lang w:bidi="ar"/>
              </w:rPr>
              <w:t xml:space="preserve"> 6,017,097.87 </w:t>
            </w:r>
          </w:p>
        </w:tc>
        <w:tc>
          <w:tcPr>
            <w:tcW w:w="1608" w:type="pct"/>
            <w:vAlign w:val="bottom"/>
          </w:tcPr>
          <w:p w:rsidR="00597370" w:rsidRDefault="003C2EEE">
            <w:pPr>
              <w:ind w:right="6"/>
              <w:jc w:val="right"/>
            </w:pPr>
            <w:r>
              <w:t>-2,757,853.21</w:t>
            </w:r>
          </w:p>
        </w:tc>
      </w:tr>
      <w:tr w:rsidR="00597370">
        <w:trPr>
          <w:trHeight w:val="397"/>
          <w:jc w:val="center"/>
        </w:trPr>
        <w:tc>
          <w:tcPr>
            <w:tcW w:w="1774" w:type="pct"/>
          </w:tcPr>
          <w:p w:rsidR="00597370" w:rsidRDefault="003C2EEE">
            <w:pPr>
              <w:ind w:right="6"/>
            </w:pPr>
            <w:r>
              <w:rPr>
                <w:rFonts w:hint="eastAsia"/>
              </w:rPr>
              <w:t>合计</w:t>
            </w:r>
          </w:p>
        </w:tc>
        <w:tc>
          <w:tcPr>
            <w:tcW w:w="1617" w:type="pct"/>
            <w:shd w:val="clear" w:color="auto" w:fill="auto"/>
            <w:vAlign w:val="bottom"/>
          </w:tcPr>
          <w:p w:rsidR="00597370" w:rsidRDefault="003C2EEE">
            <w:pPr>
              <w:jc w:val="right"/>
              <w:textAlignment w:val="top"/>
              <w:rPr>
                <w:color w:val="000000"/>
              </w:rPr>
            </w:pPr>
            <w:r>
              <w:rPr>
                <w:rFonts w:hint="eastAsia"/>
                <w:color w:val="000000"/>
                <w:lang w:bidi="ar"/>
              </w:rPr>
              <w:t xml:space="preserve"> 2,893,591.63 </w:t>
            </w:r>
          </w:p>
        </w:tc>
        <w:tc>
          <w:tcPr>
            <w:tcW w:w="1608" w:type="pct"/>
            <w:vAlign w:val="bottom"/>
          </w:tcPr>
          <w:p w:rsidR="00597370" w:rsidRDefault="003C2EEE">
            <w:pPr>
              <w:ind w:right="6"/>
              <w:jc w:val="right"/>
            </w:pPr>
            <w:r>
              <w:t>23,965,675.55</w:t>
            </w:r>
          </w:p>
        </w:tc>
      </w:tr>
    </w:tbl>
    <w:p w:rsidR="00597370" w:rsidRDefault="00597370">
      <w:pPr>
        <w:rPr>
          <w:color w:val="000000" w:themeColor="text1"/>
        </w:rPr>
      </w:pPr>
    </w:p>
    <w:p w:rsidR="00597370" w:rsidRDefault="003C2EEE">
      <w:pPr>
        <w:pStyle w:val="Style110"/>
        <w:numPr>
          <w:ilvl w:val="0"/>
          <w:numId w:val="85"/>
        </w:numPr>
        <w:rPr>
          <w:rFonts w:ascii="宋体" w:hAnsi="宋体"/>
          <w:color w:val="000000" w:themeColor="text1"/>
        </w:rPr>
      </w:pPr>
      <w:r>
        <w:rPr>
          <w:rFonts w:ascii="宋体" w:hAnsi="宋体" w:hint="eastAsia"/>
          <w:color w:val="000000" w:themeColor="text1"/>
        </w:rPr>
        <w:t>会计利润与所得税费用调整过程</w:t>
      </w:r>
    </w:p>
    <w:sdt>
      <w:sdtPr>
        <w:rPr>
          <w:color w:val="000000" w:themeColor="text1"/>
        </w:rPr>
        <w:alias w:val="是否适用：会计利润与所得税费用调整过程[双击切换]"/>
        <w:tag w:val="_GBC_92a49ce6320645cc9101c809f426c9db"/>
        <w:id w:val="174906920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会计利润与所得税费用调整过程"/>
          <w:tag w:val="_GBC_8b3d0d6296b944dcbc6077158d5eb7ca"/>
          <w:id w:val="19317756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会计利润与所得税费用调整过程"/>
          <w:tag w:val="_GBC_f07b399def8f4b49bdebcbb56994fb61"/>
          <w:id w:val="6231245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4957" w:type="pct"/>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4232"/>
        <w:gridCol w:w="4515"/>
      </w:tblGrid>
      <w:tr w:rsidR="00597370">
        <w:sdt>
          <w:sdtPr>
            <w:rPr>
              <w:color w:val="000000" w:themeColor="text1"/>
            </w:rPr>
            <w:tag w:val="_PLD_762c770e68ab4734ab4b1455db567f92"/>
            <w:id w:val="954220066"/>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dbffde77b3344828a64e53b9962d0e3a"/>
            <w:id w:val="-528406714"/>
          </w:sdtPr>
          <w:sdtEndPr/>
          <w:sdtContent>
            <w:tc>
              <w:tcPr>
                <w:tcW w:w="258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本期发生额</w:t>
                </w:r>
              </w:p>
            </w:tc>
          </w:sdtContent>
        </w:sdt>
      </w:tr>
      <w:tr w:rsidR="00597370">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ind w:right="6"/>
              <w:rPr>
                <w:b/>
                <w:color w:val="000000" w:themeColor="text1"/>
              </w:rPr>
            </w:pPr>
            <w:r>
              <w:rPr>
                <w:rFonts w:hint="eastAsia"/>
                <w:color w:val="000000" w:themeColor="text1"/>
              </w:rPr>
              <w:t>利润总额</w:t>
            </w:r>
          </w:p>
        </w:tc>
        <w:tc>
          <w:tcPr>
            <w:tcW w:w="2580" w:type="pct"/>
            <w:tcBorders>
              <w:top w:val="single" w:sz="4" w:space="0" w:color="auto"/>
              <w:left w:val="single" w:sz="4" w:space="0" w:color="auto"/>
              <w:bottom w:val="single" w:sz="6" w:space="0" w:color="auto"/>
              <w:right w:val="single" w:sz="6" w:space="0" w:color="auto"/>
            </w:tcBorders>
            <w:shd w:val="clear" w:color="auto" w:fill="auto"/>
            <w:vAlign w:val="center"/>
          </w:tcPr>
          <w:p w:rsidR="00597370" w:rsidRDefault="003C2EEE">
            <w:pPr>
              <w:jc w:val="right"/>
              <w:textAlignment w:val="center"/>
            </w:pPr>
            <w:r>
              <w:rPr>
                <w:rFonts w:hint="eastAsia"/>
                <w:color w:val="000000"/>
                <w:lang w:bidi="ar"/>
              </w:rPr>
              <w:t xml:space="preserve"> 47,816,972.52 </w:t>
            </w:r>
          </w:p>
        </w:tc>
      </w:tr>
      <w:tr w:rsidR="00597370">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ind w:right="6"/>
              <w:rPr>
                <w:color w:val="000000" w:themeColor="text1"/>
              </w:rPr>
            </w:pPr>
            <w:r>
              <w:rPr>
                <w:rFonts w:hint="eastAsia"/>
                <w:color w:val="000000" w:themeColor="text1"/>
              </w:rPr>
              <w:t>按法定</w:t>
            </w:r>
            <w:r>
              <w:rPr>
                <w:color w:val="000000" w:themeColor="text1"/>
              </w:rPr>
              <w:t>/</w:t>
            </w:r>
            <w:r>
              <w:rPr>
                <w:rFonts w:hint="eastAsia"/>
                <w:color w:val="000000" w:themeColor="text1"/>
              </w:rPr>
              <w:t>适用税率计算的所得税费用</w:t>
            </w:r>
          </w:p>
        </w:tc>
        <w:tc>
          <w:tcPr>
            <w:tcW w:w="2580" w:type="pct"/>
            <w:tcBorders>
              <w:top w:val="single" w:sz="6" w:space="0" w:color="auto"/>
              <w:left w:val="single" w:sz="4" w:space="0" w:color="auto"/>
              <w:bottom w:val="single" w:sz="6" w:space="0" w:color="auto"/>
              <w:right w:val="single" w:sz="6" w:space="0" w:color="auto"/>
            </w:tcBorders>
            <w:shd w:val="clear" w:color="auto" w:fill="auto"/>
            <w:vAlign w:val="center"/>
          </w:tcPr>
          <w:p w:rsidR="00597370" w:rsidRDefault="003C2EEE">
            <w:pPr>
              <w:jc w:val="right"/>
              <w:textAlignment w:val="center"/>
            </w:pPr>
            <w:r>
              <w:rPr>
                <w:rFonts w:hint="eastAsia"/>
                <w:color w:val="000000"/>
                <w:lang w:bidi="ar"/>
              </w:rPr>
              <w:t xml:space="preserve"> 7,172,545.88 </w:t>
            </w:r>
          </w:p>
        </w:tc>
      </w:tr>
      <w:tr w:rsidR="00597370">
        <w:trPr>
          <w:trHeight w:val="90"/>
        </w:trPr>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ind w:right="6"/>
              <w:rPr>
                <w:color w:val="000000" w:themeColor="text1"/>
              </w:rPr>
            </w:pPr>
            <w:r>
              <w:rPr>
                <w:rFonts w:hint="eastAsia"/>
                <w:color w:val="000000" w:themeColor="text1"/>
              </w:rPr>
              <w:t>子公司适用不同税率的影响</w:t>
            </w:r>
          </w:p>
        </w:tc>
        <w:tc>
          <w:tcPr>
            <w:tcW w:w="2580" w:type="pct"/>
            <w:tcBorders>
              <w:top w:val="single" w:sz="6" w:space="0" w:color="auto"/>
              <w:left w:val="single" w:sz="4" w:space="0" w:color="auto"/>
              <w:bottom w:val="single" w:sz="6" w:space="0" w:color="auto"/>
              <w:right w:val="single" w:sz="6" w:space="0" w:color="auto"/>
            </w:tcBorders>
            <w:shd w:val="clear" w:color="auto" w:fill="auto"/>
            <w:vAlign w:val="center"/>
          </w:tcPr>
          <w:p w:rsidR="00597370" w:rsidRDefault="003C2EEE">
            <w:pPr>
              <w:jc w:val="right"/>
              <w:textAlignment w:val="center"/>
            </w:pPr>
            <w:r>
              <w:rPr>
                <w:rFonts w:hint="eastAsia"/>
                <w:color w:val="000000"/>
                <w:lang w:bidi="ar"/>
              </w:rPr>
              <w:t xml:space="preserve"> -53,807.81 </w:t>
            </w:r>
          </w:p>
        </w:tc>
      </w:tr>
      <w:tr w:rsidR="00597370">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ind w:right="6"/>
              <w:rPr>
                <w:color w:val="000000" w:themeColor="text1"/>
              </w:rPr>
            </w:pPr>
            <w:r>
              <w:rPr>
                <w:rFonts w:hint="eastAsia"/>
                <w:color w:val="000000" w:themeColor="text1"/>
              </w:rPr>
              <w:t>调整以前期间所得税的影响</w:t>
            </w:r>
          </w:p>
        </w:tc>
        <w:tc>
          <w:tcPr>
            <w:tcW w:w="2580" w:type="pct"/>
            <w:tcBorders>
              <w:top w:val="single" w:sz="6" w:space="0" w:color="auto"/>
              <w:left w:val="single" w:sz="4" w:space="0" w:color="auto"/>
              <w:bottom w:val="single" w:sz="6" w:space="0" w:color="auto"/>
              <w:right w:val="single" w:sz="6" w:space="0" w:color="auto"/>
            </w:tcBorders>
            <w:shd w:val="clear" w:color="auto" w:fill="auto"/>
            <w:vAlign w:val="center"/>
          </w:tcPr>
          <w:p w:rsidR="00597370" w:rsidRDefault="003C2EEE">
            <w:pPr>
              <w:jc w:val="right"/>
              <w:textAlignment w:val="center"/>
            </w:pPr>
            <w:r>
              <w:rPr>
                <w:rFonts w:hint="eastAsia"/>
                <w:color w:val="000000"/>
                <w:lang w:bidi="ar"/>
              </w:rPr>
              <w:t xml:space="preserve"> 2,863.65 </w:t>
            </w:r>
          </w:p>
        </w:tc>
      </w:tr>
      <w:tr w:rsidR="00597370">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ind w:right="6"/>
              <w:rPr>
                <w:color w:val="000000" w:themeColor="text1"/>
              </w:rPr>
            </w:pPr>
            <w:r>
              <w:rPr>
                <w:rFonts w:hint="eastAsia"/>
                <w:color w:val="000000" w:themeColor="text1"/>
              </w:rPr>
              <w:t>非应税收入的影响</w:t>
            </w:r>
          </w:p>
        </w:tc>
        <w:tc>
          <w:tcPr>
            <w:tcW w:w="2580" w:type="pct"/>
            <w:tcBorders>
              <w:top w:val="single" w:sz="6" w:space="0" w:color="auto"/>
              <w:left w:val="single" w:sz="4" w:space="0" w:color="auto"/>
              <w:bottom w:val="single" w:sz="6" w:space="0" w:color="auto"/>
              <w:right w:val="single" w:sz="6" w:space="0" w:color="auto"/>
            </w:tcBorders>
            <w:shd w:val="clear" w:color="auto" w:fill="auto"/>
            <w:vAlign w:val="center"/>
          </w:tcPr>
          <w:p w:rsidR="00597370" w:rsidRDefault="00597370">
            <w:pPr>
              <w:jc w:val="right"/>
            </w:pPr>
          </w:p>
        </w:tc>
      </w:tr>
      <w:tr w:rsidR="00597370">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ind w:right="6"/>
              <w:rPr>
                <w:color w:val="000000" w:themeColor="text1"/>
              </w:rPr>
            </w:pPr>
            <w:r>
              <w:rPr>
                <w:rFonts w:hint="eastAsia"/>
                <w:color w:val="000000" w:themeColor="text1"/>
              </w:rPr>
              <w:t>不可抵扣的成本、费用和损失的影响</w:t>
            </w:r>
          </w:p>
        </w:tc>
        <w:tc>
          <w:tcPr>
            <w:tcW w:w="2580" w:type="pct"/>
            <w:tcBorders>
              <w:top w:val="single" w:sz="6" w:space="0" w:color="auto"/>
              <w:left w:val="single" w:sz="4" w:space="0" w:color="auto"/>
              <w:bottom w:val="single" w:sz="6" w:space="0" w:color="auto"/>
              <w:right w:val="single" w:sz="6" w:space="0" w:color="auto"/>
            </w:tcBorders>
            <w:shd w:val="clear" w:color="auto" w:fill="auto"/>
            <w:vAlign w:val="center"/>
          </w:tcPr>
          <w:p w:rsidR="00597370" w:rsidRDefault="003C2EEE">
            <w:pPr>
              <w:jc w:val="right"/>
              <w:textAlignment w:val="center"/>
            </w:pPr>
            <w:r>
              <w:rPr>
                <w:rFonts w:ascii="Arial Narrow" w:eastAsia="Arial Narrow" w:hAnsi="Arial Narrow" w:cs="Arial Narrow"/>
                <w:color w:val="000000"/>
                <w:sz w:val="18"/>
                <w:szCs w:val="18"/>
                <w:lang w:bidi="ar"/>
              </w:rPr>
              <w:t xml:space="preserve"> 844,749.71 </w:t>
            </w:r>
          </w:p>
        </w:tc>
      </w:tr>
      <w:tr w:rsidR="00597370">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ind w:right="6"/>
              <w:rPr>
                <w:color w:val="000000" w:themeColor="text1"/>
              </w:rPr>
            </w:pPr>
            <w:r>
              <w:rPr>
                <w:rFonts w:hint="eastAsia"/>
                <w:color w:val="000000" w:themeColor="text1"/>
              </w:rPr>
              <w:t>使用前期未确认递延所得税资产的可抵扣亏损的影响</w:t>
            </w:r>
          </w:p>
        </w:tc>
        <w:tc>
          <w:tcPr>
            <w:tcW w:w="2580" w:type="pct"/>
            <w:tcBorders>
              <w:top w:val="single" w:sz="6" w:space="0" w:color="auto"/>
              <w:left w:val="single" w:sz="4" w:space="0" w:color="auto"/>
              <w:bottom w:val="single" w:sz="6" w:space="0" w:color="auto"/>
              <w:right w:val="single" w:sz="6" w:space="0" w:color="auto"/>
            </w:tcBorders>
            <w:shd w:val="clear" w:color="auto" w:fill="auto"/>
            <w:vAlign w:val="center"/>
          </w:tcPr>
          <w:p w:rsidR="00597370" w:rsidRDefault="003C2EEE">
            <w:pPr>
              <w:jc w:val="right"/>
              <w:textAlignment w:val="center"/>
            </w:pPr>
            <w:r>
              <w:rPr>
                <w:rFonts w:hint="eastAsia"/>
                <w:color w:val="000000"/>
                <w:lang w:bidi="ar"/>
              </w:rPr>
              <w:t xml:space="preserve"> -2,405,725.34 </w:t>
            </w:r>
          </w:p>
        </w:tc>
      </w:tr>
      <w:tr w:rsidR="00597370">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ind w:right="6"/>
              <w:rPr>
                <w:color w:val="000000" w:themeColor="text1"/>
              </w:rPr>
            </w:pPr>
            <w:proofErr w:type="gramStart"/>
            <w:r>
              <w:rPr>
                <w:rFonts w:hint="eastAsia"/>
                <w:color w:val="000000" w:themeColor="text1"/>
              </w:rPr>
              <w:t>本期未</w:t>
            </w:r>
            <w:proofErr w:type="gramEnd"/>
            <w:r>
              <w:rPr>
                <w:rFonts w:hint="eastAsia"/>
                <w:color w:val="000000" w:themeColor="text1"/>
              </w:rPr>
              <w:t>确认递延所得税资产的可抵扣暂时性差异或可抵扣亏损的影响</w:t>
            </w:r>
          </w:p>
        </w:tc>
        <w:tc>
          <w:tcPr>
            <w:tcW w:w="2580" w:type="pct"/>
            <w:tcBorders>
              <w:top w:val="single" w:sz="6" w:space="0" w:color="auto"/>
              <w:left w:val="single" w:sz="4" w:space="0" w:color="auto"/>
              <w:bottom w:val="single" w:sz="6" w:space="0" w:color="auto"/>
              <w:right w:val="single" w:sz="6" w:space="0" w:color="auto"/>
            </w:tcBorders>
            <w:shd w:val="clear" w:color="auto" w:fill="auto"/>
            <w:vAlign w:val="center"/>
          </w:tcPr>
          <w:p w:rsidR="00597370" w:rsidRDefault="00597370">
            <w:pPr>
              <w:jc w:val="right"/>
            </w:pPr>
          </w:p>
        </w:tc>
      </w:tr>
      <w:tr w:rsidR="00597370">
        <w:trPr>
          <w:trHeight w:val="250"/>
        </w:trPr>
        <w:tc>
          <w:tcPr>
            <w:tcW w:w="2419" w:type="pct"/>
            <w:tcBorders>
              <w:top w:val="single" w:sz="4" w:space="0" w:color="auto"/>
              <w:left w:val="single" w:sz="6" w:space="0" w:color="auto"/>
              <w:bottom w:val="single" w:sz="6" w:space="0" w:color="auto"/>
              <w:right w:val="single" w:sz="6" w:space="0" w:color="auto"/>
            </w:tcBorders>
            <w:shd w:val="clear" w:color="auto" w:fill="auto"/>
            <w:vAlign w:val="center"/>
          </w:tcPr>
          <w:p w:rsidR="00597370" w:rsidRDefault="003C2EEE">
            <w:pPr>
              <w:pStyle w:val="Style106"/>
            </w:pPr>
            <w:r>
              <w:rPr>
                <w:rFonts w:hint="eastAsia"/>
              </w:rPr>
              <w:t>研发加计扣除的影响</w:t>
            </w:r>
          </w:p>
        </w:tc>
        <w:tc>
          <w:tcPr>
            <w:tcW w:w="2580"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right"/>
              <w:textAlignment w:val="center"/>
            </w:pPr>
            <w:r>
              <w:rPr>
                <w:rFonts w:hint="eastAsia"/>
                <w:color w:val="000000"/>
                <w:lang w:bidi="ar"/>
              </w:rPr>
              <w:t xml:space="preserve"> -2,541,904.14 </w:t>
            </w:r>
          </w:p>
        </w:tc>
      </w:tr>
      <w:tr w:rsidR="00597370">
        <w:tc>
          <w:tcPr>
            <w:tcW w:w="2419" w:type="pct"/>
            <w:tcBorders>
              <w:top w:val="single" w:sz="4" w:space="0" w:color="auto"/>
              <w:left w:val="single" w:sz="6" w:space="0" w:color="auto"/>
              <w:bottom w:val="single" w:sz="6" w:space="0" w:color="auto"/>
              <w:right w:val="single" w:sz="6" w:space="0" w:color="auto"/>
            </w:tcBorders>
            <w:shd w:val="clear" w:color="auto" w:fill="auto"/>
            <w:vAlign w:val="bottom"/>
          </w:tcPr>
          <w:p w:rsidR="00597370" w:rsidRDefault="003C2EEE">
            <w:pPr>
              <w:textAlignment w:val="bottom"/>
              <w:rPr>
                <w:color w:val="000000"/>
              </w:rPr>
            </w:pPr>
            <w:r>
              <w:rPr>
                <w:rFonts w:hint="eastAsia"/>
                <w:color w:val="000000"/>
                <w:lang w:bidi="ar"/>
              </w:rPr>
              <w:t>合并层面未实现毛利抵消的影响</w:t>
            </w:r>
          </w:p>
        </w:tc>
        <w:tc>
          <w:tcPr>
            <w:tcW w:w="2580"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right"/>
              <w:textAlignment w:val="center"/>
            </w:pPr>
            <w:r>
              <w:rPr>
                <w:rFonts w:hint="eastAsia"/>
                <w:color w:val="000000"/>
                <w:lang w:bidi="ar"/>
              </w:rPr>
              <w:t xml:space="preserve"> -125,130.32 </w:t>
            </w:r>
          </w:p>
        </w:tc>
      </w:tr>
      <w:tr w:rsidR="00597370">
        <w:tc>
          <w:tcPr>
            <w:tcW w:w="241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所得税费用</w:t>
            </w:r>
          </w:p>
        </w:tc>
        <w:tc>
          <w:tcPr>
            <w:tcW w:w="2580" w:type="pct"/>
            <w:tcBorders>
              <w:top w:val="single" w:sz="6" w:space="0" w:color="auto"/>
              <w:left w:val="single" w:sz="4" w:space="0" w:color="auto"/>
              <w:bottom w:val="single" w:sz="6" w:space="0" w:color="auto"/>
              <w:right w:val="single" w:sz="6" w:space="0" w:color="auto"/>
            </w:tcBorders>
            <w:shd w:val="clear" w:color="auto" w:fill="auto"/>
          </w:tcPr>
          <w:p w:rsidR="00597370" w:rsidRDefault="003C2EEE">
            <w:pPr>
              <w:jc w:val="right"/>
              <w:textAlignment w:val="top"/>
              <w:rPr>
                <w:color w:val="000000"/>
              </w:rPr>
            </w:pPr>
            <w:r>
              <w:rPr>
                <w:rFonts w:hint="eastAsia"/>
                <w:color w:val="000000"/>
                <w:lang w:bidi="ar"/>
              </w:rPr>
              <w:t xml:space="preserve"> 2,893,591.63 </w:t>
            </w:r>
          </w:p>
        </w:tc>
      </w:tr>
    </w:tbl>
    <w:p w:rsidR="00597370" w:rsidRDefault="00597370">
      <w:pPr>
        <w:rPr>
          <w:color w:val="000000" w:themeColor="text1"/>
        </w:rPr>
      </w:pPr>
    </w:p>
    <w:p w:rsidR="00597370" w:rsidRDefault="003C2EEE">
      <w:pPr>
        <w:spacing w:before="60" w:after="60"/>
        <w:rPr>
          <w:color w:val="000000" w:themeColor="text1"/>
        </w:rPr>
      </w:pPr>
      <w:r>
        <w:rPr>
          <w:rFonts w:hint="eastAsia"/>
          <w:color w:val="000000" w:themeColor="text1"/>
        </w:rPr>
        <w:t>其他说明：</w:t>
      </w:r>
    </w:p>
    <w:sdt>
      <w:sdtPr>
        <w:rPr>
          <w:color w:val="000000" w:themeColor="text1"/>
        </w:rPr>
        <w:alias w:val="是否适用：所得税费用的说明[双击切换]"/>
        <w:tag w:val="_GBC_0363d79a647b4d96aa5d7b72c93b1e45"/>
        <w:id w:val="-196776246"/>
        <w:placeholder>
          <w:docPart w:val="GBC22222222222222222222222222222"/>
        </w:placeholder>
      </w:sdtPr>
      <w:sdtEndPr/>
      <w:sdtContent>
        <w:p w:rsidR="00597370" w:rsidRDefault="003C2EEE">
          <w:pPr>
            <w:spacing w:before="60" w:after="6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所得税费用的说明"/>
        <w:tag w:val="_GBC_1ef974b057044ea3b8708f5ded819a45"/>
        <w:id w:val="-1561245807"/>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其他综合收益</w:t>
      </w:r>
    </w:p>
    <w:sdt>
      <w:sdtPr>
        <w:rPr>
          <w:color w:val="000000" w:themeColor="text1"/>
        </w:rPr>
        <w:alias w:val="是否适用：其他综合收益[双击切换]"/>
        <w:tag w:val="_GBC_bef6c47936994e5e94c77d5dd812be30"/>
        <w:id w:val="-35103744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6840ED">
      <w:pPr>
        <w:rPr>
          <w:color w:val="000000" w:themeColor="text1"/>
        </w:rPr>
      </w:pPr>
      <w:sdt>
        <w:sdtPr>
          <w:rPr>
            <w:rFonts w:hint="eastAsia"/>
            <w:color w:val="000000" w:themeColor="text1"/>
          </w:rPr>
          <w:alias w:val="其他综合收益详见附注"/>
          <w:tag w:val="_GBC_6f59ae7e2b78472ea4fa736cbb8f062d"/>
          <w:id w:val="-2135632785"/>
          <w:placeholder>
            <w:docPart w:val="GBC22222222222222222222222222222"/>
          </w:placeholder>
        </w:sdtPr>
        <w:sdtEndPr/>
        <w:sdtContent>
          <w:r w:rsidR="003C2EEE">
            <w:rPr>
              <w:rFonts w:hint="eastAsia"/>
              <w:color w:val="000000" w:themeColor="text1"/>
            </w:rPr>
            <w:t>详见附注第十节第七.</w:t>
          </w:r>
          <w:r w:rsidR="003C2EEE">
            <w:rPr>
              <w:color w:val="000000" w:themeColor="text1"/>
            </w:rPr>
            <w:t>57</w:t>
          </w:r>
        </w:sdtContent>
      </w:sdt>
    </w:p>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现金流量表项目</w:t>
      </w:r>
    </w:p>
    <w:p w:rsidR="00597370" w:rsidRDefault="003C2EEE">
      <w:pPr>
        <w:pStyle w:val="Style110"/>
        <w:numPr>
          <w:ilvl w:val="0"/>
          <w:numId w:val="86"/>
        </w:numPr>
        <w:rPr>
          <w:color w:val="000000" w:themeColor="text1"/>
        </w:rPr>
      </w:pPr>
      <w:r>
        <w:rPr>
          <w:rFonts w:hint="eastAsia"/>
          <w:color w:val="000000" w:themeColor="text1"/>
        </w:rPr>
        <w:t>与经营活动有关的现金</w:t>
      </w:r>
    </w:p>
    <w:p w:rsidR="00597370" w:rsidRDefault="003C2EEE">
      <w:pPr>
        <w:rPr>
          <w:color w:val="000000" w:themeColor="text1"/>
        </w:rPr>
      </w:pPr>
      <w:r>
        <w:rPr>
          <w:rFonts w:hint="eastAsia"/>
          <w:color w:val="000000" w:themeColor="text1"/>
        </w:rPr>
        <w:t>收到的其他与经营活动有关的现金</w:t>
      </w:r>
    </w:p>
    <w:sdt>
      <w:sdtPr>
        <w:rPr>
          <w:color w:val="000000" w:themeColor="text1"/>
        </w:rPr>
        <w:alias w:val="是否适用：收到的其他与经营活动有关的现金[双击切换]"/>
        <w:tag w:val="_GBC_c5c1fd7856fd40f88e814da378eb1220"/>
        <w:id w:val="28740074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经营活动有关的现金"/>
          <w:tag w:val="_GBC_5ccae82b68484e708f12fda90762616a"/>
          <w:id w:val="19959175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收到的其他与经营活动有关的现金"/>
          <w:tag w:val="_GBC_fab1e143b1314991a3aebb857ed68a09"/>
          <w:id w:val="7189484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756"/>
        <w:gridCol w:w="2746"/>
      </w:tblGrid>
      <w:tr w:rsidR="00597370">
        <w:sdt>
          <w:sdtPr>
            <w:rPr>
              <w:color w:val="000000" w:themeColor="text1"/>
            </w:rPr>
            <w:tag w:val="_PLD_37a08d49f8e14506929ae8c9544c259e"/>
            <w:id w:val="-1981303321"/>
          </w:sdtPr>
          <w:sdtEndPr/>
          <w:sdtContent>
            <w:tc>
              <w:tcPr>
                <w:tcW w:w="1882" w:type="pct"/>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rPr>
              <w:color w:val="000000" w:themeColor="text1"/>
            </w:rPr>
            <w:tag w:val="_PLD_f6cb8d17057e4de79000a7b7c263b07e"/>
            <w:id w:val="-992327754"/>
          </w:sdtPr>
          <w:sdtEndPr/>
          <w:sdtContent>
            <w:tc>
              <w:tcPr>
                <w:tcW w:w="1562" w:type="pct"/>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本期发生额</w:t>
                </w:r>
              </w:p>
            </w:tc>
          </w:sdtContent>
        </w:sdt>
        <w:sdt>
          <w:sdtPr>
            <w:rPr>
              <w:color w:val="000000" w:themeColor="text1"/>
            </w:rPr>
            <w:tag w:val="_PLD_28d6db3ec51c43eb8751b53e93c8f270"/>
            <w:id w:val="1609856644"/>
          </w:sdtPr>
          <w:sdtEndPr/>
          <w:sdtContent>
            <w:tc>
              <w:tcPr>
                <w:tcW w:w="1556" w:type="pct"/>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上期发生额</w:t>
                </w:r>
              </w:p>
            </w:tc>
          </w:sdtContent>
        </w:sdt>
      </w:tr>
      <w:tr w:rsidR="00597370">
        <w:tc>
          <w:tcPr>
            <w:tcW w:w="1882" w:type="pct"/>
          </w:tcPr>
          <w:p w:rsidR="00597370" w:rsidRDefault="003C2EEE">
            <w:pPr>
              <w:autoSpaceDE w:val="0"/>
              <w:autoSpaceDN w:val="0"/>
              <w:adjustRightInd w:val="0"/>
              <w:snapToGrid w:val="0"/>
              <w:spacing w:line="240" w:lineRule="atLeast"/>
            </w:pPr>
            <w:r>
              <w:t>补贴收入</w:t>
            </w:r>
          </w:p>
        </w:tc>
        <w:tc>
          <w:tcPr>
            <w:tcW w:w="1562" w:type="pct"/>
            <w:vAlign w:val="center"/>
          </w:tcPr>
          <w:p w:rsidR="00597370" w:rsidRDefault="003C2EEE">
            <w:pPr>
              <w:jc w:val="right"/>
            </w:pPr>
            <w:r>
              <w:t>40,730,559.63</w:t>
            </w:r>
          </w:p>
        </w:tc>
        <w:tc>
          <w:tcPr>
            <w:tcW w:w="1556" w:type="pct"/>
            <w:vAlign w:val="center"/>
          </w:tcPr>
          <w:p w:rsidR="00597370" w:rsidRDefault="003C2EEE">
            <w:pPr>
              <w:jc w:val="right"/>
            </w:pPr>
            <w:r>
              <w:t>2,784,689.95</w:t>
            </w:r>
          </w:p>
        </w:tc>
      </w:tr>
      <w:tr w:rsidR="00597370">
        <w:tc>
          <w:tcPr>
            <w:tcW w:w="1882" w:type="pct"/>
          </w:tcPr>
          <w:p w:rsidR="00597370" w:rsidRDefault="003C2EEE">
            <w:pPr>
              <w:autoSpaceDE w:val="0"/>
              <w:autoSpaceDN w:val="0"/>
              <w:adjustRightInd w:val="0"/>
              <w:snapToGrid w:val="0"/>
              <w:spacing w:line="240" w:lineRule="atLeast"/>
            </w:pPr>
            <w:r>
              <w:t>银行存款利息收入</w:t>
            </w:r>
          </w:p>
        </w:tc>
        <w:tc>
          <w:tcPr>
            <w:tcW w:w="1562" w:type="pct"/>
            <w:vAlign w:val="center"/>
          </w:tcPr>
          <w:p w:rsidR="00597370" w:rsidRDefault="003C2EEE">
            <w:pPr>
              <w:jc w:val="right"/>
            </w:pPr>
            <w:r>
              <w:t>17,601,283.27</w:t>
            </w:r>
          </w:p>
        </w:tc>
        <w:tc>
          <w:tcPr>
            <w:tcW w:w="1556" w:type="pct"/>
            <w:vAlign w:val="center"/>
          </w:tcPr>
          <w:p w:rsidR="00597370" w:rsidRDefault="003C2EEE">
            <w:pPr>
              <w:jc w:val="right"/>
            </w:pPr>
            <w:r>
              <w:t>15,256,155.63</w:t>
            </w:r>
          </w:p>
        </w:tc>
      </w:tr>
      <w:tr w:rsidR="00597370">
        <w:tc>
          <w:tcPr>
            <w:tcW w:w="1882" w:type="pct"/>
          </w:tcPr>
          <w:p w:rsidR="00597370" w:rsidRDefault="003C2EEE">
            <w:pPr>
              <w:autoSpaceDE w:val="0"/>
              <w:autoSpaceDN w:val="0"/>
              <w:adjustRightInd w:val="0"/>
              <w:snapToGrid w:val="0"/>
              <w:spacing w:line="240" w:lineRule="atLeast"/>
            </w:pPr>
            <w:r>
              <w:t>其他及其他往来</w:t>
            </w:r>
          </w:p>
        </w:tc>
        <w:tc>
          <w:tcPr>
            <w:tcW w:w="1562" w:type="pct"/>
            <w:vAlign w:val="center"/>
          </w:tcPr>
          <w:p w:rsidR="00597370" w:rsidRDefault="003C2EEE">
            <w:pPr>
              <w:jc w:val="right"/>
            </w:pPr>
            <w:r>
              <w:t>49,014,697.50</w:t>
            </w:r>
          </w:p>
        </w:tc>
        <w:tc>
          <w:tcPr>
            <w:tcW w:w="1556" w:type="pct"/>
            <w:vAlign w:val="center"/>
          </w:tcPr>
          <w:p w:rsidR="00597370" w:rsidRDefault="003C2EEE">
            <w:pPr>
              <w:jc w:val="right"/>
            </w:pPr>
            <w:r>
              <w:t>18,662,343.74</w:t>
            </w:r>
          </w:p>
        </w:tc>
      </w:tr>
      <w:tr w:rsidR="00597370">
        <w:tc>
          <w:tcPr>
            <w:tcW w:w="1882" w:type="pct"/>
          </w:tcPr>
          <w:p w:rsidR="00597370" w:rsidRDefault="003C2EEE">
            <w:pPr>
              <w:autoSpaceDE w:val="0"/>
              <w:autoSpaceDN w:val="0"/>
              <w:adjustRightInd w:val="0"/>
              <w:snapToGrid w:val="0"/>
              <w:spacing w:line="240" w:lineRule="atLeast"/>
            </w:pPr>
            <w:r>
              <w:rPr>
                <w:rFonts w:hint="eastAsia"/>
              </w:rPr>
              <w:t>合计</w:t>
            </w:r>
          </w:p>
        </w:tc>
        <w:tc>
          <w:tcPr>
            <w:tcW w:w="1562" w:type="pct"/>
            <w:vAlign w:val="bottom"/>
          </w:tcPr>
          <w:p w:rsidR="00597370" w:rsidRDefault="003C2EEE">
            <w:pPr>
              <w:jc w:val="right"/>
            </w:pPr>
            <w:r>
              <w:t>107,346,540.40</w:t>
            </w:r>
          </w:p>
        </w:tc>
        <w:tc>
          <w:tcPr>
            <w:tcW w:w="1556" w:type="pct"/>
            <w:vAlign w:val="center"/>
          </w:tcPr>
          <w:p w:rsidR="00597370" w:rsidRDefault="003C2EEE">
            <w:pPr>
              <w:jc w:val="right"/>
            </w:pPr>
            <w:r>
              <w:t>36,703,189.32</w:t>
            </w:r>
          </w:p>
        </w:tc>
      </w:tr>
    </w:tbl>
    <w:p w:rsidR="00597370" w:rsidRDefault="00597370">
      <w:pPr>
        <w:pStyle w:val="Style106"/>
      </w:pPr>
    </w:p>
    <w:p w:rsidR="00597370" w:rsidRDefault="003C2EEE">
      <w:pPr>
        <w:snapToGrid w:val="0"/>
        <w:spacing w:before="60" w:after="60" w:line="240" w:lineRule="atLeast"/>
        <w:rPr>
          <w:color w:val="000000" w:themeColor="text1"/>
        </w:rPr>
      </w:pPr>
      <w:r>
        <w:rPr>
          <w:rFonts w:hint="eastAsia"/>
          <w:color w:val="000000" w:themeColor="text1"/>
        </w:rPr>
        <w:t>收到的其他与经营活动有关的现金说明：</w:t>
      </w:r>
    </w:p>
    <w:sdt>
      <w:sdtPr>
        <w:rPr>
          <w:bCs w:val="0"/>
          <w:color w:val="000000" w:themeColor="text1"/>
        </w:rPr>
        <w:alias w:val="收到的其他与经营活动有关的现金说明"/>
        <w:tag w:val="_GBC_1204b17e37bf4cc187a1ffb6f9463f05"/>
        <w:id w:val="886533144"/>
        <w:placeholder>
          <w:docPart w:val="GBC22222222222222222222222222222"/>
        </w:placeholder>
      </w:sdtPr>
      <w:sdtEndPr/>
      <w:sdtContent>
        <w:sdt>
          <w:sdtPr>
            <w:alias w:val="收到的其他与经营活动有关的现金说明"/>
            <w:tag w:val="_GBC_1204b17e37bf4cc187a1ffb6f9463f05"/>
            <w:id w:val="174937408"/>
          </w:sdtPr>
          <w:sdtEndPr/>
          <w:sdtContent>
            <w:p w:rsidR="00597370" w:rsidRDefault="003C2EEE">
              <w:pPr>
                <w:pStyle w:val="Style178"/>
                <w:spacing w:line="360" w:lineRule="auto"/>
              </w:pPr>
              <w:r>
                <w:rPr>
                  <w:rFonts w:hint="eastAsia"/>
                </w:rPr>
                <w:t>无</w:t>
              </w:r>
            </w:p>
          </w:sdtContent>
        </w:sdt>
      </w:sdtContent>
    </w:sdt>
    <w:p w:rsidR="00597370" w:rsidRDefault="003C2EEE">
      <w:pPr>
        <w:rPr>
          <w:color w:val="000000" w:themeColor="text1"/>
        </w:rPr>
      </w:pPr>
      <w:r>
        <w:rPr>
          <w:rFonts w:hint="eastAsia"/>
          <w:color w:val="000000" w:themeColor="text1"/>
        </w:rPr>
        <w:t>支付的其他与经营活动有关的现金</w:t>
      </w:r>
    </w:p>
    <w:sdt>
      <w:sdtPr>
        <w:rPr>
          <w:color w:val="000000" w:themeColor="text1"/>
        </w:rPr>
        <w:alias w:val="是否适用：支付的其他与经营活动有关的现金[双击切换]"/>
        <w:tag w:val="_GBC_73331002c48743d9a4438c6eb4a07c95"/>
        <w:id w:val="50155311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支付的其他与经营活动有关的现金"/>
          <w:tag w:val="_GBC_8252d4ac9be64f04b08b1dc08e270310"/>
          <w:id w:val="-14977278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支付的其他与经营活动有关的现金"/>
          <w:tag w:val="_GBC_37de812db19b41c8a01d10d8b0365268"/>
          <w:id w:val="-20987789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737"/>
        <w:gridCol w:w="2765"/>
      </w:tblGrid>
      <w:tr w:rsidR="00597370">
        <w:sdt>
          <w:sdtPr>
            <w:rPr>
              <w:color w:val="000000" w:themeColor="text1"/>
            </w:rPr>
            <w:tag w:val="_PLD_164da6d2b96e42688b06fe557d996ac2"/>
            <w:id w:val="-868298964"/>
          </w:sdtPr>
          <w:sdtEndPr/>
          <w:sdtContent>
            <w:tc>
              <w:tcPr>
                <w:tcW w:w="1882" w:type="pct"/>
              </w:tcPr>
              <w:p w:rsidR="00597370" w:rsidRDefault="003C2EEE">
                <w:pPr>
                  <w:autoSpaceDE w:val="0"/>
                  <w:autoSpaceDN w:val="0"/>
                  <w:adjustRightInd w:val="0"/>
                  <w:snapToGrid w:val="0"/>
                  <w:jc w:val="center"/>
                  <w:rPr>
                    <w:color w:val="000000" w:themeColor="text1"/>
                  </w:rPr>
                </w:pPr>
                <w:r>
                  <w:rPr>
                    <w:rFonts w:hint="eastAsia"/>
                    <w:color w:val="000000" w:themeColor="text1"/>
                  </w:rPr>
                  <w:t>项目</w:t>
                </w:r>
              </w:p>
            </w:tc>
          </w:sdtContent>
        </w:sdt>
        <w:sdt>
          <w:sdtPr>
            <w:rPr>
              <w:color w:val="000000" w:themeColor="text1"/>
            </w:rPr>
            <w:tag w:val="_PLD_69d21b5f023448adbd8c69a7e96e585d"/>
            <w:id w:val="900786544"/>
          </w:sdtPr>
          <w:sdtEndPr/>
          <w:sdtContent>
            <w:tc>
              <w:tcPr>
                <w:tcW w:w="1551" w:type="pct"/>
              </w:tcPr>
              <w:p w:rsidR="00597370" w:rsidRDefault="003C2EEE">
                <w:pPr>
                  <w:autoSpaceDE w:val="0"/>
                  <w:autoSpaceDN w:val="0"/>
                  <w:adjustRightInd w:val="0"/>
                  <w:snapToGrid w:val="0"/>
                  <w:jc w:val="center"/>
                  <w:rPr>
                    <w:color w:val="000000" w:themeColor="text1"/>
                  </w:rPr>
                </w:pPr>
                <w:r>
                  <w:rPr>
                    <w:rFonts w:hint="eastAsia"/>
                    <w:color w:val="000000" w:themeColor="text1"/>
                  </w:rPr>
                  <w:t>本期发生额</w:t>
                </w:r>
              </w:p>
            </w:tc>
          </w:sdtContent>
        </w:sdt>
        <w:sdt>
          <w:sdtPr>
            <w:rPr>
              <w:color w:val="000000" w:themeColor="text1"/>
            </w:rPr>
            <w:tag w:val="_PLD_fccf4811cdbb443297a0ce875715525f"/>
            <w:id w:val="-649293701"/>
          </w:sdtPr>
          <w:sdtEndPr/>
          <w:sdtContent>
            <w:tc>
              <w:tcPr>
                <w:tcW w:w="1567" w:type="pct"/>
              </w:tcPr>
              <w:p w:rsidR="00597370" w:rsidRDefault="003C2EEE">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597370">
        <w:tc>
          <w:tcPr>
            <w:tcW w:w="1882" w:type="pct"/>
          </w:tcPr>
          <w:p w:rsidR="00597370" w:rsidRDefault="003C2EEE">
            <w:pPr>
              <w:autoSpaceDE w:val="0"/>
              <w:autoSpaceDN w:val="0"/>
              <w:adjustRightInd w:val="0"/>
              <w:snapToGrid w:val="0"/>
            </w:pPr>
            <w:r>
              <w:lastRenderedPageBreak/>
              <w:t>费用类支出</w:t>
            </w:r>
          </w:p>
        </w:tc>
        <w:tc>
          <w:tcPr>
            <w:tcW w:w="1551" w:type="pct"/>
            <w:vAlign w:val="center"/>
          </w:tcPr>
          <w:p w:rsidR="00597370" w:rsidRDefault="003C2EEE">
            <w:pPr>
              <w:jc w:val="right"/>
            </w:pPr>
            <w:r>
              <w:t>72,293,005.26</w:t>
            </w:r>
          </w:p>
        </w:tc>
        <w:tc>
          <w:tcPr>
            <w:tcW w:w="1567" w:type="pct"/>
            <w:vAlign w:val="center"/>
          </w:tcPr>
          <w:p w:rsidR="00597370" w:rsidRDefault="003C2EEE">
            <w:pPr>
              <w:jc w:val="right"/>
            </w:pPr>
            <w:r>
              <w:t>41,929,558.96</w:t>
            </w:r>
          </w:p>
        </w:tc>
      </w:tr>
      <w:tr w:rsidR="00597370">
        <w:tc>
          <w:tcPr>
            <w:tcW w:w="1882" w:type="pct"/>
          </w:tcPr>
          <w:p w:rsidR="00597370" w:rsidRDefault="003C2EEE">
            <w:pPr>
              <w:autoSpaceDE w:val="0"/>
              <w:autoSpaceDN w:val="0"/>
              <w:adjustRightInd w:val="0"/>
              <w:snapToGrid w:val="0"/>
            </w:pPr>
            <w:r>
              <w:t>银行手续费</w:t>
            </w:r>
          </w:p>
        </w:tc>
        <w:tc>
          <w:tcPr>
            <w:tcW w:w="1551" w:type="pct"/>
            <w:vAlign w:val="center"/>
          </w:tcPr>
          <w:p w:rsidR="00597370" w:rsidRDefault="003C2EEE">
            <w:pPr>
              <w:jc w:val="right"/>
            </w:pPr>
            <w:r>
              <w:t>672,049.12</w:t>
            </w:r>
          </w:p>
        </w:tc>
        <w:tc>
          <w:tcPr>
            <w:tcW w:w="1567" w:type="pct"/>
            <w:vAlign w:val="center"/>
          </w:tcPr>
          <w:p w:rsidR="00597370" w:rsidRDefault="003C2EEE">
            <w:pPr>
              <w:jc w:val="right"/>
            </w:pPr>
            <w:r>
              <w:t>380,738.26</w:t>
            </w:r>
          </w:p>
        </w:tc>
      </w:tr>
      <w:tr w:rsidR="00597370">
        <w:tc>
          <w:tcPr>
            <w:tcW w:w="1882" w:type="pct"/>
          </w:tcPr>
          <w:p w:rsidR="00597370" w:rsidRDefault="003C2EEE">
            <w:pPr>
              <w:autoSpaceDE w:val="0"/>
              <w:autoSpaceDN w:val="0"/>
              <w:adjustRightInd w:val="0"/>
              <w:snapToGrid w:val="0"/>
            </w:pPr>
            <w:r>
              <w:t>其他及往来</w:t>
            </w:r>
          </w:p>
        </w:tc>
        <w:tc>
          <w:tcPr>
            <w:tcW w:w="1551" w:type="pct"/>
            <w:vAlign w:val="center"/>
          </w:tcPr>
          <w:p w:rsidR="00597370" w:rsidRDefault="003C2EEE">
            <w:pPr>
              <w:jc w:val="right"/>
            </w:pPr>
            <w:r>
              <w:t>67,363,169.24</w:t>
            </w:r>
          </w:p>
        </w:tc>
        <w:tc>
          <w:tcPr>
            <w:tcW w:w="1567" w:type="pct"/>
            <w:vAlign w:val="center"/>
          </w:tcPr>
          <w:p w:rsidR="00597370" w:rsidRDefault="003C2EEE">
            <w:pPr>
              <w:jc w:val="right"/>
            </w:pPr>
            <w:r>
              <w:t>34,528,612.14</w:t>
            </w:r>
          </w:p>
        </w:tc>
      </w:tr>
      <w:tr w:rsidR="00597370">
        <w:tc>
          <w:tcPr>
            <w:tcW w:w="1882" w:type="pct"/>
          </w:tcPr>
          <w:p w:rsidR="00597370" w:rsidRDefault="003C2EEE">
            <w:pPr>
              <w:autoSpaceDE w:val="0"/>
              <w:autoSpaceDN w:val="0"/>
              <w:adjustRightInd w:val="0"/>
              <w:snapToGrid w:val="0"/>
            </w:pPr>
            <w:r>
              <w:rPr>
                <w:rFonts w:hint="eastAsia"/>
              </w:rPr>
              <w:t>合计</w:t>
            </w:r>
          </w:p>
        </w:tc>
        <w:tc>
          <w:tcPr>
            <w:tcW w:w="1551" w:type="pct"/>
            <w:vAlign w:val="center"/>
          </w:tcPr>
          <w:p w:rsidR="00597370" w:rsidRDefault="003C2EEE">
            <w:pPr>
              <w:jc w:val="right"/>
            </w:pPr>
            <w:r>
              <w:t>140,328,223.62</w:t>
            </w:r>
          </w:p>
        </w:tc>
        <w:tc>
          <w:tcPr>
            <w:tcW w:w="1567" w:type="pct"/>
            <w:vAlign w:val="center"/>
          </w:tcPr>
          <w:p w:rsidR="00597370" w:rsidRDefault="003C2EEE">
            <w:pPr>
              <w:jc w:val="right"/>
            </w:pPr>
            <w:r>
              <w:t>76,838,909.36</w:t>
            </w:r>
          </w:p>
        </w:tc>
      </w:tr>
    </w:tbl>
    <w:p w:rsidR="00597370" w:rsidRDefault="00597370">
      <w:pPr>
        <w:pStyle w:val="Style106"/>
      </w:pPr>
    </w:p>
    <w:p w:rsidR="00597370" w:rsidRDefault="003C2EEE">
      <w:pPr>
        <w:spacing w:before="60" w:after="60"/>
        <w:rPr>
          <w:color w:val="000000" w:themeColor="text1"/>
        </w:rPr>
      </w:pPr>
      <w:r>
        <w:rPr>
          <w:rFonts w:hint="eastAsia"/>
          <w:color w:val="000000" w:themeColor="text1"/>
        </w:rPr>
        <w:t>支付的其他与经营活动有关的现金说明：</w:t>
      </w:r>
    </w:p>
    <w:sdt>
      <w:sdtPr>
        <w:rPr>
          <w:rFonts w:hint="eastAsia"/>
          <w:color w:val="000000" w:themeColor="text1"/>
        </w:rPr>
        <w:alias w:val="支付的其他与经营活动有关的现金说明"/>
        <w:tag w:val="_GBC_632dc3caefd547b5b57f9340a021af22"/>
        <w:id w:val="309060204"/>
        <w:placeholder>
          <w:docPart w:val="GBC22222222222222222222222222222"/>
        </w:placeholder>
      </w:sdtPr>
      <w:sdtEndPr/>
      <w:sdtContent>
        <w:p w:rsidR="00597370" w:rsidRDefault="003C2EEE">
          <w:pPr>
            <w:ind w:right="5"/>
            <w:rPr>
              <w:color w:val="000000" w:themeColor="text1"/>
            </w:rPr>
          </w:pPr>
          <w:r>
            <w:rPr>
              <w:rFonts w:hint="eastAsia"/>
              <w:color w:val="000000" w:themeColor="text1"/>
            </w:rPr>
            <w:t>无</w:t>
          </w:r>
        </w:p>
      </w:sdtContent>
    </w:sdt>
    <w:p w:rsidR="00597370" w:rsidRDefault="003C2EEE">
      <w:pPr>
        <w:pStyle w:val="Style110"/>
        <w:numPr>
          <w:ilvl w:val="0"/>
          <w:numId w:val="86"/>
        </w:numPr>
        <w:rPr>
          <w:color w:val="000000" w:themeColor="text1"/>
        </w:rPr>
      </w:pPr>
      <w:bookmarkStart w:id="361" w:name="_Hlk167970426"/>
      <w:r>
        <w:rPr>
          <w:rFonts w:hint="eastAsia"/>
          <w:color w:val="000000" w:themeColor="text1"/>
        </w:rPr>
        <w:t>与投资活动有关的现金</w:t>
      </w:r>
    </w:p>
    <w:p w:rsidR="00597370" w:rsidRDefault="003C2EEE">
      <w:pPr>
        <w:rPr>
          <w:color w:val="000000" w:themeColor="text1"/>
        </w:rPr>
      </w:pPr>
      <w:r>
        <w:rPr>
          <w:rFonts w:hint="eastAsia"/>
          <w:color w:val="000000" w:themeColor="text1"/>
        </w:rPr>
        <w:t>收到的重要的投资活动有关的现金</w:t>
      </w:r>
    </w:p>
    <w:sdt>
      <w:sdtPr>
        <w:rPr>
          <w:color w:val="000000" w:themeColor="text1"/>
        </w:rPr>
        <w:alias w:val="是否适用：收到的重要的投资活动有关的现金[双击切换]"/>
        <w:tag w:val="_GBC_f56d2779677b47b3ba2b7e5e0b1d3d89"/>
        <w:id w:val="-1077357669"/>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支付的重要的投资活动有关的现金</w:t>
      </w:r>
    </w:p>
    <w:sdt>
      <w:sdtPr>
        <w:rPr>
          <w:color w:val="000000" w:themeColor="text1"/>
        </w:rPr>
        <w:alias w:val="是否适用：支付的重要的投资活动有关的现金[双击切换]"/>
        <w:tag w:val="_GBC_e489b143c5a245a9bd1fb9c8c46d7528"/>
        <w:id w:val="122487368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61"/>
    <w:p w:rsidR="00597370" w:rsidRDefault="003C2EEE">
      <w:pPr>
        <w:jc w:val="right"/>
        <w:rPr>
          <w:color w:val="000000" w:themeColor="text1"/>
        </w:rPr>
      </w:pPr>
      <w:r>
        <w:rPr>
          <w:rFonts w:hint="eastAsia"/>
          <w:color w:val="000000" w:themeColor="text1"/>
        </w:rPr>
        <w:t xml:space="preserve">  单位：</w:t>
      </w:r>
      <w:sdt>
        <w:sdtPr>
          <w:rPr>
            <w:rFonts w:hint="eastAsia"/>
            <w:color w:val="000000" w:themeColor="text1"/>
          </w:rPr>
          <w:alias w:val="单位：支付的重要的投资活动有关的现金"/>
          <w:tag w:val="_GBC_dd865b1779ff4e65a600058244346633"/>
          <w:id w:val="1389302639"/>
          <w:placeholder>
            <w:docPart w:val="55282F1A612A497FB6C1CE4349397646"/>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支付的重要的投资活动有关的现金"/>
          <w:tag w:val="_GBC_b2be4d7fd00f4a1d873d8c3b35ece58d"/>
          <w:id w:val="-915163864"/>
          <w:placeholder>
            <w:docPart w:val="55282F1A612A497FB6C1CE4349397646"/>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color w:val="000000" w:themeColor="text1"/>
            </w:rPr>
            <w:t>人民币</w:t>
          </w:r>
        </w:sdtContent>
      </w:sdt>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321"/>
        <w:gridCol w:w="2756"/>
        <w:gridCol w:w="2746"/>
      </w:tblGrid>
      <w:tr w:rsidR="00597370">
        <w:sdt>
          <w:sdtPr>
            <w:rPr>
              <w:rFonts w:hint="eastAsia"/>
              <w:color w:val="000000" w:themeColor="text1"/>
            </w:rPr>
            <w:tag w:val="_PLD_6fd2a5f2ac0244d08f803c4693ced7de"/>
            <w:id w:val="643244171"/>
          </w:sdtPr>
          <w:sdtEndPr/>
          <w:sdtContent>
            <w:tc>
              <w:tcPr>
                <w:tcW w:w="1882" w:type="pct"/>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rPr>
              <w:rFonts w:hint="eastAsia"/>
              <w:color w:val="000000" w:themeColor="text1"/>
            </w:rPr>
            <w:tag w:val="_PLD_3f2d6bba65494492af2cde1da634a814"/>
            <w:id w:val="-1308850764"/>
          </w:sdtPr>
          <w:sdtEndPr/>
          <w:sdtContent>
            <w:tc>
              <w:tcPr>
                <w:tcW w:w="1562" w:type="pct"/>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本期发生额</w:t>
                </w:r>
              </w:p>
            </w:tc>
          </w:sdtContent>
        </w:sdt>
        <w:sdt>
          <w:sdtPr>
            <w:rPr>
              <w:rFonts w:hint="eastAsia"/>
              <w:color w:val="000000" w:themeColor="text1"/>
            </w:rPr>
            <w:tag w:val="_PLD_4535b64933e04581a81ff0c2f6d60aee"/>
            <w:id w:val="-1314410488"/>
          </w:sdtPr>
          <w:sdtEndPr/>
          <w:sdtContent>
            <w:tc>
              <w:tcPr>
                <w:tcW w:w="1556" w:type="pct"/>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上期发生额</w:t>
                </w:r>
              </w:p>
            </w:tc>
          </w:sdtContent>
        </w:sdt>
      </w:tr>
      <w:tr w:rsidR="00597370">
        <w:tc>
          <w:tcPr>
            <w:tcW w:w="1882" w:type="pct"/>
          </w:tcPr>
          <w:p w:rsidR="00597370" w:rsidRDefault="003C2EEE">
            <w:pPr>
              <w:autoSpaceDE w:val="0"/>
              <w:autoSpaceDN w:val="0"/>
              <w:adjustRightInd w:val="0"/>
              <w:snapToGrid w:val="0"/>
              <w:spacing w:line="240" w:lineRule="atLeast"/>
            </w:pPr>
            <w:r>
              <w:rPr>
                <w:rFonts w:hint="eastAsia"/>
              </w:rPr>
              <w:t>取得子公司及其他营业单位支付的现金净额</w:t>
            </w:r>
          </w:p>
        </w:tc>
        <w:tc>
          <w:tcPr>
            <w:tcW w:w="1562" w:type="pct"/>
            <w:vAlign w:val="center"/>
          </w:tcPr>
          <w:p w:rsidR="00597370" w:rsidRDefault="003C2EEE">
            <w:pPr>
              <w:jc w:val="right"/>
            </w:pPr>
            <w:r>
              <w:t>430,947,890.50</w:t>
            </w:r>
          </w:p>
        </w:tc>
        <w:tc>
          <w:tcPr>
            <w:tcW w:w="1556" w:type="pct"/>
            <w:vAlign w:val="center"/>
          </w:tcPr>
          <w:p w:rsidR="00597370" w:rsidRDefault="00597370">
            <w:pPr>
              <w:jc w:val="right"/>
            </w:pPr>
          </w:p>
        </w:tc>
      </w:tr>
      <w:tr w:rsidR="00597370">
        <w:tc>
          <w:tcPr>
            <w:tcW w:w="1882" w:type="pct"/>
          </w:tcPr>
          <w:p w:rsidR="00597370" w:rsidRDefault="003C2EEE">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562" w:type="pct"/>
            <w:vAlign w:val="center"/>
          </w:tcPr>
          <w:p w:rsidR="00597370" w:rsidRDefault="003C2EEE">
            <w:pPr>
              <w:jc w:val="right"/>
            </w:pPr>
            <w:r>
              <w:t>430,947,890.50</w:t>
            </w:r>
          </w:p>
        </w:tc>
        <w:tc>
          <w:tcPr>
            <w:tcW w:w="1556" w:type="pct"/>
            <w:vAlign w:val="center"/>
          </w:tcPr>
          <w:p w:rsidR="00597370" w:rsidRDefault="00597370">
            <w:pPr>
              <w:jc w:val="right"/>
            </w:pPr>
          </w:p>
        </w:tc>
      </w:tr>
    </w:tbl>
    <w:p w:rsidR="00597370" w:rsidRDefault="003C2EEE">
      <w:pPr>
        <w:rPr>
          <w:color w:val="000000" w:themeColor="text1"/>
        </w:rPr>
      </w:pPr>
      <w:r>
        <w:rPr>
          <w:rFonts w:hint="eastAsia"/>
          <w:color w:val="000000" w:themeColor="text1"/>
        </w:rPr>
        <w:t>支付的重要的投资活动有关的现金说明</w:t>
      </w:r>
    </w:p>
    <w:sdt>
      <w:sdtPr>
        <w:rPr>
          <w:color w:val="000000" w:themeColor="text1"/>
        </w:rPr>
        <w:alias w:val="支付的重要的投资活动有关的现金的说明"/>
        <w:tag w:val="_GBC_0d5eb9a515964348b1a6a780e6c2e850"/>
        <w:id w:val="-2091689980"/>
        <w:placeholder>
          <w:docPart w:val="55282F1A612A497FB6C1CE4349397646"/>
        </w:placeholder>
      </w:sdtPr>
      <w:sdtEndPr/>
      <w:sdtContent>
        <w:p w:rsidR="00597370" w:rsidRDefault="003C2EEE">
          <w:pPr>
            <w:rPr>
              <w:color w:val="000000" w:themeColor="text1"/>
            </w:rPr>
          </w:pPr>
          <w:r>
            <w:rPr>
              <w:rFonts w:hint="eastAsia"/>
              <w:color w:val="000000" w:themeColor="text1"/>
            </w:rPr>
            <w:t>收购云南变压器电气股份有限公司</w:t>
          </w:r>
          <w:r>
            <w:rPr>
              <w:color w:val="000000" w:themeColor="text1"/>
            </w:rPr>
            <w:t>79.97%股权支付的现金。</w:t>
          </w:r>
        </w:p>
      </w:sdtContent>
    </w:sdt>
    <w:p w:rsidR="00597370" w:rsidRDefault="003C2EEE">
      <w:pPr>
        <w:rPr>
          <w:color w:val="000000" w:themeColor="text1"/>
        </w:rPr>
      </w:pPr>
      <w:r>
        <w:rPr>
          <w:rFonts w:hint="eastAsia"/>
          <w:color w:val="000000" w:themeColor="text1"/>
        </w:rPr>
        <w:t>收到的其他与投资活动有关的现金</w:t>
      </w:r>
    </w:p>
    <w:sdt>
      <w:sdtPr>
        <w:rPr>
          <w:color w:val="000000" w:themeColor="text1"/>
        </w:rPr>
        <w:alias w:val="是否适用：收到的其他与投资活动有关的现金[双击切换]"/>
        <w:tag w:val="_GBC_ae3b1cf9e3aa408a8867e76d71769712"/>
        <w:id w:val="-26206706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支付的其他与投资活动有关的现金</w:t>
      </w:r>
    </w:p>
    <w:sdt>
      <w:sdtPr>
        <w:rPr>
          <w:color w:val="000000" w:themeColor="text1"/>
        </w:rPr>
        <w:alias w:val="是否适用：支付的其他与投资活动有关的现金[双击切换]"/>
        <w:tag w:val="_GBC_8862c0a38548482cb3b55a82757e3e33"/>
        <w:id w:val="141019084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6"/>
        </w:numPr>
        <w:rPr>
          <w:color w:val="000000" w:themeColor="text1"/>
        </w:rPr>
      </w:pPr>
      <w:r>
        <w:rPr>
          <w:rFonts w:hint="eastAsia"/>
          <w:color w:val="000000" w:themeColor="text1"/>
        </w:rPr>
        <w:t>与筹资活动有关的现金</w:t>
      </w:r>
    </w:p>
    <w:p w:rsidR="00597370" w:rsidRDefault="003C2EEE">
      <w:pPr>
        <w:rPr>
          <w:color w:val="000000" w:themeColor="text1"/>
        </w:rPr>
      </w:pPr>
      <w:r>
        <w:rPr>
          <w:rFonts w:hint="eastAsia"/>
          <w:color w:val="000000" w:themeColor="text1"/>
        </w:rPr>
        <w:t>收到的其他与筹资活动有关的现金</w:t>
      </w:r>
    </w:p>
    <w:sdt>
      <w:sdtPr>
        <w:rPr>
          <w:color w:val="000000" w:themeColor="text1"/>
        </w:rPr>
        <w:alias w:val="是否适用：收到的其他与筹资活动有关的现金[双击切换]"/>
        <w:tag w:val="_GBC_6e82da4b55134cf6aacd6132e71f2c27"/>
        <w:id w:val="-106663962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筹资活动有关的现金"/>
          <w:tag w:val="_GBC_54c629439974499c9df52a114b0272b9"/>
          <w:id w:val="16504037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收到的其他与筹资活动有关的现金"/>
          <w:tag w:val="_GBC_0d3b28d58a83411db264b55c970f7fc6"/>
          <w:id w:val="-16422601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841"/>
        <w:gridCol w:w="2661"/>
      </w:tblGrid>
      <w:tr w:rsidR="00597370">
        <w:sdt>
          <w:sdtPr>
            <w:rPr>
              <w:color w:val="000000" w:themeColor="text1"/>
            </w:rPr>
            <w:tag w:val="_PLD_45e71f75634d40e399bff943b12676a7"/>
            <w:id w:val="-1044137946"/>
          </w:sdtPr>
          <w:sdtEndPr/>
          <w:sdtContent>
            <w:tc>
              <w:tcPr>
                <w:tcW w:w="1882" w:type="pct"/>
              </w:tcPr>
              <w:p w:rsidR="00597370" w:rsidRDefault="003C2EEE">
                <w:pPr>
                  <w:autoSpaceDE w:val="0"/>
                  <w:autoSpaceDN w:val="0"/>
                  <w:adjustRightInd w:val="0"/>
                  <w:snapToGrid w:val="0"/>
                  <w:jc w:val="center"/>
                  <w:rPr>
                    <w:color w:val="000000" w:themeColor="text1"/>
                  </w:rPr>
                </w:pPr>
                <w:r>
                  <w:rPr>
                    <w:rFonts w:hint="eastAsia"/>
                    <w:color w:val="000000" w:themeColor="text1"/>
                  </w:rPr>
                  <w:t>项目</w:t>
                </w:r>
              </w:p>
            </w:tc>
          </w:sdtContent>
        </w:sdt>
        <w:sdt>
          <w:sdtPr>
            <w:rPr>
              <w:color w:val="000000" w:themeColor="text1"/>
            </w:rPr>
            <w:tag w:val="_PLD_f7b1d7d1151a486eb8533f96d22cda73"/>
            <w:id w:val="-394671929"/>
          </w:sdtPr>
          <w:sdtEndPr/>
          <w:sdtContent>
            <w:tc>
              <w:tcPr>
                <w:tcW w:w="1610" w:type="pct"/>
              </w:tcPr>
              <w:p w:rsidR="00597370" w:rsidRDefault="003C2EEE">
                <w:pPr>
                  <w:autoSpaceDE w:val="0"/>
                  <w:autoSpaceDN w:val="0"/>
                  <w:adjustRightInd w:val="0"/>
                  <w:snapToGrid w:val="0"/>
                  <w:jc w:val="center"/>
                  <w:rPr>
                    <w:color w:val="000000" w:themeColor="text1"/>
                  </w:rPr>
                </w:pPr>
                <w:r>
                  <w:rPr>
                    <w:rFonts w:hint="eastAsia"/>
                    <w:color w:val="000000" w:themeColor="text1"/>
                  </w:rPr>
                  <w:t>本期发生额</w:t>
                </w:r>
              </w:p>
            </w:tc>
          </w:sdtContent>
        </w:sdt>
        <w:sdt>
          <w:sdtPr>
            <w:rPr>
              <w:color w:val="000000" w:themeColor="text1"/>
            </w:rPr>
            <w:tag w:val="_PLD_fcd73629839441d485ad661b0568d6af"/>
            <w:id w:val="-735550836"/>
          </w:sdtPr>
          <w:sdtEndPr/>
          <w:sdtContent>
            <w:tc>
              <w:tcPr>
                <w:tcW w:w="1508" w:type="pct"/>
              </w:tcPr>
              <w:p w:rsidR="00597370" w:rsidRDefault="003C2EEE">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597370">
        <w:trPr>
          <w:trHeight w:val="186"/>
        </w:trPr>
        <w:tc>
          <w:tcPr>
            <w:tcW w:w="1882" w:type="pct"/>
          </w:tcPr>
          <w:p w:rsidR="00597370" w:rsidRDefault="003C2EEE">
            <w:pPr>
              <w:autoSpaceDE w:val="0"/>
              <w:autoSpaceDN w:val="0"/>
              <w:adjustRightInd w:val="0"/>
              <w:snapToGrid w:val="0"/>
            </w:pPr>
            <w:r>
              <w:t>票据贴现</w:t>
            </w:r>
          </w:p>
        </w:tc>
        <w:tc>
          <w:tcPr>
            <w:tcW w:w="1610" w:type="pct"/>
            <w:vAlign w:val="center"/>
          </w:tcPr>
          <w:p w:rsidR="00597370" w:rsidRDefault="003C2EEE">
            <w:pPr>
              <w:jc w:val="right"/>
            </w:pPr>
            <w:r>
              <w:t>10,419,177.32</w:t>
            </w:r>
          </w:p>
        </w:tc>
        <w:tc>
          <w:tcPr>
            <w:tcW w:w="1508" w:type="pct"/>
          </w:tcPr>
          <w:p w:rsidR="00597370" w:rsidRDefault="003C2EEE">
            <w:pPr>
              <w:jc w:val="right"/>
            </w:pPr>
            <w:r>
              <w:t>11,679,151.12</w:t>
            </w:r>
          </w:p>
        </w:tc>
      </w:tr>
      <w:tr w:rsidR="00597370">
        <w:tc>
          <w:tcPr>
            <w:tcW w:w="1882" w:type="pct"/>
          </w:tcPr>
          <w:p w:rsidR="00597370" w:rsidRDefault="003C2EEE">
            <w:pPr>
              <w:autoSpaceDE w:val="0"/>
              <w:autoSpaceDN w:val="0"/>
              <w:adjustRightInd w:val="0"/>
              <w:snapToGrid w:val="0"/>
            </w:pPr>
            <w:r>
              <w:rPr>
                <w:rFonts w:hint="eastAsia"/>
              </w:rPr>
              <w:t>收到员工</w:t>
            </w:r>
            <w:proofErr w:type="gramStart"/>
            <w:r>
              <w:rPr>
                <w:rFonts w:hint="eastAsia"/>
              </w:rPr>
              <w:t>认股款</w:t>
            </w:r>
            <w:proofErr w:type="gramEnd"/>
          </w:p>
        </w:tc>
        <w:tc>
          <w:tcPr>
            <w:tcW w:w="1610" w:type="pct"/>
            <w:vAlign w:val="center"/>
          </w:tcPr>
          <w:p w:rsidR="00597370" w:rsidRDefault="003C2EEE">
            <w:pPr>
              <w:jc w:val="right"/>
            </w:pPr>
            <w:r>
              <w:t>20,629,500.00</w:t>
            </w:r>
          </w:p>
        </w:tc>
        <w:tc>
          <w:tcPr>
            <w:tcW w:w="1508" w:type="pct"/>
          </w:tcPr>
          <w:p w:rsidR="00597370" w:rsidRDefault="00597370">
            <w:pPr>
              <w:jc w:val="right"/>
            </w:pPr>
          </w:p>
        </w:tc>
      </w:tr>
      <w:tr w:rsidR="00597370">
        <w:tc>
          <w:tcPr>
            <w:tcW w:w="1882" w:type="pct"/>
          </w:tcPr>
          <w:p w:rsidR="00597370" w:rsidRDefault="003C2EEE">
            <w:pPr>
              <w:autoSpaceDE w:val="0"/>
              <w:autoSpaceDN w:val="0"/>
              <w:adjustRightInd w:val="0"/>
              <w:snapToGrid w:val="0"/>
            </w:pPr>
            <w:r>
              <w:rPr>
                <w:rFonts w:hint="eastAsia"/>
              </w:rPr>
              <w:t>合计</w:t>
            </w:r>
          </w:p>
        </w:tc>
        <w:tc>
          <w:tcPr>
            <w:tcW w:w="1610" w:type="pct"/>
            <w:vAlign w:val="center"/>
          </w:tcPr>
          <w:p w:rsidR="00597370" w:rsidRDefault="003C2EEE">
            <w:pPr>
              <w:jc w:val="right"/>
            </w:pPr>
            <w:r>
              <w:t>31,048,677.32</w:t>
            </w:r>
          </w:p>
        </w:tc>
        <w:tc>
          <w:tcPr>
            <w:tcW w:w="1508" w:type="pct"/>
          </w:tcPr>
          <w:p w:rsidR="00597370" w:rsidRDefault="003C2EEE">
            <w:pPr>
              <w:jc w:val="right"/>
            </w:pPr>
            <w:r>
              <w:t>11,679,151.12</w:t>
            </w:r>
          </w:p>
        </w:tc>
      </w:tr>
    </w:tbl>
    <w:p w:rsidR="00597370" w:rsidRDefault="00597370">
      <w:pPr>
        <w:pStyle w:val="Style106"/>
      </w:pPr>
    </w:p>
    <w:p w:rsidR="00597370" w:rsidRDefault="003C2EEE">
      <w:pPr>
        <w:spacing w:before="60" w:after="60"/>
        <w:rPr>
          <w:color w:val="000000" w:themeColor="text1"/>
        </w:rPr>
      </w:pPr>
      <w:r>
        <w:rPr>
          <w:rFonts w:hint="eastAsia"/>
          <w:color w:val="000000" w:themeColor="text1"/>
        </w:rPr>
        <w:t>收到的其他与筹资活动有关的现金说明：</w:t>
      </w:r>
    </w:p>
    <w:sdt>
      <w:sdtPr>
        <w:rPr>
          <w:rFonts w:hint="eastAsia"/>
          <w:color w:val="000000" w:themeColor="text1"/>
        </w:rPr>
        <w:alias w:val="收到的其他与筹资活动有关的现金说明"/>
        <w:tag w:val="_GBC_cf160106b6d34224a1fbd183426812af"/>
        <w:id w:val="-341015350"/>
        <w:placeholder>
          <w:docPart w:val="GBC22222222222222222222222222222"/>
        </w:placeholder>
      </w:sdtPr>
      <w:sdtEndPr>
        <w:rPr>
          <w:szCs w:val="22"/>
        </w:rPr>
      </w:sdtEndPr>
      <w:sdtContent>
        <w:p w:rsidR="00597370" w:rsidRDefault="003C2EEE">
          <w:pPr>
            <w:rPr>
              <w:color w:val="000000" w:themeColor="text1"/>
            </w:rPr>
          </w:pPr>
          <w:r>
            <w:rPr>
              <w:rFonts w:hint="eastAsia"/>
              <w:color w:val="000000" w:themeColor="text1"/>
            </w:rPr>
            <w:t>无</w:t>
          </w:r>
        </w:p>
      </w:sdtContent>
    </w:sdt>
    <w:p w:rsidR="00597370" w:rsidRDefault="003C2EEE">
      <w:pPr>
        <w:rPr>
          <w:color w:val="000000" w:themeColor="text1"/>
        </w:rPr>
      </w:pPr>
      <w:r>
        <w:rPr>
          <w:rFonts w:hint="eastAsia"/>
          <w:color w:val="000000" w:themeColor="text1"/>
        </w:rPr>
        <w:t>支付的其他与筹资活动有关的现金</w:t>
      </w:r>
    </w:p>
    <w:sdt>
      <w:sdtPr>
        <w:rPr>
          <w:color w:val="000000" w:themeColor="text1"/>
        </w:rPr>
        <w:alias w:val="是否适用：支付的其他与筹资活动有关的现金[双击切换]"/>
        <w:tag w:val="_GBC_cf7fd4869f8d4d98a07243e22bf22793"/>
        <w:id w:val="-153187572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支付的其他与筹资活动有关的现金"/>
          <w:tag w:val="_GBC_323ca3d874214911880818d387e0c63b"/>
          <w:id w:val="18018049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支付的其他与筹资活动有关的现金"/>
          <w:tag w:val="_GBC_d6726952256941209f32bac8fffa568d"/>
          <w:id w:val="-14651874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841"/>
        <w:gridCol w:w="2661"/>
      </w:tblGrid>
      <w:tr w:rsidR="00597370">
        <w:sdt>
          <w:sdtPr>
            <w:rPr>
              <w:color w:val="000000" w:themeColor="text1"/>
            </w:rPr>
            <w:tag w:val="_PLD_2b9da6111f3f4cacb3afcfc0de00e1e9"/>
            <w:id w:val="316696032"/>
          </w:sdtPr>
          <w:sdtEndPr/>
          <w:sdtContent>
            <w:tc>
              <w:tcPr>
                <w:tcW w:w="1882" w:type="pct"/>
              </w:tcPr>
              <w:p w:rsidR="00597370" w:rsidRDefault="003C2EEE">
                <w:pPr>
                  <w:autoSpaceDE w:val="0"/>
                  <w:autoSpaceDN w:val="0"/>
                  <w:adjustRightInd w:val="0"/>
                  <w:snapToGrid w:val="0"/>
                  <w:jc w:val="center"/>
                  <w:rPr>
                    <w:color w:val="000000" w:themeColor="text1"/>
                  </w:rPr>
                </w:pPr>
                <w:r>
                  <w:rPr>
                    <w:rFonts w:hint="eastAsia"/>
                    <w:color w:val="000000" w:themeColor="text1"/>
                  </w:rPr>
                  <w:t>项目</w:t>
                </w:r>
              </w:p>
            </w:tc>
          </w:sdtContent>
        </w:sdt>
        <w:sdt>
          <w:sdtPr>
            <w:rPr>
              <w:color w:val="000000" w:themeColor="text1"/>
            </w:rPr>
            <w:tag w:val="_PLD_b6791a7f5c234d80be8964d8fb7b3ce6"/>
            <w:id w:val="-1905977860"/>
          </w:sdtPr>
          <w:sdtEndPr/>
          <w:sdtContent>
            <w:tc>
              <w:tcPr>
                <w:tcW w:w="1610" w:type="pct"/>
              </w:tcPr>
              <w:p w:rsidR="00597370" w:rsidRDefault="003C2EEE">
                <w:pPr>
                  <w:autoSpaceDE w:val="0"/>
                  <w:autoSpaceDN w:val="0"/>
                  <w:adjustRightInd w:val="0"/>
                  <w:snapToGrid w:val="0"/>
                  <w:jc w:val="center"/>
                  <w:rPr>
                    <w:color w:val="000000" w:themeColor="text1"/>
                  </w:rPr>
                </w:pPr>
                <w:r>
                  <w:rPr>
                    <w:rFonts w:hint="eastAsia"/>
                    <w:color w:val="000000" w:themeColor="text1"/>
                  </w:rPr>
                  <w:t>本期发生额</w:t>
                </w:r>
              </w:p>
            </w:tc>
          </w:sdtContent>
        </w:sdt>
        <w:sdt>
          <w:sdtPr>
            <w:rPr>
              <w:color w:val="000000" w:themeColor="text1"/>
            </w:rPr>
            <w:tag w:val="_PLD_b4a33da4012d47bd8013a6c570bcad87"/>
            <w:id w:val="-1421026105"/>
          </w:sdtPr>
          <w:sdtEndPr/>
          <w:sdtContent>
            <w:tc>
              <w:tcPr>
                <w:tcW w:w="1508" w:type="pct"/>
              </w:tcPr>
              <w:p w:rsidR="00597370" w:rsidRDefault="003C2EEE">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597370">
        <w:tc>
          <w:tcPr>
            <w:tcW w:w="1882" w:type="pct"/>
            <w:vAlign w:val="bottom"/>
          </w:tcPr>
          <w:p w:rsidR="00597370" w:rsidRDefault="003C2EEE">
            <w:pPr>
              <w:autoSpaceDE w:val="0"/>
              <w:autoSpaceDN w:val="0"/>
              <w:adjustRightInd w:val="0"/>
              <w:snapToGrid w:val="0"/>
            </w:pPr>
            <w:r>
              <w:t xml:space="preserve">票据贴现手续费 </w:t>
            </w:r>
          </w:p>
        </w:tc>
        <w:tc>
          <w:tcPr>
            <w:tcW w:w="1610" w:type="pct"/>
            <w:vAlign w:val="center"/>
          </w:tcPr>
          <w:p w:rsidR="00597370" w:rsidRDefault="003C2EEE">
            <w:pPr>
              <w:jc w:val="right"/>
            </w:pPr>
            <w:r>
              <w:t>48,309.07</w:t>
            </w:r>
          </w:p>
        </w:tc>
        <w:tc>
          <w:tcPr>
            <w:tcW w:w="1508" w:type="pct"/>
            <w:vAlign w:val="center"/>
          </w:tcPr>
          <w:p w:rsidR="00597370" w:rsidRDefault="00597370">
            <w:pPr>
              <w:jc w:val="right"/>
            </w:pPr>
          </w:p>
        </w:tc>
      </w:tr>
      <w:tr w:rsidR="00597370">
        <w:tc>
          <w:tcPr>
            <w:tcW w:w="1882" w:type="pct"/>
            <w:vAlign w:val="bottom"/>
          </w:tcPr>
          <w:p w:rsidR="00597370" w:rsidRDefault="003C2EEE">
            <w:pPr>
              <w:autoSpaceDE w:val="0"/>
              <w:autoSpaceDN w:val="0"/>
              <w:adjustRightInd w:val="0"/>
              <w:snapToGrid w:val="0"/>
            </w:pPr>
            <w:r>
              <w:t xml:space="preserve">支付红利手续费 </w:t>
            </w:r>
          </w:p>
        </w:tc>
        <w:tc>
          <w:tcPr>
            <w:tcW w:w="1610" w:type="pct"/>
            <w:vAlign w:val="center"/>
          </w:tcPr>
          <w:p w:rsidR="00597370" w:rsidRDefault="003C2EEE">
            <w:pPr>
              <w:jc w:val="right"/>
            </w:pPr>
            <w:r>
              <w:t>26,722.61</w:t>
            </w:r>
          </w:p>
        </w:tc>
        <w:tc>
          <w:tcPr>
            <w:tcW w:w="1508" w:type="pct"/>
            <w:vAlign w:val="center"/>
          </w:tcPr>
          <w:p w:rsidR="00597370" w:rsidRDefault="003C2EEE">
            <w:pPr>
              <w:jc w:val="right"/>
            </w:pPr>
            <w:r>
              <w:t>26,208.46</w:t>
            </w:r>
          </w:p>
        </w:tc>
      </w:tr>
      <w:tr w:rsidR="00597370">
        <w:tc>
          <w:tcPr>
            <w:tcW w:w="1882" w:type="pct"/>
            <w:vAlign w:val="bottom"/>
          </w:tcPr>
          <w:p w:rsidR="00597370" w:rsidRDefault="003C2EEE">
            <w:pPr>
              <w:autoSpaceDE w:val="0"/>
              <w:autoSpaceDN w:val="0"/>
              <w:adjustRightInd w:val="0"/>
              <w:snapToGrid w:val="0"/>
            </w:pPr>
            <w:r>
              <w:rPr>
                <w:rFonts w:hint="eastAsia"/>
              </w:rPr>
              <w:t>支付使用权资产租金</w:t>
            </w:r>
          </w:p>
        </w:tc>
        <w:tc>
          <w:tcPr>
            <w:tcW w:w="1610" w:type="pct"/>
            <w:vAlign w:val="center"/>
          </w:tcPr>
          <w:p w:rsidR="00597370" w:rsidRDefault="003C2EEE">
            <w:pPr>
              <w:jc w:val="right"/>
            </w:pPr>
            <w:r>
              <w:t>2,652,904.18</w:t>
            </w:r>
          </w:p>
        </w:tc>
        <w:tc>
          <w:tcPr>
            <w:tcW w:w="1508" w:type="pct"/>
            <w:vAlign w:val="center"/>
          </w:tcPr>
          <w:p w:rsidR="00597370" w:rsidRDefault="003C2EEE">
            <w:pPr>
              <w:jc w:val="right"/>
            </w:pPr>
            <w:r>
              <w:t>1,320,000.00</w:t>
            </w:r>
          </w:p>
        </w:tc>
      </w:tr>
      <w:tr w:rsidR="00597370">
        <w:tc>
          <w:tcPr>
            <w:tcW w:w="1882" w:type="pct"/>
            <w:vAlign w:val="bottom"/>
          </w:tcPr>
          <w:p w:rsidR="00597370" w:rsidRDefault="003C2EEE">
            <w:pPr>
              <w:autoSpaceDE w:val="0"/>
              <w:autoSpaceDN w:val="0"/>
              <w:adjustRightInd w:val="0"/>
              <w:snapToGrid w:val="0"/>
            </w:pPr>
            <w:r>
              <w:rPr>
                <w:rFonts w:hint="eastAsia"/>
              </w:rPr>
              <w:t>合计</w:t>
            </w:r>
          </w:p>
        </w:tc>
        <w:tc>
          <w:tcPr>
            <w:tcW w:w="1610" w:type="pct"/>
            <w:vAlign w:val="center"/>
          </w:tcPr>
          <w:p w:rsidR="00597370" w:rsidRDefault="003C2EEE">
            <w:pPr>
              <w:jc w:val="right"/>
            </w:pPr>
            <w:r>
              <w:t>2,727,935.86</w:t>
            </w:r>
          </w:p>
        </w:tc>
        <w:tc>
          <w:tcPr>
            <w:tcW w:w="1508" w:type="pct"/>
            <w:vAlign w:val="center"/>
          </w:tcPr>
          <w:p w:rsidR="00597370" w:rsidRDefault="003C2EEE">
            <w:pPr>
              <w:jc w:val="right"/>
            </w:pPr>
            <w:r>
              <w:t>1,346,208.46</w:t>
            </w:r>
          </w:p>
        </w:tc>
      </w:tr>
    </w:tbl>
    <w:p w:rsidR="00597370" w:rsidRDefault="00597370">
      <w:pPr>
        <w:pStyle w:val="Style106"/>
      </w:pPr>
    </w:p>
    <w:p w:rsidR="00597370" w:rsidRDefault="003C2EEE">
      <w:pPr>
        <w:spacing w:before="60" w:after="60"/>
        <w:rPr>
          <w:color w:val="000000" w:themeColor="text1"/>
        </w:rPr>
      </w:pPr>
      <w:r>
        <w:rPr>
          <w:rFonts w:hint="eastAsia"/>
          <w:color w:val="000000" w:themeColor="text1"/>
        </w:rPr>
        <w:t>支付的其他与筹资活动有关的现金说明：</w:t>
      </w:r>
    </w:p>
    <w:sdt>
      <w:sdtPr>
        <w:rPr>
          <w:rFonts w:hint="eastAsia"/>
          <w:color w:val="000000" w:themeColor="text1"/>
        </w:rPr>
        <w:alias w:val="支付的其他与筹资活动有关的现金说明"/>
        <w:tag w:val="_GBC_7240a9be12a64ca5b011a2561db068a1"/>
        <w:id w:val="874201720"/>
        <w:placeholder>
          <w:docPart w:val="GBC22222222222222222222222222222"/>
        </w:placeholder>
      </w:sdtPr>
      <w:sdtEndPr/>
      <w:sdtContent>
        <w:p w:rsidR="00597370" w:rsidRDefault="003C2EEE">
          <w:pPr>
            <w:ind w:right="5"/>
            <w:rPr>
              <w:color w:val="000000" w:themeColor="text1"/>
            </w:rPr>
          </w:pPr>
          <w:r>
            <w:rPr>
              <w:rFonts w:hint="eastAsia"/>
              <w:color w:val="000000" w:themeColor="text1"/>
            </w:rPr>
            <w:t>无</w:t>
          </w:r>
        </w:p>
      </w:sdtContent>
    </w:sdt>
    <w:p w:rsidR="00597370" w:rsidRDefault="003C2EEE">
      <w:pPr>
        <w:ind w:right="5"/>
        <w:rPr>
          <w:color w:val="000000" w:themeColor="text1"/>
        </w:rPr>
      </w:pPr>
      <w:bookmarkStart w:id="362" w:name="_Hlk167970634"/>
      <w:r>
        <w:rPr>
          <w:rFonts w:hint="eastAsia"/>
          <w:color w:val="000000" w:themeColor="text1"/>
        </w:rPr>
        <w:t>筹资活动产生的各项负债变动情况</w:t>
      </w:r>
    </w:p>
    <w:sdt>
      <w:sdtPr>
        <w:rPr>
          <w:color w:val="000000" w:themeColor="text1"/>
        </w:rPr>
        <w:alias w:val="是否适用：筹资活动产生的各项负债变动情况[双击切换]"/>
        <w:tag w:val="_GBC_48125ca45f014b0db6560676c7f940e6"/>
        <w:id w:val="118818725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6"/>
        </w:numPr>
        <w:rPr>
          <w:color w:val="000000" w:themeColor="text1"/>
        </w:rPr>
      </w:pPr>
      <w:r>
        <w:rPr>
          <w:rFonts w:hint="eastAsia"/>
          <w:color w:val="000000" w:themeColor="text1"/>
        </w:rPr>
        <w:lastRenderedPageBreak/>
        <w:t>以净额列报现金流量的说明</w:t>
      </w:r>
    </w:p>
    <w:sdt>
      <w:sdtPr>
        <w:rPr>
          <w:color w:val="000000" w:themeColor="text1"/>
        </w:rPr>
        <w:alias w:val="是否适用：以净额列报现金流量的说明[双击切换]"/>
        <w:tag w:val="_GBC_7e5edd2dccad4675a4426511c2fa01e0"/>
        <w:id w:val="44381950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6"/>
        </w:numPr>
        <w:rPr>
          <w:color w:val="000000" w:themeColor="text1"/>
        </w:rPr>
      </w:pPr>
      <w:r>
        <w:rPr>
          <w:rFonts w:hint="eastAsia"/>
          <w:color w:val="000000" w:themeColor="text1"/>
        </w:rPr>
        <w:t>不涉及当期现金收支、但影响企业财务状况或在未来可能影响企业现金流量的重大活动及财务影响</w:t>
      </w:r>
    </w:p>
    <w:sdt>
      <w:sdtPr>
        <w:rPr>
          <w:color w:val="000000" w:themeColor="text1"/>
        </w:rPr>
        <w:alias w:val="是否适用：不涉及当期现金收支、但影响企业财务状况或在未来可能影响企业现金流量的重大活动及财务影响[双击切换]"/>
        <w:tag w:val="_GBC_07ea2264f8804cb2922afb33860595fb"/>
        <w:id w:val="-168967422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62"/>
    <w:p w:rsidR="00597370" w:rsidRDefault="003C2EEE">
      <w:pPr>
        <w:pStyle w:val="Style109"/>
        <w:numPr>
          <w:ilvl w:val="0"/>
          <w:numId w:val="46"/>
        </w:numPr>
        <w:tabs>
          <w:tab w:val="left" w:pos="504"/>
        </w:tabs>
        <w:rPr>
          <w:rFonts w:ascii="宋体" w:hAnsi="宋体"/>
          <w:color w:val="000000" w:themeColor="text1"/>
        </w:rPr>
      </w:pPr>
      <w:r>
        <w:rPr>
          <w:rFonts w:ascii="宋体" w:hAnsi="宋体" w:hint="eastAsia"/>
          <w:color w:val="000000" w:themeColor="text1"/>
        </w:rPr>
        <w:t>现金流量表</w:t>
      </w:r>
      <w:r>
        <w:rPr>
          <w:rFonts w:ascii="宋体" w:hAnsi="宋体" w:hint="eastAsia"/>
          <w:color w:val="000000" w:themeColor="text1"/>
          <w:szCs w:val="21"/>
        </w:rPr>
        <w:t>补充</w:t>
      </w:r>
      <w:r>
        <w:rPr>
          <w:rFonts w:ascii="宋体" w:hAnsi="宋体" w:hint="eastAsia"/>
          <w:color w:val="000000" w:themeColor="text1"/>
        </w:rPr>
        <w:t>资料</w:t>
      </w:r>
    </w:p>
    <w:p w:rsidR="00597370" w:rsidRDefault="003C2EEE">
      <w:pPr>
        <w:pStyle w:val="Style110"/>
        <w:numPr>
          <w:ilvl w:val="0"/>
          <w:numId w:val="87"/>
        </w:numPr>
        <w:rPr>
          <w:rFonts w:ascii="宋体" w:hAnsi="宋体"/>
          <w:color w:val="000000" w:themeColor="text1"/>
        </w:rPr>
      </w:pPr>
      <w:r>
        <w:rPr>
          <w:rFonts w:ascii="宋体" w:hAnsi="宋体" w:hint="eastAsia"/>
          <w:color w:val="000000" w:themeColor="text1"/>
        </w:rPr>
        <w:t>现金流量表补充资料</w:t>
      </w:r>
    </w:p>
    <w:sdt>
      <w:sdtPr>
        <w:rPr>
          <w:color w:val="000000" w:themeColor="text1"/>
        </w:rPr>
        <w:alias w:val="是否适用：现金流量表补充资料[双击切换]"/>
        <w:tag w:val="_GBC_3ee8e178479245ea907bff86e4dcd54a"/>
        <w:id w:val="102598440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现金流量表补充资料"/>
          <w:tag w:val="_GBC_ba7cd13a54fa44929e0fd4c276876d0e"/>
          <w:id w:val="-4493961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现金流量表补充资料"/>
          <w:tag w:val="_GBC_715164ef2f2b4f258a0908b254229361"/>
          <w:id w:val="8132975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95"/>
        <w:gridCol w:w="2730"/>
        <w:gridCol w:w="2698"/>
      </w:tblGrid>
      <w:tr w:rsidR="00597370">
        <w:sdt>
          <w:sdtPr>
            <w:rPr>
              <w:color w:val="000000" w:themeColor="text1"/>
            </w:rPr>
            <w:tag w:val="_PLD_a6ea455751354381bc869d5865ef3d8f"/>
            <w:id w:val="-1081292757"/>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补充资料</w:t>
                </w:r>
              </w:p>
            </w:tc>
          </w:sdtContent>
        </w:sdt>
        <w:sdt>
          <w:sdtPr>
            <w:rPr>
              <w:color w:val="000000" w:themeColor="text1"/>
            </w:rPr>
            <w:tag w:val="_PLD_0687e3743a4e4e2db7b08855f23641e8"/>
            <w:id w:val="-2001719955"/>
          </w:sdtPr>
          <w:sdtEnd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本期金额</w:t>
                </w:r>
              </w:p>
            </w:tc>
          </w:sdtContent>
        </w:sdt>
        <w:sdt>
          <w:sdtPr>
            <w:rPr>
              <w:color w:val="000000" w:themeColor="text1"/>
            </w:rPr>
            <w:tag w:val="_PLD_f90342638d124edea40aa264bbe65e8e"/>
            <w:id w:val="-37132720"/>
          </w:sdtPr>
          <w:sdtEnd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上期金额</w:t>
                </w:r>
              </w:p>
            </w:tc>
          </w:sdtContent>
        </w:sdt>
      </w:tr>
      <w:tr w:rsidR="00597370">
        <w:sdt>
          <w:sdtPr>
            <w:rPr>
              <w:color w:val="000000" w:themeColor="text1"/>
            </w:rPr>
            <w:tag w:val="_PLD_0a799a1250f946df9181881c4b1f3829"/>
            <w:id w:val="1946337444"/>
          </w:sdtPr>
          <w:sdtEnd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rsidR="00597370" w:rsidRDefault="003C2EEE">
                <w:pPr>
                  <w:jc w:val="both"/>
                  <w:rPr>
                    <w:b/>
                    <w:color w:val="000000" w:themeColor="text1"/>
                  </w:rPr>
                </w:pPr>
                <w:r>
                  <w:rPr>
                    <w:b/>
                    <w:color w:val="000000" w:themeColor="text1"/>
                  </w:rPr>
                  <w:t>1</w:t>
                </w:r>
                <w:r>
                  <w:rPr>
                    <w:rFonts w:hint="eastAsia"/>
                    <w:b/>
                    <w:color w:val="000000" w:themeColor="text1"/>
                  </w:rPr>
                  <w:t>．将净利润调节为经营活动现金流量：</w:t>
                </w:r>
              </w:p>
            </w:tc>
          </w:sdtContent>
        </w:sdt>
      </w:tr>
      <w:tr w:rsidR="00597370">
        <w:sdt>
          <w:sdtPr>
            <w:rPr>
              <w:rFonts w:asciiTheme="minorEastAsia" w:eastAsiaTheme="minorEastAsia" w:hAnsiTheme="minorEastAsia"/>
            </w:rPr>
            <w:tag w:val="_PLD_e8ba8a255d384555b8eb4380916342fb"/>
            <w:id w:val="-1335531096"/>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净利润</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36,857,572.06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151,443,826.63</w:t>
            </w:r>
          </w:p>
        </w:tc>
      </w:tr>
      <w:tr w:rsidR="00597370">
        <w:sdt>
          <w:sdtPr>
            <w:rPr>
              <w:rFonts w:asciiTheme="minorEastAsia" w:eastAsiaTheme="minorEastAsia" w:hAnsiTheme="minorEastAsia"/>
            </w:rPr>
            <w:tag w:val="_PLD_d7814036ec544a08a51db5a353f5adf0"/>
            <w:id w:val="-1105260227"/>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加：资产减值准备</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2,866,850.71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1,787,685.05</w:t>
            </w:r>
          </w:p>
        </w:tc>
      </w:tr>
      <w:tr w:rsidR="00597370">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asciiTheme="minorEastAsia" w:eastAsiaTheme="minorEastAsia" w:hAnsiTheme="minorEastAsia" w:hint="eastAsia"/>
              </w:rPr>
              <w:tag w:val="_PLD_0f91129fab43498ab9fd68a182c3fe1b"/>
              <w:id w:val="-1645652437"/>
            </w:sdtPr>
            <w:sdtEndPr/>
            <w:sdtContent>
              <w:p w:rsidR="00597370" w:rsidRDefault="003C2EEE">
                <w:pPr>
                  <w:rPr>
                    <w:color w:val="000000" w:themeColor="text1"/>
                  </w:rPr>
                </w:pPr>
                <w:r>
                  <w:rPr>
                    <w:rFonts w:asciiTheme="minorEastAsia" w:eastAsiaTheme="minorEastAsia" w:hAnsiTheme="minorEastAsia" w:hint="eastAsia"/>
                  </w:rPr>
                  <w:t>信用减值损失</w:t>
                </w:r>
              </w:p>
            </w:sdtContent>
          </w:sdt>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9,482,359.20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8,796,399.30</w:t>
            </w:r>
          </w:p>
        </w:tc>
      </w:tr>
      <w:tr w:rsidR="00597370">
        <w:sdt>
          <w:sdtPr>
            <w:rPr>
              <w:rFonts w:asciiTheme="minorEastAsia" w:eastAsiaTheme="minorEastAsia" w:hAnsiTheme="minorEastAsia"/>
            </w:rPr>
            <w:tag w:val="_PLD_874496ee98ed44629fd0638816a4a7d0"/>
            <w:id w:val="142398822"/>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固定资产折旧、油气资产折耗、生产性生物资产折旧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66,626,153.02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39,582,936.56</w:t>
            </w:r>
          </w:p>
        </w:tc>
      </w:tr>
      <w:tr w:rsidR="00597370">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asciiTheme="minorEastAsia" w:eastAsiaTheme="minorEastAsia" w:hAnsiTheme="minorEastAsia" w:hint="eastAsia"/>
              </w:rPr>
              <w:tag w:val="_PLD_721d42c6411f4a4db89c85694880a730"/>
              <w:id w:val="464788484"/>
            </w:sdtPr>
            <w:sdtEndPr/>
            <w:sdtContent>
              <w:p w:rsidR="00597370" w:rsidRDefault="003C2EEE">
                <w:pPr>
                  <w:rPr>
                    <w:color w:val="000000" w:themeColor="text1"/>
                  </w:rPr>
                </w:pPr>
                <w:r>
                  <w:rPr>
                    <w:rFonts w:asciiTheme="minorEastAsia" w:eastAsiaTheme="minorEastAsia" w:hAnsiTheme="minorEastAsia" w:hint="eastAsia"/>
                  </w:rPr>
                  <w:t>使用权资产摊销</w:t>
                </w:r>
              </w:p>
            </w:sdtContent>
          </w:sdt>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1,906,368.18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1,074,104.26</w:t>
            </w:r>
          </w:p>
        </w:tc>
      </w:tr>
      <w:tr w:rsidR="00597370">
        <w:sdt>
          <w:sdtPr>
            <w:rPr>
              <w:rFonts w:asciiTheme="minorEastAsia" w:eastAsiaTheme="minorEastAsia" w:hAnsiTheme="minorEastAsia"/>
            </w:rPr>
            <w:tag w:val="_PLD_7d21857dddff4f46b0472ee6fc927660"/>
            <w:id w:val="456229499"/>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无形资产摊销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3,654,938.09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1,074,104.26</w:t>
            </w:r>
          </w:p>
        </w:tc>
      </w:tr>
      <w:tr w:rsidR="00597370">
        <w:sdt>
          <w:sdtPr>
            <w:rPr>
              <w:rFonts w:asciiTheme="minorEastAsia" w:eastAsiaTheme="minorEastAsia" w:hAnsiTheme="minorEastAsia"/>
            </w:rPr>
            <w:tag w:val="_PLD_088800a12fe645aeab959c7549cf4ee3"/>
            <w:id w:val="214326767"/>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长期待摊费用摊销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1,081,849.32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241,570.61</w:t>
            </w:r>
          </w:p>
        </w:tc>
      </w:tr>
      <w:tr w:rsidR="00597370">
        <w:sdt>
          <w:sdtPr>
            <w:rPr>
              <w:rFonts w:asciiTheme="minorEastAsia" w:eastAsiaTheme="minorEastAsia" w:hAnsiTheme="minorEastAsia"/>
            </w:rPr>
            <w:tag w:val="_PLD_8d8cb21251d34ba1815e334e49c1f773"/>
            <w:id w:val="-389815495"/>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处置固定资产、无形资产和其他长期资产的损失（收益以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39,219.18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w:t>
            </w:r>
          </w:p>
        </w:tc>
      </w:tr>
      <w:tr w:rsidR="00597370">
        <w:sdt>
          <w:sdtPr>
            <w:rPr>
              <w:rFonts w:asciiTheme="minorEastAsia" w:eastAsiaTheme="minorEastAsia" w:hAnsiTheme="minorEastAsia"/>
            </w:rPr>
            <w:tag w:val="_PLD_b85deb2045874a498f408bd31aa1c639"/>
            <w:id w:val="2130200673"/>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固定资产报废损失（收益以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1,335,011.37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-363,015.72</w:t>
            </w:r>
          </w:p>
        </w:tc>
      </w:tr>
      <w:tr w:rsidR="00597370">
        <w:sdt>
          <w:sdtPr>
            <w:rPr>
              <w:rFonts w:asciiTheme="minorEastAsia" w:eastAsiaTheme="minorEastAsia" w:hAnsiTheme="minorEastAsia"/>
            </w:rPr>
            <w:tag w:val="_PLD_f5daedcccfe54756bef02f32552a8b7b"/>
            <w:id w:val="378907478"/>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公允价值变动损失（收益以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w:t>
            </w:r>
          </w:p>
        </w:tc>
      </w:tr>
      <w:tr w:rsidR="00597370">
        <w:sdt>
          <w:sdtPr>
            <w:rPr>
              <w:rFonts w:asciiTheme="minorEastAsia" w:eastAsiaTheme="minorEastAsia" w:hAnsiTheme="minorEastAsia"/>
            </w:rPr>
            <w:tag w:val="_PLD_1e4c1f4478ea4e41a213ed937b2d2949"/>
            <w:id w:val="1401490062"/>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财务费用（收益以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16,894,533.64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9,625,622.58</w:t>
            </w:r>
          </w:p>
        </w:tc>
      </w:tr>
      <w:tr w:rsidR="00597370">
        <w:sdt>
          <w:sdtPr>
            <w:rPr>
              <w:rFonts w:asciiTheme="minorEastAsia" w:eastAsiaTheme="minorEastAsia" w:hAnsiTheme="minorEastAsia"/>
            </w:rPr>
            <w:tag w:val="_PLD_fbd860cf427540b4a431128ef763534d"/>
            <w:id w:val="935096144"/>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投资损失（收益以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74,502.67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-720,234.75</w:t>
            </w:r>
          </w:p>
        </w:tc>
      </w:tr>
      <w:tr w:rsidR="00597370">
        <w:sdt>
          <w:sdtPr>
            <w:rPr>
              <w:rFonts w:asciiTheme="minorEastAsia" w:eastAsiaTheme="minorEastAsia" w:hAnsiTheme="minorEastAsia"/>
            </w:rPr>
            <w:tag w:val="_PLD_03270151a6684c629b53007cc62dad45"/>
            <w:id w:val="-1759278291"/>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递延所得税资产减少（增加以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-2,238,234.84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-3,336,603.60</w:t>
            </w:r>
          </w:p>
        </w:tc>
      </w:tr>
      <w:tr w:rsidR="00597370">
        <w:sdt>
          <w:sdtPr>
            <w:rPr>
              <w:rFonts w:asciiTheme="minorEastAsia" w:eastAsiaTheme="minorEastAsia" w:hAnsiTheme="minorEastAsia"/>
            </w:rPr>
            <w:tag w:val="_PLD_100ead502e934b2fbc5c4c2289a4d701"/>
            <w:id w:val="-1807607663"/>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递延所得税负债增加（减少以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8,483,767.52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578,750.39</w:t>
            </w:r>
          </w:p>
        </w:tc>
      </w:tr>
      <w:tr w:rsidR="00597370">
        <w:sdt>
          <w:sdtPr>
            <w:rPr>
              <w:rFonts w:asciiTheme="minorEastAsia" w:eastAsiaTheme="minorEastAsia" w:hAnsiTheme="minorEastAsia"/>
            </w:rPr>
            <w:tag w:val="_PLD_75c37a3f209d4b1fb608b47efbf0f17b"/>
            <w:id w:val="-1328439355"/>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存货的减少（增加以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-62,481,881.70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-109,621,375.54</w:t>
            </w:r>
          </w:p>
        </w:tc>
      </w:tr>
      <w:tr w:rsidR="00597370">
        <w:sdt>
          <w:sdtPr>
            <w:rPr>
              <w:rFonts w:asciiTheme="minorEastAsia" w:eastAsiaTheme="minorEastAsia" w:hAnsiTheme="minorEastAsia"/>
            </w:rPr>
            <w:tag w:val="_PLD_6dd2e6fa25164f14ae03eb5c47cfeb92"/>
            <w:id w:val="-1468816665"/>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经营性应收项目的减少（增加以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-293,936,558.06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-131,244,528.10</w:t>
            </w:r>
          </w:p>
        </w:tc>
      </w:tr>
      <w:tr w:rsidR="00597370">
        <w:sdt>
          <w:sdtPr>
            <w:rPr>
              <w:rFonts w:asciiTheme="minorEastAsia" w:eastAsiaTheme="minorEastAsia" w:hAnsiTheme="minorEastAsia"/>
            </w:rPr>
            <w:tag w:val="_PLD_b77e5d0637ca424ea3521e9194452268"/>
            <w:id w:val="-484703459"/>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经营性应付项目的增加（减少以</w:t>
                </w:r>
                <w:r>
                  <w:rPr>
                    <w:rFonts w:asciiTheme="minorEastAsia" w:eastAsiaTheme="minorEastAsia" w:hAnsiTheme="minorEastAsia"/>
                  </w:rPr>
                  <w:t>“</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pPr>
            <w:r>
              <w:rPr>
                <w:rFonts w:hint="eastAsia"/>
              </w:rPr>
              <w:t xml:space="preserve"> -93,645,031.87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-19,910,867.05</w:t>
            </w:r>
          </w:p>
        </w:tc>
      </w:tr>
      <w:tr w:rsidR="00597370">
        <w:sdt>
          <w:sdtPr>
            <w:rPr>
              <w:rFonts w:asciiTheme="minorEastAsia" w:eastAsiaTheme="minorEastAsia" w:hAnsiTheme="minorEastAsia"/>
            </w:rPr>
            <w:tag w:val="_PLD_5e18d37458f0499f93803040a145120b"/>
            <w:id w:val="-1283800407"/>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其他</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rPr>
                <w:highlight w:val="yellow"/>
              </w:rPr>
            </w:pPr>
            <w:r>
              <w:rPr>
                <w:rFonts w:hint="eastAsia"/>
              </w:rPr>
              <w:t xml:space="preserve"> 7,626,907.20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2,708,993.43</w:t>
            </w:r>
          </w:p>
        </w:tc>
      </w:tr>
      <w:tr w:rsidR="00597370">
        <w:sdt>
          <w:sdtPr>
            <w:rPr>
              <w:rFonts w:asciiTheme="minorEastAsia" w:eastAsiaTheme="minorEastAsia" w:hAnsiTheme="minorEastAsia"/>
            </w:rPr>
            <w:tag w:val="_PLD_cbbe2315982347e89e355315dde12742"/>
            <w:id w:val="875429057"/>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经营活动产生的现金流量净额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textAlignment w:val="center"/>
              <w:rPr>
                <w:highlight w:val="yellow"/>
              </w:rPr>
            </w:pPr>
            <w:r>
              <w:rPr>
                <w:rFonts w:hint="eastAsia"/>
              </w:rPr>
              <w:t xml:space="preserve"> -295,371,674.31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-48,282,631.69</w:t>
            </w:r>
          </w:p>
        </w:tc>
      </w:tr>
      <w:tr w:rsidR="00597370">
        <w:sdt>
          <w:sdtPr>
            <w:rPr>
              <w:color w:val="000000" w:themeColor="text1"/>
            </w:rPr>
            <w:tag w:val="_PLD_db693429a97d44a2848da029ca6a724c"/>
            <w:id w:val="-414162552"/>
          </w:sdtPr>
          <w:sdtEnd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rsidR="00597370" w:rsidRDefault="003C2EEE">
                <w:pPr>
                  <w:rPr>
                    <w:color w:val="000000" w:themeColor="text1"/>
                  </w:rPr>
                </w:pPr>
                <w:r>
                  <w:rPr>
                    <w:b/>
                    <w:color w:val="000000" w:themeColor="text1"/>
                  </w:rPr>
                  <w:t>2</w:t>
                </w:r>
                <w:r>
                  <w:rPr>
                    <w:rFonts w:hint="eastAsia"/>
                    <w:b/>
                    <w:color w:val="000000" w:themeColor="text1"/>
                  </w:rPr>
                  <w:t>．不涉及现金收支的重大投资和筹资活动：</w:t>
                </w:r>
              </w:p>
            </w:tc>
          </w:sdtContent>
        </w:sdt>
      </w:tr>
      <w:tr w:rsidR="00597370">
        <w:sdt>
          <w:sdtPr>
            <w:rPr>
              <w:rFonts w:asciiTheme="minorEastAsia" w:eastAsiaTheme="minorEastAsia" w:hAnsiTheme="minorEastAsia"/>
            </w:rPr>
            <w:tag w:val="_PLD_e0d4eb4cfadc41e79028384d476793f6"/>
            <w:id w:val="-40358461"/>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债务转为资本</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597370" w:rsidRDefault="00597370">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597370" w:rsidRDefault="00597370">
            <w:pPr>
              <w:jc w:val="right"/>
            </w:pPr>
          </w:p>
        </w:tc>
      </w:tr>
      <w:tr w:rsidR="00597370">
        <w:sdt>
          <w:sdtPr>
            <w:rPr>
              <w:rFonts w:asciiTheme="minorEastAsia" w:eastAsiaTheme="minorEastAsia" w:hAnsiTheme="minorEastAsia"/>
            </w:rPr>
            <w:tag w:val="_PLD_4a6d0c6705c84302bf83bbc5e9c2e85e"/>
            <w:id w:val="-301624415"/>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一年内到期的可转换公司债</w:t>
                </w:r>
                <w:proofErr w:type="gramStart"/>
                <w:r>
                  <w:rPr>
                    <w:rFonts w:asciiTheme="minorEastAsia" w:eastAsiaTheme="minorEastAsia" w:hAnsiTheme="minorEastAsia" w:hint="eastAsia"/>
                  </w:rPr>
                  <w:t>券</w:t>
                </w:r>
                <w:proofErr w:type="gramEnd"/>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597370" w:rsidRDefault="00597370">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597370" w:rsidRDefault="00597370">
            <w:pPr>
              <w:jc w:val="right"/>
            </w:pPr>
          </w:p>
        </w:tc>
      </w:tr>
      <w:tr w:rsidR="00597370">
        <w:sdt>
          <w:sdtPr>
            <w:rPr>
              <w:rFonts w:asciiTheme="minorEastAsia" w:eastAsiaTheme="minorEastAsia" w:hAnsiTheme="minorEastAsia"/>
            </w:rPr>
            <w:tag w:val="_PLD_4eb4a0a5a3e944b293d87cc004adc11f"/>
            <w:id w:val="-189611668"/>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融资租入固定资产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597370" w:rsidRDefault="00597370">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597370" w:rsidRDefault="00597370">
            <w:pPr>
              <w:jc w:val="right"/>
            </w:pPr>
          </w:p>
        </w:tc>
      </w:tr>
      <w:tr w:rsidR="00597370">
        <w:sdt>
          <w:sdtPr>
            <w:rPr>
              <w:color w:val="000000" w:themeColor="text1"/>
            </w:rPr>
            <w:tag w:val="_PLD_1294459fe7ee46638b8d4b78b8d8c436"/>
            <w:id w:val="-1483541936"/>
          </w:sdtPr>
          <w:sdtEnd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rsidR="00597370" w:rsidRDefault="003C2EEE">
                <w:pPr>
                  <w:rPr>
                    <w:color w:val="000000" w:themeColor="text1"/>
                  </w:rPr>
                </w:pPr>
                <w:r>
                  <w:rPr>
                    <w:b/>
                    <w:color w:val="000000" w:themeColor="text1"/>
                  </w:rPr>
                  <w:t>3</w:t>
                </w:r>
                <w:r>
                  <w:rPr>
                    <w:rFonts w:hint="eastAsia"/>
                    <w:b/>
                    <w:color w:val="000000" w:themeColor="text1"/>
                  </w:rPr>
                  <w:t>．现金及现金等价物净变动情况：</w:t>
                </w:r>
              </w:p>
            </w:tc>
          </w:sdtContent>
        </w:sdt>
      </w:tr>
      <w:tr w:rsidR="00597370">
        <w:sdt>
          <w:sdtPr>
            <w:rPr>
              <w:rFonts w:asciiTheme="minorEastAsia" w:eastAsiaTheme="minorEastAsia" w:hAnsiTheme="minorEastAsia"/>
            </w:rPr>
            <w:tag w:val="_PLD_2082c840cddc45338520bd3516ed16c9"/>
            <w:id w:val="1693345121"/>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现金的期末余额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pPr>
            <w:r>
              <w:t>878,823,115.67</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950,573,019.74</w:t>
            </w:r>
          </w:p>
        </w:tc>
      </w:tr>
      <w:tr w:rsidR="00597370">
        <w:sdt>
          <w:sdtPr>
            <w:rPr>
              <w:rFonts w:asciiTheme="minorEastAsia" w:eastAsiaTheme="minorEastAsia" w:hAnsiTheme="minorEastAsia"/>
            </w:rPr>
            <w:tag w:val="_PLD_a8039ff8828d402facebab3f2e19fcc0"/>
            <w:id w:val="-2060083300"/>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减：现金的期初余额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pPr>
            <w:r>
              <w:t>1,226,642,655.20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880,625,046.19</w:t>
            </w:r>
          </w:p>
        </w:tc>
      </w:tr>
      <w:tr w:rsidR="00597370">
        <w:sdt>
          <w:sdtPr>
            <w:rPr>
              <w:rFonts w:asciiTheme="minorEastAsia" w:eastAsiaTheme="minorEastAsia" w:hAnsiTheme="minorEastAsia"/>
            </w:rPr>
            <w:tag w:val="_PLD_2b870bd2bf7a4a1c8f0ef717c730f23e"/>
            <w:id w:val="2112778927"/>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加：现金等价物的期末余额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597370">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597370">
            <w:pPr>
              <w:jc w:val="right"/>
            </w:pPr>
          </w:p>
        </w:tc>
      </w:tr>
      <w:tr w:rsidR="00597370">
        <w:sdt>
          <w:sdtPr>
            <w:rPr>
              <w:rFonts w:asciiTheme="minorEastAsia" w:eastAsiaTheme="minorEastAsia" w:hAnsiTheme="minorEastAsia"/>
            </w:rPr>
            <w:tag w:val="_PLD_ad568407cb3c454d95c72fc52ac36fe9"/>
            <w:id w:val="-119839857"/>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减：现金等价物的期初余额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597370">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597370">
            <w:pPr>
              <w:jc w:val="right"/>
            </w:pPr>
          </w:p>
        </w:tc>
      </w:tr>
      <w:tr w:rsidR="00597370">
        <w:sdt>
          <w:sdtPr>
            <w:rPr>
              <w:rFonts w:asciiTheme="minorEastAsia" w:eastAsiaTheme="minorEastAsia" w:hAnsiTheme="minorEastAsia"/>
            </w:rPr>
            <w:tag w:val="_PLD_2dd0b4fbd20a49c1991e732523abf0b3"/>
            <w:id w:val="-1033191215"/>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asciiTheme="minorEastAsia" w:eastAsiaTheme="minorEastAsia" w:hAnsiTheme="minorEastAsia" w:hint="eastAsia"/>
                  </w:rPr>
                  <w:t>现金及现金等价物净增加额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597370" w:rsidRDefault="003C2EEE">
            <w:pPr>
              <w:jc w:val="right"/>
            </w:pPr>
            <w:r>
              <w:t>-347,819,539.53</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597370" w:rsidRDefault="003C2EEE">
            <w:pPr>
              <w:jc w:val="right"/>
            </w:pPr>
            <w:r>
              <w:t>69,947,973.55</w:t>
            </w:r>
          </w:p>
        </w:tc>
      </w:tr>
    </w:tbl>
    <w:p w:rsidR="00597370" w:rsidRDefault="00597370">
      <w:pPr>
        <w:rPr>
          <w:color w:val="000000" w:themeColor="text1"/>
        </w:rPr>
      </w:pPr>
    </w:p>
    <w:p w:rsidR="00597370" w:rsidRDefault="003C2EEE">
      <w:pPr>
        <w:pStyle w:val="Style110"/>
        <w:numPr>
          <w:ilvl w:val="0"/>
          <w:numId w:val="87"/>
        </w:numPr>
        <w:rPr>
          <w:rFonts w:ascii="宋体" w:hAnsi="宋体"/>
          <w:color w:val="000000" w:themeColor="text1"/>
        </w:rPr>
      </w:pPr>
      <w:r>
        <w:rPr>
          <w:rFonts w:ascii="宋体" w:hAnsi="宋体" w:hint="eastAsia"/>
          <w:color w:val="000000" w:themeColor="text1"/>
        </w:rPr>
        <w:t>本期支付的取得子公司的现金净额</w:t>
      </w:r>
    </w:p>
    <w:sdt>
      <w:sdtPr>
        <w:rPr>
          <w:color w:val="000000" w:themeColor="text1"/>
        </w:rPr>
        <w:alias w:val="是否适用：本期支付的取得子公司的现金净额[双击切换]"/>
        <w:tag w:val="_GBC_903abae67cad448caac446eb8c11fd79"/>
        <w:id w:val="203985478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本期支付的取得子公司的现金净额"/>
          <w:tag w:val="_GBC_8c471c67a05c46ad9fc2bff120d8e053"/>
          <w:id w:val="1882506472"/>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本期支付的取得子公司的现金净额"/>
          <w:tag w:val="_GBC_630c30e8574b4cd999b5ae9b7fac52db"/>
          <w:id w:val="172887557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8"/>
        <w:gridCol w:w="3055"/>
      </w:tblGrid>
      <w:tr w:rsidR="00597370">
        <w:trPr>
          <w:jc w:val="center"/>
        </w:trPr>
        <w:tc>
          <w:tcPr>
            <w:tcW w:w="3269" w:type="pct"/>
            <w:shd w:val="clear" w:color="auto" w:fill="auto"/>
          </w:tcPr>
          <w:p w:rsidR="00597370" w:rsidRDefault="00597370">
            <w:pPr>
              <w:jc w:val="center"/>
              <w:rPr>
                <w:rFonts w:cs="Arial"/>
                <w:color w:val="000000" w:themeColor="text1"/>
                <w:lang w:val="en-GB"/>
              </w:rPr>
            </w:pPr>
          </w:p>
        </w:tc>
        <w:sdt>
          <w:sdtPr>
            <w:rPr>
              <w:color w:val="000000" w:themeColor="text1"/>
            </w:rPr>
            <w:tag w:val="_PLD_ced6d418dab74c35bb2988f2cda32118"/>
            <w:id w:val="300969265"/>
          </w:sdtPr>
          <w:sdtEndPr/>
          <w:sdtContent>
            <w:tc>
              <w:tcPr>
                <w:tcW w:w="1731" w:type="pct"/>
                <w:shd w:val="clear" w:color="auto" w:fill="auto"/>
              </w:tcPr>
              <w:p w:rsidR="00597370" w:rsidRDefault="003C2EEE">
                <w:pPr>
                  <w:jc w:val="center"/>
                  <w:rPr>
                    <w:rFonts w:cs="Arial"/>
                    <w:color w:val="000000" w:themeColor="text1"/>
                  </w:rPr>
                </w:pPr>
                <w:r>
                  <w:rPr>
                    <w:rFonts w:cs="Arial" w:hint="eastAsia"/>
                    <w:color w:val="000000" w:themeColor="text1"/>
                  </w:rPr>
                  <w:t>金额</w:t>
                </w:r>
              </w:p>
            </w:tc>
          </w:sdtContent>
        </w:sdt>
      </w:tr>
      <w:tr w:rsidR="00597370">
        <w:trPr>
          <w:jc w:val="center"/>
        </w:trPr>
        <w:tc>
          <w:tcPr>
            <w:tcW w:w="3269" w:type="pct"/>
            <w:shd w:val="clear" w:color="auto" w:fill="auto"/>
          </w:tcPr>
          <w:p w:rsidR="00597370" w:rsidRDefault="003C2EEE">
            <w:pPr>
              <w:rPr>
                <w:rFonts w:cs="Arial"/>
                <w:color w:val="000000" w:themeColor="text1"/>
              </w:rPr>
            </w:pPr>
            <w:r>
              <w:rPr>
                <w:rFonts w:cs="Arial" w:hint="eastAsia"/>
                <w:color w:val="000000" w:themeColor="text1"/>
                <w:lang w:val="en-GB"/>
              </w:rPr>
              <w:t>本期发生的企业合并于本期支付的现金或现金等价物</w:t>
            </w:r>
          </w:p>
        </w:tc>
        <w:tc>
          <w:tcPr>
            <w:tcW w:w="1731" w:type="pct"/>
            <w:shd w:val="clear" w:color="auto" w:fill="auto"/>
          </w:tcPr>
          <w:p w:rsidR="00597370" w:rsidRDefault="003C2EEE">
            <w:pPr>
              <w:jc w:val="right"/>
              <w:rPr>
                <w:rFonts w:cs="Arial"/>
              </w:rPr>
            </w:pPr>
            <w:r>
              <w:rPr>
                <w:rFonts w:cs="Arial"/>
              </w:rPr>
              <w:t>559,816,869.00</w:t>
            </w:r>
          </w:p>
        </w:tc>
      </w:tr>
      <w:tr w:rsidR="00597370">
        <w:trPr>
          <w:jc w:val="center"/>
        </w:trPr>
        <w:tc>
          <w:tcPr>
            <w:tcW w:w="3269" w:type="pct"/>
            <w:shd w:val="clear" w:color="auto" w:fill="auto"/>
          </w:tcPr>
          <w:p w:rsidR="00597370" w:rsidRDefault="003C2EEE">
            <w:pPr>
              <w:rPr>
                <w:rFonts w:cs="Arial"/>
                <w:color w:val="000000" w:themeColor="text1"/>
              </w:rPr>
            </w:pPr>
            <w:r>
              <w:rPr>
                <w:rFonts w:cs="Arial" w:hint="eastAsia"/>
                <w:color w:val="000000" w:themeColor="text1"/>
                <w:lang w:val="en-GB"/>
              </w:rPr>
              <w:t>减：购买日子公司持有的现金及现金等价物</w:t>
            </w:r>
          </w:p>
        </w:tc>
        <w:tc>
          <w:tcPr>
            <w:tcW w:w="1731" w:type="pct"/>
            <w:shd w:val="clear" w:color="auto" w:fill="auto"/>
          </w:tcPr>
          <w:p w:rsidR="00597370" w:rsidRDefault="003C2EEE">
            <w:pPr>
              <w:jc w:val="right"/>
              <w:rPr>
                <w:rFonts w:cs="Arial"/>
              </w:rPr>
            </w:pPr>
            <w:r>
              <w:rPr>
                <w:rFonts w:cs="Arial"/>
              </w:rPr>
              <w:t>128,868,978.50</w:t>
            </w:r>
          </w:p>
        </w:tc>
      </w:tr>
      <w:tr w:rsidR="00597370">
        <w:trPr>
          <w:jc w:val="center"/>
        </w:trPr>
        <w:tc>
          <w:tcPr>
            <w:tcW w:w="3269" w:type="pct"/>
            <w:shd w:val="clear" w:color="auto" w:fill="auto"/>
          </w:tcPr>
          <w:p w:rsidR="00597370" w:rsidRDefault="003C2EEE">
            <w:pPr>
              <w:rPr>
                <w:rFonts w:cs="Arial"/>
                <w:color w:val="000000" w:themeColor="text1"/>
                <w:lang w:val="en-GB"/>
              </w:rPr>
            </w:pPr>
            <w:r>
              <w:rPr>
                <w:rFonts w:cs="Arial" w:hint="eastAsia"/>
                <w:color w:val="000000" w:themeColor="text1"/>
                <w:lang w:val="en-GB"/>
              </w:rPr>
              <w:t>加：以前期间发生的企业合并于本期支付的现金或现金等价物</w:t>
            </w:r>
          </w:p>
        </w:tc>
        <w:tc>
          <w:tcPr>
            <w:tcW w:w="1731" w:type="pct"/>
            <w:shd w:val="clear" w:color="auto" w:fill="auto"/>
          </w:tcPr>
          <w:p w:rsidR="00597370" w:rsidRDefault="00597370">
            <w:pPr>
              <w:jc w:val="right"/>
              <w:rPr>
                <w:rFonts w:cs="Arial"/>
                <w:lang w:val="en-GB"/>
              </w:rPr>
            </w:pPr>
          </w:p>
        </w:tc>
      </w:tr>
      <w:tr w:rsidR="00597370">
        <w:trPr>
          <w:jc w:val="center"/>
        </w:trPr>
        <w:tc>
          <w:tcPr>
            <w:tcW w:w="3269" w:type="pct"/>
            <w:shd w:val="clear" w:color="auto" w:fill="auto"/>
          </w:tcPr>
          <w:p w:rsidR="00597370" w:rsidRDefault="003C2EEE">
            <w:pPr>
              <w:rPr>
                <w:rFonts w:cs="Arial"/>
                <w:color w:val="000000" w:themeColor="text1"/>
              </w:rPr>
            </w:pPr>
            <w:r>
              <w:rPr>
                <w:rFonts w:hint="eastAsia"/>
                <w:color w:val="000000" w:themeColor="text1"/>
              </w:rPr>
              <w:t>取得子公司支付的现金净额</w:t>
            </w:r>
          </w:p>
        </w:tc>
        <w:tc>
          <w:tcPr>
            <w:tcW w:w="1731" w:type="pct"/>
            <w:shd w:val="clear" w:color="auto" w:fill="auto"/>
          </w:tcPr>
          <w:p w:rsidR="00597370" w:rsidRDefault="003C2EEE">
            <w:pPr>
              <w:jc w:val="right"/>
              <w:rPr>
                <w:rFonts w:cs="Arial"/>
              </w:rPr>
            </w:pPr>
            <w:r>
              <w:rPr>
                <w:rFonts w:cs="Arial"/>
              </w:rPr>
              <w:t>430,947,890.50</w:t>
            </w:r>
          </w:p>
        </w:tc>
      </w:tr>
    </w:tbl>
    <w:p w:rsidR="00597370" w:rsidRDefault="003C2EEE">
      <w:pPr>
        <w:rPr>
          <w:color w:val="000000" w:themeColor="text1"/>
        </w:rPr>
      </w:pPr>
      <w:r>
        <w:rPr>
          <w:rFonts w:hint="eastAsia"/>
          <w:color w:val="000000" w:themeColor="text1"/>
        </w:rPr>
        <w:t>其他说明：</w:t>
      </w:r>
    </w:p>
    <w:sdt>
      <w:sdtPr>
        <w:rPr>
          <w:rFonts w:hint="eastAsia"/>
          <w:color w:val="000000" w:themeColor="text1"/>
        </w:rPr>
        <w:alias w:val="取得子公司支付的现金净额的其他说明"/>
        <w:tag w:val="_GBC_1b859cf90bee441a822a7f514940be48"/>
        <w:id w:val="1557282600"/>
      </w:sdtPr>
      <w:sdtEndPr/>
      <w:sdtContent>
        <w:p w:rsidR="00597370" w:rsidRDefault="003C2EEE">
          <w:pPr>
            <w:rPr>
              <w:color w:val="000000" w:themeColor="text1"/>
            </w:rPr>
          </w:pPr>
          <w:r>
            <w:rPr>
              <w:rFonts w:hint="eastAsia"/>
              <w:color w:val="000000" w:themeColor="text1"/>
            </w:rPr>
            <w:t>收购云南变压器电气股份有限公司7</w:t>
          </w:r>
          <w:r>
            <w:rPr>
              <w:color w:val="000000" w:themeColor="text1"/>
            </w:rPr>
            <w:t>9.97%</w:t>
          </w:r>
          <w:r>
            <w:rPr>
              <w:rFonts w:hint="eastAsia"/>
              <w:color w:val="000000" w:themeColor="text1"/>
            </w:rPr>
            <w:t>股权支付的现金。</w:t>
          </w:r>
        </w:p>
      </w:sdtContent>
    </w:sdt>
    <w:p w:rsidR="00597370" w:rsidRDefault="003C2EEE">
      <w:pPr>
        <w:pStyle w:val="Style110"/>
        <w:numPr>
          <w:ilvl w:val="0"/>
          <w:numId w:val="87"/>
        </w:numPr>
        <w:rPr>
          <w:rFonts w:ascii="宋体" w:hAnsi="宋体"/>
          <w:color w:val="000000" w:themeColor="text1"/>
        </w:rPr>
      </w:pPr>
      <w:r>
        <w:rPr>
          <w:rFonts w:ascii="宋体" w:hAnsi="宋体" w:hint="eastAsia"/>
          <w:color w:val="000000" w:themeColor="text1"/>
        </w:rPr>
        <w:t>本期收到的处置子公司的现金净额</w:t>
      </w:r>
    </w:p>
    <w:sdt>
      <w:sdtPr>
        <w:rPr>
          <w:color w:val="000000" w:themeColor="text1"/>
        </w:rPr>
        <w:alias w:val="是否适用：本期收到的处置子公司的现金净额[双击切换]"/>
        <w:tag w:val="_GBC_2b4b13c85bb94d13bb7b7edebe0a9f5a"/>
        <w:id w:val="114185329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7"/>
        </w:numPr>
        <w:rPr>
          <w:rFonts w:ascii="宋体" w:hAnsi="宋体"/>
          <w:color w:val="000000" w:themeColor="text1"/>
        </w:rPr>
      </w:pPr>
      <w:r>
        <w:rPr>
          <w:rFonts w:ascii="宋体" w:hAnsi="宋体" w:hint="eastAsia"/>
          <w:color w:val="000000" w:themeColor="text1"/>
        </w:rPr>
        <w:t>现金和现金等价物的构成</w:t>
      </w:r>
    </w:p>
    <w:sdt>
      <w:sdtPr>
        <w:rPr>
          <w:color w:val="000000" w:themeColor="text1"/>
        </w:rPr>
        <w:alias w:val="是否适用：现金和现金等价物的构成[双击切换]"/>
        <w:tag w:val="_GBC_4f1d477972634410a6ea7bdfaf766947"/>
        <w:id w:val="-3419432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b/>
          <w:color w:val="000000" w:themeColor="text1"/>
        </w:rPr>
      </w:pPr>
      <w:r>
        <w:rPr>
          <w:rFonts w:hint="eastAsia"/>
          <w:color w:val="000000" w:themeColor="text1"/>
        </w:rPr>
        <w:t>单位：</w:t>
      </w:r>
      <w:sdt>
        <w:sdtPr>
          <w:rPr>
            <w:rFonts w:hint="eastAsia"/>
            <w:color w:val="000000" w:themeColor="text1"/>
          </w:rPr>
          <w:alias w:val="单位：财务附注：现金和现金等价物的构成"/>
          <w:tag w:val="_GBC_b65333ba6aec402382c4acbbb6696560"/>
          <w:id w:val="15410101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现金和现金等价物的构成"/>
          <w:tag w:val="_GBC_15cada3a52264083942ef83a40fa25a0"/>
          <w:id w:val="14990799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2848"/>
        <w:gridCol w:w="2666"/>
      </w:tblGrid>
      <w:tr w:rsidR="00597370">
        <w:trPr>
          <w:trHeight w:val="285"/>
        </w:trPr>
        <w:sdt>
          <w:sdtPr>
            <w:rPr>
              <w:color w:val="000000" w:themeColor="text1"/>
            </w:rPr>
            <w:tag w:val="_PLD_d5bf85e9303e4843a7623f09eae933c6"/>
            <w:id w:val="-1930192723"/>
          </w:sdtPr>
          <w:sdtEndPr/>
          <w:sdtContent>
            <w:tc>
              <w:tcPr>
                <w:tcW w:w="1875" w:type="pct"/>
                <w:tcBorders>
                  <w:bottom w:val="single" w:sz="4" w:space="0" w:color="auto"/>
                </w:tcBorders>
                <w:shd w:val="clear" w:color="auto" w:fill="auto"/>
                <w:vAlign w:val="center"/>
              </w:tcPr>
              <w:p w:rsidR="00597370" w:rsidRDefault="003C2EEE">
                <w:pPr>
                  <w:ind w:leftChars="-51" w:left="-107"/>
                  <w:jc w:val="center"/>
                  <w:rPr>
                    <w:color w:val="000000" w:themeColor="text1"/>
                  </w:rPr>
                </w:pPr>
                <w:r>
                  <w:rPr>
                    <w:rFonts w:hint="eastAsia"/>
                    <w:color w:val="000000" w:themeColor="text1"/>
                  </w:rPr>
                  <w:t>项目</w:t>
                </w:r>
              </w:p>
            </w:tc>
          </w:sdtContent>
        </w:sdt>
        <w:sdt>
          <w:sdtPr>
            <w:rPr>
              <w:color w:val="000000" w:themeColor="text1"/>
            </w:rPr>
            <w:tag w:val="_PLD_e3a960d2f6474687b9cbaec3f1075e19"/>
            <w:id w:val="-1843698629"/>
          </w:sdtPr>
          <w:sdtEndPr/>
          <w:sdtContent>
            <w:tc>
              <w:tcPr>
                <w:tcW w:w="1614" w:type="pct"/>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0d0909eba9344c8ab96c7fb88f0b117a"/>
            <w:id w:val="-1804224554"/>
          </w:sdtPr>
          <w:sdtEndPr/>
          <w:sdtContent>
            <w:tc>
              <w:tcPr>
                <w:tcW w:w="1511" w:type="pct"/>
                <w:shd w:val="clear" w:color="auto" w:fill="auto"/>
              </w:tcPr>
              <w:p w:rsidR="00597370" w:rsidRDefault="003C2EEE">
                <w:pPr>
                  <w:jc w:val="center"/>
                  <w:rPr>
                    <w:color w:val="000000" w:themeColor="text1"/>
                  </w:rPr>
                </w:pPr>
                <w:r>
                  <w:rPr>
                    <w:rFonts w:hint="eastAsia"/>
                    <w:color w:val="000000" w:themeColor="text1"/>
                  </w:rPr>
                  <w:t>期初余额</w:t>
                </w:r>
              </w:p>
            </w:tc>
          </w:sdtContent>
        </w:sdt>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一、现金</w:t>
            </w:r>
          </w:p>
        </w:tc>
        <w:tc>
          <w:tcPr>
            <w:tcW w:w="1614" w:type="pct"/>
            <w:shd w:val="clear" w:color="auto" w:fill="auto"/>
            <w:vAlign w:val="bottom"/>
          </w:tcPr>
          <w:p w:rsidR="00597370" w:rsidRDefault="003C2EEE">
            <w:pPr>
              <w:jc w:val="right"/>
              <w:rPr>
                <w:rFonts w:asciiTheme="minorEastAsia" w:eastAsiaTheme="minorEastAsia" w:hAnsiTheme="minorEastAsia"/>
              </w:rPr>
            </w:pPr>
            <w:r>
              <w:t>878,823,115.67</w:t>
            </w:r>
          </w:p>
        </w:tc>
        <w:tc>
          <w:tcPr>
            <w:tcW w:w="1511" w:type="pct"/>
            <w:shd w:val="clear" w:color="auto" w:fill="auto"/>
          </w:tcPr>
          <w:p w:rsidR="00597370" w:rsidRDefault="003C2EEE">
            <w:pPr>
              <w:jc w:val="right"/>
              <w:rPr>
                <w:rFonts w:asciiTheme="minorEastAsia" w:eastAsiaTheme="minorEastAsia" w:hAnsiTheme="minorEastAsia"/>
              </w:rPr>
            </w:pPr>
            <w:r>
              <w:rPr>
                <w:rFonts w:asciiTheme="minorEastAsia" w:eastAsiaTheme="minorEastAsia" w:hAnsiTheme="minorEastAsia"/>
              </w:rPr>
              <w:t>1,226,642,655.20</w:t>
            </w: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其中：库存现金</w:t>
            </w:r>
          </w:p>
        </w:tc>
        <w:tc>
          <w:tcPr>
            <w:tcW w:w="1614" w:type="pct"/>
            <w:shd w:val="clear" w:color="auto" w:fill="auto"/>
            <w:vAlign w:val="bottom"/>
          </w:tcPr>
          <w:p w:rsidR="00597370" w:rsidRDefault="003C2EEE">
            <w:pPr>
              <w:jc w:val="right"/>
              <w:rPr>
                <w:rFonts w:asciiTheme="minorEastAsia" w:eastAsiaTheme="minorEastAsia" w:hAnsiTheme="minorEastAsia"/>
              </w:rPr>
            </w:pPr>
            <w:r>
              <w:t>31,274.30</w:t>
            </w:r>
          </w:p>
        </w:tc>
        <w:tc>
          <w:tcPr>
            <w:tcW w:w="1511" w:type="pct"/>
            <w:shd w:val="clear" w:color="auto" w:fill="auto"/>
          </w:tcPr>
          <w:p w:rsidR="00597370" w:rsidRDefault="003C2EEE">
            <w:pPr>
              <w:jc w:val="right"/>
              <w:rPr>
                <w:rFonts w:asciiTheme="minorEastAsia" w:eastAsiaTheme="minorEastAsia" w:hAnsiTheme="minorEastAsia"/>
              </w:rPr>
            </w:pPr>
            <w:r>
              <w:rPr>
                <w:rFonts w:asciiTheme="minorEastAsia" w:eastAsiaTheme="minorEastAsia" w:hAnsiTheme="minorEastAsia"/>
              </w:rPr>
              <w:t>64,324.30</w:t>
            </w: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 xml:space="preserve">　　可随时用于支付的银行存款</w:t>
            </w:r>
          </w:p>
        </w:tc>
        <w:tc>
          <w:tcPr>
            <w:tcW w:w="1614" w:type="pct"/>
            <w:shd w:val="clear" w:color="auto" w:fill="auto"/>
            <w:vAlign w:val="bottom"/>
          </w:tcPr>
          <w:p w:rsidR="00597370" w:rsidRDefault="003C2EEE">
            <w:pPr>
              <w:jc w:val="right"/>
              <w:rPr>
                <w:rFonts w:asciiTheme="minorEastAsia" w:eastAsiaTheme="minorEastAsia" w:hAnsiTheme="minorEastAsia"/>
              </w:rPr>
            </w:pPr>
            <w:r>
              <w:t>878,789,813.39</w:t>
            </w:r>
          </w:p>
        </w:tc>
        <w:tc>
          <w:tcPr>
            <w:tcW w:w="1511" w:type="pct"/>
            <w:shd w:val="clear" w:color="auto" w:fill="auto"/>
          </w:tcPr>
          <w:p w:rsidR="00597370" w:rsidRDefault="003C2EEE">
            <w:pPr>
              <w:jc w:val="right"/>
              <w:rPr>
                <w:rFonts w:asciiTheme="minorEastAsia" w:eastAsiaTheme="minorEastAsia" w:hAnsiTheme="minorEastAsia"/>
              </w:rPr>
            </w:pPr>
            <w:r>
              <w:rPr>
                <w:rFonts w:asciiTheme="minorEastAsia" w:eastAsiaTheme="minorEastAsia" w:hAnsiTheme="minorEastAsia"/>
              </w:rPr>
              <w:t>1,226,578,330.90</w:t>
            </w: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 xml:space="preserve">　　可随时用于支付的其他货币资金</w:t>
            </w:r>
          </w:p>
        </w:tc>
        <w:tc>
          <w:tcPr>
            <w:tcW w:w="1614" w:type="pct"/>
            <w:shd w:val="clear" w:color="auto" w:fill="auto"/>
            <w:vAlign w:val="bottom"/>
          </w:tcPr>
          <w:p w:rsidR="00597370" w:rsidRDefault="003C2EEE">
            <w:pPr>
              <w:jc w:val="right"/>
              <w:rPr>
                <w:rFonts w:asciiTheme="minorEastAsia" w:eastAsiaTheme="minorEastAsia" w:hAnsiTheme="minorEastAsia"/>
              </w:rPr>
            </w:pPr>
            <w:r>
              <w:t xml:space="preserve"> 2,027.98 </w:t>
            </w:r>
          </w:p>
        </w:tc>
        <w:tc>
          <w:tcPr>
            <w:tcW w:w="1511" w:type="pct"/>
            <w:shd w:val="clear" w:color="auto" w:fill="auto"/>
          </w:tcPr>
          <w:p w:rsidR="00597370" w:rsidRDefault="00597370">
            <w:pPr>
              <w:jc w:val="right"/>
              <w:rPr>
                <w:rFonts w:asciiTheme="minorEastAsia" w:eastAsiaTheme="minorEastAsia" w:hAnsiTheme="minorEastAsia"/>
              </w:rPr>
            </w:pP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 xml:space="preserve">　　可用于支付的存放中央银行款项</w:t>
            </w:r>
          </w:p>
        </w:tc>
        <w:tc>
          <w:tcPr>
            <w:tcW w:w="1614" w:type="pct"/>
            <w:shd w:val="clear" w:color="auto" w:fill="auto"/>
            <w:vAlign w:val="bottom"/>
          </w:tcPr>
          <w:p w:rsidR="00597370" w:rsidRDefault="00597370">
            <w:pPr>
              <w:jc w:val="right"/>
              <w:rPr>
                <w:rFonts w:asciiTheme="minorEastAsia" w:eastAsiaTheme="minorEastAsia" w:hAnsiTheme="minorEastAsia"/>
              </w:rPr>
            </w:pPr>
          </w:p>
        </w:tc>
        <w:tc>
          <w:tcPr>
            <w:tcW w:w="1511" w:type="pct"/>
            <w:shd w:val="clear" w:color="auto" w:fill="auto"/>
          </w:tcPr>
          <w:p w:rsidR="00597370" w:rsidRDefault="00597370">
            <w:pPr>
              <w:jc w:val="right"/>
              <w:rPr>
                <w:rFonts w:asciiTheme="minorEastAsia" w:eastAsiaTheme="minorEastAsia" w:hAnsiTheme="minorEastAsia"/>
              </w:rPr>
            </w:pP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 xml:space="preserve">　　存放同业款项</w:t>
            </w:r>
          </w:p>
        </w:tc>
        <w:tc>
          <w:tcPr>
            <w:tcW w:w="1614" w:type="pct"/>
            <w:shd w:val="clear" w:color="auto" w:fill="auto"/>
            <w:vAlign w:val="bottom"/>
          </w:tcPr>
          <w:p w:rsidR="00597370" w:rsidRDefault="00597370">
            <w:pPr>
              <w:jc w:val="right"/>
              <w:rPr>
                <w:rFonts w:asciiTheme="minorEastAsia" w:eastAsiaTheme="minorEastAsia" w:hAnsiTheme="minorEastAsia"/>
              </w:rPr>
            </w:pPr>
          </w:p>
        </w:tc>
        <w:tc>
          <w:tcPr>
            <w:tcW w:w="1511" w:type="pct"/>
            <w:shd w:val="clear" w:color="auto" w:fill="auto"/>
          </w:tcPr>
          <w:p w:rsidR="00597370" w:rsidRDefault="00597370">
            <w:pPr>
              <w:jc w:val="right"/>
              <w:rPr>
                <w:rFonts w:asciiTheme="minorEastAsia" w:eastAsiaTheme="minorEastAsia" w:hAnsiTheme="minorEastAsia"/>
              </w:rPr>
            </w:pP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 xml:space="preserve">　　拆放同业款项</w:t>
            </w:r>
          </w:p>
        </w:tc>
        <w:tc>
          <w:tcPr>
            <w:tcW w:w="1614" w:type="pct"/>
            <w:shd w:val="clear" w:color="auto" w:fill="auto"/>
            <w:vAlign w:val="bottom"/>
          </w:tcPr>
          <w:p w:rsidR="00597370" w:rsidRDefault="00597370">
            <w:pPr>
              <w:jc w:val="right"/>
              <w:rPr>
                <w:rFonts w:asciiTheme="minorEastAsia" w:eastAsiaTheme="minorEastAsia" w:hAnsiTheme="minorEastAsia"/>
              </w:rPr>
            </w:pPr>
          </w:p>
        </w:tc>
        <w:tc>
          <w:tcPr>
            <w:tcW w:w="1511" w:type="pct"/>
            <w:shd w:val="clear" w:color="auto" w:fill="auto"/>
          </w:tcPr>
          <w:p w:rsidR="00597370" w:rsidRDefault="00597370">
            <w:pPr>
              <w:jc w:val="right"/>
              <w:rPr>
                <w:rFonts w:asciiTheme="minorEastAsia" w:eastAsiaTheme="minorEastAsia" w:hAnsiTheme="minorEastAsia"/>
              </w:rPr>
            </w:pP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二、现金等价物</w:t>
            </w:r>
          </w:p>
        </w:tc>
        <w:tc>
          <w:tcPr>
            <w:tcW w:w="1614" w:type="pct"/>
            <w:shd w:val="clear" w:color="auto" w:fill="auto"/>
            <w:vAlign w:val="bottom"/>
          </w:tcPr>
          <w:p w:rsidR="00597370" w:rsidRDefault="00597370">
            <w:pPr>
              <w:jc w:val="right"/>
              <w:rPr>
                <w:rFonts w:asciiTheme="minorEastAsia" w:eastAsiaTheme="minorEastAsia" w:hAnsiTheme="minorEastAsia"/>
              </w:rPr>
            </w:pPr>
          </w:p>
        </w:tc>
        <w:tc>
          <w:tcPr>
            <w:tcW w:w="1511" w:type="pct"/>
            <w:shd w:val="clear" w:color="auto" w:fill="auto"/>
          </w:tcPr>
          <w:p w:rsidR="00597370" w:rsidRDefault="00597370">
            <w:pPr>
              <w:jc w:val="right"/>
              <w:rPr>
                <w:rFonts w:asciiTheme="minorEastAsia" w:eastAsiaTheme="minorEastAsia" w:hAnsiTheme="minorEastAsia"/>
              </w:rPr>
            </w:pPr>
          </w:p>
        </w:tc>
      </w:tr>
      <w:tr w:rsidR="00597370">
        <w:trPr>
          <w:trHeight w:val="285"/>
        </w:trPr>
        <w:tc>
          <w:tcPr>
            <w:tcW w:w="1875" w:type="pct"/>
            <w:tcBorders>
              <w:bottom w:val="single" w:sz="4" w:space="0" w:color="auto"/>
            </w:tcBorders>
            <w:shd w:val="clear" w:color="auto" w:fill="auto"/>
            <w:vAlign w:val="center"/>
          </w:tcPr>
          <w:p w:rsidR="00597370" w:rsidRDefault="003C2EEE">
            <w:pPr>
              <w:rPr>
                <w:color w:val="000000" w:themeColor="text1"/>
              </w:rPr>
            </w:pPr>
            <w:r>
              <w:rPr>
                <w:rFonts w:hint="eastAsia"/>
                <w:color w:val="000000" w:themeColor="text1"/>
              </w:rPr>
              <w:t>其中：三个月内到期的债券投资</w:t>
            </w:r>
          </w:p>
        </w:tc>
        <w:tc>
          <w:tcPr>
            <w:tcW w:w="1614" w:type="pct"/>
            <w:tcBorders>
              <w:bottom w:val="single" w:sz="4" w:space="0" w:color="auto"/>
            </w:tcBorders>
            <w:shd w:val="clear" w:color="auto" w:fill="auto"/>
            <w:vAlign w:val="bottom"/>
          </w:tcPr>
          <w:p w:rsidR="00597370" w:rsidRDefault="00597370">
            <w:pPr>
              <w:jc w:val="right"/>
              <w:rPr>
                <w:rFonts w:asciiTheme="minorEastAsia" w:eastAsiaTheme="minorEastAsia" w:hAnsiTheme="minorEastAsia"/>
              </w:rPr>
            </w:pPr>
          </w:p>
        </w:tc>
        <w:tc>
          <w:tcPr>
            <w:tcW w:w="1511" w:type="pct"/>
            <w:tcBorders>
              <w:bottom w:val="single" w:sz="4" w:space="0" w:color="auto"/>
            </w:tcBorders>
            <w:shd w:val="clear" w:color="auto" w:fill="auto"/>
          </w:tcPr>
          <w:p w:rsidR="00597370" w:rsidRDefault="00597370">
            <w:pPr>
              <w:jc w:val="right"/>
              <w:rPr>
                <w:rFonts w:asciiTheme="minorEastAsia" w:eastAsiaTheme="minorEastAsia" w:hAnsiTheme="minorEastAsia"/>
              </w:rPr>
            </w:pP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三、期末现金及现金等价物余额</w:t>
            </w:r>
          </w:p>
        </w:tc>
        <w:tc>
          <w:tcPr>
            <w:tcW w:w="1614" w:type="pct"/>
            <w:shd w:val="clear" w:color="auto" w:fill="auto"/>
            <w:vAlign w:val="bottom"/>
          </w:tcPr>
          <w:p w:rsidR="00597370" w:rsidRDefault="003C2EEE">
            <w:pPr>
              <w:jc w:val="right"/>
              <w:rPr>
                <w:rFonts w:asciiTheme="minorEastAsia" w:eastAsiaTheme="minorEastAsia" w:hAnsiTheme="minorEastAsia"/>
              </w:rPr>
            </w:pPr>
            <w:r>
              <w:t>878,823,115.67</w:t>
            </w:r>
          </w:p>
        </w:tc>
        <w:tc>
          <w:tcPr>
            <w:tcW w:w="1511" w:type="pct"/>
            <w:shd w:val="clear" w:color="auto" w:fill="auto"/>
          </w:tcPr>
          <w:p w:rsidR="00597370" w:rsidRDefault="003C2EEE">
            <w:pPr>
              <w:jc w:val="right"/>
              <w:rPr>
                <w:rFonts w:asciiTheme="minorEastAsia" w:eastAsiaTheme="minorEastAsia" w:hAnsiTheme="minorEastAsia"/>
              </w:rPr>
            </w:pPr>
            <w:r>
              <w:rPr>
                <w:rFonts w:asciiTheme="minorEastAsia" w:eastAsiaTheme="minorEastAsia" w:hAnsiTheme="minorEastAsia"/>
              </w:rPr>
              <w:t>1,226,642,655.20</w:t>
            </w:r>
          </w:p>
        </w:tc>
      </w:tr>
      <w:tr w:rsidR="00597370">
        <w:trPr>
          <w:trHeight w:val="285"/>
        </w:trPr>
        <w:tc>
          <w:tcPr>
            <w:tcW w:w="1875" w:type="pct"/>
            <w:shd w:val="clear" w:color="auto" w:fill="auto"/>
            <w:vAlign w:val="center"/>
          </w:tcPr>
          <w:p w:rsidR="00597370" w:rsidRDefault="003C2EEE">
            <w:pPr>
              <w:rPr>
                <w:color w:val="000000" w:themeColor="text1"/>
              </w:rPr>
            </w:pPr>
            <w:r>
              <w:rPr>
                <w:rFonts w:hint="eastAsia"/>
                <w:color w:val="000000" w:themeColor="text1"/>
              </w:rPr>
              <w:t>其中：母公司或集团内子公司使用受限制的现金和现金等价物</w:t>
            </w:r>
          </w:p>
        </w:tc>
        <w:tc>
          <w:tcPr>
            <w:tcW w:w="1614" w:type="pct"/>
            <w:shd w:val="clear" w:color="auto" w:fill="auto"/>
          </w:tcPr>
          <w:p w:rsidR="00597370" w:rsidRDefault="00597370">
            <w:pPr>
              <w:jc w:val="right"/>
            </w:pPr>
          </w:p>
        </w:tc>
        <w:tc>
          <w:tcPr>
            <w:tcW w:w="1511" w:type="pct"/>
            <w:shd w:val="clear" w:color="auto" w:fill="auto"/>
          </w:tcPr>
          <w:p w:rsidR="00597370" w:rsidRDefault="00597370">
            <w:pPr>
              <w:jc w:val="right"/>
            </w:pPr>
          </w:p>
        </w:tc>
      </w:tr>
    </w:tbl>
    <w:p w:rsidR="00597370" w:rsidRDefault="00597370">
      <w:pPr>
        <w:rPr>
          <w:color w:val="000000" w:themeColor="text1"/>
        </w:rPr>
      </w:pPr>
    </w:p>
    <w:p w:rsidR="00597370" w:rsidRDefault="003C2EEE">
      <w:pPr>
        <w:pStyle w:val="Style110"/>
        <w:numPr>
          <w:ilvl w:val="0"/>
          <w:numId w:val="87"/>
        </w:numPr>
        <w:rPr>
          <w:rFonts w:ascii="宋体" w:hAnsi="宋体"/>
          <w:color w:val="000000" w:themeColor="text1"/>
        </w:rPr>
      </w:pPr>
      <w:bookmarkStart w:id="363" w:name="_Hlk167970923"/>
      <w:r>
        <w:rPr>
          <w:rFonts w:ascii="宋体" w:hAnsi="宋体" w:hint="eastAsia"/>
          <w:color w:val="000000" w:themeColor="text1"/>
        </w:rPr>
        <w:t>使用范围受限但仍作为现金和现金等价物列示的情况</w:t>
      </w:r>
    </w:p>
    <w:sdt>
      <w:sdtPr>
        <w:rPr>
          <w:color w:val="000000" w:themeColor="text1"/>
        </w:rPr>
        <w:alias w:val="是否适用：使用范围受限但仍作为现金和现金等价物列示的情况[双击切换]"/>
        <w:tag w:val="_GBC_dcbbdbc5a8524c8299b810908077aebe"/>
        <w:id w:val="-5701243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7"/>
        </w:numPr>
        <w:rPr>
          <w:rFonts w:ascii="宋体" w:hAnsi="宋体"/>
          <w:color w:val="000000" w:themeColor="text1"/>
        </w:rPr>
      </w:pPr>
      <w:r>
        <w:rPr>
          <w:rFonts w:ascii="宋体" w:hAnsi="宋体" w:hint="eastAsia"/>
          <w:color w:val="000000" w:themeColor="text1"/>
        </w:rPr>
        <w:t>不属于现金及现金等价物的货币资金</w:t>
      </w:r>
    </w:p>
    <w:sdt>
      <w:sdtPr>
        <w:rPr>
          <w:color w:val="000000" w:themeColor="text1"/>
        </w:rPr>
        <w:alias w:val="是否适用：不属于现金及现金等价物的货币资金[双击切换]"/>
        <w:tag w:val="_GBC_191a966fa63441a7bf4a17ba6bb3802a"/>
        <w:id w:val="-62053261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63"/>
    <w:p w:rsidR="00597370" w:rsidRDefault="003C2EEE">
      <w:pPr>
        <w:spacing w:before="60" w:after="60"/>
        <w:rPr>
          <w:color w:val="000000" w:themeColor="text1"/>
        </w:rPr>
      </w:pPr>
      <w:r>
        <w:rPr>
          <w:rFonts w:hint="eastAsia"/>
          <w:color w:val="000000" w:themeColor="text1"/>
        </w:rPr>
        <w:t>其他说明：</w:t>
      </w:r>
    </w:p>
    <w:sdt>
      <w:sdtPr>
        <w:rPr>
          <w:color w:val="000000" w:themeColor="text1"/>
        </w:rPr>
        <w:alias w:val="是否适用：现金流量表补充资料的说明[双击切换]"/>
        <w:tag w:val="_GBC_2212775a699e4804b260767f3ce34d12"/>
        <w:id w:val="-294070985"/>
        <w:placeholder>
          <w:docPart w:val="GBC22222222222222222222222222222"/>
        </w:placeholder>
      </w:sdtPr>
      <w:sdtEndPr/>
      <w:sdtContent>
        <w:p w:rsidR="00597370" w:rsidRDefault="003C2EEE">
          <w:pPr>
            <w:spacing w:before="60" w:after="60"/>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r>
        <w:rPr>
          <w:rFonts w:ascii="宋体" w:hAnsi="宋体" w:hint="eastAsia"/>
          <w:color w:val="000000" w:themeColor="text1"/>
          <w:szCs w:val="21"/>
        </w:rPr>
        <w:t>所有者权益变动</w:t>
      </w:r>
      <w:proofErr w:type="gramStart"/>
      <w:r>
        <w:rPr>
          <w:rFonts w:ascii="宋体" w:hAnsi="宋体" w:hint="eastAsia"/>
          <w:color w:val="000000" w:themeColor="text1"/>
          <w:szCs w:val="21"/>
        </w:rPr>
        <w:t>表项目</w:t>
      </w:r>
      <w:proofErr w:type="gramEnd"/>
      <w:r>
        <w:rPr>
          <w:rFonts w:ascii="宋体" w:hAnsi="宋体" w:hint="eastAsia"/>
          <w:color w:val="000000" w:themeColor="text1"/>
          <w:szCs w:val="21"/>
        </w:rPr>
        <w:t>注释</w:t>
      </w:r>
    </w:p>
    <w:p w:rsidR="00597370" w:rsidRDefault="003C2EEE">
      <w:pPr>
        <w:rPr>
          <w:color w:val="000000" w:themeColor="text1"/>
        </w:rPr>
      </w:pPr>
      <w:r>
        <w:rPr>
          <w:rFonts w:hint="eastAsia"/>
          <w:color w:val="000000" w:themeColor="text1"/>
        </w:rPr>
        <w:t>说明</w:t>
      </w:r>
      <w:proofErr w:type="gramStart"/>
      <w:r>
        <w:rPr>
          <w:rFonts w:hint="eastAsia"/>
          <w:color w:val="000000" w:themeColor="text1"/>
        </w:rPr>
        <w:t>对上年</w:t>
      </w:r>
      <w:proofErr w:type="gramEnd"/>
      <w:r>
        <w:rPr>
          <w:rFonts w:hint="eastAsia"/>
          <w:color w:val="000000" w:themeColor="text1"/>
        </w:rPr>
        <w:t>期末余额进行调整的“其他”项目名称及调整金额等事项：</w:t>
      </w:r>
    </w:p>
    <w:sdt>
      <w:sdtPr>
        <w:rPr>
          <w:color w:val="000000" w:themeColor="text1"/>
        </w:rPr>
        <w:alias w:val="是否适用：所有者权益变动表项目注释[双击切换]"/>
        <w:tag w:val="_GBC_61e84760a3fd4a58bb2421e95114d9b8"/>
        <w:id w:val="-6618409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szCs w:val="21"/>
        </w:rPr>
      </w:pPr>
      <w:bookmarkStart w:id="364" w:name="_Hlk42158948"/>
      <w:r>
        <w:rPr>
          <w:rFonts w:ascii="宋体" w:hAnsi="宋体" w:hint="eastAsia"/>
          <w:color w:val="000000" w:themeColor="text1"/>
          <w:szCs w:val="21"/>
        </w:rPr>
        <w:lastRenderedPageBreak/>
        <w:t>外币货币性项目</w:t>
      </w:r>
    </w:p>
    <w:p w:rsidR="00597370" w:rsidRDefault="003C2EEE">
      <w:pPr>
        <w:pStyle w:val="Style110"/>
        <w:numPr>
          <w:ilvl w:val="0"/>
          <w:numId w:val="88"/>
        </w:numPr>
        <w:rPr>
          <w:b w:val="0"/>
          <w:bCs w:val="0"/>
          <w:color w:val="000000" w:themeColor="text1"/>
        </w:rPr>
      </w:pPr>
      <w:r>
        <w:rPr>
          <w:rStyle w:val="Style145"/>
          <w:rFonts w:ascii="宋体" w:hAnsi="宋体" w:hint="eastAsia"/>
          <w:b/>
          <w:color w:val="000000" w:themeColor="text1"/>
          <w:szCs w:val="21"/>
        </w:rPr>
        <w:t>外币货币性项目</w:t>
      </w:r>
    </w:p>
    <w:sdt>
      <w:sdtPr>
        <w:rPr>
          <w:color w:val="000000" w:themeColor="text1"/>
        </w:rPr>
        <w:alias w:val="是否适用：外币货币性项目[双击切换]"/>
        <w:tag w:val="_GBC_7b0870ec262840d78495babcff3639aa"/>
        <w:id w:val="-139996546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外币货币性项目"/>
          <w:tag w:val="_GBC_52ed5330bd884651892991446f0f1ae0"/>
          <w:id w:val="16879412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1998"/>
        <w:gridCol w:w="2006"/>
        <w:gridCol w:w="1994"/>
      </w:tblGrid>
      <w:tr w:rsidR="00597370">
        <w:sdt>
          <w:sdtPr>
            <w:rPr>
              <w:color w:val="000000" w:themeColor="text1"/>
            </w:rPr>
            <w:tag w:val="_PLD_28ce5153e9cf4914a550a6d253e7c465"/>
            <w:id w:val="126588786"/>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295b6f310e534b62bde0e2c632482ed9"/>
            <w:id w:val="1430083374"/>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期末外币余额</w:t>
                </w:r>
              </w:p>
            </w:tc>
          </w:sdtContent>
        </w:sdt>
        <w:sdt>
          <w:sdtPr>
            <w:rPr>
              <w:color w:val="000000" w:themeColor="text1"/>
            </w:rPr>
            <w:tag w:val="_PLD_aa43af2545cb40668f2670b6f1569a92"/>
            <w:id w:val="-865143509"/>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折算汇率</w:t>
                </w:r>
              </w:p>
            </w:tc>
          </w:sdtContent>
        </w:sdt>
        <w:sdt>
          <w:sdtPr>
            <w:rPr>
              <w:color w:val="000000" w:themeColor="text1"/>
            </w:rPr>
            <w:tag w:val="_PLD_8cdd9579b3964f01966c0b0c4cbacb2f"/>
            <w:id w:val="-368071880"/>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期末折算人民币</w:t>
                </w:r>
              </w:p>
              <w:p w:rsidR="00597370" w:rsidRDefault="003C2EEE">
                <w:pPr>
                  <w:jc w:val="center"/>
                  <w:rPr>
                    <w:color w:val="000000" w:themeColor="text1"/>
                  </w:rPr>
                </w:pPr>
                <w:r>
                  <w:rPr>
                    <w:rFonts w:hint="eastAsia"/>
                    <w:color w:val="000000" w:themeColor="text1"/>
                  </w:rPr>
                  <w:t>余额</w:t>
                </w:r>
              </w:p>
            </w:tc>
          </w:sdtContent>
        </w:sdt>
      </w:tr>
      <w:tr w:rsidR="00597370">
        <w:tc>
          <w:tcPr>
            <w:tcW w:w="160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color w:val="000000" w:themeColor="text1"/>
              </w:rPr>
              <w:t>货币资金</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color w:val="000000" w:themeColor="text1"/>
              </w:rPr>
            </w:pPr>
            <w:r>
              <w:rPr>
                <w:color w:val="000000" w:themeColor="text1"/>
              </w:rP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color w:val="000000" w:themeColor="text1"/>
              </w:rPr>
            </w:pPr>
            <w:r>
              <w:rPr>
                <w:rFonts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r>
      <w:tr w:rsidR="00597370">
        <w:tc>
          <w:tcPr>
            <w:tcW w:w="160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其中：</w:t>
            </w:r>
            <w:sdt>
              <w:sdtPr>
                <w:rPr>
                  <w:color w:val="000000" w:themeColor="text1"/>
                </w:rPr>
                <w:alias w:val="以外币核算的币种明细-币种名称"/>
                <w:tag w:val="_GBC_21765b5e64364f62971250478e4ff572"/>
                <w:id w:val="-44068701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Pr>
                    <w:rFonts w:hint="eastAsia"/>
                    <w:color w:val="000000" w:themeColor="text1"/>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3,289.36</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7.1268</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23,442.61</w:t>
            </w:r>
          </w:p>
        </w:tc>
      </w:tr>
      <w:tr w:rsidR="00597370">
        <w:tc>
          <w:tcPr>
            <w:tcW w:w="160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pStyle w:val="Style106"/>
            </w:pPr>
            <w:r>
              <w:t>应收账款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color w:val="000000" w:themeColor="text1"/>
              </w:rPr>
            </w:pPr>
            <w:r>
              <w:rPr>
                <w:rFonts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color w:val="000000" w:themeColor="text1"/>
              </w:rPr>
            </w:pPr>
            <w:r>
              <w:rPr>
                <w:rFonts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r>
      <w:tr w:rsidR="00597370">
        <w:tc>
          <w:tcPr>
            <w:tcW w:w="160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其中：</w:t>
            </w:r>
            <w:sdt>
              <w:sdtPr>
                <w:alias w:val="以外币核算的币种明细-币种名称"/>
                <w:tag w:val="_GBC_21765b5e64364f62971250478e4ff572"/>
                <w:id w:val="1758791572"/>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Pr>
                    <w:rFonts w:hint="eastAsia"/>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1,316,770.39</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7.1268</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9,384,359.23</w:t>
            </w:r>
          </w:p>
        </w:tc>
      </w:tr>
      <w:tr w:rsidR="00597370">
        <w:tc>
          <w:tcPr>
            <w:tcW w:w="160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pStyle w:val="Style106"/>
            </w:pPr>
            <w:r>
              <w:rPr>
                <w:rFonts w:hint="eastAsia"/>
              </w:rPr>
              <w:t>应付账款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color w:val="000000" w:themeColor="text1"/>
              </w:rPr>
            </w:pPr>
            <w:r>
              <w:rPr>
                <w:rFonts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color w:val="000000" w:themeColor="text1"/>
              </w:rPr>
            </w:pPr>
            <w:r>
              <w:rPr>
                <w:rFonts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r>
      <w:tr w:rsidR="00597370">
        <w:tc>
          <w:tcPr>
            <w:tcW w:w="160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其中：</w:t>
            </w:r>
            <w:sdt>
              <w:sdtPr>
                <w:alias w:val="以外币核算的币种明细-币种名称"/>
                <w:tag w:val="_GBC_21765b5e64364f62971250478e4ff572"/>
                <w:id w:val="-11537633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Pr>
                    <w:rFonts w:hint="eastAsia"/>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260,967.69</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7.1268</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1,859,864.53</w:t>
            </w:r>
          </w:p>
        </w:tc>
      </w:tr>
      <w:tr w:rsidR="00597370">
        <w:tc>
          <w:tcPr>
            <w:tcW w:w="160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t xml:space="preserve">　　　</w:t>
            </w:r>
            <w:sdt>
              <w:sdtPr>
                <w:alias w:val="以外币核算的币种明细-币种名称"/>
                <w:tag w:val="_GBC_21765b5e64364f62971250478e4ff572"/>
                <w:id w:val="96092664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Pr>
                    <w:rFonts w:hint="eastAsia"/>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850,782.20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7.6617</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t>6,518,437.98</w:t>
            </w:r>
          </w:p>
        </w:tc>
      </w:tr>
    </w:tbl>
    <w:p w:rsidR="00597370" w:rsidRDefault="003C2EEE">
      <w:pPr>
        <w:spacing w:before="60" w:after="60"/>
        <w:rPr>
          <w:color w:val="000000" w:themeColor="text1"/>
        </w:rPr>
      </w:pPr>
      <w:r>
        <w:rPr>
          <w:rFonts w:hint="eastAsia"/>
          <w:color w:val="000000" w:themeColor="text1"/>
        </w:rPr>
        <w:t>其他说明：</w:t>
      </w:r>
    </w:p>
    <w:sdt>
      <w:sdtPr>
        <w:rPr>
          <w:color w:val="000000" w:themeColor="text1"/>
        </w:rPr>
        <w:alias w:val="外币货币性项目的其他说明"/>
        <w:tag w:val="_GBC_a16b850d98e24762adbee5a1d5628893"/>
        <w:id w:val="2020188593"/>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10"/>
        <w:numPr>
          <w:ilvl w:val="0"/>
          <w:numId w:val="88"/>
        </w:numPr>
        <w:rPr>
          <w:b w:val="0"/>
          <w:bCs w:val="0"/>
          <w:color w:val="000000" w:themeColor="text1"/>
        </w:rPr>
      </w:pPr>
      <w:r>
        <w:rPr>
          <w:rStyle w:val="Style145"/>
          <w:rFonts w:ascii="宋体" w:hAnsi="宋体" w:hint="eastAsia"/>
          <w:b/>
          <w:color w:val="000000" w:themeColor="text1"/>
          <w:szCs w:val="21"/>
        </w:rPr>
        <w:t>境外经营实体说明，包括对于重要的境外经营实体，应披露其境外主要经营地、记账本位币及选择依据，记账本位币发生变化的还应披露原因</w:t>
      </w:r>
    </w:p>
    <w:p w:rsidR="00597370" w:rsidRDefault="006840ED">
      <w:pPr>
        <w:rPr>
          <w:color w:val="000000" w:themeColor="text1"/>
        </w:rPr>
      </w:pPr>
      <w:sdt>
        <w:sdtPr>
          <w:rPr>
            <w:color w:val="000000" w:themeColor="text1"/>
          </w:rPr>
          <w:alias w:val="是否适用：境外经营实体主要报表项目的折算汇率[双击切换]"/>
          <w:tag w:val="_GBC_4ad16f5c306d4c6ead144dfd007fb925"/>
          <w:id w:val="1433945124"/>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pStyle w:val="Style109"/>
        <w:numPr>
          <w:ilvl w:val="0"/>
          <w:numId w:val="46"/>
        </w:numPr>
        <w:tabs>
          <w:tab w:val="left" w:pos="504"/>
        </w:tabs>
        <w:ind w:left="450" w:hanging="450"/>
        <w:rPr>
          <w:rFonts w:ascii="宋体" w:hAnsi="宋体"/>
          <w:color w:val="000000" w:themeColor="text1"/>
          <w:szCs w:val="21"/>
        </w:rPr>
      </w:pPr>
      <w:bookmarkStart w:id="365" w:name="_Hlk167971524"/>
      <w:bookmarkEnd w:id="364"/>
      <w:r>
        <w:rPr>
          <w:rFonts w:ascii="宋体" w:hAnsi="宋体" w:hint="eastAsia"/>
          <w:color w:val="000000" w:themeColor="text1"/>
          <w:szCs w:val="21"/>
        </w:rPr>
        <w:t>租赁</w:t>
      </w:r>
    </w:p>
    <w:p w:rsidR="00597370" w:rsidRDefault="003C2EEE">
      <w:pPr>
        <w:pStyle w:val="Style110"/>
        <w:numPr>
          <w:ilvl w:val="0"/>
          <w:numId w:val="89"/>
        </w:numPr>
        <w:ind w:left="0" w:firstLine="0"/>
        <w:rPr>
          <w:color w:val="000000" w:themeColor="text1"/>
        </w:rPr>
      </w:pPr>
      <w:r>
        <w:rPr>
          <w:color w:val="000000" w:themeColor="text1"/>
        </w:rPr>
        <w:t>作为承租人</w:t>
      </w:r>
    </w:p>
    <w:sdt>
      <w:sdtPr>
        <w:rPr>
          <w:color w:val="000000" w:themeColor="text1"/>
        </w:rPr>
        <w:alias w:val="是否适用：作为承租人[双击切换]"/>
        <w:tag w:val="_GBC_1a127bd18c664ed8bca6a513c43f1fa2"/>
        <w:id w:val="1794861923"/>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未纳入租赁负债计量的可变租赁付款额</w:t>
      </w:r>
    </w:p>
    <w:sdt>
      <w:sdtPr>
        <w:rPr>
          <w:color w:val="000000" w:themeColor="text1"/>
        </w:rPr>
        <w:alias w:val="是否适用：未纳入租赁负债计量的可变租赁付款额[双击切换]"/>
        <w:tag w:val="_GBC_bd2e1ace9f86422a8f860b71955642d7"/>
        <w:id w:val="-57373618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3C2EEE">
      <w:pPr>
        <w:rPr>
          <w:color w:val="000000" w:themeColor="text1"/>
        </w:rPr>
      </w:pPr>
      <w:r>
        <w:rPr>
          <w:rFonts w:hint="eastAsia"/>
          <w:color w:val="000000" w:themeColor="text1"/>
        </w:rPr>
        <w:t>简化处理的短期租赁或低价值资产的租赁费用</w:t>
      </w:r>
    </w:p>
    <w:sdt>
      <w:sdtPr>
        <w:rPr>
          <w:color w:val="000000" w:themeColor="text1"/>
        </w:rPr>
        <w:alias w:val="是否适用：简化处理的短期租赁或低价值资产的租赁费用[双击切换]"/>
        <w:tag w:val="_GBC_f3c273f8bb6d4e099c00c1591f5a5a4f"/>
        <w:id w:val="211401020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简化处理的短期租赁或低价值资产的租赁费用"/>
        <w:tag w:val="_GBC_36bcbd6cb13f43938e3736b9a975fb9b"/>
        <w:id w:val="-1783257160"/>
        <w:placeholder>
          <w:docPart w:val="GBC22222222222222222222222222222"/>
        </w:placeholder>
      </w:sdtPr>
      <w:sdtEndPr/>
      <w:sdtContent>
        <w:p w:rsidR="00597370" w:rsidRDefault="003C2EEE">
          <w:pPr>
            <w:rPr>
              <w:color w:val="000000" w:themeColor="text1"/>
            </w:rPr>
          </w:pPr>
          <w:r>
            <w:rPr>
              <w:color w:val="000000" w:themeColor="text1"/>
            </w:rPr>
            <w:t xml:space="preserve">                                                                       </w:t>
          </w:r>
          <w:r>
            <w:rPr>
              <w:rFonts w:hint="eastAsia"/>
              <w:color w:val="000000" w:themeColor="text1"/>
            </w:rPr>
            <w:t>单位：元</w:t>
          </w:r>
        </w:p>
        <w:tbl>
          <w:tblPr>
            <w:tblStyle w:val="aff2"/>
            <w:tblW w:w="0" w:type="auto"/>
            <w:tblLook w:val="04A0" w:firstRow="1" w:lastRow="0" w:firstColumn="1" w:lastColumn="0" w:noHBand="0" w:noVBand="1"/>
          </w:tblPr>
          <w:tblGrid>
            <w:gridCol w:w="2941"/>
            <w:gridCol w:w="2941"/>
            <w:gridCol w:w="2941"/>
          </w:tblGrid>
          <w:tr w:rsidR="00597370">
            <w:tc>
              <w:tcPr>
                <w:tcW w:w="2941"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rPr>
                  <w:t>项目</w:t>
                </w:r>
              </w:p>
            </w:tc>
            <w:tc>
              <w:tcPr>
                <w:tcW w:w="2941" w:type="dxa"/>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rPr>
                  <w:t>本期发生额</w:t>
                </w:r>
              </w:p>
            </w:tc>
            <w:tc>
              <w:tcPr>
                <w:tcW w:w="2941" w:type="dxa"/>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rPr>
                  <w:t>上期发生额</w:t>
                </w:r>
              </w:p>
            </w:tc>
          </w:tr>
          <w:tr w:rsidR="00597370">
            <w:tc>
              <w:tcPr>
                <w:tcW w:w="2941" w:type="dxa"/>
                <w:vAlign w:val="center"/>
              </w:tcPr>
              <w:p w:rsidR="00597370" w:rsidRDefault="003C2EEE">
                <w:pPr>
                  <w:rPr>
                    <w:rFonts w:ascii="Times New Roman" w:hAnsi="Times New Roman"/>
                    <w:color w:val="000000" w:themeColor="text1"/>
                  </w:rPr>
                </w:pPr>
                <w:r>
                  <w:rPr>
                    <w:rFonts w:ascii="Times New Roman" w:hAnsi="Times New Roman" w:hint="eastAsia"/>
                    <w:color w:val="000000"/>
                  </w:rPr>
                  <w:t>租赁负债的利息</w:t>
                </w:r>
              </w:p>
            </w:tc>
            <w:tc>
              <w:tcPr>
                <w:tcW w:w="2941" w:type="dxa"/>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rPr>
                  <w:t>159,604.79</w:t>
                </w:r>
              </w:p>
            </w:tc>
            <w:tc>
              <w:tcPr>
                <w:tcW w:w="2941" w:type="dxa"/>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rPr>
                  <w:t>296,598.93</w:t>
                </w:r>
              </w:p>
            </w:tc>
          </w:tr>
          <w:tr w:rsidR="00597370">
            <w:tc>
              <w:tcPr>
                <w:tcW w:w="2941" w:type="dxa"/>
                <w:vAlign w:val="center"/>
              </w:tcPr>
              <w:p w:rsidR="00597370" w:rsidRDefault="003C2EEE">
                <w:pPr>
                  <w:rPr>
                    <w:rFonts w:ascii="Times New Roman" w:hAnsi="Times New Roman"/>
                    <w:color w:val="000000" w:themeColor="text1"/>
                  </w:rPr>
                </w:pPr>
                <w:r>
                  <w:rPr>
                    <w:rFonts w:ascii="Times New Roman" w:hAnsi="Times New Roman" w:hint="eastAsia"/>
                    <w:color w:val="000000"/>
                  </w:rPr>
                  <w:t>短期租赁费用</w:t>
                </w:r>
              </w:p>
            </w:tc>
            <w:tc>
              <w:tcPr>
                <w:tcW w:w="2941" w:type="dxa"/>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rPr>
                  <w:t>980,001.79</w:t>
                </w:r>
              </w:p>
            </w:tc>
            <w:tc>
              <w:tcPr>
                <w:tcW w:w="2941" w:type="dxa"/>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rPr>
                  <w:t>576,615.65</w:t>
                </w:r>
              </w:p>
            </w:tc>
          </w:tr>
        </w:tbl>
        <w:p w:rsidR="00597370" w:rsidRDefault="006840ED">
          <w:pPr>
            <w:rPr>
              <w:color w:val="000000" w:themeColor="text1"/>
            </w:rPr>
          </w:pPr>
        </w:p>
      </w:sdtContent>
    </w:sdt>
    <w:p w:rsidR="00597370" w:rsidRDefault="003C2EEE">
      <w:pPr>
        <w:rPr>
          <w:color w:val="000000" w:themeColor="text1"/>
        </w:rPr>
      </w:pPr>
      <w:r>
        <w:rPr>
          <w:rFonts w:hint="eastAsia"/>
          <w:color w:val="000000" w:themeColor="text1"/>
        </w:rPr>
        <w:t>售后租回交易及判断依据</w:t>
      </w:r>
    </w:p>
    <w:sdt>
      <w:sdtPr>
        <w:rPr>
          <w:color w:val="000000" w:themeColor="text1"/>
        </w:rPr>
        <w:alias w:val="是否适用：售后租回交易及判断依据[双击切换]"/>
        <w:tag w:val="_GBC_1ca4680bb4e9497e80b8d3a59c79d5a1"/>
        <w:id w:val="-134270681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与租赁相关的现金流出总额</w:t>
      </w:r>
      <w:sdt>
        <w:sdtPr>
          <w:rPr>
            <w:rFonts w:hint="eastAsia"/>
            <w:color w:val="000000" w:themeColor="text1"/>
          </w:rPr>
          <w:alias w:val="与租赁相关的现金流出总额"/>
          <w:tag w:val="_GBC_d78e0355036a45b9afc0eca5988d4956"/>
          <w:id w:val="-2137091877"/>
          <w:placeholder>
            <w:docPart w:val="GBC22222222222222222222222222222"/>
          </w:placeholder>
        </w:sdtPr>
        <w:sdtEndPr/>
        <w:sdtContent>
          <w:r>
            <w:rPr>
              <w:color w:val="000000" w:themeColor="text1"/>
            </w:rPr>
            <w:t>200.77</w:t>
          </w:r>
        </w:sdtContent>
      </w:sdt>
      <w:r>
        <w:rPr>
          <w:rFonts w:hint="eastAsia"/>
          <w:color w:val="000000" w:themeColor="text1"/>
        </w:rPr>
        <w:t>(单位：</w:t>
      </w:r>
      <w:sdt>
        <w:sdtPr>
          <w:rPr>
            <w:rFonts w:hint="eastAsia"/>
            <w:color w:val="000000" w:themeColor="text1"/>
          </w:rPr>
          <w:alias w:val="单位：与租赁相关的现金流出总额"/>
          <w:tag w:val="_GBC_57a12ad185f640248e4c9dce377f5f57"/>
          <w:id w:val="-203634244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与租赁相关的现金流出总额"/>
          <w:tag w:val="_GBC_a5553fa6fd6f4fefa66550584159c745"/>
          <w:id w:val="696254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rFonts w:hint="eastAsia"/>
          <w:color w:val="000000" w:themeColor="text1"/>
        </w:rPr>
        <w:t>)</w:t>
      </w:r>
    </w:p>
    <w:p w:rsidR="00597370" w:rsidRDefault="003C2EEE">
      <w:pPr>
        <w:pStyle w:val="Style110"/>
        <w:numPr>
          <w:ilvl w:val="0"/>
          <w:numId w:val="89"/>
        </w:numPr>
        <w:ind w:left="0" w:firstLine="0"/>
        <w:rPr>
          <w:color w:val="000000" w:themeColor="text1"/>
        </w:rPr>
      </w:pPr>
      <w:r>
        <w:rPr>
          <w:color w:val="000000" w:themeColor="text1"/>
        </w:rPr>
        <w:t>作为出租人</w:t>
      </w:r>
    </w:p>
    <w:p w:rsidR="00597370" w:rsidRDefault="003C2EEE">
      <w:pPr>
        <w:rPr>
          <w:color w:val="000000" w:themeColor="text1"/>
        </w:rPr>
      </w:pPr>
      <w:r>
        <w:rPr>
          <w:color w:val="000000" w:themeColor="text1"/>
        </w:rPr>
        <w:t>作为出租人的经营</w:t>
      </w:r>
      <w:r>
        <w:rPr>
          <w:rFonts w:hint="eastAsia"/>
          <w:color w:val="000000" w:themeColor="text1"/>
        </w:rPr>
        <w:t>租赁</w:t>
      </w:r>
    </w:p>
    <w:sdt>
      <w:sdtPr>
        <w:rPr>
          <w:rFonts w:hint="eastAsia"/>
          <w:color w:val="000000" w:themeColor="text1"/>
        </w:rPr>
        <w:alias w:val="是否适用：作为出租人的经营租赁[双击切换]"/>
        <w:tag w:val="_GBC_8caa55cbe72d4d8cacd2b07a9782c9d1"/>
        <w:id w:val="15046261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作为出租人的经营租赁"/>
          <w:tag w:val="_GBC_de6eb571fbe04adb9912546313da8056"/>
          <w:id w:val="294729515"/>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作为出租人的经营租赁"/>
          <w:tag w:val="_GBC_3b9dbcc6234241c6ad9c2cb82be0f4e6"/>
          <w:id w:val="-138918580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499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938"/>
        <w:gridCol w:w="2938"/>
      </w:tblGrid>
      <w:tr w:rsidR="00597370">
        <w:sdt>
          <w:sdtPr>
            <w:rPr>
              <w:rFonts w:hint="eastAsia"/>
              <w:color w:val="000000" w:themeColor="text1"/>
            </w:rPr>
            <w:tag w:val="_PLD_592ea8def48e4d70a449933471ee6d8a"/>
            <w:id w:val="-1295452865"/>
          </w:sdtPr>
          <w:sdtEndPr/>
          <w:sdtContent>
            <w:tc>
              <w:tcPr>
                <w:tcW w:w="1666" w:type="pc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fb99ae08176e462e8f93a77b1a3bf67d"/>
            <w:id w:val="-555628914"/>
          </w:sdtPr>
          <w:sdtEndPr/>
          <w:sdtContent>
            <w:tc>
              <w:tcPr>
                <w:tcW w:w="1667" w:type="pct"/>
                <w:shd w:val="clear" w:color="auto" w:fill="auto"/>
                <w:vAlign w:val="center"/>
              </w:tcPr>
              <w:p w:rsidR="00597370" w:rsidRDefault="003C2EEE">
                <w:pPr>
                  <w:jc w:val="center"/>
                  <w:rPr>
                    <w:color w:val="000000" w:themeColor="text1"/>
                  </w:rPr>
                </w:pPr>
                <w:r>
                  <w:rPr>
                    <w:color w:val="000000" w:themeColor="text1"/>
                  </w:rPr>
                  <w:t>租赁收入</w:t>
                </w:r>
              </w:p>
            </w:tc>
          </w:sdtContent>
        </w:sdt>
        <w:sdt>
          <w:sdtPr>
            <w:rPr>
              <w:color w:val="000000" w:themeColor="text1"/>
            </w:rPr>
            <w:tag w:val="_PLD_b7054994bc594c33a61db80ee6e9bd3d"/>
            <w:id w:val="-1356723343"/>
          </w:sdtPr>
          <w:sdtEndPr/>
          <w:sdtContent>
            <w:tc>
              <w:tcPr>
                <w:tcW w:w="1667" w:type="pct"/>
                <w:shd w:val="clear" w:color="auto" w:fill="auto"/>
                <w:vAlign w:val="center"/>
              </w:tcPr>
              <w:p w:rsidR="00597370" w:rsidRDefault="003C2EEE">
                <w:pPr>
                  <w:jc w:val="center"/>
                  <w:rPr>
                    <w:color w:val="000000" w:themeColor="text1"/>
                  </w:rPr>
                </w:pPr>
                <w:r>
                  <w:rPr>
                    <w:color w:val="000000" w:themeColor="text1"/>
                  </w:rPr>
                  <w:t>其中</w:t>
                </w:r>
                <w:r>
                  <w:rPr>
                    <w:rFonts w:hint="eastAsia"/>
                    <w:color w:val="000000" w:themeColor="text1"/>
                  </w:rPr>
                  <w:t>:</w:t>
                </w:r>
                <w:r>
                  <w:rPr>
                    <w:color w:val="000000" w:themeColor="text1"/>
                  </w:rPr>
                  <w:t>未计入</w:t>
                </w:r>
                <w:proofErr w:type="gramStart"/>
                <w:r>
                  <w:rPr>
                    <w:color w:val="000000" w:themeColor="text1"/>
                  </w:rPr>
                  <w:t>租赁收</w:t>
                </w:r>
                <w:proofErr w:type="gramEnd"/>
                <w:r>
                  <w:rPr>
                    <w:color w:val="000000" w:themeColor="text1"/>
                  </w:rPr>
                  <w:t>款额的可变租赁付款</w:t>
                </w:r>
                <w:proofErr w:type="gramStart"/>
                <w:r>
                  <w:rPr>
                    <w:color w:val="000000" w:themeColor="text1"/>
                  </w:rPr>
                  <w:t>额相关</w:t>
                </w:r>
                <w:proofErr w:type="gramEnd"/>
                <w:r>
                  <w:rPr>
                    <w:color w:val="000000" w:themeColor="text1"/>
                  </w:rPr>
                  <w:t>的收入</w:t>
                </w:r>
              </w:p>
            </w:tc>
          </w:sdtContent>
        </w:sdt>
      </w:tr>
      <w:tr w:rsidR="00597370">
        <w:tc>
          <w:tcPr>
            <w:tcW w:w="1666" w:type="pct"/>
            <w:shd w:val="clear" w:color="auto" w:fill="auto"/>
            <w:vAlign w:val="center"/>
          </w:tcPr>
          <w:p w:rsidR="00597370" w:rsidRDefault="003C2EEE">
            <w:pPr>
              <w:pStyle w:val="Style106"/>
            </w:pPr>
            <w:r>
              <w:rPr>
                <w:rFonts w:hint="eastAsia"/>
              </w:rPr>
              <w:t>经营租赁收入</w:t>
            </w:r>
          </w:p>
        </w:tc>
        <w:tc>
          <w:tcPr>
            <w:tcW w:w="1667" w:type="pct"/>
            <w:shd w:val="clear" w:color="auto" w:fill="auto"/>
            <w:vAlign w:val="center"/>
          </w:tcPr>
          <w:p w:rsidR="00597370" w:rsidRDefault="003C2EEE">
            <w:pPr>
              <w:jc w:val="right"/>
            </w:pPr>
            <w:r>
              <w:t>57.78</w:t>
            </w:r>
          </w:p>
        </w:tc>
        <w:tc>
          <w:tcPr>
            <w:tcW w:w="1667" w:type="pct"/>
            <w:shd w:val="clear" w:color="auto" w:fill="auto"/>
            <w:vAlign w:val="center"/>
          </w:tcPr>
          <w:p w:rsidR="00597370" w:rsidRDefault="003C2EEE">
            <w:pPr>
              <w:jc w:val="right"/>
            </w:pPr>
            <w:r>
              <w:rPr>
                <w:rFonts w:hint="eastAsia"/>
              </w:rPr>
              <w:t>/</w:t>
            </w:r>
          </w:p>
        </w:tc>
      </w:tr>
      <w:tr w:rsidR="00597370">
        <w:tc>
          <w:tcPr>
            <w:tcW w:w="1666" w:type="pct"/>
            <w:shd w:val="clear" w:color="auto" w:fill="auto"/>
            <w:vAlign w:val="center"/>
          </w:tcPr>
          <w:p w:rsidR="00597370" w:rsidRDefault="003C2EEE">
            <w:pPr>
              <w:jc w:val="center"/>
              <w:rPr>
                <w:color w:val="000000" w:themeColor="text1"/>
              </w:rPr>
            </w:pPr>
            <w:r>
              <w:rPr>
                <w:color w:val="000000" w:themeColor="text1"/>
              </w:rPr>
              <w:t>合计</w:t>
            </w:r>
          </w:p>
        </w:tc>
        <w:tc>
          <w:tcPr>
            <w:tcW w:w="1667" w:type="pct"/>
            <w:shd w:val="clear" w:color="auto" w:fill="auto"/>
            <w:vAlign w:val="center"/>
          </w:tcPr>
          <w:p w:rsidR="00597370" w:rsidRDefault="003C2EEE">
            <w:pPr>
              <w:jc w:val="right"/>
            </w:pPr>
            <w:r>
              <w:rPr>
                <w:rFonts w:hint="eastAsia"/>
              </w:rPr>
              <w:t>5</w:t>
            </w:r>
            <w:r>
              <w:t>7.78</w:t>
            </w:r>
          </w:p>
        </w:tc>
        <w:tc>
          <w:tcPr>
            <w:tcW w:w="1667" w:type="pct"/>
            <w:shd w:val="clear" w:color="auto" w:fill="auto"/>
            <w:vAlign w:val="center"/>
          </w:tcPr>
          <w:p w:rsidR="00597370" w:rsidRDefault="003C2EEE">
            <w:pPr>
              <w:jc w:val="right"/>
            </w:pPr>
            <w:r>
              <w:rPr>
                <w:rFonts w:hint="eastAsia"/>
              </w:rPr>
              <w:t>/</w:t>
            </w:r>
          </w:p>
        </w:tc>
      </w:tr>
    </w:tbl>
    <w:p w:rsidR="00597370" w:rsidRDefault="00597370">
      <w:pPr>
        <w:rPr>
          <w:b/>
          <w:color w:val="000000" w:themeColor="text1"/>
        </w:rPr>
      </w:pPr>
    </w:p>
    <w:p w:rsidR="00597370" w:rsidRDefault="003C2EEE">
      <w:pPr>
        <w:rPr>
          <w:color w:val="000000" w:themeColor="text1"/>
        </w:rPr>
      </w:pPr>
      <w:r>
        <w:rPr>
          <w:color w:val="000000" w:themeColor="text1"/>
        </w:rPr>
        <w:t>作为出租人的融资租赁</w:t>
      </w:r>
    </w:p>
    <w:sdt>
      <w:sdtPr>
        <w:rPr>
          <w:color w:val="000000" w:themeColor="text1"/>
        </w:rPr>
        <w:alias w:val="是否适用：作为出租人的融资租赁[双击切换]"/>
        <w:tag w:val="_GBC_b8e25c7d290240c1ad7a8b299dddafda"/>
        <w:id w:val="11223456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color w:val="000000" w:themeColor="text1"/>
        </w:rPr>
        <w:t>未折现</w:t>
      </w:r>
      <w:proofErr w:type="gramStart"/>
      <w:r>
        <w:rPr>
          <w:color w:val="000000" w:themeColor="text1"/>
        </w:rPr>
        <w:t>租赁收</w:t>
      </w:r>
      <w:proofErr w:type="gramEnd"/>
      <w:r>
        <w:rPr>
          <w:color w:val="000000" w:themeColor="text1"/>
        </w:rPr>
        <w:t>款额与租赁投资净额的调节表</w:t>
      </w:r>
    </w:p>
    <w:sdt>
      <w:sdtPr>
        <w:rPr>
          <w:color w:val="000000" w:themeColor="text1"/>
        </w:rPr>
        <w:alias w:val="是否适用：未折现租赁收款额与租赁投资净额的调节表?[双击切换]"/>
        <w:tag w:val="_GBC_24749e03a4f14d0186b6eef9cbb8456c"/>
        <w:id w:val="26365008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color w:val="000000" w:themeColor="text1"/>
        </w:rPr>
        <w:lastRenderedPageBreak/>
        <w:t>未来五年</w:t>
      </w:r>
      <w:r>
        <w:rPr>
          <w:rFonts w:hint="eastAsia"/>
          <w:color w:val="000000" w:themeColor="text1"/>
        </w:rPr>
        <w:t>未</w:t>
      </w:r>
      <w:r>
        <w:rPr>
          <w:color w:val="000000" w:themeColor="text1"/>
        </w:rPr>
        <w:t>折现</w:t>
      </w:r>
      <w:proofErr w:type="gramStart"/>
      <w:r>
        <w:rPr>
          <w:color w:val="000000" w:themeColor="text1"/>
        </w:rPr>
        <w:t>租赁收</w:t>
      </w:r>
      <w:proofErr w:type="gramEnd"/>
      <w:r>
        <w:rPr>
          <w:color w:val="000000" w:themeColor="text1"/>
        </w:rPr>
        <w:t>款额</w:t>
      </w:r>
    </w:p>
    <w:sdt>
      <w:sdtPr>
        <w:rPr>
          <w:color w:val="000000" w:themeColor="text1"/>
        </w:rPr>
        <w:alias w:val="是否适用：未来五年未折现租赁收款额[双击切换]"/>
        <w:tag w:val="_GBC_6011fa033af24e8c940b4fc9b0df290d"/>
        <w:id w:val="31454126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89"/>
        </w:numPr>
        <w:ind w:left="0" w:firstLine="0"/>
        <w:rPr>
          <w:color w:val="000000" w:themeColor="text1"/>
        </w:rPr>
      </w:pPr>
      <w:r>
        <w:rPr>
          <w:color w:val="000000" w:themeColor="text1"/>
        </w:rPr>
        <w:t>作为生产商或经销商确认融资租赁销售损益</w:t>
      </w:r>
    </w:p>
    <w:sdt>
      <w:sdtPr>
        <w:rPr>
          <w:color w:val="000000" w:themeColor="text1"/>
        </w:rPr>
        <w:alias w:val="是否适用：作为生产商或经销商确认融资租赁销售损益[双击切换]"/>
        <w:tag w:val="_GBC_213bb116a7f04deab5b21583470b1e43"/>
        <w:id w:val="-174316722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租赁其他说明"/>
        <w:tag w:val="_GBC_7b832cbbef274cceadb68c4291f1d973"/>
        <w:id w:val="-2062779236"/>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bookmarkEnd w:id="365"/>
    <w:p w:rsidR="00597370" w:rsidRDefault="003C2EEE">
      <w:pPr>
        <w:pStyle w:val="Style109"/>
        <w:numPr>
          <w:ilvl w:val="0"/>
          <w:numId w:val="46"/>
        </w:numPr>
        <w:tabs>
          <w:tab w:val="left" w:pos="504"/>
        </w:tabs>
        <w:rPr>
          <w:rFonts w:ascii="宋体" w:hAnsi="宋体"/>
          <w:color w:val="000000" w:themeColor="text1"/>
        </w:rPr>
      </w:pPr>
      <w:r>
        <w:rPr>
          <w:rFonts w:ascii="宋体" w:hAnsi="宋体" w:hint="eastAsia"/>
          <w:color w:val="000000" w:themeColor="text1"/>
        </w:rPr>
        <w:t>数据资源</w:t>
      </w:r>
    </w:p>
    <w:sdt>
      <w:sdtPr>
        <w:rPr>
          <w:color w:val="000000" w:themeColor="text1"/>
        </w:rPr>
        <w:alias w:val="是否适用：附注数据资源需要说明的事项[双击切换]"/>
        <w:tag w:val="_GBC_69b3c483faf0482e86f2ca96cb446815"/>
        <w:id w:val="-87368766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46"/>
        </w:numPr>
        <w:tabs>
          <w:tab w:val="left" w:pos="504"/>
        </w:tabs>
        <w:rPr>
          <w:rFonts w:ascii="宋体" w:hAnsi="宋体"/>
          <w:color w:val="000000" w:themeColor="text1"/>
        </w:rPr>
      </w:pPr>
      <w:r>
        <w:rPr>
          <w:rFonts w:ascii="宋体" w:hAnsi="宋体" w:hint="eastAsia"/>
          <w:color w:val="000000" w:themeColor="text1"/>
        </w:rPr>
        <w:t>其他</w:t>
      </w:r>
    </w:p>
    <w:sdt>
      <w:sdtPr>
        <w:rPr>
          <w:color w:val="000000" w:themeColor="text1"/>
        </w:rPr>
        <w:alias w:val="是否适用：合并财务报表项目注释其他需要说明的事项[双击切换]"/>
        <w:tag w:val="_GBC_d9335575f6594653aa8718dc633c644c"/>
        <w:id w:val="83804763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bookmarkStart w:id="366" w:name="_Hlk40108415"/>
      <w:bookmarkStart w:id="367" w:name="_Hlk167971708"/>
      <w:r>
        <w:rPr>
          <w:rFonts w:ascii="宋体" w:hAnsi="宋体" w:hint="eastAsia"/>
          <w:color w:val="000000" w:themeColor="text1"/>
        </w:rPr>
        <w:t>研发支出</w:t>
      </w:r>
    </w:p>
    <w:p w:rsidR="00597370" w:rsidRDefault="003C2EEE">
      <w:pPr>
        <w:pStyle w:val="Style109"/>
        <w:numPr>
          <w:ilvl w:val="0"/>
          <w:numId w:val="90"/>
        </w:numPr>
        <w:ind w:left="360" w:hanging="360"/>
        <w:rPr>
          <w:color w:val="000000" w:themeColor="text1"/>
        </w:rPr>
      </w:pPr>
      <w:r>
        <w:rPr>
          <w:rFonts w:hint="eastAsia"/>
          <w:color w:val="000000" w:themeColor="text1"/>
        </w:rPr>
        <w:t>按费用性质列示</w:t>
      </w:r>
    </w:p>
    <w:sdt>
      <w:sdtPr>
        <w:rPr>
          <w:color w:val="000000" w:themeColor="text1"/>
        </w:rPr>
        <w:alias w:val="是否适用：研发费用[双击切换]"/>
        <w:tag w:val="_GBC_c038265fdb0b49dea367e73fadbd1bf3"/>
        <w:id w:val="-209492834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left="420"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研发费用"/>
          <w:tag w:val="_GBC_ba6e122abfd8443283c681cd38b3d395"/>
          <w:id w:val="-4090740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研发费用"/>
          <w:tag w:val="_GBC_d5e978ec78684853899851ff1623b4fc"/>
          <w:id w:val="8493799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597370">
        <w:sdt>
          <w:sdtPr>
            <w:rPr>
              <w:color w:val="000000" w:themeColor="text1"/>
            </w:rPr>
            <w:tag w:val="_PLD_0d7c4dfc9e774f139ca83d0601e815ea"/>
            <w:id w:val="-1445685749"/>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1d1e5baa8c6741cda3956270e192cc79"/>
            <w:id w:val="-1945601710"/>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91cd6ee02fbd4f6e86f6503667dce560"/>
            <w:id w:val="-2028855571"/>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color w:val="000000" w:themeColor="text1"/>
                  </w:rPr>
                </w:pPr>
                <w:r>
                  <w:rPr>
                    <w:rFonts w:hint="eastAsia"/>
                    <w:color w:val="000000" w:themeColor="text1"/>
                  </w:rPr>
                  <w:t>上期发生额</w:t>
                </w:r>
              </w:p>
            </w:tc>
          </w:sdtContent>
        </w:sdt>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材料</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8,079,531.12 </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9,123,440.09 </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7,538,402.47 </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4,154,163.49 </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检测</w:t>
            </w:r>
            <w:proofErr w:type="gramStart"/>
            <w:r>
              <w:rPr>
                <w:rFonts w:hint="eastAsia"/>
                <w:color w:val="000000"/>
              </w:rPr>
              <w:t>费及委外</w:t>
            </w:r>
            <w:proofErr w:type="gramEnd"/>
            <w:r>
              <w:rPr>
                <w:rFonts w:hint="eastAsia"/>
                <w:color w:val="000000"/>
              </w:rPr>
              <w:t>研究费用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2,679,953.32 </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3,625,279.53 </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折旧费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1,633,550.48 </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343,472.91 </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燃料及动力</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42,223.63 </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bottom"/>
          </w:tcPr>
          <w:p w:rsidR="00597370" w:rsidRDefault="003C2EEE">
            <w:pPr>
              <w:pStyle w:val="Style106"/>
            </w:pPr>
            <w:r>
              <w:rPr>
                <w:rFonts w:hint="eastAsia"/>
                <w:color w:val="000000"/>
              </w:rP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640,113.43 </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572,619.70 </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20,613,774.45 </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17,818,975.72 </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color w:val="000000" w:themeColor="text1"/>
              </w:rPr>
            </w:pPr>
            <w:r>
              <w:rPr>
                <w:rFonts w:hint="eastAsia"/>
                <w:color w:val="000000" w:themeColor="text1"/>
              </w:rPr>
              <w:t>其中：费用化研发支出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20,613,774.45 </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pPr>
            <w:r>
              <w:rPr>
                <w:rFonts w:hint="eastAsia"/>
                <w:color w:val="000000"/>
              </w:rPr>
              <w:t xml:space="preserve"> 17,818,975.72 </w:t>
            </w:r>
          </w:p>
        </w:tc>
      </w:tr>
      <w:tr w:rsidR="00597370">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ind w:firstLineChars="300" w:firstLine="630"/>
              <w:rPr>
                <w:color w:val="000000" w:themeColor="text1"/>
              </w:rPr>
            </w:pPr>
            <w:r>
              <w:rPr>
                <w:rFonts w:hint="eastAsia"/>
                <w:color w:val="000000" w:themeColor="text1"/>
              </w:rPr>
              <w:t>资本化研发支出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pPr>
          </w:p>
        </w:tc>
      </w:tr>
    </w:tbl>
    <w:p w:rsidR="00597370" w:rsidRDefault="003C2EEE">
      <w:pPr>
        <w:rPr>
          <w:color w:val="000000" w:themeColor="text1"/>
        </w:rPr>
      </w:pPr>
      <w:r>
        <w:rPr>
          <w:rFonts w:hint="eastAsia"/>
          <w:color w:val="000000" w:themeColor="text1"/>
        </w:rPr>
        <w:t>其他说明：</w:t>
      </w:r>
    </w:p>
    <w:sdt>
      <w:sdtPr>
        <w:rPr>
          <w:color w:val="000000" w:themeColor="text1"/>
        </w:rPr>
        <w:alias w:val="研发支出按费用性质列示的其他说明"/>
        <w:tag w:val="_GBC_6b3d42161462405e8011d40253de8df9"/>
        <w:id w:val="-966275799"/>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90"/>
        </w:numPr>
        <w:ind w:left="360" w:hanging="360"/>
        <w:rPr>
          <w:color w:val="000000" w:themeColor="text1"/>
        </w:rPr>
      </w:pPr>
      <w:bookmarkStart w:id="368" w:name="_Hlk153266294"/>
      <w:bookmarkEnd w:id="366"/>
      <w:r>
        <w:rPr>
          <w:rFonts w:hint="eastAsia"/>
          <w:color w:val="000000" w:themeColor="text1"/>
        </w:rPr>
        <w:t>符合资本化条件的研发项目开发支出</w:t>
      </w:r>
    </w:p>
    <w:sdt>
      <w:sdtPr>
        <w:rPr>
          <w:color w:val="000000" w:themeColor="text1"/>
        </w:rPr>
        <w:alias w:val="是否适用：开发支出[双击切换]"/>
        <w:tag w:val="_GBC_c4491189045f4579aa1097e6d5456e9e"/>
        <w:id w:val="16158877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68"/>
    <w:p w:rsidR="00597370" w:rsidRDefault="003C2EEE">
      <w:pPr>
        <w:rPr>
          <w:color w:val="000000" w:themeColor="text1"/>
        </w:rPr>
      </w:pPr>
      <w:r>
        <w:rPr>
          <w:color w:val="000000" w:themeColor="text1"/>
        </w:rPr>
        <w:t>重要的资本化研发项目</w:t>
      </w:r>
    </w:p>
    <w:sdt>
      <w:sdtPr>
        <w:rPr>
          <w:color w:val="000000" w:themeColor="text1"/>
        </w:rPr>
        <w:alias w:val="是否适用：重要的资本化研发项目[双击切换]"/>
        <w:tag w:val="_GBC_1cd050ceff7c445bb12c764341f77187"/>
        <w:id w:val="68610695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color w:val="000000" w:themeColor="text1"/>
        </w:rPr>
        <w:t>开发支出减值准备</w:t>
      </w:r>
    </w:p>
    <w:sdt>
      <w:sdtPr>
        <w:rPr>
          <w:color w:val="000000" w:themeColor="text1"/>
        </w:rPr>
        <w:alias w:val="是否适用：开发支出减值准备[双击切换]"/>
        <w:tag w:val="_GBC_61f8745227c4412fa050b0628c64a40a"/>
        <w:id w:val="-54930371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符合资本化条件的研发项目开发支出的其他说明"/>
        <w:tag w:val="_GBC_6f5dba19dcad4294ab6f74834cfe3448"/>
        <w:id w:val="-309250309"/>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90"/>
        </w:numPr>
        <w:ind w:left="360" w:hanging="360"/>
        <w:rPr>
          <w:color w:val="000000" w:themeColor="text1"/>
        </w:rPr>
      </w:pPr>
      <w:r>
        <w:rPr>
          <w:rFonts w:hint="eastAsia"/>
          <w:color w:val="000000" w:themeColor="text1"/>
        </w:rPr>
        <w:t>重要的外购在</w:t>
      </w:r>
      <w:proofErr w:type="gramStart"/>
      <w:r>
        <w:rPr>
          <w:rFonts w:hint="eastAsia"/>
          <w:color w:val="000000" w:themeColor="text1"/>
        </w:rPr>
        <w:t>研</w:t>
      </w:r>
      <w:proofErr w:type="gramEnd"/>
      <w:r>
        <w:rPr>
          <w:rFonts w:hint="eastAsia"/>
          <w:color w:val="000000" w:themeColor="text1"/>
        </w:rPr>
        <w:t>项目</w:t>
      </w:r>
    </w:p>
    <w:sdt>
      <w:sdtPr>
        <w:rPr>
          <w:color w:val="000000" w:themeColor="text1"/>
        </w:rPr>
        <w:alias w:val="是否适用：重要的外购在研项目[双击切换]"/>
        <w:tag w:val="_GBC_d8453a2bfa274fa6906f48d9a4c81bac"/>
        <w:id w:val="-167402051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67"/>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合并范围的变更</w:t>
      </w:r>
    </w:p>
    <w:p w:rsidR="00597370" w:rsidRDefault="003C2EEE">
      <w:pPr>
        <w:pStyle w:val="Style109"/>
        <w:numPr>
          <w:ilvl w:val="0"/>
          <w:numId w:val="91"/>
        </w:numPr>
        <w:rPr>
          <w:rFonts w:ascii="宋体" w:hAnsi="宋体" w:cs="Arial"/>
          <w:color w:val="000000" w:themeColor="text1"/>
          <w:szCs w:val="21"/>
        </w:rPr>
      </w:pPr>
      <w:r>
        <w:rPr>
          <w:rFonts w:ascii="宋体" w:hAnsi="宋体" w:cs="Arial" w:hint="eastAsia"/>
          <w:color w:val="000000" w:themeColor="text1"/>
          <w:szCs w:val="21"/>
        </w:rPr>
        <w:t>非同</w:t>
      </w:r>
      <w:proofErr w:type="gramStart"/>
      <w:r>
        <w:rPr>
          <w:rFonts w:ascii="宋体" w:hAnsi="宋体" w:cs="Arial" w:hint="eastAsia"/>
          <w:color w:val="000000" w:themeColor="text1"/>
          <w:szCs w:val="21"/>
        </w:rPr>
        <w:t>一控制</w:t>
      </w:r>
      <w:proofErr w:type="gramEnd"/>
      <w:r>
        <w:rPr>
          <w:rFonts w:ascii="宋体" w:hAnsi="宋体" w:cs="Arial" w:hint="eastAsia"/>
          <w:color w:val="000000" w:themeColor="text1"/>
          <w:szCs w:val="21"/>
        </w:rPr>
        <w:t>下企业合并</w:t>
      </w:r>
    </w:p>
    <w:sdt>
      <w:sdtPr>
        <w:rPr>
          <w:color w:val="000000" w:themeColor="text1"/>
        </w:rPr>
        <w:alias w:val="是否适用：非同一控制下企业合并[双击切换]"/>
        <w:tag w:val="_GBC_2f9a65b0b4644b14ab5af1407e6467f1"/>
        <w:id w:val="78600440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92"/>
        </w:numPr>
        <w:ind w:left="426" w:hanging="426"/>
        <w:rPr>
          <w:rStyle w:val="Style145"/>
          <w:rFonts w:ascii="宋体" w:hAnsi="宋体"/>
          <w:b/>
          <w:color w:val="000000" w:themeColor="text1"/>
          <w:szCs w:val="21"/>
        </w:rPr>
      </w:pPr>
      <w:bookmarkStart w:id="369" w:name="_Hlk167972301"/>
      <w:r>
        <w:rPr>
          <w:rStyle w:val="Style145"/>
          <w:rFonts w:ascii="宋体" w:hAnsi="宋体" w:hint="eastAsia"/>
          <w:b/>
          <w:color w:val="000000" w:themeColor="text1"/>
          <w:szCs w:val="21"/>
        </w:rPr>
        <w:t>本期发生的非同</w:t>
      </w:r>
      <w:proofErr w:type="gramStart"/>
      <w:r>
        <w:rPr>
          <w:rStyle w:val="Style145"/>
          <w:rFonts w:ascii="宋体" w:hAnsi="宋体" w:hint="eastAsia"/>
          <w:b/>
          <w:color w:val="000000" w:themeColor="text1"/>
          <w:szCs w:val="21"/>
        </w:rPr>
        <w:t>一控制</w:t>
      </w:r>
      <w:proofErr w:type="gramEnd"/>
      <w:r>
        <w:rPr>
          <w:rStyle w:val="Style145"/>
          <w:rFonts w:ascii="宋体" w:hAnsi="宋体" w:hint="eastAsia"/>
          <w:b/>
          <w:color w:val="000000" w:themeColor="text1"/>
          <w:szCs w:val="21"/>
        </w:rPr>
        <w:t>下企业合并交易</w:t>
      </w:r>
    </w:p>
    <w:sdt>
      <w:sdtPr>
        <w:rPr>
          <w:color w:val="000000" w:themeColor="text1"/>
        </w:rPr>
        <w:alias w:val="是否适用：本期发生的非同一控制下企业合并[双击切换]"/>
        <w:tag w:val="_GBC_e96a44415dda407ea2833d06f7591e32"/>
        <w:id w:val="157439072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非同一控制下企业合并取得的子公司"/>
          <w:tag w:val="_GBC_f12eef1c07684ee9a3ebbced2441606f"/>
          <w:id w:val="5305353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非同一控制下企业合并取得的子公司"/>
          <w:tag w:val="_GBC_91871619ee1d4df192c515942bfa9a82"/>
          <w:id w:val="-7705512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497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713"/>
        <w:gridCol w:w="850"/>
        <w:gridCol w:w="710"/>
        <w:gridCol w:w="706"/>
        <w:gridCol w:w="850"/>
        <w:gridCol w:w="993"/>
        <w:gridCol w:w="1133"/>
        <w:gridCol w:w="993"/>
        <w:gridCol w:w="850"/>
      </w:tblGrid>
      <w:tr w:rsidR="00597370">
        <w:trPr>
          <w:trHeight w:val="954"/>
        </w:trPr>
        <w:sdt>
          <w:sdtPr>
            <w:rPr>
              <w:color w:val="000000" w:themeColor="text1"/>
              <w:sz w:val="18"/>
              <w:szCs w:val="18"/>
            </w:rPr>
            <w:tag w:val="_PLD_1c36b515b9fa4a11b1fa28fc1246a4ea"/>
            <w:id w:val="-7989201"/>
          </w:sdtPr>
          <w:sdtEndPr/>
          <w:sdtContent>
            <w:tc>
              <w:tcPr>
                <w:tcW w:w="561" w:type="pct"/>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被购买方名称</w:t>
                </w:r>
              </w:p>
            </w:tc>
          </w:sdtContent>
        </w:sdt>
        <w:sdt>
          <w:sdtPr>
            <w:rPr>
              <w:color w:val="000000" w:themeColor="text1"/>
              <w:sz w:val="18"/>
              <w:szCs w:val="18"/>
            </w:rPr>
            <w:tag w:val="_PLD_ebd0f7a9278c40b393033bfa8f3ab54f"/>
            <w:id w:val="72864300"/>
          </w:sdtPr>
          <w:sdtEndPr/>
          <w:sdtContent>
            <w:tc>
              <w:tcPr>
                <w:tcW w:w="406" w:type="pct"/>
                <w:shd w:val="clear" w:color="auto" w:fill="auto"/>
                <w:vAlign w:val="center"/>
              </w:tcPr>
              <w:p w:rsidR="00597370" w:rsidRDefault="003C2EEE">
                <w:pPr>
                  <w:jc w:val="center"/>
                  <w:rPr>
                    <w:rFonts w:cs="Arial"/>
                    <w:color w:val="000000" w:themeColor="text1"/>
                    <w:sz w:val="18"/>
                    <w:szCs w:val="18"/>
                    <w:lang w:val="en-GB"/>
                  </w:rPr>
                </w:pPr>
                <w:r>
                  <w:rPr>
                    <w:rFonts w:cs="Arial" w:hint="eastAsia"/>
                    <w:color w:val="000000" w:themeColor="text1"/>
                    <w:sz w:val="18"/>
                    <w:szCs w:val="18"/>
                    <w:lang w:val="en-GB"/>
                  </w:rPr>
                  <w:t>股权取得时点</w:t>
                </w:r>
              </w:p>
            </w:tc>
          </w:sdtContent>
        </w:sdt>
        <w:sdt>
          <w:sdtPr>
            <w:rPr>
              <w:color w:val="000000" w:themeColor="text1"/>
              <w:sz w:val="18"/>
              <w:szCs w:val="18"/>
            </w:rPr>
            <w:tag w:val="_PLD_c682526ea50b46b9bae48b7b9fd356a1"/>
            <w:id w:val="1022207014"/>
          </w:sdtPr>
          <w:sdtEndPr/>
          <w:sdtContent>
            <w:tc>
              <w:tcPr>
                <w:tcW w:w="484" w:type="pct"/>
                <w:shd w:val="clear" w:color="auto" w:fill="auto"/>
                <w:vAlign w:val="center"/>
              </w:tcPr>
              <w:p w:rsidR="00597370" w:rsidRDefault="003C2EEE">
                <w:pPr>
                  <w:jc w:val="center"/>
                  <w:rPr>
                    <w:rFonts w:cs="Arial"/>
                    <w:color w:val="000000" w:themeColor="text1"/>
                    <w:sz w:val="18"/>
                    <w:szCs w:val="18"/>
                    <w:lang w:val="en-GB"/>
                  </w:rPr>
                </w:pPr>
                <w:r>
                  <w:rPr>
                    <w:rFonts w:cs="Arial" w:hint="eastAsia"/>
                    <w:color w:val="000000" w:themeColor="text1"/>
                    <w:sz w:val="18"/>
                    <w:szCs w:val="18"/>
                    <w:lang w:val="en-GB"/>
                  </w:rPr>
                  <w:t>股权取得成本</w:t>
                </w:r>
              </w:p>
            </w:tc>
          </w:sdtContent>
        </w:sdt>
        <w:sdt>
          <w:sdtPr>
            <w:rPr>
              <w:color w:val="000000" w:themeColor="text1"/>
              <w:sz w:val="18"/>
              <w:szCs w:val="18"/>
            </w:rPr>
            <w:tag w:val="_PLD_e3363b6ddcfb4bb4b0a40ebc55aea79a"/>
            <w:id w:val="-1768147928"/>
          </w:sdtPr>
          <w:sdtEndPr/>
          <w:sdtContent>
            <w:tc>
              <w:tcPr>
                <w:tcW w:w="404" w:type="pct"/>
                <w:shd w:val="clear" w:color="auto" w:fill="auto"/>
                <w:vAlign w:val="center"/>
              </w:tcPr>
              <w:p w:rsidR="00597370" w:rsidRDefault="003C2EEE">
                <w:pPr>
                  <w:jc w:val="center"/>
                  <w:rPr>
                    <w:rFonts w:cs="Arial"/>
                    <w:color w:val="000000" w:themeColor="text1"/>
                    <w:sz w:val="18"/>
                    <w:szCs w:val="18"/>
                    <w:lang w:val="en-GB"/>
                  </w:rPr>
                </w:pPr>
                <w:r>
                  <w:rPr>
                    <w:rFonts w:cs="Arial" w:hint="eastAsia"/>
                    <w:color w:val="000000" w:themeColor="text1"/>
                    <w:sz w:val="18"/>
                    <w:szCs w:val="18"/>
                    <w:lang w:val="en-GB"/>
                  </w:rPr>
                  <w:t>股权取得比例</w:t>
                </w:r>
              </w:p>
              <w:p w:rsidR="00597370" w:rsidRDefault="003C2EEE">
                <w:pPr>
                  <w:jc w:val="center"/>
                  <w:rPr>
                    <w:rFonts w:cs="Arial"/>
                    <w:color w:val="000000" w:themeColor="text1"/>
                    <w:sz w:val="18"/>
                    <w:szCs w:val="18"/>
                    <w:lang w:val="en-GB"/>
                  </w:rPr>
                </w:pPr>
                <w:r>
                  <w:rPr>
                    <w:rFonts w:cs="Arial" w:hint="eastAsia"/>
                    <w:color w:val="000000" w:themeColor="text1"/>
                    <w:sz w:val="18"/>
                    <w:szCs w:val="18"/>
                    <w:lang w:val="en-GB"/>
                  </w:rPr>
                  <w:t>（%）</w:t>
                </w:r>
              </w:p>
            </w:tc>
          </w:sdtContent>
        </w:sdt>
        <w:sdt>
          <w:sdtPr>
            <w:rPr>
              <w:color w:val="000000" w:themeColor="text1"/>
              <w:sz w:val="18"/>
              <w:szCs w:val="18"/>
            </w:rPr>
            <w:tag w:val="_PLD_fbb35b304ba74e4c9059f5df287cbf7c"/>
            <w:id w:val="1159655256"/>
          </w:sdtPr>
          <w:sdtEndPr/>
          <w:sdtContent>
            <w:tc>
              <w:tcPr>
                <w:tcW w:w="402" w:type="pct"/>
                <w:shd w:val="clear" w:color="auto" w:fill="auto"/>
                <w:vAlign w:val="center"/>
              </w:tcPr>
              <w:p w:rsidR="00597370" w:rsidRDefault="003C2EEE">
                <w:pPr>
                  <w:jc w:val="center"/>
                  <w:rPr>
                    <w:rFonts w:cs="Arial"/>
                    <w:color w:val="000000" w:themeColor="text1"/>
                    <w:sz w:val="18"/>
                    <w:szCs w:val="18"/>
                    <w:lang w:val="en-GB"/>
                  </w:rPr>
                </w:pPr>
                <w:r>
                  <w:rPr>
                    <w:rFonts w:cs="Arial" w:hint="eastAsia"/>
                    <w:color w:val="000000" w:themeColor="text1"/>
                    <w:sz w:val="18"/>
                    <w:szCs w:val="18"/>
                    <w:lang w:val="en-GB"/>
                  </w:rPr>
                  <w:t>股权取得方式</w:t>
                </w:r>
              </w:p>
            </w:tc>
          </w:sdtContent>
        </w:sdt>
        <w:sdt>
          <w:sdtPr>
            <w:rPr>
              <w:color w:val="000000" w:themeColor="text1"/>
              <w:sz w:val="18"/>
              <w:szCs w:val="18"/>
            </w:rPr>
            <w:tag w:val="_PLD_63b1bfb1e2e643629282cbed1fad22d2"/>
            <w:id w:val="1910567088"/>
          </w:sdtPr>
          <w:sdtEndPr/>
          <w:sdtContent>
            <w:tc>
              <w:tcPr>
                <w:tcW w:w="484" w:type="pct"/>
                <w:shd w:val="clear" w:color="auto" w:fill="auto"/>
                <w:vAlign w:val="center"/>
              </w:tcPr>
              <w:p w:rsidR="00597370" w:rsidRDefault="003C2EEE">
                <w:pPr>
                  <w:jc w:val="center"/>
                  <w:rPr>
                    <w:rFonts w:cs="Arial"/>
                    <w:color w:val="000000" w:themeColor="text1"/>
                    <w:sz w:val="18"/>
                    <w:szCs w:val="18"/>
                    <w:lang w:val="en-GB"/>
                  </w:rPr>
                </w:pPr>
                <w:r>
                  <w:rPr>
                    <w:rFonts w:cs="Arial" w:hint="eastAsia"/>
                    <w:color w:val="000000" w:themeColor="text1"/>
                    <w:sz w:val="18"/>
                    <w:szCs w:val="18"/>
                    <w:lang w:val="en-GB"/>
                  </w:rPr>
                  <w:t>购买日</w:t>
                </w:r>
              </w:p>
            </w:tc>
          </w:sdtContent>
        </w:sdt>
        <w:sdt>
          <w:sdtPr>
            <w:rPr>
              <w:color w:val="000000" w:themeColor="text1"/>
              <w:sz w:val="18"/>
              <w:szCs w:val="18"/>
            </w:rPr>
            <w:tag w:val="_PLD_d216ed6de4964264acf357ac04da6674"/>
            <w:id w:val="175474514"/>
          </w:sdtPr>
          <w:sdtEndPr/>
          <w:sdtContent>
            <w:tc>
              <w:tcPr>
                <w:tcW w:w="565" w:type="pct"/>
                <w:shd w:val="clear" w:color="auto" w:fill="auto"/>
                <w:vAlign w:val="center"/>
              </w:tcPr>
              <w:p w:rsidR="00597370" w:rsidRDefault="003C2EEE">
                <w:pPr>
                  <w:jc w:val="center"/>
                  <w:rPr>
                    <w:rFonts w:cs="Arial"/>
                    <w:color w:val="000000" w:themeColor="text1"/>
                    <w:sz w:val="18"/>
                    <w:szCs w:val="18"/>
                    <w:lang w:val="en-GB"/>
                  </w:rPr>
                </w:pPr>
                <w:r>
                  <w:rPr>
                    <w:rFonts w:cs="Arial" w:hint="eastAsia"/>
                    <w:color w:val="000000" w:themeColor="text1"/>
                    <w:sz w:val="18"/>
                    <w:szCs w:val="18"/>
                    <w:lang w:val="en-GB"/>
                  </w:rPr>
                  <w:t>购买日的确定依据</w:t>
                </w:r>
              </w:p>
            </w:tc>
          </w:sdtContent>
        </w:sdt>
        <w:sdt>
          <w:sdtPr>
            <w:rPr>
              <w:color w:val="000000" w:themeColor="text1"/>
              <w:sz w:val="18"/>
              <w:szCs w:val="18"/>
            </w:rPr>
            <w:tag w:val="_PLD_49f415ae04df4ae4b7191f3c81c166f4"/>
            <w:id w:val="-1368139465"/>
          </w:sdtPr>
          <w:sdtEndPr/>
          <w:sdtContent>
            <w:tc>
              <w:tcPr>
                <w:tcW w:w="645" w:type="pct"/>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购买日至</w:t>
                </w:r>
                <w:proofErr w:type="gramStart"/>
                <w:r>
                  <w:rPr>
                    <w:rFonts w:cs="Arial" w:hint="eastAsia"/>
                    <w:color w:val="000000" w:themeColor="text1"/>
                    <w:sz w:val="18"/>
                    <w:szCs w:val="18"/>
                    <w:lang w:val="en-GB"/>
                  </w:rPr>
                  <w:t>期末被</w:t>
                </w:r>
                <w:proofErr w:type="gramEnd"/>
                <w:r>
                  <w:rPr>
                    <w:rFonts w:cs="Arial" w:hint="eastAsia"/>
                    <w:color w:val="000000" w:themeColor="text1"/>
                    <w:sz w:val="18"/>
                    <w:szCs w:val="18"/>
                    <w:lang w:val="en-GB"/>
                  </w:rPr>
                  <w:t>购买方的收入</w:t>
                </w:r>
              </w:p>
            </w:tc>
          </w:sdtContent>
        </w:sdt>
        <w:sdt>
          <w:sdtPr>
            <w:rPr>
              <w:color w:val="000000" w:themeColor="text1"/>
              <w:sz w:val="18"/>
              <w:szCs w:val="18"/>
            </w:rPr>
            <w:tag w:val="_PLD_6e16491ed3df44789dbcac3530ea1703"/>
            <w:id w:val="-2090227920"/>
          </w:sdtPr>
          <w:sdtEndPr/>
          <w:sdtContent>
            <w:tc>
              <w:tcPr>
                <w:tcW w:w="565" w:type="pct"/>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购买日至</w:t>
                </w:r>
                <w:proofErr w:type="gramStart"/>
                <w:r>
                  <w:rPr>
                    <w:rFonts w:cs="Arial" w:hint="eastAsia"/>
                    <w:color w:val="000000" w:themeColor="text1"/>
                    <w:sz w:val="18"/>
                    <w:szCs w:val="18"/>
                    <w:lang w:val="en-GB"/>
                  </w:rPr>
                  <w:t>期末被</w:t>
                </w:r>
                <w:proofErr w:type="gramEnd"/>
                <w:r>
                  <w:rPr>
                    <w:rFonts w:cs="Arial" w:hint="eastAsia"/>
                    <w:color w:val="000000" w:themeColor="text1"/>
                    <w:sz w:val="18"/>
                    <w:szCs w:val="18"/>
                    <w:lang w:val="en-GB"/>
                  </w:rPr>
                  <w:t>购买方的净利润</w:t>
                </w:r>
              </w:p>
            </w:tc>
          </w:sdtContent>
        </w:sdt>
        <w:tc>
          <w:tcPr>
            <w:tcW w:w="484" w:type="pct"/>
          </w:tcPr>
          <w:sdt>
            <w:sdtPr>
              <w:rPr>
                <w:rFonts w:cs="Arial" w:hint="eastAsia"/>
                <w:color w:val="000000" w:themeColor="text1"/>
                <w:sz w:val="18"/>
                <w:szCs w:val="18"/>
                <w:lang w:val="en-GB"/>
              </w:rPr>
              <w:tag w:val="_PLD_ec5a7a3b56be4f5a987eccd026ad6d09"/>
              <w:id w:val="997456149"/>
            </w:sdtPr>
            <w:sdtEndPr/>
            <w:sdtContent>
              <w:p w:rsidR="00597370" w:rsidRDefault="003C2EEE">
                <w:pPr>
                  <w:jc w:val="center"/>
                  <w:rPr>
                    <w:color w:val="000000" w:themeColor="text1"/>
                    <w:sz w:val="18"/>
                    <w:szCs w:val="18"/>
                  </w:rPr>
                </w:pPr>
                <w:r>
                  <w:rPr>
                    <w:rFonts w:cs="Arial" w:hint="eastAsia"/>
                    <w:color w:val="000000" w:themeColor="text1"/>
                    <w:sz w:val="18"/>
                    <w:szCs w:val="18"/>
                    <w:lang w:val="en-GB"/>
                  </w:rPr>
                  <w:t>购买日至</w:t>
                </w:r>
                <w:proofErr w:type="gramStart"/>
                <w:r>
                  <w:rPr>
                    <w:rFonts w:cs="Arial" w:hint="eastAsia"/>
                    <w:color w:val="000000" w:themeColor="text1"/>
                    <w:sz w:val="18"/>
                    <w:szCs w:val="18"/>
                    <w:lang w:val="en-GB"/>
                  </w:rPr>
                  <w:t>期末被</w:t>
                </w:r>
                <w:proofErr w:type="gramEnd"/>
                <w:r>
                  <w:rPr>
                    <w:rFonts w:cs="Arial" w:hint="eastAsia"/>
                    <w:color w:val="000000" w:themeColor="text1"/>
                    <w:sz w:val="18"/>
                    <w:szCs w:val="18"/>
                    <w:lang w:val="en-GB"/>
                  </w:rPr>
                  <w:t>购买方的现金流量</w:t>
                </w:r>
              </w:p>
            </w:sdtContent>
          </w:sdt>
        </w:tc>
      </w:tr>
      <w:tr w:rsidR="00597370">
        <w:trPr>
          <w:trHeight w:val="293"/>
        </w:trPr>
        <w:tc>
          <w:tcPr>
            <w:tcW w:w="561" w:type="pct"/>
            <w:shd w:val="clear" w:color="auto" w:fill="auto"/>
            <w:vAlign w:val="center"/>
          </w:tcPr>
          <w:p w:rsidR="00597370" w:rsidRDefault="00597370">
            <w:pPr>
              <w:jc w:val="both"/>
              <w:rPr>
                <w:sz w:val="18"/>
                <w:szCs w:val="18"/>
              </w:rPr>
            </w:pPr>
          </w:p>
          <w:p w:rsidR="00597370" w:rsidRDefault="003C2EEE">
            <w:pPr>
              <w:jc w:val="both"/>
              <w:rPr>
                <w:sz w:val="18"/>
                <w:szCs w:val="18"/>
              </w:rPr>
            </w:pPr>
            <w:proofErr w:type="gramStart"/>
            <w:r>
              <w:rPr>
                <w:rFonts w:hint="eastAsia"/>
                <w:sz w:val="18"/>
                <w:szCs w:val="18"/>
              </w:rPr>
              <w:t>云变电气</w:t>
            </w:r>
            <w:proofErr w:type="gramEnd"/>
          </w:p>
        </w:tc>
        <w:tc>
          <w:tcPr>
            <w:tcW w:w="406" w:type="pct"/>
            <w:shd w:val="clear" w:color="auto" w:fill="auto"/>
            <w:vAlign w:val="center"/>
          </w:tcPr>
          <w:p w:rsidR="00597370" w:rsidRDefault="00597370">
            <w:pPr>
              <w:jc w:val="both"/>
              <w:rPr>
                <w:sz w:val="18"/>
                <w:szCs w:val="18"/>
              </w:rPr>
            </w:pPr>
          </w:p>
          <w:p w:rsidR="00597370" w:rsidRDefault="003C2EEE">
            <w:pPr>
              <w:jc w:val="both"/>
              <w:rPr>
                <w:sz w:val="18"/>
                <w:szCs w:val="18"/>
              </w:rPr>
            </w:pPr>
            <w:r>
              <w:rPr>
                <w:sz w:val="18"/>
                <w:szCs w:val="18"/>
              </w:rPr>
              <w:t>2024</w:t>
            </w:r>
            <w:r>
              <w:rPr>
                <w:rFonts w:hint="eastAsia"/>
                <w:sz w:val="18"/>
                <w:szCs w:val="18"/>
              </w:rPr>
              <w:t>年</w:t>
            </w:r>
            <w:r>
              <w:rPr>
                <w:sz w:val="18"/>
                <w:szCs w:val="18"/>
              </w:rPr>
              <w:t>4</w:t>
            </w:r>
            <w:r>
              <w:rPr>
                <w:rFonts w:hint="eastAsia"/>
                <w:sz w:val="18"/>
                <w:szCs w:val="18"/>
              </w:rPr>
              <w:t>月</w:t>
            </w:r>
            <w:r>
              <w:rPr>
                <w:sz w:val="18"/>
                <w:szCs w:val="18"/>
              </w:rPr>
              <w:t>1</w:t>
            </w:r>
            <w:r>
              <w:rPr>
                <w:rFonts w:hint="eastAsia"/>
                <w:sz w:val="18"/>
                <w:szCs w:val="18"/>
              </w:rPr>
              <w:t>日</w:t>
            </w:r>
          </w:p>
        </w:tc>
        <w:tc>
          <w:tcPr>
            <w:tcW w:w="484" w:type="pct"/>
            <w:shd w:val="clear" w:color="auto" w:fill="auto"/>
            <w:vAlign w:val="center"/>
          </w:tcPr>
          <w:p w:rsidR="00597370" w:rsidRDefault="00597370">
            <w:pPr>
              <w:jc w:val="both"/>
              <w:rPr>
                <w:sz w:val="18"/>
                <w:szCs w:val="18"/>
              </w:rPr>
            </w:pPr>
          </w:p>
          <w:p w:rsidR="00597370" w:rsidRDefault="003C2EEE">
            <w:pPr>
              <w:jc w:val="both"/>
              <w:rPr>
                <w:sz w:val="18"/>
                <w:szCs w:val="18"/>
              </w:rPr>
            </w:pPr>
            <w:r>
              <w:rPr>
                <w:sz w:val="18"/>
                <w:szCs w:val="18"/>
              </w:rPr>
              <w:t>559,816,869.00</w:t>
            </w:r>
          </w:p>
        </w:tc>
        <w:tc>
          <w:tcPr>
            <w:tcW w:w="404" w:type="pct"/>
            <w:shd w:val="clear" w:color="auto" w:fill="auto"/>
            <w:vAlign w:val="center"/>
          </w:tcPr>
          <w:p w:rsidR="00597370" w:rsidRDefault="00597370">
            <w:pPr>
              <w:jc w:val="both"/>
              <w:rPr>
                <w:sz w:val="18"/>
                <w:szCs w:val="18"/>
              </w:rPr>
            </w:pPr>
          </w:p>
          <w:p w:rsidR="00597370" w:rsidRDefault="003C2EEE">
            <w:pPr>
              <w:jc w:val="both"/>
              <w:rPr>
                <w:sz w:val="18"/>
                <w:szCs w:val="18"/>
              </w:rPr>
            </w:pPr>
            <w:r>
              <w:rPr>
                <w:sz w:val="18"/>
                <w:szCs w:val="18"/>
              </w:rPr>
              <w:t>79.97</w:t>
            </w:r>
          </w:p>
        </w:tc>
        <w:tc>
          <w:tcPr>
            <w:tcW w:w="402" w:type="pct"/>
            <w:shd w:val="clear" w:color="auto" w:fill="auto"/>
            <w:vAlign w:val="center"/>
          </w:tcPr>
          <w:p w:rsidR="00597370" w:rsidRDefault="00597370">
            <w:pPr>
              <w:jc w:val="both"/>
              <w:rPr>
                <w:sz w:val="18"/>
                <w:szCs w:val="18"/>
              </w:rPr>
            </w:pPr>
          </w:p>
          <w:p w:rsidR="00597370" w:rsidRDefault="00597370">
            <w:pPr>
              <w:jc w:val="both"/>
              <w:rPr>
                <w:sz w:val="18"/>
                <w:szCs w:val="18"/>
              </w:rPr>
            </w:pPr>
          </w:p>
          <w:p w:rsidR="00597370" w:rsidRDefault="003C2EEE">
            <w:pPr>
              <w:jc w:val="both"/>
              <w:rPr>
                <w:sz w:val="18"/>
                <w:szCs w:val="18"/>
              </w:rPr>
            </w:pPr>
            <w:r>
              <w:rPr>
                <w:rFonts w:hint="eastAsia"/>
                <w:sz w:val="18"/>
                <w:szCs w:val="18"/>
              </w:rPr>
              <w:t>购买</w:t>
            </w:r>
          </w:p>
        </w:tc>
        <w:tc>
          <w:tcPr>
            <w:tcW w:w="484" w:type="pct"/>
            <w:shd w:val="clear" w:color="auto" w:fill="auto"/>
            <w:vAlign w:val="center"/>
          </w:tcPr>
          <w:p w:rsidR="00597370" w:rsidRDefault="003C2EEE">
            <w:pPr>
              <w:jc w:val="both"/>
              <w:rPr>
                <w:sz w:val="18"/>
                <w:szCs w:val="18"/>
              </w:rPr>
            </w:pPr>
            <w:r>
              <w:rPr>
                <w:sz w:val="18"/>
                <w:szCs w:val="18"/>
              </w:rPr>
              <w:t>2024年4月1日</w:t>
            </w:r>
          </w:p>
        </w:tc>
        <w:tc>
          <w:tcPr>
            <w:tcW w:w="565" w:type="pct"/>
            <w:shd w:val="clear" w:color="auto" w:fill="auto"/>
            <w:vAlign w:val="center"/>
          </w:tcPr>
          <w:p w:rsidR="00597370" w:rsidRDefault="003C2EEE">
            <w:pPr>
              <w:jc w:val="both"/>
              <w:rPr>
                <w:sz w:val="18"/>
                <w:szCs w:val="18"/>
              </w:rPr>
            </w:pPr>
            <w:r>
              <w:rPr>
                <w:rFonts w:hint="eastAsia"/>
                <w:sz w:val="18"/>
                <w:szCs w:val="18"/>
              </w:rPr>
              <w:t>企业国有资产交易凭证</w:t>
            </w:r>
          </w:p>
        </w:tc>
        <w:tc>
          <w:tcPr>
            <w:tcW w:w="645" w:type="pct"/>
            <w:shd w:val="clear" w:color="auto" w:fill="auto"/>
            <w:vAlign w:val="center"/>
          </w:tcPr>
          <w:p w:rsidR="00597370" w:rsidRDefault="00597370">
            <w:pPr>
              <w:jc w:val="both"/>
              <w:rPr>
                <w:sz w:val="18"/>
                <w:szCs w:val="18"/>
              </w:rPr>
            </w:pPr>
          </w:p>
          <w:p w:rsidR="00597370" w:rsidRDefault="003C2EEE">
            <w:pPr>
              <w:jc w:val="both"/>
              <w:rPr>
                <w:sz w:val="18"/>
                <w:szCs w:val="18"/>
              </w:rPr>
            </w:pPr>
            <w:r>
              <w:rPr>
                <w:sz w:val="18"/>
                <w:szCs w:val="18"/>
              </w:rPr>
              <w:t>227,550,256.71</w:t>
            </w:r>
          </w:p>
        </w:tc>
        <w:tc>
          <w:tcPr>
            <w:tcW w:w="565" w:type="pct"/>
            <w:shd w:val="clear" w:color="auto" w:fill="auto"/>
            <w:vAlign w:val="center"/>
          </w:tcPr>
          <w:p w:rsidR="00597370" w:rsidRDefault="003C2EEE">
            <w:pPr>
              <w:jc w:val="both"/>
              <w:rPr>
                <w:sz w:val="18"/>
                <w:szCs w:val="18"/>
              </w:rPr>
            </w:pPr>
            <w:r>
              <w:rPr>
                <w:sz w:val="18"/>
                <w:szCs w:val="18"/>
              </w:rPr>
              <w:t>10,306,287.45</w:t>
            </w:r>
          </w:p>
        </w:tc>
        <w:tc>
          <w:tcPr>
            <w:tcW w:w="484" w:type="pct"/>
            <w:vAlign w:val="center"/>
          </w:tcPr>
          <w:p w:rsidR="00597370" w:rsidRDefault="003C2EEE">
            <w:pPr>
              <w:jc w:val="both"/>
              <w:rPr>
                <w:sz w:val="18"/>
                <w:szCs w:val="18"/>
              </w:rPr>
            </w:pPr>
            <w:r>
              <w:rPr>
                <w:sz w:val="18"/>
                <w:szCs w:val="18"/>
              </w:rPr>
              <w:t>-74,431,380.84</w:t>
            </w:r>
          </w:p>
        </w:tc>
      </w:tr>
    </w:tbl>
    <w:p w:rsidR="00597370" w:rsidRDefault="003C2EEE">
      <w:pPr>
        <w:spacing w:before="60" w:after="60"/>
        <w:rPr>
          <w:rFonts w:cs="Arial"/>
          <w:color w:val="000000" w:themeColor="text1"/>
        </w:rPr>
      </w:pPr>
      <w:r>
        <w:rPr>
          <w:rFonts w:cs="Arial" w:hint="eastAsia"/>
          <w:color w:val="000000" w:themeColor="text1"/>
        </w:rPr>
        <w:t>其他说明：</w:t>
      </w:r>
    </w:p>
    <w:sdt>
      <w:sdtPr>
        <w:rPr>
          <w:rFonts w:cs="Arial"/>
          <w:color w:val="000000" w:themeColor="text1"/>
        </w:rPr>
        <w:alias w:val="本期发生的非同一控制下企业合并的其他说明"/>
        <w:tag w:val="_GBC_efdfcb5584f84d09886fca4dada85fd1"/>
        <w:id w:val="-125233703"/>
        <w:placeholder>
          <w:docPart w:val="GBC22222222222222222222222222222"/>
        </w:placeholder>
      </w:sdtPr>
      <w:sdtEndPr/>
      <w:sdtContent>
        <w:p w:rsidR="00597370" w:rsidRDefault="003C2EEE">
          <w:pPr>
            <w:rPr>
              <w:rFonts w:cs="Arial"/>
              <w:color w:val="000000" w:themeColor="text1"/>
            </w:rPr>
          </w:pPr>
          <w:r>
            <w:rPr>
              <w:rFonts w:cs="Arial" w:hint="eastAsia"/>
              <w:color w:val="000000" w:themeColor="text1"/>
            </w:rPr>
            <w:t>无</w:t>
          </w:r>
        </w:p>
      </w:sdtContent>
    </w:sdt>
    <w:p w:rsidR="00597370" w:rsidRDefault="00597370">
      <w:pPr>
        <w:rPr>
          <w:rFonts w:cs="Arial"/>
          <w:color w:val="000000" w:themeColor="text1"/>
        </w:rPr>
      </w:pPr>
    </w:p>
    <w:bookmarkEnd w:id="369"/>
    <w:p w:rsidR="00597370" w:rsidRDefault="003C2EEE">
      <w:pPr>
        <w:pStyle w:val="Style110"/>
        <w:numPr>
          <w:ilvl w:val="0"/>
          <w:numId w:val="92"/>
        </w:numPr>
        <w:ind w:left="426" w:hanging="426"/>
        <w:rPr>
          <w:rStyle w:val="Style145"/>
          <w:rFonts w:ascii="宋体" w:hAnsi="宋体"/>
          <w:b/>
          <w:color w:val="000000" w:themeColor="text1"/>
          <w:szCs w:val="21"/>
        </w:rPr>
      </w:pPr>
      <w:r>
        <w:rPr>
          <w:rStyle w:val="Style145"/>
          <w:rFonts w:ascii="宋体" w:hAnsi="宋体" w:hint="eastAsia"/>
          <w:b/>
          <w:color w:val="000000" w:themeColor="text1"/>
          <w:szCs w:val="21"/>
        </w:rPr>
        <w:t>合并成本及商誉</w:t>
      </w:r>
    </w:p>
    <w:p w:rsidR="00597370" w:rsidRDefault="006840ED">
      <w:pPr>
        <w:rPr>
          <w:color w:val="000000" w:themeColor="text1"/>
        </w:rPr>
      </w:pPr>
      <w:sdt>
        <w:sdtPr>
          <w:rPr>
            <w:color w:val="000000" w:themeColor="text1"/>
          </w:rPr>
          <w:alias w:val="是否适用：合并成本及商誉[双击切换]"/>
          <w:tag w:val="_GBC_56d9f6aa774c4776ac65c41472b0a280"/>
          <w:id w:val="1674443151"/>
          <w:lock w:val="contentLocked"/>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bookmarkStart w:id="370" w:name="_Hlk168315102"/>
    </w:p>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合并成本及商誉"/>
          <w:tag w:val="_GBC_7dcc905e1cc54d7da6ff3999e09e0f1f"/>
          <w:id w:val="1174534870"/>
          <w:placeholder>
            <w:docPart w:val="201273C5A05B4396A22FF063F645C2F5"/>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合并成本及商誉"/>
          <w:tag w:val="_GBC_1d4f1604e6724ad4aa12235f8be81df0"/>
          <w:id w:val="1589344784"/>
          <w:placeholder>
            <w:docPart w:val="201273C5A05B4396A22FF063F645C2F5"/>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4334"/>
      </w:tblGrid>
      <w:tr w:rsidR="00597370">
        <w:trPr>
          <w:jc w:val="center"/>
        </w:trPr>
        <w:tc>
          <w:tcPr>
            <w:tcW w:w="2544" w:type="pct"/>
            <w:shd w:val="clear" w:color="auto" w:fill="auto"/>
            <w:vAlign w:val="center"/>
          </w:tcPr>
          <w:sdt>
            <w:sdtPr>
              <w:rPr>
                <w:rFonts w:ascii="Times New Roman" w:hAnsi="Times New Roman" w:cs="Times New Roman"/>
                <w:bCs w:val="0"/>
              </w:rPr>
              <w:tag w:val="_PLD_90e0a910c2c54a11a6666bf7ea3e769c"/>
              <w:id w:val="319085401"/>
            </w:sdtPr>
            <w:sdtEndPr/>
            <w:sdtContent>
              <w:p w:rsidR="00597370" w:rsidRDefault="003C2EEE">
                <w:pPr>
                  <w:jc w:val="center"/>
                  <w:rPr>
                    <w:rFonts w:cs="Arial"/>
                    <w:color w:val="000000" w:themeColor="text1"/>
                  </w:rPr>
                </w:pPr>
                <w:r>
                  <w:rPr>
                    <w:rFonts w:cs="Arial" w:hint="eastAsia"/>
                    <w:color w:val="000000"/>
                  </w:rPr>
                  <w:t>合并成本</w:t>
                </w:r>
              </w:p>
            </w:sdtContent>
          </w:sdt>
        </w:tc>
        <w:tc>
          <w:tcPr>
            <w:tcW w:w="2456" w:type="pct"/>
            <w:vAlign w:val="center"/>
          </w:tcPr>
          <w:p w:rsidR="00597370" w:rsidRDefault="003C2EEE">
            <w:pPr>
              <w:jc w:val="center"/>
              <w:rPr>
                <w:color w:val="000000" w:themeColor="text1"/>
              </w:rPr>
            </w:pPr>
            <w:proofErr w:type="gramStart"/>
            <w:r>
              <w:rPr>
                <w:rFonts w:hint="eastAsia"/>
                <w:color w:val="000000" w:themeColor="text1"/>
              </w:rPr>
              <w:t>云变电气</w:t>
            </w:r>
            <w:proofErr w:type="gramEnd"/>
          </w:p>
        </w:tc>
      </w:tr>
      <w:tr w:rsidR="00597370">
        <w:trPr>
          <w:jc w:val="center"/>
        </w:trPr>
        <w:tc>
          <w:tcPr>
            <w:tcW w:w="2544" w:type="pct"/>
            <w:shd w:val="clear" w:color="auto" w:fill="FFFFFF"/>
            <w:vAlign w:val="center"/>
          </w:tcPr>
          <w:p w:rsidR="00597370" w:rsidRDefault="003C2EEE">
            <w:pPr>
              <w:rPr>
                <w:rFonts w:cs="Arial"/>
                <w:color w:val="000000" w:themeColor="text1"/>
              </w:rPr>
            </w:pPr>
            <w:r>
              <w:rPr>
                <w:rFonts w:cs="Arial" w:hint="eastAsia"/>
                <w:color w:val="000000"/>
              </w:rPr>
              <w:t>--现金</w:t>
            </w:r>
          </w:p>
        </w:tc>
        <w:tc>
          <w:tcPr>
            <w:tcW w:w="2456" w:type="pct"/>
            <w:vAlign w:val="center"/>
          </w:tcPr>
          <w:p w:rsidR="00597370" w:rsidRDefault="003C2EEE">
            <w:pPr>
              <w:jc w:val="right"/>
            </w:pPr>
            <w:r>
              <w:t>559,816,869.00</w:t>
            </w:r>
          </w:p>
        </w:tc>
      </w:tr>
      <w:tr w:rsidR="00597370">
        <w:trPr>
          <w:jc w:val="center"/>
        </w:trPr>
        <w:tc>
          <w:tcPr>
            <w:tcW w:w="2544" w:type="pct"/>
            <w:shd w:val="clear" w:color="auto" w:fill="FFFFFF"/>
            <w:vAlign w:val="center"/>
          </w:tcPr>
          <w:p w:rsidR="00597370" w:rsidRDefault="003C2EEE">
            <w:pPr>
              <w:rPr>
                <w:rFonts w:cs="Arial"/>
                <w:color w:val="000000" w:themeColor="text1"/>
              </w:rPr>
            </w:pPr>
            <w:r>
              <w:rPr>
                <w:rFonts w:cs="Arial" w:hint="eastAsia"/>
                <w:color w:val="000000"/>
              </w:rPr>
              <w:t>--非现金资产的公允价值</w:t>
            </w:r>
          </w:p>
        </w:tc>
        <w:tc>
          <w:tcPr>
            <w:tcW w:w="2456" w:type="pct"/>
            <w:vAlign w:val="center"/>
          </w:tcPr>
          <w:p w:rsidR="00597370" w:rsidRDefault="003C2EEE">
            <w:pPr>
              <w:jc w:val="right"/>
            </w:pPr>
            <w:r>
              <w:t>-</w:t>
            </w:r>
          </w:p>
        </w:tc>
      </w:tr>
      <w:tr w:rsidR="00597370">
        <w:trPr>
          <w:jc w:val="center"/>
        </w:trPr>
        <w:tc>
          <w:tcPr>
            <w:tcW w:w="2544" w:type="pct"/>
            <w:shd w:val="clear" w:color="auto" w:fill="FFFFFF"/>
            <w:vAlign w:val="center"/>
          </w:tcPr>
          <w:p w:rsidR="00597370" w:rsidRDefault="003C2EEE">
            <w:pPr>
              <w:rPr>
                <w:rFonts w:cs="Arial"/>
                <w:color w:val="000000" w:themeColor="text1"/>
              </w:rPr>
            </w:pPr>
            <w:r>
              <w:rPr>
                <w:rFonts w:cs="Arial" w:hint="eastAsia"/>
                <w:color w:val="000000"/>
              </w:rPr>
              <w:t>--发行或承担的债务的公允价值</w:t>
            </w:r>
          </w:p>
        </w:tc>
        <w:tc>
          <w:tcPr>
            <w:tcW w:w="2456" w:type="pct"/>
            <w:vAlign w:val="center"/>
          </w:tcPr>
          <w:p w:rsidR="00597370" w:rsidRDefault="003C2EEE">
            <w:pPr>
              <w:jc w:val="right"/>
            </w:pPr>
            <w:r>
              <w:t>-</w:t>
            </w:r>
          </w:p>
        </w:tc>
      </w:tr>
      <w:tr w:rsidR="00597370">
        <w:trPr>
          <w:jc w:val="center"/>
        </w:trPr>
        <w:tc>
          <w:tcPr>
            <w:tcW w:w="2544" w:type="pct"/>
            <w:shd w:val="clear" w:color="auto" w:fill="FFFFFF"/>
            <w:vAlign w:val="center"/>
          </w:tcPr>
          <w:p w:rsidR="00597370" w:rsidRDefault="003C2EEE">
            <w:pPr>
              <w:rPr>
                <w:rFonts w:cs="Arial"/>
                <w:color w:val="000000" w:themeColor="text1"/>
              </w:rPr>
            </w:pPr>
            <w:r>
              <w:rPr>
                <w:rFonts w:cs="Arial" w:hint="eastAsia"/>
                <w:color w:val="000000"/>
              </w:rPr>
              <w:t>--发行的权益</w:t>
            </w:r>
            <w:proofErr w:type="gramStart"/>
            <w:r>
              <w:rPr>
                <w:rFonts w:cs="Arial" w:hint="eastAsia"/>
                <w:color w:val="000000"/>
              </w:rPr>
              <w:t>性证券</w:t>
            </w:r>
            <w:proofErr w:type="gramEnd"/>
            <w:r>
              <w:rPr>
                <w:rFonts w:cs="Arial" w:hint="eastAsia"/>
                <w:color w:val="000000"/>
              </w:rPr>
              <w:t>的公允价值</w:t>
            </w:r>
          </w:p>
        </w:tc>
        <w:tc>
          <w:tcPr>
            <w:tcW w:w="2456" w:type="pct"/>
            <w:vAlign w:val="center"/>
          </w:tcPr>
          <w:p w:rsidR="00597370" w:rsidRDefault="003C2EEE">
            <w:pPr>
              <w:jc w:val="right"/>
            </w:pPr>
            <w:r>
              <w:t>-</w:t>
            </w:r>
          </w:p>
        </w:tc>
      </w:tr>
      <w:tr w:rsidR="00597370">
        <w:trPr>
          <w:jc w:val="center"/>
        </w:trPr>
        <w:tc>
          <w:tcPr>
            <w:tcW w:w="2544" w:type="pct"/>
            <w:shd w:val="clear" w:color="auto" w:fill="FFFFFF"/>
            <w:vAlign w:val="center"/>
          </w:tcPr>
          <w:p w:rsidR="00597370" w:rsidRDefault="003C2EEE">
            <w:pPr>
              <w:rPr>
                <w:rFonts w:cs="Arial"/>
                <w:color w:val="000000" w:themeColor="text1"/>
              </w:rPr>
            </w:pPr>
            <w:r>
              <w:rPr>
                <w:rFonts w:cs="Arial" w:hint="eastAsia"/>
                <w:color w:val="000000"/>
              </w:rPr>
              <w:t>--或有对价的公允价值</w:t>
            </w:r>
          </w:p>
        </w:tc>
        <w:tc>
          <w:tcPr>
            <w:tcW w:w="2456" w:type="pct"/>
            <w:vAlign w:val="center"/>
          </w:tcPr>
          <w:p w:rsidR="00597370" w:rsidRDefault="003C2EEE">
            <w:pPr>
              <w:jc w:val="right"/>
            </w:pPr>
            <w:r>
              <w:t>-</w:t>
            </w:r>
          </w:p>
        </w:tc>
      </w:tr>
      <w:tr w:rsidR="00597370">
        <w:trPr>
          <w:jc w:val="center"/>
        </w:trPr>
        <w:tc>
          <w:tcPr>
            <w:tcW w:w="2544" w:type="pct"/>
            <w:shd w:val="clear" w:color="auto" w:fill="FFFFFF"/>
            <w:vAlign w:val="center"/>
          </w:tcPr>
          <w:p w:rsidR="00597370" w:rsidRDefault="003C2EEE">
            <w:pPr>
              <w:rPr>
                <w:rFonts w:cs="Arial"/>
                <w:color w:val="000000" w:themeColor="text1"/>
              </w:rPr>
            </w:pPr>
            <w:r>
              <w:rPr>
                <w:rFonts w:cs="Arial" w:hint="eastAsia"/>
                <w:color w:val="000000"/>
              </w:rPr>
              <w:t>--购买日之前持有的股权于购买日的公允价值</w:t>
            </w:r>
          </w:p>
        </w:tc>
        <w:tc>
          <w:tcPr>
            <w:tcW w:w="2456" w:type="pct"/>
            <w:vAlign w:val="center"/>
          </w:tcPr>
          <w:p w:rsidR="00597370" w:rsidRDefault="003C2EEE">
            <w:pPr>
              <w:jc w:val="right"/>
            </w:pPr>
            <w:r>
              <w:t>-</w:t>
            </w:r>
          </w:p>
        </w:tc>
      </w:tr>
      <w:tr w:rsidR="00597370">
        <w:trPr>
          <w:jc w:val="center"/>
        </w:trPr>
        <w:tc>
          <w:tcPr>
            <w:tcW w:w="2544" w:type="pct"/>
            <w:shd w:val="clear" w:color="auto" w:fill="auto"/>
            <w:vAlign w:val="center"/>
          </w:tcPr>
          <w:p w:rsidR="00597370" w:rsidRDefault="003C2EEE">
            <w:pPr>
              <w:rPr>
                <w:rFonts w:cs="Arial"/>
                <w:color w:val="000000" w:themeColor="text1"/>
                <w:lang w:val="en-GB"/>
              </w:rPr>
            </w:pPr>
            <w:r>
              <w:rPr>
                <w:rFonts w:cs="Arial" w:hint="eastAsia"/>
                <w:color w:val="000000"/>
              </w:rPr>
              <w:t>--其他</w:t>
            </w:r>
          </w:p>
        </w:tc>
        <w:tc>
          <w:tcPr>
            <w:tcW w:w="2456" w:type="pct"/>
            <w:vAlign w:val="center"/>
          </w:tcPr>
          <w:p w:rsidR="00597370" w:rsidRDefault="003C2EEE">
            <w:pPr>
              <w:jc w:val="right"/>
            </w:pPr>
            <w:r>
              <w:t>-</w:t>
            </w:r>
          </w:p>
        </w:tc>
      </w:tr>
      <w:tr w:rsidR="00597370">
        <w:trPr>
          <w:jc w:val="center"/>
        </w:trPr>
        <w:tc>
          <w:tcPr>
            <w:tcW w:w="2544" w:type="pct"/>
            <w:shd w:val="clear" w:color="auto" w:fill="auto"/>
            <w:vAlign w:val="center"/>
          </w:tcPr>
          <w:p w:rsidR="00597370" w:rsidRDefault="003C2EEE">
            <w:pPr>
              <w:rPr>
                <w:rFonts w:cs="Arial"/>
                <w:color w:val="000000" w:themeColor="text1"/>
              </w:rPr>
            </w:pPr>
            <w:r>
              <w:rPr>
                <w:rFonts w:cs="Arial" w:hint="eastAsia"/>
                <w:color w:val="000000"/>
              </w:rPr>
              <w:t>合并成本合计</w:t>
            </w:r>
          </w:p>
        </w:tc>
        <w:tc>
          <w:tcPr>
            <w:tcW w:w="2456" w:type="pct"/>
            <w:vAlign w:val="center"/>
          </w:tcPr>
          <w:p w:rsidR="00597370" w:rsidRDefault="003C2EEE">
            <w:pPr>
              <w:jc w:val="right"/>
            </w:pPr>
            <w:r>
              <w:t>559,816,869.00</w:t>
            </w:r>
          </w:p>
        </w:tc>
      </w:tr>
      <w:tr w:rsidR="00597370">
        <w:trPr>
          <w:jc w:val="center"/>
        </w:trPr>
        <w:tc>
          <w:tcPr>
            <w:tcW w:w="2544" w:type="pct"/>
            <w:shd w:val="clear" w:color="auto" w:fill="auto"/>
            <w:vAlign w:val="center"/>
          </w:tcPr>
          <w:p w:rsidR="00597370" w:rsidRDefault="003C2EEE">
            <w:pPr>
              <w:rPr>
                <w:rFonts w:cs="Arial"/>
                <w:color w:val="000000" w:themeColor="text1"/>
              </w:rPr>
            </w:pPr>
            <w:r>
              <w:rPr>
                <w:rFonts w:cs="Arial" w:hint="eastAsia"/>
                <w:color w:val="000000"/>
              </w:rPr>
              <w:t>减：取得的可辨认净资产公允价值份额</w:t>
            </w:r>
          </w:p>
        </w:tc>
        <w:tc>
          <w:tcPr>
            <w:tcW w:w="2456" w:type="pct"/>
            <w:vAlign w:val="center"/>
          </w:tcPr>
          <w:p w:rsidR="00597370" w:rsidRDefault="003C2EEE">
            <w:pPr>
              <w:jc w:val="right"/>
            </w:pPr>
            <w:r>
              <w:t>514,381,968.30</w:t>
            </w:r>
          </w:p>
        </w:tc>
      </w:tr>
      <w:tr w:rsidR="00597370">
        <w:trPr>
          <w:jc w:val="center"/>
        </w:trPr>
        <w:tc>
          <w:tcPr>
            <w:tcW w:w="2544" w:type="pct"/>
            <w:shd w:val="clear" w:color="auto" w:fill="auto"/>
            <w:vAlign w:val="center"/>
          </w:tcPr>
          <w:p w:rsidR="00597370" w:rsidRDefault="003C2EEE">
            <w:pPr>
              <w:rPr>
                <w:rFonts w:cs="Arial"/>
                <w:color w:val="000000" w:themeColor="text1"/>
                <w:lang w:val="en-GB"/>
              </w:rPr>
            </w:pPr>
            <w:r>
              <w:rPr>
                <w:rFonts w:cs="Arial" w:hint="eastAsia"/>
                <w:color w:val="000000"/>
              </w:rPr>
              <w:t>商誉/合并成本小于取得的可辨认净资产公允价值份额的金额</w:t>
            </w:r>
          </w:p>
        </w:tc>
        <w:tc>
          <w:tcPr>
            <w:tcW w:w="2456" w:type="pct"/>
            <w:vAlign w:val="center"/>
          </w:tcPr>
          <w:p w:rsidR="00597370" w:rsidRDefault="003C2EEE">
            <w:pPr>
              <w:jc w:val="right"/>
            </w:pPr>
            <w:r>
              <w:t>45,434,900.70</w:t>
            </w:r>
          </w:p>
        </w:tc>
      </w:tr>
    </w:tbl>
    <w:p w:rsidR="00597370" w:rsidRDefault="00597370">
      <w:pPr>
        <w:rPr>
          <w:rFonts w:cs="Arial"/>
          <w:color w:val="000000" w:themeColor="text1"/>
        </w:rPr>
      </w:pPr>
    </w:p>
    <w:p w:rsidR="00597370" w:rsidRDefault="003C2EEE">
      <w:pPr>
        <w:rPr>
          <w:rFonts w:cs="Arial"/>
          <w:color w:val="000000" w:themeColor="text1"/>
        </w:rPr>
      </w:pPr>
      <w:r>
        <w:rPr>
          <w:rFonts w:cs="Arial" w:hint="eastAsia"/>
          <w:color w:val="000000" w:themeColor="text1"/>
        </w:rPr>
        <w:t>合并成本公允价值的确定方法：</w:t>
      </w:r>
    </w:p>
    <w:sdt>
      <w:sdtPr>
        <w:rPr>
          <w:color w:val="000000" w:themeColor="text1"/>
        </w:rPr>
        <w:alias w:val="是否适用：合并成本公允价值的确定方法[双击切换]"/>
        <w:tag w:val="_GBC_001eb95767b2485095f39d5f4c981e45"/>
        <w:id w:val="1307672230"/>
        <w:placeholder>
          <w:docPart w:val="201273C5A05B4396A22FF063F645C2F5"/>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cs="Arial"/>
          <w:color w:val="000000" w:themeColor="text1"/>
        </w:rPr>
      </w:pPr>
      <w:r>
        <w:rPr>
          <w:rFonts w:cs="Arial" w:hint="eastAsia"/>
          <w:color w:val="000000" w:themeColor="text1"/>
        </w:rPr>
        <w:t>业绩承诺的完成情况：</w:t>
      </w:r>
    </w:p>
    <w:sdt>
      <w:sdtPr>
        <w:rPr>
          <w:color w:val="000000" w:themeColor="text1"/>
        </w:rPr>
        <w:alias w:val="是否适用：披露业绩承诺的完成情况[双击切换]"/>
        <w:tag w:val="_GBC_96f7158e06964ee0a84d047cf2618cd0"/>
        <w:id w:val="-206576810"/>
        <w:placeholder>
          <w:docPart w:val="201273C5A05B4396A22FF063F645C2F5"/>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cs="Arial"/>
          <w:color w:val="000000" w:themeColor="text1"/>
        </w:rPr>
      </w:pPr>
      <w:r>
        <w:rPr>
          <w:rFonts w:cs="Arial" w:hint="eastAsia"/>
          <w:color w:val="000000" w:themeColor="text1"/>
        </w:rPr>
        <w:t>大额商誉形成的主要原因：</w:t>
      </w:r>
    </w:p>
    <w:sdt>
      <w:sdtPr>
        <w:rPr>
          <w:rFonts w:cs="Arial" w:hint="eastAsia"/>
          <w:color w:val="000000" w:themeColor="text1"/>
        </w:rPr>
        <w:alias w:val="是否适用：大额商誉形成的主要原因[双击切换]"/>
        <w:tag w:val="_GBC_13cca4bf5fbe4d859e68e100efaa41f0"/>
        <w:id w:val="-1062248574"/>
        <w:placeholder>
          <w:docPart w:val="201273C5A05B4396A22FF063F645C2F5"/>
        </w:placeholder>
      </w:sdtPr>
      <w:sdtEndPr/>
      <w:sdtContent>
        <w:p w:rsidR="00597370" w:rsidRDefault="003C2EEE">
          <w:pPr>
            <w:rPr>
              <w:rFonts w:cs="Arial"/>
              <w:color w:val="000000" w:themeColor="text1"/>
            </w:rPr>
          </w:pPr>
          <w:r>
            <w:rPr>
              <w:rFonts w:cs="Arial"/>
              <w:color w:val="000000" w:themeColor="text1"/>
            </w:rPr>
            <w:fldChar w:fldCharType="begin"/>
          </w:r>
          <w:r>
            <w:rPr>
              <w:rFonts w:cs="Arial"/>
              <w:color w:val="000000" w:themeColor="text1"/>
            </w:rPr>
            <w:instrText xml:space="preserve"> </w:instrText>
          </w:r>
          <w:r>
            <w:rPr>
              <w:rFonts w:cs="Arial" w:hint="eastAsia"/>
              <w:color w:val="000000" w:themeColor="text1"/>
            </w:rPr>
            <w:instrText>MACROBUTTON  SnrToggleCheckbox √适用</w:instrText>
          </w:r>
          <w:r>
            <w:rPr>
              <w:rFonts w:cs="Arial"/>
              <w:color w:val="000000" w:themeColor="text1"/>
            </w:rPr>
            <w:instrText xml:space="preserve">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p w:rsidR="00597370" w:rsidRDefault="006840ED">
      <w:pPr>
        <w:spacing w:line="360" w:lineRule="auto"/>
        <w:ind w:firstLineChars="200" w:firstLine="420"/>
        <w:rPr>
          <w:rFonts w:cs="Arial"/>
          <w:color w:val="000000" w:themeColor="text1"/>
        </w:rPr>
      </w:pPr>
      <w:sdt>
        <w:sdtPr>
          <w:rPr>
            <w:rFonts w:cs="Arial"/>
            <w:color w:val="000000" w:themeColor="text1"/>
          </w:rPr>
          <w:alias w:val="商誉构成的说明"/>
          <w:tag w:val="_GBC_d6ff56fa93764bbebccf6c18e74dfed7"/>
          <w:id w:val="1243068070"/>
          <w:placeholder>
            <w:docPart w:val="201273C5A05B4396A22FF063F645C2F5"/>
          </w:placeholder>
        </w:sdtPr>
        <w:sdtEndPr/>
        <w:sdtContent>
          <w:proofErr w:type="gramStart"/>
          <w:r w:rsidR="003C2EEE">
            <w:rPr>
              <w:rFonts w:cs="Arial" w:hint="eastAsia"/>
              <w:color w:val="000000" w:themeColor="text1"/>
            </w:rPr>
            <w:t>云变电气</w:t>
          </w:r>
          <w:proofErr w:type="gramEnd"/>
          <w:r w:rsidR="003C2EEE">
            <w:rPr>
              <w:rFonts w:cs="Arial" w:hint="eastAsia"/>
              <w:color w:val="000000" w:themeColor="text1"/>
            </w:rPr>
            <w:t>是国家变压器重点生产企业，主要从事</w:t>
          </w:r>
          <w:r w:rsidR="003C2EEE">
            <w:rPr>
              <w:rFonts w:cs="Arial"/>
              <w:color w:val="000000" w:themeColor="text1"/>
            </w:rPr>
            <w:t>220kV级及以下电力变压器的研发、生产和销售，同时具备500kV电压等级变压器生产能力和资质，</w:t>
          </w:r>
          <w:proofErr w:type="gramStart"/>
          <w:r w:rsidR="003C2EEE">
            <w:rPr>
              <w:rFonts w:cs="Arial"/>
              <w:color w:val="000000" w:themeColor="text1"/>
            </w:rPr>
            <w:t>收购云变电气</w:t>
          </w:r>
          <w:proofErr w:type="gramEnd"/>
          <w:r w:rsidR="003C2EEE">
            <w:rPr>
              <w:rFonts w:cs="Arial"/>
              <w:color w:val="000000" w:themeColor="text1"/>
            </w:rPr>
            <w:t>可助力公司快速获取更高电压等级变压器研发和生产能力、丰富产品结构、迅速拓宽市场空间和客户资源，有效提升公司生产规模，增强盈利能力，具备良好的资源整合基础。</w:t>
          </w:r>
          <w:proofErr w:type="gramStart"/>
          <w:r w:rsidR="003C2EEE">
            <w:rPr>
              <w:rFonts w:cs="Arial"/>
              <w:color w:val="000000" w:themeColor="text1"/>
            </w:rPr>
            <w:t>云变电气</w:t>
          </w:r>
          <w:proofErr w:type="gramEnd"/>
          <w:r w:rsidR="003C2EEE">
            <w:rPr>
              <w:rFonts w:cs="Arial"/>
              <w:color w:val="000000" w:themeColor="text1"/>
            </w:rPr>
            <w:t>在牵引变压器、高原电力变压器等领域优秀的研发创新优势、稳定的生产能力、广泛的客户资源是本次并购的核心价值，是形成商誉的主要原因。</w:t>
          </w:r>
          <w:r w:rsidR="003C2EEE">
            <w:rPr>
              <w:rFonts w:cs="Arial" w:hint="eastAsia"/>
              <w:color w:val="000000" w:themeColor="text1"/>
            </w:rPr>
            <w:t>通过北京产权交易所竞购上海长威股权投资合伙企业（有限合伙）与南方工业资产管理有限责任公司合计</w:t>
          </w:r>
          <w:proofErr w:type="gramStart"/>
          <w:r w:rsidR="003C2EEE">
            <w:rPr>
              <w:rFonts w:cs="Arial" w:hint="eastAsia"/>
              <w:color w:val="000000" w:themeColor="text1"/>
            </w:rPr>
            <w:t>持有云变电气</w:t>
          </w:r>
          <w:proofErr w:type="gramEnd"/>
          <w:r w:rsidR="003C2EEE">
            <w:rPr>
              <w:rFonts w:cs="Arial" w:hint="eastAsia"/>
              <w:color w:val="000000" w:themeColor="text1"/>
            </w:rPr>
            <w:t>的</w:t>
          </w:r>
          <w:r w:rsidR="003C2EEE">
            <w:rPr>
              <w:rFonts w:cs="Arial"/>
              <w:color w:val="000000" w:themeColor="text1"/>
            </w:rPr>
            <w:t>79.97%股份，</w:t>
          </w:r>
          <w:r w:rsidR="003C2EEE">
            <w:rPr>
              <w:rFonts w:cs="Arial" w:hint="eastAsia"/>
              <w:color w:val="000000" w:themeColor="text1"/>
            </w:rPr>
            <w:t>于</w:t>
          </w:r>
          <w:r w:rsidR="003C2EEE">
            <w:rPr>
              <w:rFonts w:cs="Arial"/>
              <w:color w:val="000000" w:themeColor="text1"/>
            </w:rPr>
            <w:t xml:space="preserve"> 2024 年 4月1 日完成了前述并购，将合并成本高于</w:t>
          </w:r>
          <w:r w:rsidR="003C2EEE">
            <w:rPr>
              <w:rFonts w:cs="Arial" w:hint="eastAsia"/>
              <w:color w:val="000000" w:themeColor="text1"/>
            </w:rPr>
            <w:t>购买日可辨认净资产公允价值的差额确认为商誉。</w:t>
          </w:r>
        </w:sdtContent>
      </w:sdt>
    </w:p>
    <w:p w:rsidR="00597370" w:rsidRDefault="003C2EEE">
      <w:pPr>
        <w:spacing w:before="60" w:after="60"/>
        <w:rPr>
          <w:rFonts w:cs="Arial"/>
          <w:color w:val="000000" w:themeColor="text1"/>
        </w:rPr>
      </w:pPr>
      <w:r>
        <w:rPr>
          <w:rFonts w:cs="Arial" w:hint="eastAsia"/>
          <w:color w:val="000000" w:themeColor="text1"/>
        </w:rPr>
        <w:t>其他说明：</w:t>
      </w:r>
    </w:p>
    <w:sdt>
      <w:sdtPr>
        <w:rPr>
          <w:rFonts w:cs="Arial"/>
          <w:color w:val="000000" w:themeColor="text1"/>
        </w:rPr>
        <w:alias w:val="非同一控制下企业合并成本及商誉的其他说明"/>
        <w:tag w:val="_GBC_8382a4941b9b4661bc98b823ae903a0f"/>
        <w:id w:val="1964927720"/>
        <w:placeholder>
          <w:docPart w:val="201273C5A05B4396A22FF063F645C2F5"/>
        </w:placeholder>
      </w:sdtPr>
      <w:sdtEndPr/>
      <w:sdtContent>
        <w:p w:rsidR="00597370" w:rsidRDefault="003C2EEE">
          <w:pPr>
            <w:rPr>
              <w:rFonts w:cs="Arial"/>
              <w:color w:val="000000" w:themeColor="text1"/>
            </w:rPr>
          </w:pPr>
          <w:r>
            <w:rPr>
              <w:rFonts w:cs="Arial" w:hint="eastAsia"/>
              <w:color w:val="000000" w:themeColor="text1"/>
            </w:rPr>
            <w:t>无</w:t>
          </w:r>
        </w:p>
      </w:sdtContent>
    </w:sdt>
    <w:bookmarkEnd w:id="370"/>
    <w:p w:rsidR="00597370" w:rsidRDefault="003C2EEE">
      <w:pPr>
        <w:pStyle w:val="Style110"/>
        <w:numPr>
          <w:ilvl w:val="0"/>
          <w:numId w:val="92"/>
        </w:numPr>
        <w:ind w:left="426" w:hanging="426"/>
        <w:rPr>
          <w:rStyle w:val="Style145"/>
          <w:rFonts w:ascii="宋体" w:hAnsi="宋体"/>
          <w:b/>
          <w:color w:val="000000" w:themeColor="text1"/>
          <w:szCs w:val="21"/>
        </w:rPr>
      </w:pPr>
      <w:r>
        <w:rPr>
          <w:rStyle w:val="Style145"/>
          <w:rFonts w:ascii="宋体" w:hAnsi="宋体" w:hint="eastAsia"/>
          <w:b/>
          <w:color w:val="000000" w:themeColor="text1"/>
          <w:szCs w:val="21"/>
        </w:rPr>
        <w:t>被购买方于购买日可辨认资产、负债</w:t>
      </w:r>
    </w:p>
    <w:p w:rsidR="006840ED" w:rsidRDefault="006840ED" w:rsidP="006840ED">
      <w:pPr>
        <w:rPr>
          <w:color w:val="000000" w:themeColor="text1"/>
        </w:rPr>
      </w:pPr>
      <w:sdt>
        <w:sdtPr>
          <w:rPr>
            <w:color w:val="000000" w:themeColor="text1"/>
          </w:rPr>
          <w:alias w:val="是否适用：被购买方于购买日可辨认资产、负债[双击切换]"/>
          <w:tag w:val="_GBC_b192e56c8e2242b3bf12a08de6dc76d4"/>
          <w:id w:val="-1881924371"/>
          <w:lock w:val="contentLocked"/>
          <w:placeholder>
            <w:docPart w:val="GBC22222222222222222222222222222"/>
          </w:placeholder>
        </w:sdtPr>
        <w:sdtEndPr/>
        <w:sdtContent>
          <w:bookmarkStart w:id="371" w:name="_GoBack"/>
          <w:r w:rsidR="003C2EEE">
            <w:rPr>
              <w:color w:val="000000" w:themeColor="text1"/>
            </w:rPr>
            <w:fldChar w:fldCharType="begin"/>
          </w:r>
          <w:r>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Pr>
              <w:color w:val="000000" w:themeColor="text1"/>
            </w:rPr>
            <w:instrText xml:space="preserve"> MACROBUTTON  SnrToggleCheckbox □不适用 </w:instrText>
          </w:r>
          <w:r w:rsidR="003C2EEE">
            <w:rPr>
              <w:color w:val="000000" w:themeColor="text1"/>
            </w:rPr>
            <w:fldChar w:fldCharType="end"/>
          </w:r>
        </w:sdtContent>
      </w:sdt>
    </w:p>
    <w:bookmarkEnd w:id="371"/>
    <w:p w:rsidR="006840ED" w:rsidRDefault="006840ED" w:rsidP="00B23CD7">
      <w:pPr>
        <w:ind w:right="840" w:firstLineChars="2100" w:firstLine="4410"/>
        <w:rPr>
          <w:color w:val="000000" w:themeColor="text1"/>
        </w:rPr>
      </w:pPr>
      <w:r>
        <w:rPr>
          <w:rFonts w:cs="Arial" w:hint="eastAsia"/>
          <w:color w:val="000000" w:themeColor="text1"/>
        </w:rPr>
        <w:t>单位：</w:t>
      </w:r>
      <w:sdt>
        <w:sdtPr>
          <w:rPr>
            <w:rFonts w:cs="Arial" w:hint="eastAsia"/>
            <w:color w:val="000000" w:themeColor="text1"/>
          </w:rPr>
          <w:alias w:val="单位：财务附注：被购买方于购买日可辨认资产、负债"/>
          <w:tag w:val="_GBC_fe3b0ed5978941cd84d579dc509a4b5e"/>
          <w:id w:val="-358819575"/>
          <w:placeholder>
            <w:docPart w:val="07237EC2CC514A42BE287C695F6AF22C"/>
          </w:placeholder>
          <w:comboBox>
            <w:listItem w:displayText="元" w:value="1"/>
            <w:listItem w:displayText="千元" w:value="1000"/>
            <w:listItem w:displayText="万元" w:value="10000"/>
            <w:listItem w:displayText="百万元" w:value="1000000"/>
            <w:listItem w:displayText="亿元" w:value="100000000"/>
          </w:comboBox>
        </w:sdtPr>
        <w:sdtContent>
          <w:r>
            <w:rPr>
              <w:rFonts w:cs="Arial" w:hint="eastAsia"/>
              <w:color w:val="000000" w:themeColor="text1"/>
            </w:rPr>
            <w:t>万元</w:t>
          </w:r>
        </w:sdtContent>
      </w:sdt>
      <w:r>
        <w:rPr>
          <w:rFonts w:cs="Arial" w:hint="eastAsia"/>
          <w:color w:val="000000" w:themeColor="text1"/>
        </w:rPr>
        <w:t xml:space="preserve">  币种：</w:t>
      </w:r>
      <w:sdt>
        <w:sdtPr>
          <w:rPr>
            <w:rFonts w:cs="Arial" w:hint="eastAsia"/>
            <w:color w:val="000000" w:themeColor="text1"/>
          </w:rPr>
          <w:alias w:val="币种：财务附注：被购买方于购买日可辨认资产、负债"/>
          <w:tag w:val="_GBC_83c566a361664b7c893465ef7708f711"/>
          <w:id w:val="-1847866645"/>
          <w:placeholder>
            <w:docPart w:val="07237EC2CC514A42BE287C695F6AF22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Arial" w:hint="eastAsia"/>
              <w:color w:val="000000" w:themeColor="text1"/>
            </w:rPr>
            <w:t>人民币</w:t>
          </w:r>
        </w:sdtContent>
      </w:sdt>
    </w:p>
    <w:tbl>
      <w:tblPr>
        <w:tblStyle w:val="g4"/>
        <w:tblW w:w="7655" w:type="dxa"/>
        <w:tblInd w:w="-10" w:type="dxa"/>
        <w:tblLook w:val="04A0" w:firstRow="1" w:lastRow="0" w:firstColumn="1" w:lastColumn="0" w:noHBand="0" w:noVBand="1"/>
      </w:tblPr>
      <w:tblGrid>
        <w:gridCol w:w="2736"/>
        <w:gridCol w:w="2367"/>
        <w:gridCol w:w="2552"/>
      </w:tblGrid>
      <w:tr w:rsidR="006840ED" w:rsidTr="00894FA3">
        <w:trPr>
          <w:trHeight w:val="303"/>
        </w:trPr>
        <w:tc>
          <w:tcPr>
            <w:tcW w:w="2736" w:type="dxa"/>
            <w:vMerge w:val="restart"/>
            <w:tcBorders>
              <w:top w:val="single" w:sz="8" w:space="0" w:color="000000"/>
              <w:left w:val="single" w:sz="8" w:space="0" w:color="000000"/>
              <w:bottom w:val="single" w:sz="8" w:space="0" w:color="000000"/>
              <w:right w:val="single" w:sz="8" w:space="0" w:color="000000"/>
            </w:tcBorders>
            <w:shd w:val="clear" w:color="auto" w:fill="auto"/>
          </w:tcPr>
          <w:p w:rsidR="006840ED" w:rsidRDefault="006840ED" w:rsidP="00894FA3">
            <w:pPr>
              <w:rPr>
                <w:rFonts w:asciiTheme="minorEastAsia" w:eastAsiaTheme="minorEastAsia" w:hAnsiTheme="minorEastAsia"/>
              </w:rPr>
            </w:pPr>
            <w:r>
              <w:rPr>
                <w:rFonts w:asciiTheme="minorEastAsia" w:eastAsiaTheme="minorEastAsia" w:hAnsiTheme="minorEastAsia" w:hint="eastAsia"/>
              </w:rPr>
              <w:t>项目</w:t>
            </w:r>
          </w:p>
        </w:tc>
        <w:tc>
          <w:tcPr>
            <w:tcW w:w="4919" w:type="dxa"/>
            <w:gridSpan w:val="2"/>
            <w:tcBorders>
              <w:top w:val="single" w:sz="8" w:space="0" w:color="000000"/>
              <w:left w:val="nil"/>
              <w:bottom w:val="single" w:sz="8" w:space="0" w:color="000000"/>
              <w:right w:val="single" w:sz="8" w:space="0" w:color="000000"/>
            </w:tcBorders>
            <w:shd w:val="clear" w:color="auto" w:fill="auto"/>
            <w:vAlign w:val="center"/>
          </w:tcPr>
          <w:p w:rsidR="006840ED" w:rsidRDefault="006840ED" w:rsidP="00894FA3">
            <w:pPr>
              <w:jc w:val="center"/>
              <w:rPr>
                <w:rFonts w:asciiTheme="minorEastAsia" w:eastAsiaTheme="minorEastAsia" w:hAnsiTheme="minorEastAsia"/>
                <w:bCs w:val="0"/>
                <w:color w:val="000000"/>
              </w:rPr>
            </w:pPr>
            <w:proofErr w:type="gramStart"/>
            <w:r>
              <w:rPr>
                <w:rFonts w:asciiTheme="minorEastAsia" w:eastAsiaTheme="minorEastAsia" w:hAnsiTheme="minorEastAsia" w:hint="eastAsia"/>
                <w:color w:val="000000"/>
              </w:rPr>
              <w:t>云变电气</w:t>
            </w:r>
            <w:proofErr w:type="gramEnd"/>
          </w:p>
        </w:tc>
      </w:tr>
      <w:tr w:rsidR="006840ED" w:rsidTr="00894FA3">
        <w:trPr>
          <w:trHeight w:val="303"/>
        </w:trPr>
        <w:tc>
          <w:tcPr>
            <w:tcW w:w="2736" w:type="dxa"/>
            <w:vMerge/>
            <w:tcBorders>
              <w:top w:val="single" w:sz="8" w:space="0" w:color="000000"/>
              <w:left w:val="single" w:sz="8" w:space="0" w:color="000000"/>
              <w:bottom w:val="single" w:sz="8" w:space="0" w:color="000000"/>
              <w:right w:val="single" w:sz="8" w:space="0" w:color="000000"/>
            </w:tcBorders>
            <w:vAlign w:val="center"/>
          </w:tcPr>
          <w:p w:rsidR="006840ED" w:rsidRDefault="006840ED" w:rsidP="00894FA3">
            <w:pPr>
              <w:rPr>
                <w:rFonts w:asciiTheme="minorEastAsia" w:eastAsiaTheme="minorEastAsia" w:hAnsiTheme="minorEastAsia"/>
              </w:rPr>
            </w:pP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center"/>
              <w:rPr>
                <w:rFonts w:asciiTheme="minorEastAsia" w:eastAsiaTheme="minorEastAsia" w:hAnsiTheme="minorEastAsia"/>
                <w:bCs w:val="0"/>
                <w:color w:val="000000"/>
              </w:rPr>
            </w:pPr>
            <w:r>
              <w:rPr>
                <w:rFonts w:asciiTheme="minorEastAsia" w:eastAsiaTheme="minorEastAsia" w:hAnsiTheme="minorEastAsia" w:hint="eastAsia"/>
                <w:color w:val="000000"/>
              </w:rPr>
              <w:t>购买日公允价值</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center"/>
              <w:rPr>
                <w:rFonts w:asciiTheme="minorEastAsia" w:eastAsiaTheme="minorEastAsia" w:hAnsiTheme="minorEastAsia"/>
                <w:bCs w:val="0"/>
                <w:color w:val="000000"/>
              </w:rPr>
            </w:pPr>
            <w:r>
              <w:rPr>
                <w:rFonts w:asciiTheme="minorEastAsia" w:eastAsiaTheme="minorEastAsia" w:hAnsiTheme="minorEastAsia" w:hint="eastAsia"/>
                <w:color w:val="000000"/>
              </w:rPr>
              <w:t>购买日账面价值</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bottom"/>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lastRenderedPageBreak/>
              <w:t>资产：</w:t>
            </w:r>
          </w:p>
        </w:tc>
        <w:tc>
          <w:tcPr>
            <w:tcW w:w="2367" w:type="dxa"/>
            <w:tcBorders>
              <w:top w:val="nil"/>
              <w:left w:val="nil"/>
              <w:bottom w:val="single" w:sz="8" w:space="0" w:color="000000"/>
              <w:right w:val="single" w:sz="8" w:space="0" w:color="000000"/>
            </w:tcBorders>
            <w:shd w:val="clear" w:color="auto" w:fill="auto"/>
          </w:tcPr>
          <w:p w:rsidR="006840ED" w:rsidRDefault="006840ED" w:rsidP="00894FA3">
            <w:pPr>
              <w:rPr>
                <w:rFonts w:asciiTheme="minorEastAsia" w:eastAsiaTheme="minorEastAsia" w:hAnsiTheme="minorEastAsia"/>
                <w:bCs w:val="0"/>
                <w:color w:val="000000"/>
              </w:rPr>
            </w:pPr>
          </w:p>
        </w:tc>
        <w:tc>
          <w:tcPr>
            <w:tcW w:w="2552" w:type="dxa"/>
            <w:tcBorders>
              <w:top w:val="nil"/>
              <w:left w:val="nil"/>
              <w:bottom w:val="single" w:sz="8" w:space="0" w:color="000000"/>
              <w:right w:val="single" w:sz="8" w:space="0" w:color="000000"/>
            </w:tcBorders>
            <w:shd w:val="clear" w:color="auto" w:fill="auto"/>
          </w:tcPr>
          <w:p w:rsidR="006840ED" w:rsidRDefault="006840ED" w:rsidP="00894FA3">
            <w:pPr>
              <w:jc w:val="right"/>
              <w:rPr>
                <w:rFonts w:asciiTheme="minorEastAsia" w:eastAsiaTheme="minorEastAsia" w:hAnsiTheme="minorEastAsia"/>
                <w:bCs w:val="0"/>
              </w:rPr>
            </w:pP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货币资金</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17,956.07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17,956.07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FFFFFF"/>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应收款项</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63,600.01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63,600.01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FFFFFF"/>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存货</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25,498.88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24,117.55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FFFFFF"/>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其他流动资产</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769.69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769.69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FFFFFF"/>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其他权益工具投资</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1,322.48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1,322.48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FFFFFF"/>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固定资产</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37,516.37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36,232.62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FFFFFF"/>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在建工程</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63.46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63.46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FFFFFF"/>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无形资产</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9,844.22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4,509.67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资产合计</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158,156.70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150,157.08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负债：</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短期借款</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25,350.00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25,350.00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应付款项</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60,492.65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60,492.65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其他流动负债</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4,397.25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4,397.25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长期借款</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2,000.00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2,000.00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负债合计</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92,239.90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94,873.16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净资产</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65,916.80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55,283.91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减：少数股东权益</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13,203.13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11,073.37 </w:t>
            </w:r>
          </w:p>
        </w:tc>
      </w:tr>
      <w:tr w:rsidR="006840ED" w:rsidTr="00894FA3">
        <w:trPr>
          <w:trHeight w:val="303"/>
        </w:trPr>
        <w:tc>
          <w:tcPr>
            <w:tcW w:w="2736" w:type="dxa"/>
            <w:tcBorders>
              <w:top w:val="nil"/>
              <w:left w:val="single" w:sz="8" w:space="0" w:color="000000"/>
              <w:bottom w:val="single" w:sz="8" w:space="0" w:color="000000"/>
              <w:right w:val="single" w:sz="8" w:space="0" w:color="000000"/>
            </w:tcBorders>
            <w:shd w:val="clear" w:color="auto" w:fill="auto"/>
            <w:vAlign w:val="center"/>
          </w:tcPr>
          <w:p w:rsidR="006840ED" w:rsidRDefault="006840ED" w:rsidP="00894FA3">
            <w:pPr>
              <w:rPr>
                <w:rFonts w:asciiTheme="minorEastAsia" w:eastAsiaTheme="minorEastAsia" w:hAnsiTheme="minorEastAsia"/>
                <w:bCs w:val="0"/>
                <w:color w:val="000000"/>
              </w:rPr>
            </w:pPr>
            <w:r>
              <w:rPr>
                <w:rFonts w:asciiTheme="minorEastAsia" w:eastAsiaTheme="minorEastAsia" w:hAnsiTheme="minorEastAsia" w:hint="eastAsia"/>
                <w:color w:val="000000"/>
              </w:rPr>
              <w:t>取得的净资产</w:t>
            </w:r>
          </w:p>
        </w:tc>
        <w:tc>
          <w:tcPr>
            <w:tcW w:w="2367"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52,713.66 </w:t>
            </w:r>
          </w:p>
        </w:tc>
        <w:tc>
          <w:tcPr>
            <w:tcW w:w="2552" w:type="dxa"/>
            <w:tcBorders>
              <w:top w:val="nil"/>
              <w:left w:val="nil"/>
              <w:bottom w:val="single" w:sz="8" w:space="0" w:color="000000"/>
              <w:right w:val="single" w:sz="8" w:space="0" w:color="000000"/>
            </w:tcBorders>
            <w:shd w:val="clear" w:color="auto" w:fill="auto"/>
            <w:vAlign w:val="center"/>
          </w:tcPr>
          <w:p w:rsidR="006840ED" w:rsidRDefault="006840ED" w:rsidP="00894FA3">
            <w:pPr>
              <w:jc w:val="right"/>
              <w:rPr>
                <w:rFonts w:asciiTheme="minorEastAsia" w:eastAsiaTheme="minorEastAsia" w:hAnsiTheme="minorEastAsia"/>
                <w:bCs w:val="0"/>
                <w:color w:val="000000"/>
              </w:rPr>
            </w:pPr>
            <w:r>
              <w:rPr>
                <w:rFonts w:asciiTheme="minorEastAsia" w:eastAsiaTheme="minorEastAsia" w:hAnsiTheme="minorEastAsia" w:hint="eastAsia"/>
                <w:color w:val="000000"/>
              </w:rPr>
              <w:t xml:space="preserve"> 44,210.55 </w:t>
            </w:r>
          </w:p>
        </w:tc>
      </w:tr>
    </w:tbl>
    <w:p w:rsidR="006840ED" w:rsidRDefault="006840ED" w:rsidP="00B23CD7">
      <w:pPr>
        <w:rPr>
          <w:rFonts w:cs="Arial"/>
          <w:color w:val="000000" w:themeColor="text1"/>
        </w:rPr>
      </w:pPr>
    </w:p>
    <w:p w:rsidR="006840ED" w:rsidRDefault="006840ED" w:rsidP="00B23CD7">
      <w:pPr>
        <w:rPr>
          <w:rFonts w:cs="Arial"/>
          <w:color w:val="000000" w:themeColor="text1"/>
        </w:rPr>
      </w:pPr>
      <w:r>
        <w:rPr>
          <w:rFonts w:cs="Arial" w:hint="eastAsia"/>
          <w:color w:val="000000" w:themeColor="text1"/>
        </w:rPr>
        <w:t>可辨认资产、负债公允价值的确定方法：</w:t>
      </w:r>
    </w:p>
    <w:sdt>
      <w:sdtPr>
        <w:rPr>
          <w:rFonts w:cs="Arial" w:hint="eastAsia"/>
          <w:color w:val="000000" w:themeColor="text1"/>
        </w:rPr>
        <w:alias w:val="可辨认资产、负债公允价值的确定方法"/>
        <w:tag w:val="_GBC_45e7c286832e451897a1af3914036802"/>
        <w:id w:val="302666567"/>
        <w:placeholder>
          <w:docPart w:val="07237EC2CC514A42BE287C695F6AF22C"/>
        </w:placeholder>
      </w:sdtPr>
      <w:sdtContent>
        <w:p w:rsidR="006840ED" w:rsidRDefault="006840ED" w:rsidP="00B23CD7">
          <w:pPr>
            <w:ind w:firstLineChars="200" w:firstLine="420"/>
            <w:rPr>
              <w:rFonts w:cs="Arial"/>
              <w:color w:val="000000" w:themeColor="text1"/>
            </w:rPr>
          </w:pPr>
          <w:r>
            <w:rPr>
              <w:rFonts w:cs="Arial" w:hint="eastAsia"/>
              <w:color w:val="000000" w:themeColor="text1"/>
            </w:rPr>
            <w:t>根据公司与上海长威股权投资合伙企业（有限合伙）与南方工业资产管理有限责任公司的产权交易合同，公司通过北京产权交易所竞购上海长威股权投资合伙企业（有限合伙）与南方工业资产管理有限责任公司合计</w:t>
          </w:r>
          <w:proofErr w:type="gramStart"/>
          <w:r>
            <w:rPr>
              <w:rFonts w:cs="Arial" w:hint="eastAsia"/>
              <w:color w:val="000000" w:themeColor="text1"/>
            </w:rPr>
            <w:t>持有云变电气</w:t>
          </w:r>
          <w:proofErr w:type="gramEnd"/>
          <w:r>
            <w:rPr>
              <w:rFonts w:cs="Arial" w:hint="eastAsia"/>
              <w:color w:val="000000" w:themeColor="text1"/>
            </w:rPr>
            <w:t>的</w:t>
          </w:r>
          <w:r>
            <w:rPr>
              <w:rFonts w:cs="Arial"/>
              <w:color w:val="000000" w:themeColor="text1"/>
            </w:rPr>
            <w:t>79.97%股份，购买日，公司按照</w:t>
          </w:r>
          <w:r>
            <w:rPr>
              <w:rFonts w:cs="Arial" w:hint="eastAsia"/>
              <w:color w:val="000000" w:themeColor="text1"/>
            </w:rPr>
            <w:t>四川天健华</w:t>
          </w:r>
          <w:proofErr w:type="gramStart"/>
          <w:r>
            <w:rPr>
              <w:rFonts w:cs="Arial" w:hint="eastAsia"/>
              <w:color w:val="000000" w:themeColor="text1"/>
            </w:rPr>
            <w:t>衡资产</w:t>
          </w:r>
          <w:proofErr w:type="gramEnd"/>
          <w:r>
            <w:rPr>
              <w:rFonts w:cs="Arial" w:hint="eastAsia"/>
              <w:color w:val="000000" w:themeColor="text1"/>
            </w:rPr>
            <w:t>评估有限公司</w:t>
          </w:r>
          <w:r>
            <w:rPr>
              <w:rFonts w:cs="Arial"/>
              <w:color w:val="000000" w:themeColor="text1"/>
            </w:rPr>
            <w:t>出具的《评估报告》（</w:t>
          </w:r>
          <w:proofErr w:type="gramStart"/>
          <w:r>
            <w:rPr>
              <w:rFonts w:cs="Arial" w:hint="eastAsia"/>
              <w:color w:val="000000" w:themeColor="text1"/>
            </w:rPr>
            <w:t>川华衡</w:t>
          </w:r>
          <w:proofErr w:type="gramEnd"/>
          <w:r>
            <w:rPr>
              <w:rFonts w:cs="Arial" w:hint="eastAsia"/>
              <w:color w:val="000000" w:themeColor="text1"/>
            </w:rPr>
            <w:t>评报【2</w:t>
          </w:r>
          <w:r>
            <w:rPr>
              <w:rFonts w:cs="Arial"/>
              <w:color w:val="000000" w:themeColor="text1"/>
            </w:rPr>
            <w:t>024</w:t>
          </w:r>
          <w:r>
            <w:rPr>
              <w:rFonts w:cs="Arial" w:hint="eastAsia"/>
              <w:color w:val="000000" w:themeColor="text1"/>
            </w:rPr>
            <w:t>】1</w:t>
          </w:r>
          <w:r>
            <w:rPr>
              <w:rFonts w:cs="Arial"/>
              <w:color w:val="000000" w:themeColor="text1"/>
            </w:rPr>
            <w:t>3</w:t>
          </w:r>
          <w:r>
            <w:rPr>
              <w:rFonts w:cs="Arial" w:hint="eastAsia"/>
              <w:color w:val="000000" w:themeColor="text1"/>
            </w:rPr>
            <w:t>号</w:t>
          </w:r>
          <w:r>
            <w:rPr>
              <w:rFonts w:cs="Arial"/>
              <w:color w:val="000000" w:themeColor="text1"/>
            </w:rPr>
            <w:t>）（评估基准日为 2023 年 9月 30 日）调整</w:t>
          </w:r>
          <w:r>
            <w:rPr>
              <w:rFonts w:cs="Arial" w:hint="eastAsia"/>
              <w:color w:val="000000" w:themeColor="text1"/>
            </w:rPr>
            <w:t>存货、固定资产、无形资产</w:t>
          </w:r>
          <w:r>
            <w:rPr>
              <w:rFonts w:cs="Arial"/>
              <w:color w:val="000000" w:themeColor="text1"/>
            </w:rPr>
            <w:t>的公允价值，其他资产负债项目无明显增值或减值</w:t>
          </w:r>
          <w:r>
            <w:rPr>
              <w:rFonts w:cs="Arial" w:hint="eastAsia"/>
              <w:color w:val="000000" w:themeColor="text1"/>
            </w:rPr>
            <w:t>的</w:t>
          </w:r>
          <w:r>
            <w:rPr>
              <w:rFonts w:cs="Arial"/>
              <w:color w:val="000000" w:themeColor="text1"/>
            </w:rPr>
            <w:t>，公司按购买日账面价值确认为公允价值。</w:t>
          </w:r>
        </w:p>
      </w:sdtContent>
    </w:sdt>
    <w:p w:rsidR="006840ED" w:rsidRDefault="006840ED" w:rsidP="00B23CD7">
      <w:pPr>
        <w:rPr>
          <w:rFonts w:cs="Arial"/>
          <w:color w:val="000000" w:themeColor="text1"/>
        </w:rPr>
      </w:pPr>
      <w:r>
        <w:rPr>
          <w:rFonts w:cs="Arial" w:hint="eastAsia"/>
          <w:color w:val="000000" w:themeColor="text1"/>
        </w:rPr>
        <w:t>企业合并中承担的被购买方的或有负债：</w:t>
      </w:r>
    </w:p>
    <w:sdt>
      <w:sdtPr>
        <w:rPr>
          <w:rFonts w:cs="Arial"/>
          <w:color w:val="000000" w:themeColor="text1"/>
        </w:rPr>
        <w:alias w:val="企业合并中承担的被购买方的或有负债"/>
        <w:tag w:val="_GBC_474a94bc8d6940a487785a6accd26b87"/>
        <w:id w:val="600774828"/>
        <w:placeholder>
          <w:docPart w:val="07237EC2CC514A42BE287C695F6AF22C"/>
        </w:placeholder>
      </w:sdtPr>
      <w:sdtContent>
        <w:p w:rsidR="006840ED" w:rsidRDefault="006840ED" w:rsidP="00B23CD7">
          <w:pPr>
            <w:rPr>
              <w:rFonts w:cs="Arial"/>
              <w:color w:val="000000" w:themeColor="text1"/>
            </w:rPr>
          </w:pPr>
          <w:r>
            <w:rPr>
              <w:rFonts w:cs="Arial" w:hint="eastAsia"/>
              <w:color w:val="000000" w:themeColor="text1"/>
            </w:rPr>
            <w:t>无</w:t>
          </w:r>
        </w:p>
      </w:sdtContent>
    </w:sdt>
    <w:p w:rsidR="006840ED" w:rsidRDefault="006840ED" w:rsidP="00B23CD7">
      <w:pPr>
        <w:rPr>
          <w:rFonts w:cs="Arial"/>
          <w:color w:val="000000" w:themeColor="text1"/>
        </w:rPr>
      </w:pPr>
      <w:r>
        <w:rPr>
          <w:rFonts w:cs="Arial" w:hint="eastAsia"/>
          <w:color w:val="000000" w:themeColor="text1"/>
        </w:rPr>
        <w:t>其他说明：</w:t>
      </w:r>
    </w:p>
    <w:sdt>
      <w:sdtPr>
        <w:rPr>
          <w:rFonts w:cs="Arial"/>
          <w:color w:val="000000" w:themeColor="text1"/>
        </w:rPr>
        <w:alias w:val="被购买方于购买日可辨认资产、负债的其他说明"/>
        <w:tag w:val="_GBC_dd8b59b904e64ba0bb442dee8b4568e6"/>
        <w:id w:val="-1070111732"/>
        <w:placeholder>
          <w:docPart w:val="07237EC2CC514A42BE287C695F6AF22C"/>
        </w:placeholder>
      </w:sdtPr>
      <w:sdtContent>
        <w:p w:rsidR="006840ED" w:rsidRDefault="006840ED" w:rsidP="00B23CD7">
          <w:r>
            <w:rPr>
              <w:rFonts w:cs="Arial" w:hint="eastAsia"/>
              <w:color w:val="000000" w:themeColor="text1"/>
            </w:rPr>
            <w:t>无</w:t>
          </w:r>
        </w:p>
      </w:sdtContent>
    </w:sdt>
    <w:p w:rsidR="002C0422" w:rsidRDefault="002C0422" w:rsidP="000531C6"/>
    <w:p w:rsidR="00597370" w:rsidRDefault="00597370">
      <w:pPr>
        <w:rPr>
          <w:rFonts w:cs="Arial"/>
          <w:color w:val="000000" w:themeColor="text1"/>
        </w:rPr>
      </w:pPr>
    </w:p>
    <w:p w:rsidR="00597370" w:rsidRDefault="003C2EEE">
      <w:pPr>
        <w:pStyle w:val="Style110"/>
        <w:numPr>
          <w:ilvl w:val="0"/>
          <w:numId w:val="92"/>
        </w:numPr>
        <w:ind w:left="426" w:hanging="426"/>
        <w:rPr>
          <w:rStyle w:val="Style145"/>
          <w:rFonts w:ascii="宋体" w:hAnsi="宋体"/>
          <w:b/>
          <w:color w:val="000000" w:themeColor="text1"/>
          <w:szCs w:val="21"/>
        </w:rPr>
      </w:pPr>
      <w:bookmarkStart w:id="372" w:name="_Hlk169011108"/>
      <w:r>
        <w:rPr>
          <w:rStyle w:val="Style145"/>
          <w:rFonts w:ascii="宋体" w:hAnsi="宋体" w:hint="eastAsia"/>
          <w:b/>
          <w:color w:val="000000" w:themeColor="text1"/>
          <w:szCs w:val="21"/>
        </w:rPr>
        <w:t>购买日之前持有的股权按照公允价值重新计量产生的利得或损失</w:t>
      </w:r>
    </w:p>
    <w:p w:rsidR="00597370" w:rsidRDefault="003C2EEE">
      <w:pPr>
        <w:rPr>
          <w:rFonts w:ascii="Calibri" w:hAnsi="Calibri" w:cs="Times New Roman"/>
          <w:color w:val="000000" w:themeColor="text1"/>
          <w:kern w:val="2"/>
          <w:szCs w:val="22"/>
        </w:rPr>
      </w:pPr>
      <w:r>
        <w:rPr>
          <w:rFonts w:hint="eastAsia"/>
          <w:color w:val="000000" w:themeColor="text1"/>
        </w:rPr>
        <w:t>是否存在通过多次交易分步实现企业合并且在报告期内取得控制权的交易</w:t>
      </w:r>
    </w:p>
    <w:p w:rsidR="00597370" w:rsidRDefault="006840ED">
      <w:pPr>
        <w:rPr>
          <w:rFonts w:cs="Arial"/>
          <w:color w:val="000000" w:themeColor="text1"/>
        </w:rPr>
      </w:pPr>
      <w:sdt>
        <w:sdtPr>
          <w:rPr>
            <w:color w:val="000000" w:themeColor="text1"/>
          </w:rPr>
          <w:alias w:val="是否存在通过多次交易分步实现企业合并且在本报告期取得控制权的情形[双击切换]"/>
          <w:tag w:val="_GBC_4a7c18909bcc47eb9c6f2ab2c0181eee"/>
          <w:id w:val="2113169268"/>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bookmarkEnd w:id="372"/>
    </w:p>
    <w:p w:rsidR="00597370" w:rsidRDefault="003C2EEE">
      <w:pPr>
        <w:pStyle w:val="Style110"/>
        <w:numPr>
          <w:ilvl w:val="0"/>
          <w:numId w:val="92"/>
        </w:numPr>
        <w:ind w:left="426" w:hanging="426"/>
        <w:rPr>
          <w:rStyle w:val="Style145"/>
          <w:rFonts w:ascii="宋体" w:hAnsi="宋体"/>
          <w:b/>
          <w:color w:val="000000" w:themeColor="text1"/>
          <w:szCs w:val="21"/>
        </w:rPr>
      </w:pPr>
      <w:r>
        <w:rPr>
          <w:rStyle w:val="Style145"/>
          <w:rFonts w:ascii="宋体" w:hAnsi="宋体" w:hint="eastAsia"/>
          <w:b/>
          <w:color w:val="000000" w:themeColor="text1"/>
          <w:szCs w:val="21"/>
        </w:rPr>
        <w:t>购买日或合并当期期末无法合理确定合并对价或被购买方可辨认资产、负债公允价值的相关说明</w:t>
      </w:r>
    </w:p>
    <w:sdt>
      <w:sdtPr>
        <w:rPr>
          <w:color w:val="000000" w:themeColor="text1"/>
        </w:rPr>
        <w:alias w:val="是否适用：购买日或合并当期期末无法合理确定合并对价或被购买方可辨认资产、负债公允价值的相关说明[双击切换]"/>
        <w:tag w:val="_GBC_e8a75ceb0d7e4c35bfc03d5c6782889f"/>
        <w:id w:val="476961802"/>
        <w:placeholder>
          <w:docPart w:val="GBC22222222222222222222222222222"/>
        </w:placeholder>
      </w:sdtPr>
      <w:sdtEndPr/>
      <w:sdtContent>
        <w:p w:rsidR="00597370" w:rsidRDefault="003C2EEE">
          <w:pPr>
            <w:rPr>
              <w:rFonts w:cs="Arial"/>
              <w:b/>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92"/>
        </w:numPr>
        <w:ind w:left="426" w:hanging="426"/>
        <w:rPr>
          <w:rStyle w:val="Style145"/>
          <w:rFonts w:ascii="宋体" w:hAnsi="宋体"/>
          <w:b/>
          <w:color w:val="000000" w:themeColor="text1"/>
          <w:szCs w:val="21"/>
        </w:rPr>
      </w:pPr>
      <w:r>
        <w:rPr>
          <w:rStyle w:val="Style145"/>
          <w:rFonts w:ascii="宋体" w:hAnsi="宋体" w:hint="eastAsia"/>
          <w:b/>
          <w:color w:val="000000" w:themeColor="text1"/>
          <w:szCs w:val="21"/>
        </w:rPr>
        <w:t>其他说明</w:t>
      </w:r>
    </w:p>
    <w:sdt>
      <w:sdtPr>
        <w:rPr>
          <w:color w:val="000000" w:themeColor="text1"/>
        </w:rPr>
        <w:alias w:val="是否适用：非同一控制下企业合并其他需要说明的事项[双击切换]"/>
        <w:tag w:val="_GBC_ab58bf6b03504b3d88a49a138127fd98"/>
        <w:id w:val="-71342868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91"/>
        </w:numPr>
        <w:rPr>
          <w:rFonts w:ascii="宋体" w:hAnsi="宋体" w:cs="Arial"/>
          <w:color w:val="000000" w:themeColor="text1"/>
          <w:szCs w:val="21"/>
        </w:rPr>
      </w:pPr>
      <w:r>
        <w:rPr>
          <w:rFonts w:ascii="宋体" w:hAnsi="宋体" w:cs="Arial" w:hint="eastAsia"/>
          <w:color w:val="000000" w:themeColor="text1"/>
          <w:szCs w:val="21"/>
        </w:rPr>
        <w:t>同</w:t>
      </w:r>
      <w:proofErr w:type="gramStart"/>
      <w:r>
        <w:rPr>
          <w:rFonts w:ascii="宋体" w:hAnsi="宋体" w:cs="Arial" w:hint="eastAsia"/>
          <w:color w:val="000000" w:themeColor="text1"/>
          <w:szCs w:val="21"/>
        </w:rPr>
        <w:t>一控制</w:t>
      </w:r>
      <w:proofErr w:type="gramEnd"/>
      <w:r>
        <w:rPr>
          <w:rFonts w:ascii="宋体" w:hAnsi="宋体" w:cs="Arial" w:hint="eastAsia"/>
          <w:color w:val="000000" w:themeColor="text1"/>
          <w:szCs w:val="21"/>
        </w:rPr>
        <w:t>下企业合并</w:t>
      </w:r>
    </w:p>
    <w:sdt>
      <w:sdtPr>
        <w:rPr>
          <w:color w:val="000000" w:themeColor="text1"/>
        </w:rPr>
        <w:alias w:val="是否适用：同一控制下企业合并[双击切换]"/>
        <w:tag w:val="_GBC_cde296136a1d4f2094eb79d21291eae2"/>
        <w:id w:val="1508244600"/>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3"/>
          <w:numId w:val="93"/>
        </w:numPr>
        <w:tabs>
          <w:tab w:val="left" w:pos="630"/>
        </w:tabs>
        <w:rPr>
          <w:rFonts w:ascii="宋体" w:hAnsi="宋体"/>
          <w:color w:val="000000" w:themeColor="text1"/>
        </w:rPr>
      </w:pPr>
      <w:r>
        <w:rPr>
          <w:rFonts w:ascii="宋体" w:hAnsi="宋体" w:hint="eastAsia"/>
          <w:color w:val="000000" w:themeColor="text1"/>
        </w:rPr>
        <w:t>本期发生的同</w:t>
      </w:r>
      <w:proofErr w:type="gramStart"/>
      <w:r>
        <w:rPr>
          <w:rFonts w:ascii="宋体" w:hAnsi="宋体" w:hint="eastAsia"/>
          <w:color w:val="000000" w:themeColor="text1"/>
        </w:rPr>
        <w:t>一控制</w:t>
      </w:r>
      <w:proofErr w:type="gramEnd"/>
      <w:r>
        <w:rPr>
          <w:rFonts w:ascii="宋体" w:hAnsi="宋体" w:hint="eastAsia"/>
          <w:color w:val="000000" w:themeColor="text1"/>
        </w:rPr>
        <w:t>下企业合并</w:t>
      </w:r>
    </w:p>
    <w:sdt>
      <w:sdtPr>
        <w:rPr>
          <w:color w:val="000000" w:themeColor="text1"/>
        </w:rPr>
        <w:alias w:val="是否适用：本期发生的同一控制下企业合并[双击切换]"/>
        <w:tag w:val="_GBC_ab717a33fda94a748576343d4e39503a"/>
        <w:id w:val="-64263911"/>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3"/>
          <w:numId w:val="93"/>
        </w:numPr>
        <w:tabs>
          <w:tab w:val="left" w:pos="630"/>
        </w:tabs>
        <w:rPr>
          <w:rFonts w:ascii="宋体" w:hAnsi="宋体"/>
          <w:color w:val="000000" w:themeColor="text1"/>
        </w:rPr>
      </w:pPr>
      <w:r>
        <w:rPr>
          <w:rFonts w:ascii="宋体" w:hAnsi="宋体" w:hint="eastAsia"/>
          <w:color w:val="000000" w:themeColor="text1"/>
        </w:rPr>
        <w:lastRenderedPageBreak/>
        <w:t>合并成本</w:t>
      </w:r>
    </w:p>
    <w:p w:rsidR="00597370" w:rsidRDefault="006840ED">
      <w:pPr>
        <w:rPr>
          <w:rFonts w:cstheme="minorBidi"/>
          <w:color w:val="000000" w:themeColor="text1"/>
        </w:rPr>
      </w:pPr>
      <w:sdt>
        <w:sdtPr>
          <w:rPr>
            <w:color w:val="000000" w:themeColor="text1"/>
          </w:rPr>
          <w:alias w:val="是否适用：合并成本[双击切换]"/>
          <w:tag w:val="_GBC_1e3feddd46da4a95805d8f480f4c84d9"/>
          <w:id w:val="1232357227"/>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pStyle w:val="4"/>
        <w:numPr>
          <w:ilvl w:val="3"/>
          <w:numId w:val="93"/>
        </w:numPr>
        <w:tabs>
          <w:tab w:val="left" w:pos="630"/>
        </w:tabs>
        <w:rPr>
          <w:rFonts w:ascii="宋体" w:hAnsi="宋体"/>
          <w:color w:val="000000" w:themeColor="text1"/>
        </w:rPr>
      </w:pPr>
      <w:proofErr w:type="gramStart"/>
      <w:r>
        <w:rPr>
          <w:rFonts w:ascii="宋体" w:hAnsi="宋体" w:hint="eastAsia"/>
          <w:color w:val="000000" w:themeColor="text1"/>
        </w:rPr>
        <w:t>合并日</w:t>
      </w:r>
      <w:proofErr w:type="gramEnd"/>
      <w:r>
        <w:rPr>
          <w:rFonts w:ascii="宋体" w:hAnsi="宋体" w:hint="eastAsia"/>
          <w:color w:val="000000" w:themeColor="text1"/>
        </w:rPr>
        <w:t>被合并方资产、负债的账面价值</w:t>
      </w:r>
    </w:p>
    <w:p w:rsidR="00597370" w:rsidRDefault="006840ED">
      <w:pPr>
        <w:rPr>
          <w:rFonts w:cs="Arial"/>
          <w:color w:val="000000" w:themeColor="text1"/>
        </w:rPr>
      </w:pPr>
      <w:sdt>
        <w:sdtPr>
          <w:rPr>
            <w:color w:val="000000" w:themeColor="text1"/>
          </w:rPr>
          <w:alias w:val="是否适用：合并日被合并方资产、负债的账面价值[双击切换]"/>
          <w:tag w:val="_GBC_b46a615b0ac64c019a83debe19fe4c1c"/>
          <w:id w:val="848692200"/>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rPr>
          <w:rFonts w:cs="Arial"/>
          <w:color w:val="000000" w:themeColor="text1"/>
        </w:rPr>
      </w:pPr>
      <w:r>
        <w:rPr>
          <w:rFonts w:cs="Arial" w:hint="eastAsia"/>
          <w:color w:val="000000" w:themeColor="text1"/>
        </w:rPr>
        <w:t>其他说明：</w:t>
      </w:r>
    </w:p>
    <w:sdt>
      <w:sdtPr>
        <w:rPr>
          <w:rFonts w:cs="Arial"/>
          <w:color w:val="000000" w:themeColor="text1"/>
        </w:rPr>
        <w:alias w:val="是否适用：被合并方的资产、负债的说明[双击切换]"/>
        <w:tag w:val="_GBC_8f372a5c0c69446aabb6ef4fb8f7c20e"/>
        <w:id w:val="738131554"/>
        <w:placeholder>
          <w:docPart w:val="GBC22222222222222222222222222222"/>
        </w:placeholder>
      </w:sdtPr>
      <w:sdtEndPr/>
      <w:sdtContent>
        <w:p w:rsidR="00597370" w:rsidRDefault="003C2EEE">
          <w:pPr>
            <w:rPr>
              <w:rFonts w:cs="Arial"/>
              <w:color w:val="000000" w:themeColor="text1"/>
            </w:rPr>
          </w:pPr>
          <w:r>
            <w:rPr>
              <w:rFonts w:cs="Arial"/>
              <w:color w:val="000000" w:themeColor="text1"/>
            </w:rPr>
            <w:fldChar w:fldCharType="begin"/>
          </w:r>
          <w:r>
            <w:rPr>
              <w:rFonts w:cs="Arial"/>
              <w:color w:val="000000" w:themeColor="text1"/>
            </w:rPr>
            <w:instrText xml:space="preserve"> MACROBUTTON  SnrToggleCheckbox □适用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p w:rsidR="00597370" w:rsidRDefault="003C2EEE">
      <w:pPr>
        <w:pStyle w:val="Style109"/>
        <w:numPr>
          <w:ilvl w:val="0"/>
          <w:numId w:val="91"/>
        </w:numPr>
        <w:rPr>
          <w:rFonts w:ascii="宋体" w:hAnsi="宋体" w:cs="Arial"/>
          <w:color w:val="000000" w:themeColor="text1"/>
          <w:szCs w:val="21"/>
        </w:rPr>
      </w:pPr>
      <w:r>
        <w:rPr>
          <w:rFonts w:ascii="宋体" w:hAnsi="宋体" w:cs="Arial" w:hint="eastAsia"/>
          <w:color w:val="000000" w:themeColor="text1"/>
          <w:szCs w:val="21"/>
        </w:rPr>
        <w:t>反向购买</w:t>
      </w:r>
    </w:p>
    <w:sdt>
      <w:sdtPr>
        <w:rPr>
          <w:color w:val="000000" w:themeColor="text1"/>
        </w:rPr>
        <w:alias w:val="是否适用：反向购买[双击切换]"/>
        <w:tag w:val="_GBC_973cde3cea5d460790de47cc49169bde"/>
        <w:id w:val="1776057036"/>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rFonts w:cs="Arial"/>
          <w:color w:val="000000" w:themeColor="text1"/>
          <w:lang w:val="en-GB"/>
        </w:rPr>
        <w:sectPr w:rsidR="00597370">
          <w:pgSz w:w="11906" w:h="16838"/>
          <w:pgMar w:top="1525" w:right="1276" w:bottom="1440" w:left="1797" w:header="856" w:footer="992" w:gutter="0"/>
          <w:cols w:space="425"/>
          <w:docGrid w:linePitch="312"/>
        </w:sectPr>
      </w:pPr>
    </w:p>
    <w:p w:rsidR="00597370" w:rsidRDefault="003C2EEE">
      <w:pPr>
        <w:pStyle w:val="Style109"/>
        <w:numPr>
          <w:ilvl w:val="0"/>
          <w:numId w:val="91"/>
        </w:numPr>
        <w:rPr>
          <w:rFonts w:ascii="宋体" w:hAnsi="宋体" w:cs="Arial"/>
          <w:color w:val="000000" w:themeColor="text1"/>
          <w:szCs w:val="21"/>
        </w:rPr>
      </w:pPr>
      <w:bookmarkStart w:id="373" w:name="_Hlk167975840"/>
      <w:r>
        <w:rPr>
          <w:rFonts w:ascii="宋体" w:hAnsi="宋体" w:cs="Arial" w:hint="eastAsia"/>
          <w:color w:val="000000" w:themeColor="text1"/>
          <w:szCs w:val="21"/>
        </w:rPr>
        <w:lastRenderedPageBreak/>
        <w:t>处置子公司</w:t>
      </w:r>
    </w:p>
    <w:p w:rsidR="00597370" w:rsidRDefault="003C2EEE">
      <w:pPr>
        <w:rPr>
          <w:color w:val="000000" w:themeColor="text1"/>
        </w:rPr>
      </w:pPr>
      <w:r>
        <w:rPr>
          <w:rFonts w:hint="eastAsia"/>
          <w:color w:val="000000" w:themeColor="text1"/>
        </w:rPr>
        <w:t>本期是否存在</w:t>
      </w:r>
      <w:r>
        <w:rPr>
          <w:color w:val="000000" w:themeColor="text1"/>
        </w:rPr>
        <w:t>丧失</w:t>
      </w:r>
      <w:r>
        <w:rPr>
          <w:rFonts w:hint="eastAsia"/>
          <w:color w:val="000000" w:themeColor="text1"/>
        </w:rPr>
        <w:t>子公司</w:t>
      </w:r>
      <w:r>
        <w:rPr>
          <w:color w:val="000000" w:themeColor="text1"/>
        </w:rPr>
        <w:t>控制权</w:t>
      </w:r>
      <w:r>
        <w:rPr>
          <w:rFonts w:hint="eastAsia"/>
          <w:color w:val="000000" w:themeColor="text1"/>
        </w:rPr>
        <w:t>的交易或事项</w:t>
      </w:r>
    </w:p>
    <w:sdt>
      <w:sdtPr>
        <w:rPr>
          <w:rFonts w:cs="Arial" w:hint="eastAsia"/>
          <w:color w:val="000000" w:themeColor="text1"/>
        </w:rPr>
        <w:alias w:val="是否存在单次交易处置对子公司投资即丧失控制权的情形[双击切换]"/>
        <w:tag w:val="_GBC_3326559ea8a84c1f80452d301a368ec5"/>
        <w:id w:val="1179012604"/>
        <w:placeholder>
          <w:docPart w:val="GBC22222222222222222222222222222"/>
        </w:placeholder>
      </w:sdtPr>
      <w:sdtEndPr/>
      <w:sdtContent>
        <w:p w:rsidR="00597370" w:rsidRDefault="003C2EEE">
          <w:pPr>
            <w:rPr>
              <w:rFonts w:cs="Arial"/>
              <w:color w:val="000000" w:themeColor="text1"/>
            </w:rPr>
          </w:pPr>
          <w:r>
            <w:rPr>
              <w:rFonts w:cs="Arial"/>
              <w:color w:val="000000" w:themeColor="text1"/>
            </w:rPr>
            <w:fldChar w:fldCharType="begin"/>
          </w:r>
          <w:r>
            <w:rPr>
              <w:rFonts w:cs="Arial"/>
              <w:color w:val="000000" w:themeColor="text1"/>
            </w:rPr>
            <w:instrText xml:space="preserve">MACROBUTTON  SnrToggleCheckbox □适用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p w:rsidR="00597370" w:rsidRDefault="003C2EEE">
      <w:pPr>
        <w:rPr>
          <w:rFonts w:cs="Arial"/>
          <w:color w:val="000000" w:themeColor="text1"/>
        </w:rPr>
      </w:pPr>
      <w:r>
        <w:rPr>
          <w:rFonts w:cs="Arial" w:hint="eastAsia"/>
          <w:color w:val="000000" w:themeColor="text1"/>
        </w:rPr>
        <w:t>其他说明：</w:t>
      </w:r>
    </w:p>
    <w:sdt>
      <w:sdtPr>
        <w:rPr>
          <w:rFonts w:cs="Arial"/>
          <w:color w:val="000000" w:themeColor="text1"/>
        </w:rPr>
        <w:alias w:val="是否适用：单次交易处置对子公司投资即丧失控制权的情形的说明[双击切换]"/>
        <w:tag w:val="_GBC_29528d4c1c444136b1c9a196f82e0e52"/>
        <w:id w:val="579492553"/>
        <w:placeholder>
          <w:docPart w:val="GBC22222222222222222222222222222"/>
        </w:placeholder>
      </w:sdtPr>
      <w:sdtEndPr/>
      <w:sdtContent>
        <w:p w:rsidR="00597370" w:rsidRDefault="003C2EEE">
          <w:pPr>
            <w:rPr>
              <w:color w:val="000000" w:themeColor="text1"/>
            </w:rPr>
          </w:pPr>
          <w:r>
            <w:rPr>
              <w:rFonts w:cs="Arial"/>
              <w:color w:val="000000" w:themeColor="text1"/>
            </w:rPr>
            <w:fldChar w:fldCharType="begin"/>
          </w:r>
          <w:r>
            <w:rPr>
              <w:rFonts w:cs="Arial"/>
              <w:color w:val="000000" w:themeColor="text1"/>
            </w:rPr>
            <w:instrText xml:space="preserve">MACROBUTTON  SnrToggleCheckbox □适用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p w:rsidR="00597370" w:rsidRDefault="003C2EEE">
      <w:pPr>
        <w:rPr>
          <w:rFonts w:cs="Arial"/>
          <w:color w:val="000000" w:themeColor="text1"/>
        </w:rPr>
      </w:pPr>
      <w:bookmarkStart w:id="374" w:name="_Hlk153549147"/>
      <w:r>
        <w:rPr>
          <w:rFonts w:cs="Arial" w:hint="eastAsia"/>
          <w:color w:val="000000" w:themeColor="text1"/>
        </w:rPr>
        <w:t>是否存在通过多次交易分步处置对子公司投资且在本期丧失控制权的情形</w:t>
      </w:r>
    </w:p>
    <w:sdt>
      <w:sdtPr>
        <w:rPr>
          <w:rFonts w:hint="eastAsia"/>
          <w:color w:val="000000" w:themeColor="text1"/>
        </w:rPr>
        <w:alias w:val="是否存在通过多次交易分步处置对子公司投资且在本期丧失控制权的情形[双击切换]"/>
        <w:tag w:val="_GBC_1aa1c46a77684c9fbd35fa14e4e37b0c"/>
        <w:id w:val="755711367"/>
        <w:placeholder>
          <w:docPart w:val="GBC22222222222222222222222222222"/>
        </w:placeholder>
      </w:sdtPr>
      <w:sdtEndPr/>
      <w:sdtContent>
        <w:p w:rsidR="00597370" w:rsidRDefault="003C2EEE">
          <w:pPr>
            <w:pStyle w:val="Style120"/>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74"/>
    <w:p w:rsidR="00597370" w:rsidRDefault="003C2EEE">
      <w:pPr>
        <w:rPr>
          <w:rFonts w:cs="Arial"/>
          <w:color w:val="000000" w:themeColor="text1"/>
        </w:rPr>
      </w:pPr>
      <w:r>
        <w:rPr>
          <w:rFonts w:cs="Arial" w:hint="eastAsia"/>
          <w:color w:val="000000" w:themeColor="text1"/>
        </w:rPr>
        <w:t>其他说明：</w:t>
      </w:r>
    </w:p>
    <w:sdt>
      <w:sdtPr>
        <w:rPr>
          <w:rFonts w:cs="Arial"/>
          <w:color w:val="000000" w:themeColor="text1"/>
        </w:rPr>
        <w:alias w:val="是否适用：是否存在通过多次交易分步处置对子公司投资且在本期丧失控制权的情形的说明[双击切换]"/>
        <w:tag w:val="_GBC_4d734455db284d62936c6dddb9394149"/>
        <w:id w:val="-979149466"/>
        <w:placeholder>
          <w:docPart w:val="GBC22222222222222222222222222222"/>
        </w:placeholder>
      </w:sdtPr>
      <w:sdtEndPr/>
      <w:sdtContent>
        <w:p w:rsidR="00597370" w:rsidRDefault="003C2EEE">
          <w:pPr>
            <w:rPr>
              <w:rFonts w:ascii="Calibri" w:hAnsi="Calibri" w:cs="Arial"/>
              <w:color w:val="000000" w:themeColor="text1"/>
            </w:rPr>
          </w:pPr>
          <w:r>
            <w:rPr>
              <w:rFonts w:cs="Arial"/>
              <w:color w:val="000000" w:themeColor="text1"/>
            </w:rPr>
            <w:fldChar w:fldCharType="begin"/>
          </w:r>
          <w:r>
            <w:rPr>
              <w:rFonts w:cs="Arial"/>
              <w:color w:val="000000" w:themeColor="text1"/>
            </w:rPr>
            <w:instrText xml:space="preserve"> MACROBUTTON  SnrToggleCheckbox □适用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bookmarkEnd w:id="373"/>
    <w:p w:rsidR="00597370" w:rsidRDefault="003C2EEE">
      <w:pPr>
        <w:pStyle w:val="Style109"/>
        <w:numPr>
          <w:ilvl w:val="0"/>
          <w:numId w:val="91"/>
        </w:numPr>
        <w:rPr>
          <w:rFonts w:ascii="宋体" w:hAnsi="宋体" w:cs="Arial"/>
          <w:color w:val="000000" w:themeColor="text1"/>
          <w:szCs w:val="21"/>
        </w:rPr>
      </w:pPr>
      <w:r>
        <w:rPr>
          <w:rFonts w:ascii="宋体" w:hAnsi="宋体" w:cs="Arial" w:hint="eastAsia"/>
          <w:color w:val="000000" w:themeColor="text1"/>
          <w:szCs w:val="21"/>
        </w:rPr>
        <w:t>其他原因的合并范围变动</w:t>
      </w:r>
    </w:p>
    <w:p w:rsidR="00597370" w:rsidRDefault="003C2EEE">
      <w:pPr>
        <w:rPr>
          <w:color w:val="000000" w:themeColor="text1"/>
        </w:rPr>
      </w:pPr>
      <w:r>
        <w:rPr>
          <w:rFonts w:hint="eastAsia"/>
          <w:color w:val="000000" w:themeColor="text1"/>
        </w:rPr>
        <w:t>说明其他原因导致的合并范围变动（如，新设子公司、清算子公司等）及其相关情况：</w:t>
      </w:r>
    </w:p>
    <w:sdt>
      <w:sdtPr>
        <w:rPr>
          <w:color w:val="000000" w:themeColor="text1"/>
        </w:rPr>
        <w:alias w:val="是否适用：其他原因导致的合并范围变动及其相关情况[双击切换]"/>
        <w:tag w:val="_GBC_55cbf4f78793498cb1532f08bfbb61f4"/>
        <w:id w:val="1786855985"/>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91"/>
        </w:numPr>
        <w:rPr>
          <w:rFonts w:ascii="宋体" w:hAnsi="宋体" w:cs="Arial"/>
          <w:color w:val="000000" w:themeColor="text1"/>
          <w:szCs w:val="21"/>
        </w:rPr>
      </w:pPr>
      <w:r>
        <w:rPr>
          <w:rFonts w:ascii="宋体" w:hAnsi="宋体" w:cs="Arial" w:hint="eastAsia"/>
          <w:color w:val="000000" w:themeColor="text1"/>
          <w:szCs w:val="21"/>
        </w:rPr>
        <w:t>其他</w:t>
      </w:r>
    </w:p>
    <w:sdt>
      <w:sdtPr>
        <w:rPr>
          <w:color w:val="000000" w:themeColor="text1"/>
        </w:rPr>
        <w:alias w:val="是否适用：合并范围的变更-其他说明[双击切换]"/>
        <w:tag w:val="_GBC_cca0ea12df6c44878cdcbeced06ed993"/>
        <w:id w:val="-1754743166"/>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sectPr w:rsidR="00597370">
          <w:pgSz w:w="16838" w:h="11906" w:orient="landscape"/>
          <w:pgMar w:top="1797" w:right="1525" w:bottom="1276" w:left="1440" w:header="856" w:footer="992" w:gutter="0"/>
          <w:cols w:space="425"/>
          <w:docGrid w:linePitch="312"/>
        </w:sectPr>
      </w:pPr>
    </w:p>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lastRenderedPageBreak/>
        <w:t>在其他主体中的权益</w:t>
      </w:r>
    </w:p>
    <w:p w:rsidR="00597370" w:rsidRDefault="003C2EEE">
      <w:pPr>
        <w:pStyle w:val="Style109"/>
        <w:numPr>
          <w:ilvl w:val="2"/>
          <w:numId w:val="94"/>
        </w:numPr>
        <w:rPr>
          <w:rFonts w:ascii="宋体" w:hAnsi="宋体"/>
          <w:color w:val="000000" w:themeColor="text1"/>
        </w:rPr>
      </w:pPr>
      <w:r>
        <w:rPr>
          <w:rFonts w:ascii="宋体" w:hAnsi="宋体" w:hint="eastAsia"/>
          <w:color w:val="000000" w:themeColor="text1"/>
        </w:rPr>
        <w:t>在子公司中的权益</w:t>
      </w:r>
    </w:p>
    <w:p w:rsidR="00597370" w:rsidRDefault="003C2EEE">
      <w:pPr>
        <w:pStyle w:val="Style110"/>
        <w:numPr>
          <w:ilvl w:val="3"/>
          <w:numId w:val="95"/>
        </w:numPr>
        <w:ind w:left="426" w:hangingChars="202" w:hanging="426"/>
        <w:rPr>
          <w:color w:val="000000" w:themeColor="text1"/>
        </w:rPr>
      </w:pPr>
      <w:bookmarkStart w:id="375" w:name="_Hlk167975969"/>
      <w:r>
        <w:rPr>
          <w:rFonts w:hint="eastAsia"/>
          <w:color w:val="000000" w:themeColor="text1"/>
        </w:rPr>
        <w:t>企业集团的构成</w:t>
      </w:r>
    </w:p>
    <w:sdt>
      <w:sdtPr>
        <w:rPr>
          <w:color w:val="000000" w:themeColor="text1"/>
        </w:rPr>
        <w:alias w:val="是否适用：企业集团的构成[双击切换]"/>
        <w:tag w:val="_GBC_d1c28d303a594095b9e1cc6b9a265571"/>
        <w:id w:val="-2942898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企业集团的构成"/>
          <w:tag w:val="_GBC_02462820d05142eca3713abc443b34f5"/>
          <w:id w:val="62043126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企业集团的构成"/>
          <w:tag w:val="_GBC_850144d278d74367b4b93ca80468f614"/>
          <w:id w:val="12960994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852"/>
        <w:gridCol w:w="1686"/>
        <w:gridCol w:w="958"/>
        <w:gridCol w:w="983"/>
        <w:gridCol w:w="971"/>
        <w:gridCol w:w="974"/>
        <w:gridCol w:w="1076"/>
      </w:tblGrid>
      <w:tr w:rsidR="00597370">
        <w:trPr>
          <w:trHeight w:val="247"/>
        </w:trPr>
        <w:sdt>
          <w:sdtPr>
            <w:rPr>
              <w:color w:val="000000" w:themeColor="text1"/>
            </w:rPr>
            <w:tag w:val="_PLD_f9c2120a205a401daafe7d623ad6f73f"/>
            <w:id w:val="-2133932561"/>
          </w:sdtPr>
          <w:sdtEndPr/>
          <w:sdtContent>
            <w:tc>
              <w:tcPr>
                <w:tcW w:w="750" w:type="pct"/>
                <w:vMerge w:val="restart"/>
                <w:shd w:val="clear" w:color="auto" w:fill="auto"/>
                <w:vAlign w:val="center"/>
              </w:tcPr>
              <w:p w:rsidR="00597370" w:rsidRDefault="003C2EEE">
                <w:pPr>
                  <w:jc w:val="center"/>
                  <w:rPr>
                    <w:rFonts w:cs="Arial"/>
                    <w:color w:val="000000" w:themeColor="text1"/>
                    <w:lang w:val="en-GB"/>
                  </w:rPr>
                </w:pPr>
                <w:r>
                  <w:rPr>
                    <w:rFonts w:cs="Arial" w:hint="eastAsia"/>
                    <w:color w:val="000000" w:themeColor="text1"/>
                    <w:lang w:val="en-GB"/>
                  </w:rPr>
                  <w:t>子公司</w:t>
                </w:r>
              </w:p>
              <w:p w:rsidR="00597370" w:rsidRDefault="003C2EEE">
                <w:pPr>
                  <w:jc w:val="center"/>
                  <w:rPr>
                    <w:rFonts w:cs="Arial"/>
                    <w:color w:val="000000" w:themeColor="text1"/>
                  </w:rPr>
                </w:pPr>
                <w:r>
                  <w:rPr>
                    <w:rFonts w:cs="Arial" w:hint="eastAsia"/>
                    <w:color w:val="000000" w:themeColor="text1"/>
                    <w:lang w:val="en-GB"/>
                  </w:rPr>
                  <w:t>名称</w:t>
                </w:r>
              </w:p>
            </w:tc>
          </w:sdtContent>
        </w:sdt>
        <w:sdt>
          <w:sdtPr>
            <w:rPr>
              <w:color w:val="000000" w:themeColor="text1"/>
            </w:rPr>
            <w:tag w:val="_PLD_723e5916e8d942aa8a0a08bb0a7836d4"/>
            <w:id w:val="-747046211"/>
          </w:sdtPr>
          <w:sdtEndPr/>
          <w:sdtContent>
            <w:tc>
              <w:tcPr>
                <w:tcW w:w="483" w:type="pct"/>
                <w:vMerge w:val="restart"/>
                <w:shd w:val="clear" w:color="auto" w:fill="auto"/>
                <w:vAlign w:val="center"/>
              </w:tcPr>
              <w:p w:rsidR="00597370" w:rsidRDefault="003C2EEE">
                <w:pPr>
                  <w:jc w:val="center"/>
                  <w:rPr>
                    <w:rFonts w:cs="Arial"/>
                    <w:color w:val="000000" w:themeColor="text1"/>
                  </w:rPr>
                </w:pPr>
                <w:r>
                  <w:rPr>
                    <w:rFonts w:cs="Arial" w:hint="eastAsia"/>
                    <w:color w:val="000000" w:themeColor="text1"/>
                    <w:lang w:val="en-GB"/>
                  </w:rPr>
                  <w:t>主要经营地</w:t>
                </w:r>
              </w:p>
            </w:tc>
          </w:sdtContent>
        </w:sdt>
        <w:tc>
          <w:tcPr>
            <w:tcW w:w="955" w:type="pct"/>
            <w:vMerge w:val="restart"/>
            <w:vAlign w:val="center"/>
          </w:tcPr>
          <w:sdt>
            <w:sdtPr>
              <w:rPr>
                <w:rFonts w:hint="eastAsia"/>
                <w:color w:val="000000" w:themeColor="text1"/>
              </w:rPr>
              <w:tag w:val="_PLD_d5e3d7a26fa0476b87e5fb13adf75c0b"/>
              <w:id w:val="-2066010916"/>
            </w:sdtPr>
            <w:sdtEndPr/>
            <w:sdtContent>
              <w:p w:rsidR="00597370" w:rsidRDefault="003C2EEE">
                <w:pPr>
                  <w:jc w:val="center"/>
                  <w:rPr>
                    <w:color w:val="000000" w:themeColor="text1"/>
                  </w:rPr>
                </w:pPr>
                <w:r>
                  <w:rPr>
                    <w:rFonts w:hint="eastAsia"/>
                    <w:color w:val="000000" w:themeColor="text1"/>
                  </w:rPr>
                  <w:t>注册资本</w:t>
                </w:r>
              </w:p>
            </w:sdtContent>
          </w:sdt>
        </w:tc>
        <w:sdt>
          <w:sdtPr>
            <w:rPr>
              <w:color w:val="000000" w:themeColor="text1"/>
            </w:rPr>
            <w:tag w:val="_PLD_75992b931bd8473e8e862e94745012a5"/>
            <w:id w:val="1308590194"/>
          </w:sdtPr>
          <w:sdtEndPr/>
          <w:sdtContent>
            <w:tc>
              <w:tcPr>
                <w:tcW w:w="543" w:type="pct"/>
                <w:vMerge w:val="restart"/>
                <w:shd w:val="clear" w:color="auto" w:fill="auto"/>
                <w:vAlign w:val="center"/>
              </w:tcPr>
              <w:p w:rsidR="00597370" w:rsidRDefault="003C2EEE">
                <w:pPr>
                  <w:jc w:val="center"/>
                  <w:rPr>
                    <w:rFonts w:cs="Arial"/>
                    <w:color w:val="000000" w:themeColor="text1"/>
                  </w:rPr>
                </w:pPr>
                <w:r>
                  <w:rPr>
                    <w:rFonts w:cs="Arial" w:hint="eastAsia"/>
                    <w:color w:val="000000" w:themeColor="text1"/>
                    <w:lang w:val="en-GB"/>
                  </w:rPr>
                  <w:t>注册地</w:t>
                </w:r>
              </w:p>
            </w:tc>
          </w:sdtContent>
        </w:sdt>
        <w:sdt>
          <w:sdtPr>
            <w:rPr>
              <w:color w:val="000000" w:themeColor="text1"/>
            </w:rPr>
            <w:tag w:val="_PLD_81986d200a3740efb1af7efc5e522b86"/>
            <w:id w:val="-505208487"/>
          </w:sdtPr>
          <w:sdtEndPr/>
          <w:sdtContent>
            <w:tc>
              <w:tcPr>
                <w:tcW w:w="557" w:type="pct"/>
                <w:vMerge w:val="restart"/>
                <w:shd w:val="clear" w:color="auto" w:fill="auto"/>
                <w:vAlign w:val="center"/>
              </w:tcPr>
              <w:p w:rsidR="00597370" w:rsidRDefault="003C2EEE">
                <w:pPr>
                  <w:jc w:val="center"/>
                  <w:rPr>
                    <w:rFonts w:cs="Arial"/>
                    <w:color w:val="000000" w:themeColor="text1"/>
                  </w:rPr>
                </w:pPr>
                <w:r>
                  <w:rPr>
                    <w:rFonts w:cs="Arial" w:hint="eastAsia"/>
                    <w:color w:val="000000" w:themeColor="text1"/>
                    <w:lang w:val="en-GB"/>
                  </w:rPr>
                  <w:t>业务性质</w:t>
                </w:r>
              </w:p>
            </w:tc>
          </w:sdtContent>
        </w:sdt>
        <w:sdt>
          <w:sdtPr>
            <w:rPr>
              <w:color w:val="000000" w:themeColor="text1"/>
            </w:rPr>
            <w:tag w:val="_PLD_03c285667c254271b982c3c49476d597"/>
            <w:id w:val="-1782793695"/>
          </w:sdtPr>
          <w:sdtEndPr/>
          <w:sdtContent>
            <w:tc>
              <w:tcPr>
                <w:tcW w:w="1102" w:type="pct"/>
                <w:gridSpan w:val="2"/>
                <w:shd w:val="clear" w:color="auto" w:fill="auto"/>
                <w:vAlign w:val="center"/>
              </w:tcPr>
              <w:p w:rsidR="00597370" w:rsidRDefault="003C2EEE">
                <w:pPr>
                  <w:jc w:val="center"/>
                  <w:rPr>
                    <w:rFonts w:cs="Arial"/>
                    <w:color w:val="000000" w:themeColor="text1"/>
                  </w:rPr>
                </w:pPr>
                <w:r>
                  <w:rPr>
                    <w:rFonts w:cs="Arial" w:hint="eastAsia"/>
                    <w:color w:val="000000" w:themeColor="text1"/>
                    <w:lang w:val="en-GB"/>
                  </w:rPr>
                  <w:t>持股比例</w:t>
                </w:r>
                <w:r>
                  <w:rPr>
                    <w:rFonts w:cs="Arial"/>
                    <w:color w:val="000000" w:themeColor="text1"/>
                  </w:rPr>
                  <w:t>(%)</w:t>
                </w:r>
              </w:p>
            </w:tc>
          </w:sdtContent>
        </w:sdt>
        <w:sdt>
          <w:sdtPr>
            <w:rPr>
              <w:color w:val="000000" w:themeColor="text1"/>
            </w:rPr>
            <w:tag w:val="_PLD_b9a7fd2e9d044a72815c35f904479ae4"/>
            <w:id w:val="-140657487"/>
          </w:sdtPr>
          <w:sdtEndPr/>
          <w:sdtContent>
            <w:tc>
              <w:tcPr>
                <w:tcW w:w="610" w:type="pct"/>
                <w:vMerge w:val="restart"/>
                <w:shd w:val="clear" w:color="auto" w:fill="auto"/>
                <w:vAlign w:val="center"/>
              </w:tcPr>
              <w:p w:rsidR="00597370" w:rsidRDefault="003C2EEE">
                <w:pPr>
                  <w:jc w:val="center"/>
                  <w:rPr>
                    <w:rFonts w:cs="Arial"/>
                    <w:color w:val="000000" w:themeColor="text1"/>
                    <w:lang w:val="en-GB"/>
                  </w:rPr>
                </w:pPr>
                <w:r>
                  <w:rPr>
                    <w:rFonts w:cs="Arial" w:hint="eastAsia"/>
                    <w:color w:val="000000" w:themeColor="text1"/>
                    <w:lang w:val="en-GB"/>
                  </w:rPr>
                  <w:t>取得</w:t>
                </w:r>
              </w:p>
              <w:p w:rsidR="00597370" w:rsidRDefault="003C2EEE">
                <w:pPr>
                  <w:jc w:val="center"/>
                  <w:rPr>
                    <w:rFonts w:cs="Arial"/>
                    <w:color w:val="000000" w:themeColor="text1"/>
                    <w:lang w:val="en-GB"/>
                  </w:rPr>
                </w:pPr>
                <w:r>
                  <w:rPr>
                    <w:rFonts w:cs="Arial" w:hint="eastAsia"/>
                    <w:color w:val="000000" w:themeColor="text1"/>
                    <w:lang w:val="en-GB"/>
                  </w:rPr>
                  <w:t>方式</w:t>
                </w:r>
              </w:p>
            </w:tc>
          </w:sdtContent>
        </w:sdt>
      </w:tr>
      <w:tr w:rsidR="00597370">
        <w:trPr>
          <w:trHeight w:val="278"/>
        </w:trPr>
        <w:tc>
          <w:tcPr>
            <w:tcW w:w="750" w:type="pct"/>
            <w:vMerge/>
            <w:shd w:val="clear" w:color="auto" w:fill="auto"/>
            <w:vAlign w:val="center"/>
          </w:tcPr>
          <w:p w:rsidR="00597370" w:rsidRDefault="00597370">
            <w:pPr>
              <w:rPr>
                <w:rFonts w:cs="Arial"/>
                <w:color w:val="000000" w:themeColor="text1"/>
              </w:rPr>
            </w:pPr>
          </w:p>
        </w:tc>
        <w:tc>
          <w:tcPr>
            <w:tcW w:w="483" w:type="pct"/>
            <w:vMerge/>
            <w:shd w:val="clear" w:color="auto" w:fill="auto"/>
            <w:vAlign w:val="center"/>
          </w:tcPr>
          <w:p w:rsidR="00597370" w:rsidRDefault="00597370">
            <w:pPr>
              <w:rPr>
                <w:rFonts w:cs="Arial"/>
                <w:color w:val="000000" w:themeColor="text1"/>
              </w:rPr>
            </w:pPr>
          </w:p>
        </w:tc>
        <w:tc>
          <w:tcPr>
            <w:tcW w:w="955" w:type="pct"/>
            <w:vMerge/>
          </w:tcPr>
          <w:p w:rsidR="00597370" w:rsidRDefault="00597370">
            <w:pPr>
              <w:rPr>
                <w:rFonts w:cs="Arial"/>
                <w:color w:val="000000" w:themeColor="text1"/>
              </w:rPr>
            </w:pPr>
          </w:p>
        </w:tc>
        <w:tc>
          <w:tcPr>
            <w:tcW w:w="543" w:type="pct"/>
            <w:vMerge/>
            <w:shd w:val="clear" w:color="auto" w:fill="auto"/>
            <w:vAlign w:val="center"/>
          </w:tcPr>
          <w:p w:rsidR="00597370" w:rsidRDefault="00597370">
            <w:pPr>
              <w:rPr>
                <w:rFonts w:cs="Arial"/>
                <w:color w:val="000000" w:themeColor="text1"/>
              </w:rPr>
            </w:pPr>
          </w:p>
        </w:tc>
        <w:tc>
          <w:tcPr>
            <w:tcW w:w="557" w:type="pct"/>
            <w:vMerge/>
            <w:shd w:val="clear" w:color="auto" w:fill="auto"/>
            <w:vAlign w:val="center"/>
          </w:tcPr>
          <w:p w:rsidR="00597370" w:rsidRDefault="00597370">
            <w:pPr>
              <w:rPr>
                <w:rFonts w:cs="Arial"/>
                <w:color w:val="000000" w:themeColor="text1"/>
              </w:rPr>
            </w:pPr>
          </w:p>
        </w:tc>
        <w:sdt>
          <w:sdtPr>
            <w:rPr>
              <w:color w:val="000000" w:themeColor="text1"/>
            </w:rPr>
            <w:tag w:val="_PLD_de578ebcf9ae4a679d3c9d71857b038a"/>
            <w:id w:val="922992010"/>
          </w:sdtPr>
          <w:sdtEndPr/>
          <w:sdtContent>
            <w:tc>
              <w:tcPr>
                <w:tcW w:w="550" w:type="pct"/>
                <w:shd w:val="clear" w:color="auto" w:fill="auto"/>
                <w:vAlign w:val="center"/>
              </w:tcPr>
              <w:p w:rsidR="00597370" w:rsidRDefault="003C2EEE">
                <w:pPr>
                  <w:jc w:val="center"/>
                  <w:rPr>
                    <w:rFonts w:cs="Arial"/>
                    <w:color w:val="000000" w:themeColor="text1"/>
                  </w:rPr>
                </w:pPr>
                <w:r>
                  <w:rPr>
                    <w:rFonts w:cs="Arial" w:hint="eastAsia"/>
                    <w:color w:val="000000" w:themeColor="text1"/>
                    <w:lang w:val="en-GB"/>
                  </w:rPr>
                  <w:t>直接</w:t>
                </w:r>
              </w:p>
            </w:tc>
          </w:sdtContent>
        </w:sdt>
        <w:sdt>
          <w:sdtPr>
            <w:rPr>
              <w:color w:val="000000" w:themeColor="text1"/>
            </w:rPr>
            <w:tag w:val="_PLD_154fe2dd001b4c93b14ff5f5aec1fbc8"/>
            <w:id w:val="-954251158"/>
          </w:sdtPr>
          <w:sdtEndPr/>
          <w:sdtContent>
            <w:tc>
              <w:tcPr>
                <w:tcW w:w="552" w:type="pct"/>
                <w:shd w:val="clear" w:color="auto" w:fill="auto"/>
                <w:vAlign w:val="center"/>
              </w:tcPr>
              <w:p w:rsidR="00597370" w:rsidRDefault="003C2EEE">
                <w:pPr>
                  <w:jc w:val="center"/>
                  <w:rPr>
                    <w:rFonts w:cs="Arial"/>
                    <w:color w:val="000000" w:themeColor="text1"/>
                  </w:rPr>
                </w:pPr>
                <w:r>
                  <w:rPr>
                    <w:rFonts w:cs="Arial" w:hint="eastAsia"/>
                    <w:color w:val="000000" w:themeColor="text1"/>
                    <w:lang w:val="en-GB"/>
                  </w:rPr>
                  <w:t>间接</w:t>
                </w:r>
              </w:p>
            </w:tc>
          </w:sdtContent>
        </w:sdt>
        <w:tc>
          <w:tcPr>
            <w:tcW w:w="610" w:type="pct"/>
            <w:vMerge/>
          </w:tcPr>
          <w:p w:rsidR="00597370" w:rsidRDefault="00597370">
            <w:pPr>
              <w:rPr>
                <w:rFonts w:cs="Arial"/>
                <w:color w:val="000000" w:themeColor="text1"/>
              </w:rPr>
            </w:pPr>
          </w:p>
        </w:tc>
      </w:tr>
      <w:tr w:rsidR="00597370">
        <w:tc>
          <w:tcPr>
            <w:tcW w:w="750" w:type="pct"/>
            <w:vAlign w:val="center"/>
          </w:tcPr>
          <w:p w:rsidR="00597370" w:rsidRDefault="003C2EEE">
            <w:pPr>
              <w:pStyle w:val="Style106"/>
              <w:jc w:val="right"/>
            </w:pPr>
            <w:proofErr w:type="gramStart"/>
            <w:r>
              <w:rPr>
                <w:rFonts w:hint="eastAsia"/>
              </w:rPr>
              <w:t>云变</w:t>
            </w:r>
            <w:r>
              <w:t>电气</w:t>
            </w:r>
            <w:proofErr w:type="gramEnd"/>
          </w:p>
        </w:tc>
        <w:tc>
          <w:tcPr>
            <w:tcW w:w="483" w:type="pct"/>
            <w:vAlign w:val="center"/>
          </w:tcPr>
          <w:p w:rsidR="00597370" w:rsidRDefault="003C2EEE">
            <w:pPr>
              <w:pStyle w:val="Style106"/>
              <w:jc w:val="right"/>
            </w:pPr>
            <w:r>
              <w:rPr>
                <w:rFonts w:hint="eastAsia"/>
              </w:rPr>
              <w:t>昆明市</w:t>
            </w:r>
          </w:p>
        </w:tc>
        <w:tc>
          <w:tcPr>
            <w:tcW w:w="955" w:type="pct"/>
            <w:vAlign w:val="center"/>
          </w:tcPr>
          <w:p w:rsidR="00597370" w:rsidRDefault="003C2EEE">
            <w:pPr>
              <w:jc w:val="right"/>
              <w:rPr>
                <w:color w:val="000000"/>
              </w:rPr>
            </w:pPr>
            <w:r>
              <w:rPr>
                <w:rFonts w:hint="eastAsia"/>
                <w:color w:val="000000"/>
              </w:rPr>
              <w:t>100,413,641.00</w:t>
            </w:r>
          </w:p>
        </w:tc>
        <w:tc>
          <w:tcPr>
            <w:tcW w:w="543" w:type="pct"/>
            <w:vAlign w:val="center"/>
          </w:tcPr>
          <w:p w:rsidR="00597370" w:rsidRDefault="003C2EEE">
            <w:pPr>
              <w:pStyle w:val="Style106"/>
              <w:jc w:val="right"/>
              <w:rPr>
                <w:color w:val="000000"/>
              </w:rPr>
            </w:pPr>
            <w:r>
              <w:rPr>
                <w:rFonts w:hint="eastAsia"/>
                <w:color w:val="000000"/>
              </w:rPr>
              <w:t>昆明市</w:t>
            </w:r>
          </w:p>
        </w:tc>
        <w:tc>
          <w:tcPr>
            <w:tcW w:w="557" w:type="pct"/>
            <w:vAlign w:val="center"/>
          </w:tcPr>
          <w:p w:rsidR="00597370" w:rsidRDefault="003C2EEE">
            <w:pPr>
              <w:pStyle w:val="Style106"/>
              <w:jc w:val="right"/>
              <w:rPr>
                <w:color w:val="000000"/>
              </w:rPr>
            </w:pPr>
            <w:r>
              <w:rPr>
                <w:rFonts w:hint="eastAsia"/>
                <w:color w:val="000000"/>
              </w:rPr>
              <w:t>制造业</w:t>
            </w:r>
          </w:p>
        </w:tc>
        <w:tc>
          <w:tcPr>
            <w:tcW w:w="550" w:type="pct"/>
            <w:vAlign w:val="center"/>
          </w:tcPr>
          <w:p w:rsidR="00597370" w:rsidRDefault="003C2EEE">
            <w:pPr>
              <w:jc w:val="right"/>
              <w:rPr>
                <w:color w:val="000000"/>
              </w:rPr>
            </w:pPr>
            <w:r>
              <w:rPr>
                <w:rFonts w:hint="eastAsia"/>
                <w:color w:val="000000"/>
              </w:rPr>
              <w:t>79.97</w:t>
            </w:r>
          </w:p>
        </w:tc>
        <w:tc>
          <w:tcPr>
            <w:tcW w:w="552" w:type="pct"/>
            <w:vAlign w:val="center"/>
          </w:tcPr>
          <w:p w:rsidR="00597370" w:rsidRDefault="00597370">
            <w:pPr>
              <w:jc w:val="right"/>
            </w:pPr>
          </w:p>
        </w:tc>
        <w:tc>
          <w:tcPr>
            <w:tcW w:w="610" w:type="pct"/>
            <w:vAlign w:val="center"/>
          </w:tcPr>
          <w:p w:rsidR="00597370" w:rsidRDefault="003C2EEE">
            <w:pPr>
              <w:pStyle w:val="Style106"/>
              <w:jc w:val="right"/>
              <w:rPr>
                <w:color w:val="000000"/>
              </w:rPr>
            </w:pPr>
            <w:r>
              <w:rPr>
                <w:rFonts w:hint="eastAsia"/>
                <w:color w:val="000000"/>
              </w:rPr>
              <w:t>非同</w:t>
            </w:r>
            <w:proofErr w:type="gramStart"/>
            <w:r>
              <w:rPr>
                <w:rFonts w:hint="eastAsia"/>
                <w:color w:val="000000"/>
              </w:rPr>
              <w:t>一控制</w:t>
            </w:r>
            <w:proofErr w:type="gramEnd"/>
            <w:r>
              <w:rPr>
                <w:rFonts w:hint="eastAsia"/>
                <w:color w:val="000000"/>
              </w:rPr>
              <w:t>下合并</w:t>
            </w:r>
          </w:p>
        </w:tc>
      </w:tr>
      <w:tr w:rsidR="00597370">
        <w:tc>
          <w:tcPr>
            <w:tcW w:w="750" w:type="pct"/>
            <w:vAlign w:val="center"/>
          </w:tcPr>
          <w:p w:rsidR="00597370" w:rsidRDefault="003C2EEE">
            <w:pPr>
              <w:pStyle w:val="Style106"/>
              <w:jc w:val="right"/>
            </w:pPr>
            <w:r>
              <w:t>惠泽电器</w:t>
            </w:r>
          </w:p>
        </w:tc>
        <w:tc>
          <w:tcPr>
            <w:tcW w:w="483" w:type="pct"/>
            <w:vAlign w:val="center"/>
          </w:tcPr>
          <w:p w:rsidR="00597370" w:rsidRDefault="003C2EEE">
            <w:pPr>
              <w:pStyle w:val="Style106"/>
              <w:jc w:val="right"/>
            </w:pPr>
            <w:r>
              <w:t>重庆市</w:t>
            </w:r>
          </w:p>
        </w:tc>
        <w:tc>
          <w:tcPr>
            <w:tcW w:w="955" w:type="pct"/>
            <w:vAlign w:val="center"/>
          </w:tcPr>
          <w:p w:rsidR="00597370" w:rsidRDefault="003C2EEE">
            <w:pPr>
              <w:jc w:val="right"/>
            </w:pPr>
            <w:r>
              <w:rPr>
                <w:rFonts w:hint="eastAsia"/>
                <w:color w:val="000000"/>
              </w:rPr>
              <w:t>40,000,000.00</w:t>
            </w:r>
          </w:p>
        </w:tc>
        <w:tc>
          <w:tcPr>
            <w:tcW w:w="543" w:type="pct"/>
            <w:vAlign w:val="center"/>
          </w:tcPr>
          <w:p w:rsidR="00597370" w:rsidRDefault="003C2EEE">
            <w:pPr>
              <w:pStyle w:val="Style106"/>
              <w:jc w:val="right"/>
            </w:pPr>
            <w:r>
              <w:rPr>
                <w:rFonts w:hint="eastAsia"/>
                <w:color w:val="000000"/>
              </w:rPr>
              <w:t>重庆市</w:t>
            </w:r>
          </w:p>
        </w:tc>
        <w:tc>
          <w:tcPr>
            <w:tcW w:w="557" w:type="pct"/>
            <w:vAlign w:val="center"/>
          </w:tcPr>
          <w:p w:rsidR="00597370" w:rsidRDefault="003C2EEE">
            <w:pPr>
              <w:pStyle w:val="Style106"/>
              <w:jc w:val="right"/>
            </w:pPr>
            <w:r>
              <w:rPr>
                <w:rFonts w:hint="eastAsia"/>
                <w:color w:val="000000"/>
              </w:rPr>
              <w:t>制造业</w:t>
            </w:r>
          </w:p>
        </w:tc>
        <w:tc>
          <w:tcPr>
            <w:tcW w:w="550" w:type="pct"/>
            <w:vAlign w:val="center"/>
          </w:tcPr>
          <w:p w:rsidR="00597370" w:rsidRDefault="003C2EEE">
            <w:pPr>
              <w:jc w:val="right"/>
            </w:pPr>
            <w:r>
              <w:rPr>
                <w:rFonts w:hint="eastAsia"/>
                <w:color w:val="000000"/>
              </w:rPr>
              <w:t>100</w:t>
            </w:r>
          </w:p>
        </w:tc>
        <w:tc>
          <w:tcPr>
            <w:tcW w:w="552" w:type="pct"/>
            <w:vAlign w:val="center"/>
          </w:tcPr>
          <w:p w:rsidR="00597370" w:rsidRDefault="00597370">
            <w:pPr>
              <w:jc w:val="right"/>
            </w:pPr>
          </w:p>
        </w:tc>
        <w:tc>
          <w:tcPr>
            <w:tcW w:w="610" w:type="pct"/>
            <w:vAlign w:val="center"/>
          </w:tcPr>
          <w:p w:rsidR="00597370" w:rsidRDefault="003C2EEE">
            <w:pPr>
              <w:pStyle w:val="Style106"/>
              <w:jc w:val="right"/>
            </w:pPr>
            <w:r>
              <w:rPr>
                <w:rFonts w:hint="eastAsia"/>
                <w:color w:val="000000"/>
              </w:rPr>
              <w:t>同</w:t>
            </w:r>
            <w:proofErr w:type="gramStart"/>
            <w:r>
              <w:rPr>
                <w:rFonts w:hint="eastAsia"/>
                <w:color w:val="000000"/>
              </w:rPr>
              <w:t>一控制</w:t>
            </w:r>
            <w:proofErr w:type="gramEnd"/>
            <w:r>
              <w:rPr>
                <w:rFonts w:hint="eastAsia"/>
                <w:color w:val="000000"/>
              </w:rPr>
              <w:t>下合并</w:t>
            </w:r>
          </w:p>
        </w:tc>
      </w:tr>
      <w:tr w:rsidR="00597370">
        <w:tc>
          <w:tcPr>
            <w:tcW w:w="750" w:type="pct"/>
            <w:vAlign w:val="center"/>
          </w:tcPr>
          <w:p w:rsidR="00597370" w:rsidRDefault="003C2EEE">
            <w:pPr>
              <w:pStyle w:val="Style106"/>
              <w:jc w:val="right"/>
            </w:pPr>
            <w:r>
              <w:t>黔南望江</w:t>
            </w:r>
          </w:p>
        </w:tc>
        <w:tc>
          <w:tcPr>
            <w:tcW w:w="483" w:type="pct"/>
            <w:vAlign w:val="center"/>
          </w:tcPr>
          <w:p w:rsidR="00597370" w:rsidRDefault="003C2EEE">
            <w:pPr>
              <w:pStyle w:val="Style106"/>
              <w:jc w:val="right"/>
            </w:pPr>
            <w:r>
              <w:t>都匀市</w:t>
            </w:r>
          </w:p>
        </w:tc>
        <w:tc>
          <w:tcPr>
            <w:tcW w:w="955" w:type="pct"/>
            <w:vAlign w:val="center"/>
          </w:tcPr>
          <w:p w:rsidR="00597370" w:rsidRDefault="003C2EEE">
            <w:pPr>
              <w:jc w:val="right"/>
            </w:pPr>
            <w:r>
              <w:rPr>
                <w:rFonts w:hint="eastAsia"/>
                <w:color w:val="000000"/>
              </w:rPr>
              <w:t>60,000,000.00</w:t>
            </w:r>
          </w:p>
        </w:tc>
        <w:tc>
          <w:tcPr>
            <w:tcW w:w="543" w:type="pct"/>
            <w:vAlign w:val="center"/>
          </w:tcPr>
          <w:p w:rsidR="00597370" w:rsidRDefault="003C2EEE">
            <w:pPr>
              <w:pStyle w:val="Style106"/>
              <w:jc w:val="right"/>
            </w:pPr>
            <w:r>
              <w:rPr>
                <w:rFonts w:hint="eastAsia"/>
                <w:color w:val="000000"/>
              </w:rPr>
              <w:t>都匀市</w:t>
            </w:r>
          </w:p>
        </w:tc>
        <w:tc>
          <w:tcPr>
            <w:tcW w:w="557" w:type="pct"/>
            <w:vAlign w:val="center"/>
          </w:tcPr>
          <w:p w:rsidR="00597370" w:rsidRDefault="003C2EEE">
            <w:pPr>
              <w:pStyle w:val="Style106"/>
              <w:jc w:val="right"/>
            </w:pPr>
            <w:r>
              <w:rPr>
                <w:rFonts w:hint="eastAsia"/>
                <w:color w:val="000000"/>
              </w:rPr>
              <w:t>制造业</w:t>
            </w:r>
          </w:p>
        </w:tc>
        <w:tc>
          <w:tcPr>
            <w:tcW w:w="550" w:type="pct"/>
            <w:vAlign w:val="center"/>
          </w:tcPr>
          <w:p w:rsidR="00597370" w:rsidRDefault="003C2EEE">
            <w:pPr>
              <w:jc w:val="right"/>
            </w:pPr>
            <w:r>
              <w:rPr>
                <w:rFonts w:hint="eastAsia"/>
                <w:color w:val="000000"/>
              </w:rPr>
              <w:t>100</w:t>
            </w:r>
          </w:p>
        </w:tc>
        <w:tc>
          <w:tcPr>
            <w:tcW w:w="552" w:type="pct"/>
            <w:vAlign w:val="center"/>
          </w:tcPr>
          <w:p w:rsidR="00597370" w:rsidRDefault="00597370">
            <w:pPr>
              <w:jc w:val="right"/>
            </w:pPr>
          </w:p>
        </w:tc>
        <w:tc>
          <w:tcPr>
            <w:tcW w:w="610" w:type="pct"/>
            <w:vAlign w:val="center"/>
          </w:tcPr>
          <w:p w:rsidR="00597370" w:rsidRDefault="003C2EEE">
            <w:pPr>
              <w:pStyle w:val="Style106"/>
              <w:jc w:val="right"/>
            </w:pPr>
            <w:r>
              <w:rPr>
                <w:rFonts w:hint="eastAsia"/>
                <w:color w:val="000000"/>
              </w:rPr>
              <w:t>同</w:t>
            </w:r>
            <w:proofErr w:type="gramStart"/>
            <w:r>
              <w:rPr>
                <w:rFonts w:hint="eastAsia"/>
                <w:color w:val="000000"/>
              </w:rPr>
              <w:t>一控制</w:t>
            </w:r>
            <w:proofErr w:type="gramEnd"/>
            <w:r>
              <w:rPr>
                <w:rFonts w:hint="eastAsia"/>
                <w:color w:val="000000"/>
              </w:rPr>
              <w:t>下合并</w:t>
            </w:r>
          </w:p>
        </w:tc>
      </w:tr>
    </w:tbl>
    <w:p w:rsidR="00597370" w:rsidRDefault="00597370">
      <w:pPr>
        <w:pStyle w:val="Style106"/>
      </w:pPr>
    </w:p>
    <w:p w:rsidR="00597370" w:rsidRDefault="003C2EEE">
      <w:pPr>
        <w:rPr>
          <w:rFonts w:cs="Arial"/>
          <w:color w:val="000000" w:themeColor="text1"/>
        </w:rPr>
      </w:pPr>
      <w:r>
        <w:rPr>
          <w:rFonts w:cs="Arial" w:hint="eastAsia"/>
          <w:color w:val="000000" w:themeColor="text1"/>
        </w:rPr>
        <w:t>在子公司的持股比例不同于表决权比例的说明：</w:t>
      </w:r>
    </w:p>
    <w:p w:rsidR="00597370" w:rsidRDefault="006840ED">
      <w:pPr>
        <w:rPr>
          <w:rFonts w:cs="Arial"/>
          <w:color w:val="000000" w:themeColor="text1"/>
        </w:rPr>
      </w:pPr>
      <w:sdt>
        <w:sdtPr>
          <w:rPr>
            <w:rFonts w:cs="Arial"/>
            <w:color w:val="000000" w:themeColor="text1"/>
          </w:rPr>
          <w:alias w:val="在子公司的持股比例不同于表决权比例的说明"/>
          <w:tag w:val="_GBC_f369e5dd5f6e430ebbede4953d1e5b82"/>
          <w:id w:val="1514575912"/>
          <w:placeholder>
            <w:docPart w:val="GBC22222222222222222222222222222"/>
          </w:placeholder>
        </w:sdtPr>
        <w:sdtEndPr/>
        <w:sdtContent>
          <w:r w:rsidR="003C2EEE">
            <w:rPr>
              <w:rFonts w:cs="Arial" w:hint="eastAsia"/>
              <w:color w:val="000000" w:themeColor="text1"/>
            </w:rPr>
            <w:t>无</w:t>
          </w:r>
        </w:sdtContent>
      </w:sdt>
    </w:p>
    <w:p w:rsidR="00597370" w:rsidRDefault="003C2EEE">
      <w:pPr>
        <w:rPr>
          <w:rFonts w:cs="Arial"/>
          <w:color w:val="000000" w:themeColor="text1"/>
        </w:rPr>
      </w:pPr>
      <w:r>
        <w:rPr>
          <w:rFonts w:cs="Arial" w:hint="eastAsia"/>
          <w:color w:val="000000" w:themeColor="text1"/>
        </w:rPr>
        <w:t>持有半数或以下表决权但仍控制被投资单位、以及持有半数以上表决权但不控制被投资单位的依据：</w:t>
      </w:r>
    </w:p>
    <w:sdt>
      <w:sdtPr>
        <w:rPr>
          <w:rFonts w:cs="Arial"/>
          <w:color w:val="000000" w:themeColor="text1"/>
        </w:rPr>
        <w:alias w:val="持有半数或以下表决权但仍控制被投资单位、以及持有半数以上表决权但不控制被投资单位的依据"/>
        <w:tag w:val="_GBC_140bd5da597c40feaa9310db1d6dc624"/>
        <w:id w:val="-1726740775"/>
        <w:placeholder>
          <w:docPart w:val="GBC22222222222222222222222222222"/>
        </w:placeholder>
      </w:sdtPr>
      <w:sdtEndPr/>
      <w:sdtContent>
        <w:p w:rsidR="00597370" w:rsidRDefault="003C2EEE">
          <w:pPr>
            <w:rPr>
              <w:rFonts w:cs="Arial"/>
              <w:color w:val="000000" w:themeColor="text1"/>
            </w:rPr>
          </w:pPr>
          <w:r>
            <w:rPr>
              <w:rFonts w:cs="Arial" w:hint="eastAsia"/>
              <w:color w:val="000000" w:themeColor="text1"/>
            </w:rPr>
            <w:t>无</w:t>
          </w:r>
        </w:p>
      </w:sdtContent>
    </w:sdt>
    <w:p w:rsidR="00597370" w:rsidRDefault="003C2EEE">
      <w:pPr>
        <w:rPr>
          <w:rFonts w:cs="Arial"/>
          <w:color w:val="000000" w:themeColor="text1"/>
        </w:rPr>
      </w:pPr>
      <w:r>
        <w:rPr>
          <w:rFonts w:cs="Arial" w:hint="eastAsia"/>
          <w:color w:val="000000" w:themeColor="text1"/>
        </w:rPr>
        <w:t>对于纳入合并范围的重要的结构化主体，控制的依据：</w:t>
      </w:r>
    </w:p>
    <w:sdt>
      <w:sdtPr>
        <w:rPr>
          <w:rFonts w:cs="Arial" w:hint="eastAsia"/>
          <w:color w:val="000000" w:themeColor="text1"/>
        </w:rPr>
        <w:alias w:val="对于纳入合并范围的重要的结构化主体，控制的依据"/>
        <w:tag w:val="_GBC_2d237439b4094e01b636ce2eb1be2008"/>
        <w:id w:val="18439631"/>
        <w:placeholder>
          <w:docPart w:val="GBC22222222222222222222222222222"/>
        </w:placeholder>
      </w:sdtPr>
      <w:sdtEndPr/>
      <w:sdtContent>
        <w:p w:rsidR="00597370" w:rsidRDefault="003C2EEE">
          <w:pPr>
            <w:rPr>
              <w:rFonts w:cs="Arial"/>
              <w:color w:val="000000" w:themeColor="text1"/>
            </w:rPr>
          </w:pPr>
          <w:r>
            <w:rPr>
              <w:rFonts w:cs="Arial" w:hint="eastAsia"/>
              <w:color w:val="000000" w:themeColor="text1"/>
            </w:rPr>
            <w:t>无</w:t>
          </w:r>
        </w:p>
      </w:sdtContent>
    </w:sdt>
    <w:p w:rsidR="00597370" w:rsidRDefault="003C2EEE">
      <w:pPr>
        <w:rPr>
          <w:rFonts w:cs="Arial"/>
          <w:color w:val="000000" w:themeColor="text1"/>
        </w:rPr>
      </w:pPr>
      <w:r>
        <w:rPr>
          <w:rFonts w:cs="Arial" w:hint="eastAsia"/>
          <w:color w:val="000000" w:themeColor="text1"/>
        </w:rPr>
        <w:t>确定公司是代理人还是委托人的依据：</w:t>
      </w:r>
    </w:p>
    <w:sdt>
      <w:sdtPr>
        <w:rPr>
          <w:rFonts w:cs="Arial" w:hint="eastAsia"/>
          <w:color w:val="000000" w:themeColor="text1"/>
        </w:rPr>
        <w:alias w:val="确定公司是代理人还是委托人的依据"/>
        <w:tag w:val="_GBC_6e0bd1ebb4c2474da455b4f5a3a59699"/>
        <w:id w:val="519895808"/>
        <w:placeholder>
          <w:docPart w:val="GBC22222222222222222222222222222"/>
        </w:placeholder>
      </w:sdtPr>
      <w:sdtEndPr/>
      <w:sdtContent>
        <w:p w:rsidR="00597370" w:rsidRDefault="003C2EEE">
          <w:pPr>
            <w:rPr>
              <w:rFonts w:cs="Arial"/>
              <w:color w:val="000000" w:themeColor="text1"/>
            </w:rPr>
          </w:pPr>
          <w:r>
            <w:rPr>
              <w:rFonts w:cs="Arial" w:hint="eastAsia"/>
              <w:color w:val="000000" w:themeColor="text1"/>
            </w:rPr>
            <w:t>无</w:t>
          </w:r>
        </w:p>
      </w:sdtContent>
    </w:sdt>
    <w:p w:rsidR="00597370" w:rsidRDefault="003C2EEE">
      <w:pPr>
        <w:rPr>
          <w:rFonts w:cs="Arial"/>
          <w:color w:val="000000" w:themeColor="text1"/>
        </w:rPr>
      </w:pPr>
      <w:r>
        <w:rPr>
          <w:rFonts w:cs="Arial" w:hint="eastAsia"/>
          <w:color w:val="000000" w:themeColor="text1"/>
        </w:rPr>
        <w:t>其他说明：</w:t>
      </w:r>
    </w:p>
    <w:sdt>
      <w:sdtPr>
        <w:rPr>
          <w:rFonts w:cs="Arial"/>
          <w:color w:val="000000" w:themeColor="text1"/>
        </w:rPr>
        <w:alias w:val="企业集团的构成的其他需要说明的事项"/>
        <w:tag w:val="_GBC_6b7d2d3a14224f7e90a4df3c02b8e3b3"/>
        <w:id w:val="-1755116974"/>
        <w:placeholder>
          <w:docPart w:val="GBC22222222222222222222222222222"/>
        </w:placeholder>
      </w:sdtPr>
      <w:sdtEndPr/>
      <w:sdtContent>
        <w:p w:rsidR="00597370" w:rsidRDefault="003C2EEE">
          <w:pPr>
            <w:rPr>
              <w:rFonts w:cstheme="minorBidi"/>
              <w:color w:val="000000" w:themeColor="text1"/>
            </w:rPr>
          </w:pPr>
          <w:r>
            <w:rPr>
              <w:rFonts w:cs="Arial" w:hint="eastAsia"/>
              <w:color w:val="000000" w:themeColor="text1"/>
            </w:rPr>
            <w:t>无</w:t>
          </w:r>
        </w:p>
      </w:sdtContent>
    </w:sdt>
    <w:bookmarkEnd w:id="375"/>
    <w:p w:rsidR="00597370" w:rsidRDefault="003C2EEE">
      <w:pPr>
        <w:pStyle w:val="Style110"/>
        <w:numPr>
          <w:ilvl w:val="3"/>
          <w:numId w:val="95"/>
        </w:numPr>
        <w:ind w:left="426" w:hangingChars="202" w:hanging="426"/>
        <w:rPr>
          <w:color w:val="000000" w:themeColor="text1"/>
        </w:rPr>
      </w:pPr>
      <w:r>
        <w:rPr>
          <w:rFonts w:hint="eastAsia"/>
          <w:color w:val="000000" w:themeColor="text1"/>
        </w:rPr>
        <w:t>重要的非全资子公司</w:t>
      </w:r>
    </w:p>
    <w:sdt>
      <w:sdtPr>
        <w:rPr>
          <w:color w:val="000000" w:themeColor="text1"/>
        </w:rPr>
        <w:alias w:val="是否适用：重要的非全资子公司[双击切换]"/>
        <w:tag w:val="_GBC_b83f349d0d754e2d93b12d2112b4c3ec"/>
        <w:id w:val="123003508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重要的非全资子公司"/>
          <w:tag w:val="_GBC_e5936e9952394755bacf71d437afcd44"/>
          <w:id w:val="-3186551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财务附注：重要的非全资子公司"/>
          <w:tag w:val="_GBC_5ffac6aa0e464031b94de604fccc76c7"/>
          <w:id w:val="3422830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4875" w:type="pct"/>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2"/>
        <w:gridCol w:w="1725"/>
        <w:gridCol w:w="1842"/>
        <w:gridCol w:w="1846"/>
        <w:gridCol w:w="1657"/>
      </w:tblGrid>
      <w:tr w:rsidR="00597370">
        <w:trPr>
          <w:trHeight w:val="241"/>
        </w:trPr>
        <w:sdt>
          <w:sdtPr>
            <w:rPr>
              <w:color w:val="000000" w:themeColor="text1"/>
              <w:sz w:val="18"/>
              <w:szCs w:val="18"/>
            </w:rPr>
            <w:tag w:val="_PLD_214f5d23d0ff4cd08577f444026e3bf2"/>
            <w:id w:val="404341426"/>
          </w:sdtPr>
          <w:sdtEndPr/>
          <w:sdtContent>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597370" w:rsidRDefault="003C2EEE">
                <w:pPr>
                  <w:jc w:val="both"/>
                  <w:rPr>
                    <w:rFonts w:cs="Arial"/>
                    <w:color w:val="000000" w:themeColor="text1"/>
                    <w:sz w:val="18"/>
                    <w:szCs w:val="18"/>
                  </w:rPr>
                </w:pPr>
                <w:r>
                  <w:rPr>
                    <w:rFonts w:cs="Arial" w:hint="eastAsia"/>
                    <w:color w:val="000000" w:themeColor="text1"/>
                    <w:sz w:val="18"/>
                    <w:szCs w:val="18"/>
                    <w:lang w:val="en-GB"/>
                  </w:rPr>
                  <w:t>子公司名称</w:t>
                </w:r>
              </w:p>
            </w:tc>
          </w:sdtContent>
        </w:sdt>
        <w:sdt>
          <w:sdtPr>
            <w:rPr>
              <w:color w:val="000000" w:themeColor="text1"/>
              <w:sz w:val="18"/>
              <w:szCs w:val="18"/>
            </w:rPr>
            <w:tag w:val="_PLD_8f337a5f047e4f5eb2e03caf3b5ce2bb"/>
            <w:id w:val="-1935896527"/>
          </w:sdtPr>
          <w:sdtEndPr/>
          <w:sdtContent>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lang w:val="en-GB"/>
                  </w:rPr>
                </w:pPr>
                <w:r>
                  <w:rPr>
                    <w:rFonts w:cs="Arial" w:hint="eastAsia"/>
                    <w:color w:val="000000" w:themeColor="text1"/>
                    <w:sz w:val="18"/>
                    <w:szCs w:val="18"/>
                    <w:lang w:val="en-GB"/>
                  </w:rPr>
                  <w:t>少数股东持股</w:t>
                </w:r>
              </w:p>
              <w:p w:rsidR="00597370" w:rsidRDefault="003C2EEE">
                <w:pPr>
                  <w:jc w:val="center"/>
                  <w:rPr>
                    <w:rFonts w:cs="Arial"/>
                    <w:color w:val="000000" w:themeColor="text1"/>
                    <w:sz w:val="18"/>
                    <w:szCs w:val="18"/>
                  </w:rPr>
                </w:pPr>
                <w:r>
                  <w:rPr>
                    <w:rFonts w:cs="Arial" w:hint="eastAsia"/>
                    <w:color w:val="000000" w:themeColor="text1"/>
                    <w:sz w:val="18"/>
                    <w:szCs w:val="18"/>
                    <w:lang w:val="en-GB"/>
                  </w:rPr>
                  <w:t>比例</w:t>
                </w:r>
                <w:r>
                  <w:rPr>
                    <w:rFonts w:hint="eastAsia"/>
                    <w:color w:val="000000" w:themeColor="text1"/>
                    <w:sz w:val="18"/>
                    <w:szCs w:val="18"/>
                  </w:rPr>
                  <w:t>（%）</w:t>
                </w:r>
              </w:p>
            </w:tc>
          </w:sdtContent>
        </w:sdt>
        <w:sdt>
          <w:sdtPr>
            <w:rPr>
              <w:color w:val="000000" w:themeColor="text1"/>
              <w:sz w:val="18"/>
              <w:szCs w:val="18"/>
            </w:rPr>
            <w:tag w:val="_PLD_70aca7c8f09a4a579e632e06c25a6ab5"/>
            <w:id w:val="14584657"/>
          </w:sdtPr>
          <w:sdtEndPr/>
          <w:sdtContent>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本期归属于少数股东的损益</w:t>
                </w:r>
              </w:p>
            </w:tc>
          </w:sdtContent>
        </w:sdt>
        <w:sdt>
          <w:sdtPr>
            <w:rPr>
              <w:color w:val="000000" w:themeColor="text1"/>
              <w:sz w:val="18"/>
              <w:szCs w:val="18"/>
            </w:rPr>
            <w:tag w:val="_PLD_4154a89239e54416bb4c7ab182b0ae5a"/>
            <w:id w:val="-498650387"/>
          </w:sdtPr>
          <w:sdtEndPr/>
          <w:sdtContent>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本期向少数股东宣告分派的股利</w:t>
                </w:r>
              </w:p>
            </w:tc>
          </w:sdtContent>
        </w:sdt>
        <w:sdt>
          <w:sdtPr>
            <w:rPr>
              <w:color w:val="000000" w:themeColor="text1"/>
              <w:sz w:val="18"/>
              <w:szCs w:val="18"/>
            </w:rPr>
            <w:tag w:val="_PLD_cea34ef7af164cc8816d90890b528f36"/>
            <w:id w:val="-243735589"/>
          </w:sdtPr>
          <w:sdtEndPr/>
          <w:sdtContent>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597370" w:rsidRDefault="003C2EEE">
                <w:pPr>
                  <w:ind w:right="-16"/>
                  <w:jc w:val="center"/>
                  <w:rPr>
                    <w:rFonts w:cs="Arial"/>
                    <w:color w:val="000000" w:themeColor="text1"/>
                    <w:sz w:val="18"/>
                    <w:szCs w:val="18"/>
                  </w:rPr>
                </w:pPr>
                <w:r>
                  <w:rPr>
                    <w:rFonts w:cs="Arial" w:hint="eastAsia"/>
                    <w:color w:val="000000" w:themeColor="text1"/>
                    <w:sz w:val="18"/>
                    <w:szCs w:val="18"/>
                    <w:lang w:val="en-GB"/>
                  </w:rPr>
                  <w:t>期末少数股东权益余额</w:t>
                </w:r>
              </w:p>
            </w:tc>
          </w:sdtContent>
        </w:sdt>
      </w:tr>
      <w:tr w:rsidR="00597370">
        <w:trPr>
          <w:trHeight w:val="411"/>
        </w:trPr>
        <w:tc>
          <w:tcPr>
            <w:tcW w:w="890" w:type="pct"/>
            <w:tcBorders>
              <w:top w:val="single" w:sz="6" w:space="0" w:color="auto"/>
              <w:left w:val="single" w:sz="4" w:space="0" w:color="auto"/>
              <w:bottom w:val="single" w:sz="4" w:space="0" w:color="auto"/>
              <w:right w:val="single" w:sz="6" w:space="0" w:color="auto"/>
            </w:tcBorders>
            <w:vAlign w:val="center"/>
          </w:tcPr>
          <w:p w:rsidR="00597370" w:rsidRDefault="003C2EEE">
            <w:pPr>
              <w:pStyle w:val="Style106"/>
              <w:jc w:val="both"/>
              <w:rPr>
                <w:sz w:val="18"/>
                <w:szCs w:val="18"/>
              </w:rPr>
            </w:pPr>
            <w:proofErr w:type="gramStart"/>
            <w:r>
              <w:rPr>
                <w:rFonts w:hint="eastAsia"/>
                <w:sz w:val="18"/>
                <w:szCs w:val="18"/>
              </w:rPr>
              <w:t>云变电气</w:t>
            </w:r>
            <w:proofErr w:type="gramEnd"/>
          </w:p>
        </w:tc>
        <w:tc>
          <w:tcPr>
            <w:tcW w:w="1002" w:type="pct"/>
            <w:tcBorders>
              <w:top w:val="single" w:sz="6" w:space="0" w:color="auto"/>
              <w:left w:val="single" w:sz="6" w:space="0" w:color="auto"/>
              <w:bottom w:val="single" w:sz="4" w:space="0" w:color="auto"/>
              <w:right w:val="single" w:sz="6" w:space="0" w:color="auto"/>
            </w:tcBorders>
            <w:vAlign w:val="bottom"/>
          </w:tcPr>
          <w:p w:rsidR="00597370" w:rsidRDefault="003C2EEE">
            <w:pPr>
              <w:jc w:val="right"/>
              <w:rPr>
                <w:sz w:val="18"/>
                <w:szCs w:val="18"/>
              </w:rPr>
            </w:pPr>
            <w:r>
              <w:rPr>
                <w:rFonts w:hint="eastAsia"/>
                <w:sz w:val="18"/>
                <w:szCs w:val="18"/>
              </w:rPr>
              <w:t>2</w:t>
            </w:r>
            <w:r>
              <w:rPr>
                <w:sz w:val="18"/>
                <w:szCs w:val="18"/>
              </w:rPr>
              <w:t>0.03</w:t>
            </w:r>
          </w:p>
        </w:tc>
        <w:tc>
          <w:tcPr>
            <w:tcW w:w="1070" w:type="pct"/>
            <w:tcBorders>
              <w:top w:val="single" w:sz="6" w:space="0" w:color="auto"/>
              <w:left w:val="single" w:sz="6" w:space="0" w:color="auto"/>
              <w:bottom w:val="single" w:sz="4" w:space="0" w:color="auto"/>
              <w:right w:val="single" w:sz="6" w:space="0" w:color="auto"/>
            </w:tcBorders>
            <w:shd w:val="clear" w:color="auto" w:fill="auto"/>
            <w:vAlign w:val="bottom"/>
          </w:tcPr>
          <w:p w:rsidR="00597370" w:rsidRDefault="003C2EEE">
            <w:pPr>
              <w:jc w:val="right"/>
              <w:textAlignment w:val="center"/>
              <w:rPr>
                <w:bCs w:val="0"/>
                <w:sz w:val="18"/>
                <w:szCs w:val="18"/>
              </w:rPr>
            </w:pPr>
            <w:r>
              <w:rPr>
                <w:rFonts w:hint="eastAsia"/>
                <w:bCs w:val="0"/>
                <w:sz w:val="18"/>
                <w:szCs w:val="18"/>
                <w:lang w:bidi="ar"/>
              </w:rPr>
              <w:t xml:space="preserve"> -206.4,3</w:t>
            </w:r>
          </w:p>
        </w:tc>
        <w:tc>
          <w:tcPr>
            <w:tcW w:w="1073" w:type="pct"/>
            <w:tcBorders>
              <w:top w:val="single" w:sz="6" w:space="0" w:color="auto"/>
              <w:left w:val="single" w:sz="6" w:space="0" w:color="auto"/>
              <w:bottom w:val="single" w:sz="4" w:space="0" w:color="auto"/>
              <w:right w:val="single" w:sz="6" w:space="0" w:color="auto"/>
            </w:tcBorders>
            <w:vAlign w:val="bottom"/>
          </w:tcPr>
          <w:p w:rsidR="00597370" w:rsidRDefault="00597370">
            <w:pPr>
              <w:jc w:val="right"/>
              <w:rPr>
                <w:bCs w:val="0"/>
                <w:sz w:val="16"/>
                <w:szCs w:val="16"/>
              </w:rPr>
            </w:pPr>
          </w:p>
        </w:tc>
        <w:tc>
          <w:tcPr>
            <w:tcW w:w="963" w:type="pct"/>
            <w:tcBorders>
              <w:top w:val="single" w:sz="6" w:space="0" w:color="auto"/>
              <w:left w:val="single" w:sz="6" w:space="0" w:color="auto"/>
              <w:bottom w:val="single" w:sz="4" w:space="0" w:color="auto"/>
              <w:right w:val="single" w:sz="4" w:space="0" w:color="auto"/>
            </w:tcBorders>
            <w:vAlign w:val="bottom"/>
          </w:tcPr>
          <w:p w:rsidR="00597370" w:rsidRDefault="003C2EEE">
            <w:pPr>
              <w:jc w:val="right"/>
              <w:rPr>
                <w:sz w:val="18"/>
                <w:szCs w:val="18"/>
              </w:rPr>
            </w:pPr>
            <w:r>
              <w:rPr>
                <w:sz w:val="18"/>
                <w:szCs w:val="18"/>
              </w:rPr>
              <w:t>1</w:t>
            </w:r>
            <w:r>
              <w:rPr>
                <w:rFonts w:hint="eastAsia"/>
                <w:sz w:val="18"/>
                <w:szCs w:val="18"/>
              </w:rPr>
              <w:t>,</w:t>
            </w:r>
            <w:r>
              <w:rPr>
                <w:sz w:val="18"/>
                <w:szCs w:val="18"/>
              </w:rPr>
              <w:t>313</w:t>
            </w:r>
            <w:r>
              <w:rPr>
                <w:rFonts w:hint="eastAsia"/>
                <w:sz w:val="18"/>
                <w:szCs w:val="18"/>
              </w:rPr>
              <w:t>.</w:t>
            </w:r>
            <w:r>
              <w:rPr>
                <w:sz w:val="18"/>
                <w:szCs w:val="18"/>
              </w:rPr>
              <w:t>7</w:t>
            </w:r>
            <w:r>
              <w:rPr>
                <w:rFonts w:hint="eastAsia"/>
                <w:sz w:val="18"/>
                <w:szCs w:val="18"/>
              </w:rPr>
              <w:t>7</w:t>
            </w:r>
          </w:p>
        </w:tc>
      </w:tr>
    </w:tbl>
    <w:p w:rsidR="00597370" w:rsidRDefault="003C2EEE">
      <w:pPr>
        <w:rPr>
          <w:rFonts w:cs="Arial"/>
          <w:color w:val="000000" w:themeColor="text1"/>
        </w:rPr>
      </w:pPr>
      <w:r>
        <w:rPr>
          <w:rFonts w:cs="Arial" w:hint="eastAsia"/>
          <w:color w:val="000000" w:themeColor="text1"/>
        </w:rPr>
        <w:t>子公司少数股东的持股比例不同于表决权比例的说明：</w:t>
      </w:r>
    </w:p>
    <w:sdt>
      <w:sdtPr>
        <w:rPr>
          <w:rFonts w:cs="Arial"/>
          <w:color w:val="000000" w:themeColor="text1"/>
        </w:rPr>
        <w:alias w:val="是否适用：子公司少数股东的持股比例不同于表决权比例的说明[双击切换]"/>
        <w:tag w:val="_GBC_8bf91d6e05c644d1b37f5d88e434cb9e"/>
        <w:id w:val="-1302618056"/>
        <w:placeholder>
          <w:docPart w:val="GBC22222222222222222222222222222"/>
        </w:placeholder>
      </w:sdtPr>
      <w:sdtEndPr/>
      <w:sdtContent>
        <w:p w:rsidR="00597370" w:rsidRDefault="003C2EEE">
          <w:pPr>
            <w:rPr>
              <w:rFonts w:cs="Arial"/>
              <w:color w:val="000000" w:themeColor="text1"/>
            </w:rPr>
          </w:pPr>
          <w:r>
            <w:rPr>
              <w:rFonts w:cs="Arial"/>
              <w:color w:val="000000" w:themeColor="text1"/>
            </w:rPr>
            <w:fldChar w:fldCharType="begin"/>
          </w:r>
          <w:r>
            <w:rPr>
              <w:rFonts w:cs="Arial"/>
              <w:color w:val="000000" w:themeColor="text1"/>
            </w:rPr>
            <w:instrText xml:space="preserve"> MACROBUTTON  SnrToggleCheckbox □适用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p w:rsidR="00597370" w:rsidRDefault="003C2EEE">
      <w:pPr>
        <w:rPr>
          <w:rFonts w:cs="Arial"/>
          <w:color w:val="000000" w:themeColor="text1"/>
        </w:rPr>
      </w:pPr>
      <w:r>
        <w:rPr>
          <w:rFonts w:cs="Arial" w:hint="eastAsia"/>
          <w:color w:val="000000" w:themeColor="text1"/>
        </w:rPr>
        <w:t>其他说明：</w:t>
      </w:r>
    </w:p>
    <w:sdt>
      <w:sdtPr>
        <w:rPr>
          <w:rFonts w:cs="Arial"/>
          <w:color w:val="000000" w:themeColor="text1"/>
        </w:rPr>
        <w:alias w:val="是否适用：重要的非全资子公司其他说明[双击切换]"/>
        <w:tag w:val="_GBC_c511ac7f8f1f42bfa9130e28b68d1f19"/>
        <w:id w:val="-461106819"/>
        <w:placeholder>
          <w:docPart w:val="GBC22222222222222222222222222222"/>
        </w:placeholder>
      </w:sdtPr>
      <w:sdtEndPr/>
      <w:sdtContent>
        <w:p w:rsidR="00597370" w:rsidRDefault="003C2EEE">
          <w:pPr>
            <w:rPr>
              <w:rFonts w:cs="Arial"/>
              <w:color w:val="000000" w:themeColor="text1"/>
            </w:rPr>
          </w:pPr>
          <w:r>
            <w:rPr>
              <w:rFonts w:cs="Arial"/>
              <w:color w:val="000000" w:themeColor="text1"/>
            </w:rPr>
            <w:fldChar w:fldCharType="begin"/>
          </w:r>
          <w:r>
            <w:rPr>
              <w:rFonts w:cs="Arial"/>
              <w:color w:val="000000" w:themeColor="text1"/>
            </w:rPr>
            <w:instrText xml:space="preserve"> MACROBUTTON  SnrToggleCheckbox □适用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p w:rsidR="00597370" w:rsidRDefault="003C2EEE">
      <w:pPr>
        <w:pStyle w:val="Style110"/>
        <w:numPr>
          <w:ilvl w:val="3"/>
          <w:numId w:val="95"/>
        </w:numPr>
        <w:ind w:left="426" w:hangingChars="202" w:hanging="426"/>
        <w:rPr>
          <w:color w:val="000000" w:themeColor="text1"/>
        </w:rPr>
      </w:pPr>
      <w:r>
        <w:rPr>
          <w:rFonts w:hint="eastAsia"/>
          <w:color w:val="000000" w:themeColor="text1"/>
        </w:rPr>
        <w:t>重要非全资子公司的主要财务信息</w:t>
      </w:r>
    </w:p>
    <w:sdt>
      <w:sdtPr>
        <w:rPr>
          <w:color w:val="000000" w:themeColor="text1"/>
        </w:rPr>
        <w:alias w:val="是否适用：重要非全资子公司的主要财务信息[双击切换]"/>
        <w:tag w:val="_GBC_c10a7c42e39b4ac9a711e2e9d367799e"/>
        <w:id w:val="93163334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重要非全资子公司的主要财务信息"/>
          <w:tag w:val="_GBC_ba918360b15748859fb63cacad1f617d"/>
          <w:id w:val="11561953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财务附注：重要非全资子公司的主要财务信息"/>
          <w:tag w:val="_GBC_af5cc4f1e7a74e3d8f9c9fea25fdf05f"/>
          <w:id w:val="-18355160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4"/>
        <w:gridCol w:w="754"/>
        <w:gridCol w:w="699"/>
        <w:gridCol w:w="753"/>
        <w:gridCol w:w="699"/>
        <w:gridCol w:w="646"/>
        <w:gridCol w:w="699"/>
        <w:gridCol w:w="753"/>
        <w:gridCol w:w="699"/>
        <w:gridCol w:w="753"/>
        <w:gridCol w:w="699"/>
        <w:gridCol w:w="646"/>
        <w:gridCol w:w="699"/>
      </w:tblGrid>
      <w:tr w:rsidR="00597370">
        <w:trPr>
          <w:trHeight w:val="241"/>
        </w:trPr>
        <w:sdt>
          <w:sdtPr>
            <w:rPr>
              <w:color w:val="000000" w:themeColor="text1"/>
              <w:sz w:val="18"/>
              <w:szCs w:val="18"/>
            </w:rPr>
            <w:tag w:val="_PLD_e65ae60c1beb4e5aa4e9c5250ffb188a"/>
            <w:id w:val="1998301910"/>
          </w:sdtPr>
          <w:sdtEndPr/>
          <w:sdtContent>
            <w:tc>
              <w:tcPr>
                <w:tcW w:w="184"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597370" w:rsidRDefault="003C2EEE">
                <w:pPr>
                  <w:ind w:right="-16"/>
                  <w:jc w:val="center"/>
                  <w:rPr>
                    <w:rFonts w:cs="Arial"/>
                    <w:color w:val="000000" w:themeColor="text1"/>
                    <w:sz w:val="18"/>
                    <w:szCs w:val="18"/>
                  </w:rPr>
                </w:pPr>
                <w:r>
                  <w:rPr>
                    <w:rFonts w:cs="Arial" w:hint="eastAsia"/>
                    <w:color w:val="000000" w:themeColor="text1"/>
                    <w:sz w:val="18"/>
                    <w:szCs w:val="18"/>
                    <w:lang w:val="en-GB"/>
                  </w:rPr>
                  <w:t>子公司名称</w:t>
                </w:r>
              </w:p>
            </w:tc>
          </w:sdtContent>
        </w:sdt>
        <w:sdt>
          <w:sdtPr>
            <w:rPr>
              <w:color w:val="000000" w:themeColor="text1"/>
              <w:sz w:val="18"/>
              <w:szCs w:val="18"/>
            </w:rPr>
            <w:tag w:val="_PLD_878e21e6ce5e466eb427e7200cc9e5bb"/>
            <w:id w:val="894710703"/>
          </w:sdtPr>
          <w:sdtEndPr/>
          <w:sdtContent>
            <w:tc>
              <w:tcPr>
                <w:tcW w:w="2408"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597370" w:rsidRDefault="003C2EEE">
                <w:pPr>
                  <w:ind w:right="-16"/>
                  <w:jc w:val="center"/>
                  <w:rPr>
                    <w:rFonts w:cs="Arial"/>
                    <w:color w:val="000000" w:themeColor="text1"/>
                    <w:sz w:val="18"/>
                    <w:szCs w:val="18"/>
                  </w:rPr>
                </w:pPr>
                <w:r>
                  <w:rPr>
                    <w:rFonts w:cs="Arial" w:hint="eastAsia"/>
                    <w:color w:val="000000" w:themeColor="text1"/>
                    <w:sz w:val="18"/>
                    <w:szCs w:val="18"/>
                    <w:lang w:val="en-GB"/>
                  </w:rPr>
                  <w:t>期末余额</w:t>
                </w:r>
              </w:p>
            </w:tc>
          </w:sdtContent>
        </w:sdt>
        <w:sdt>
          <w:sdtPr>
            <w:rPr>
              <w:color w:val="000000" w:themeColor="text1"/>
              <w:sz w:val="18"/>
              <w:szCs w:val="18"/>
            </w:rPr>
            <w:tag w:val="_PLD_86b93e4e78424106874bd84d54fb24df"/>
            <w:id w:val="-6370922"/>
          </w:sdtPr>
          <w:sdtEndPr/>
          <w:sdtContent>
            <w:tc>
              <w:tcPr>
                <w:tcW w:w="2408"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597370" w:rsidRDefault="003C2EEE">
                <w:pPr>
                  <w:ind w:right="-16"/>
                  <w:jc w:val="center"/>
                  <w:rPr>
                    <w:rFonts w:cs="Arial"/>
                    <w:color w:val="000000" w:themeColor="text1"/>
                    <w:sz w:val="18"/>
                    <w:szCs w:val="18"/>
                  </w:rPr>
                </w:pPr>
                <w:r>
                  <w:rPr>
                    <w:rFonts w:cs="Arial" w:hint="eastAsia"/>
                    <w:color w:val="000000" w:themeColor="text1"/>
                    <w:sz w:val="18"/>
                    <w:szCs w:val="18"/>
                    <w:lang w:val="en-GB"/>
                  </w:rPr>
                  <w:t>期初余额</w:t>
                </w:r>
              </w:p>
            </w:tc>
          </w:sdtContent>
        </w:sdt>
      </w:tr>
      <w:tr w:rsidR="00597370">
        <w:trPr>
          <w:trHeight w:val="241"/>
        </w:trPr>
        <w:tc>
          <w:tcPr>
            <w:tcW w:w="184" w:type="pct"/>
            <w:vMerge/>
            <w:tcBorders>
              <w:top w:val="single" w:sz="4" w:space="0" w:color="auto"/>
              <w:left w:val="single" w:sz="4" w:space="0" w:color="auto"/>
              <w:bottom w:val="single" w:sz="6" w:space="0" w:color="auto"/>
              <w:right w:val="single" w:sz="6" w:space="0" w:color="auto"/>
            </w:tcBorders>
            <w:shd w:val="clear" w:color="auto" w:fill="auto"/>
            <w:vAlign w:val="center"/>
          </w:tcPr>
          <w:p w:rsidR="00597370" w:rsidRDefault="00597370">
            <w:pPr>
              <w:rPr>
                <w:rFonts w:cs="Arial"/>
                <w:color w:val="000000" w:themeColor="text1"/>
                <w:sz w:val="18"/>
                <w:szCs w:val="18"/>
              </w:rPr>
            </w:pPr>
          </w:p>
        </w:tc>
        <w:sdt>
          <w:sdtPr>
            <w:rPr>
              <w:color w:val="000000" w:themeColor="text1"/>
              <w:sz w:val="18"/>
              <w:szCs w:val="18"/>
            </w:rPr>
            <w:tag w:val="_PLD_0154d63f3f2c482ebe0cf00460d87fbd"/>
            <w:id w:val="-344779183"/>
          </w:sdtPr>
          <w:sdtEndPr/>
          <w:sdtContent>
            <w:tc>
              <w:tcPr>
                <w:tcW w:w="427"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流动资产</w:t>
                </w:r>
              </w:p>
            </w:tc>
          </w:sdtContent>
        </w:sdt>
        <w:sdt>
          <w:sdtPr>
            <w:rPr>
              <w:color w:val="000000" w:themeColor="text1"/>
              <w:sz w:val="18"/>
              <w:szCs w:val="18"/>
            </w:rPr>
            <w:tag w:val="_PLD_0f817c02730447aca042c6a931d447e8"/>
            <w:id w:val="1986041221"/>
          </w:sdtPr>
          <w:sdtEndPr/>
          <w:sdtContent>
            <w:tc>
              <w:tcPr>
                <w:tcW w:w="396"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ind w:left="-40" w:right="-97"/>
                  <w:jc w:val="center"/>
                  <w:rPr>
                    <w:rFonts w:cs="Arial"/>
                    <w:color w:val="000000" w:themeColor="text1"/>
                    <w:sz w:val="18"/>
                    <w:szCs w:val="18"/>
                  </w:rPr>
                </w:pPr>
                <w:r>
                  <w:rPr>
                    <w:rFonts w:cs="Arial" w:hint="eastAsia"/>
                    <w:color w:val="000000" w:themeColor="text1"/>
                    <w:sz w:val="18"/>
                    <w:szCs w:val="18"/>
                    <w:lang w:val="en-GB"/>
                  </w:rPr>
                  <w:t>非流动资产</w:t>
                </w:r>
              </w:p>
            </w:tc>
          </w:sdtContent>
        </w:sdt>
        <w:sdt>
          <w:sdtPr>
            <w:rPr>
              <w:color w:val="000000" w:themeColor="text1"/>
              <w:sz w:val="18"/>
              <w:szCs w:val="18"/>
            </w:rPr>
            <w:tag w:val="_PLD_553e0814e94f491784b88cc5aa7d6adb"/>
            <w:id w:val="1593589020"/>
          </w:sdtPr>
          <w:sdtEndPr/>
          <w:sdtContent>
            <w:tc>
              <w:tcPr>
                <w:tcW w:w="427"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资产合计</w:t>
                </w:r>
              </w:p>
            </w:tc>
          </w:sdtContent>
        </w:sdt>
        <w:sdt>
          <w:sdtPr>
            <w:rPr>
              <w:color w:val="000000" w:themeColor="text1"/>
              <w:sz w:val="18"/>
              <w:szCs w:val="18"/>
            </w:rPr>
            <w:tag w:val="_PLD_3db84901ffa544afb174531f0384a82f"/>
            <w:id w:val="-1368055074"/>
          </w:sdtPr>
          <w:sdtEndPr/>
          <w:sdtContent>
            <w:tc>
              <w:tcPr>
                <w:tcW w:w="396"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流动负债</w:t>
                </w:r>
              </w:p>
            </w:tc>
          </w:sdtContent>
        </w:sdt>
        <w:sdt>
          <w:sdtPr>
            <w:rPr>
              <w:color w:val="000000" w:themeColor="text1"/>
              <w:sz w:val="18"/>
              <w:szCs w:val="18"/>
            </w:rPr>
            <w:tag w:val="_PLD_50c217cc437b4c3496e1aab622fba053"/>
            <w:id w:val="-575439686"/>
          </w:sdtPr>
          <w:sdtEndPr/>
          <w:sdtContent>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ind w:left="-40" w:right="-97"/>
                  <w:jc w:val="center"/>
                  <w:rPr>
                    <w:rFonts w:cs="Arial"/>
                    <w:color w:val="000000" w:themeColor="text1"/>
                    <w:sz w:val="18"/>
                    <w:szCs w:val="18"/>
                  </w:rPr>
                </w:pPr>
                <w:r>
                  <w:rPr>
                    <w:rFonts w:cs="Arial" w:hint="eastAsia"/>
                    <w:color w:val="000000" w:themeColor="text1"/>
                    <w:sz w:val="18"/>
                    <w:szCs w:val="18"/>
                    <w:lang w:val="en-GB"/>
                  </w:rPr>
                  <w:t>非流动负债</w:t>
                </w:r>
              </w:p>
            </w:tc>
          </w:sdtContent>
        </w:sdt>
        <w:sdt>
          <w:sdtPr>
            <w:rPr>
              <w:color w:val="000000" w:themeColor="text1"/>
              <w:sz w:val="18"/>
              <w:szCs w:val="18"/>
            </w:rPr>
            <w:tag w:val="_PLD_ccd9a8d3652e4485a763cfb37eb6fa37"/>
            <w:id w:val="921383782"/>
          </w:sdtPr>
          <w:sdtEndPr/>
          <w:sdtContent>
            <w:tc>
              <w:tcPr>
                <w:tcW w:w="396"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负债合计</w:t>
                </w:r>
              </w:p>
            </w:tc>
          </w:sdtContent>
        </w:sdt>
        <w:sdt>
          <w:sdtPr>
            <w:rPr>
              <w:color w:val="000000" w:themeColor="text1"/>
              <w:sz w:val="18"/>
              <w:szCs w:val="18"/>
            </w:rPr>
            <w:tag w:val="_PLD_ec07cd6513b74d49b586125d4b66dd0a"/>
            <w:id w:val="580105767"/>
          </w:sdtPr>
          <w:sdtEndPr/>
          <w:sdtContent>
            <w:tc>
              <w:tcPr>
                <w:tcW w:w="427"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流动资产</w:t>
                </w:r>
              </w:p>
            </w:tc>
          </w:sdtContent>
        </w:sdt>
        <w:sdt>
          <w:sdtPr>
            <w:rPr>
              <w:color w:val="000000" w:themeColor="text1"/>
              <w:sz w:val="18"/>
              <w:szCs w:val="18"/>
            </w:rPr>
            <w:tag w:val="_PLD_fb97ce65ab144768b4fb9978546fce37"/>
            <w:id w:val="1213080507"/>
          </w:sdtPr>
          <w:sdtEndPr/>
          <w:sdtContent>
            <w:tc>
              <w:tcPr>
                <w:tcW w:w="396"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ind w:left="-40" w:right="-97"/>
                  <w:jc w:val="center"/>
                  <w:rPr>
                    <w:rFonts w:cs="Arial"/>
                    <w:color w:val="000000" w:themeColor="text1"/>
                    <w:sz w:val="18"/>
                    <w:szCs w:val="18"/>
                  </w:rPr>
                </w:pPr>
                <w:r>
                  <w:rPr>
                    <w:rFonts w:cs="Arial" w:hint="eastAsia"/>
                    <w:color w:val="000000" w:themeColor="text1"/>
                    <w:sz w:val="18"/>
                    <w:szCs w:val="18"/>
                    <w:lang w:val="en-GB"/>
                  </w:rPr>
                  <w:t>非流动资产</w:t>
                </w:r>
              </w:p>
            </w:tc>
          </w:sdtContent>
        </w:sdt>
        <w:sdt>
          <w:sdtPr>
            <w:rPr>
              <w:color w:val="000000" w:themeColor="text1"/>
              <w:sz w:val="18"/>
              <w:szCs w:val="18"/>
            </w:rPr>
            <w:tag w:val="_PLD_412845ecfd2e45e8ae03b43cf8ca32f4"/>
            <w:id w:val="296888949"/>
          </w:sdtPr>
          <w:sdtEndPr/>
          <w:sdtContent>
            <w:tc>
              <w:tcPr>
                <w:tcW w:w="427"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资产合计</w:t>
                </w:r>
              </w:p>
            </w:tc>
          </w:sdtContent>
        </w:sdt>
        <w:sdt>
          <w:sdtPr>
            <w:rPr>
              <w:color w:val="000000" w:themeColor="text1"/>
              <w:sz w:val="18"/>
              <w:szCs w:val="18"/>
            </w:rPr>
            <w:tag w:val="_PLD_2a24724c66b442e994f401266a55d5df"/>
            <w:id w:val="130915607"/>
          </w:sdtPr>
          <w:sdtEndPr/>
          <w:sdtContent>
            <w:tc>
              <w:tcPr>
                <w:tcW w:w="396"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流动负债</w:t>
                </w:r>
              </w:p>
            </w:tc>
          </w:sdtContent>
        </w:sdt>
        <w:sdt>
          <w:sdtPr>
            <w:rPr>
              <w:color w:val="000000" w:themeColor="text1"/>
              <w:sz w:val="18"/>
              <w:szCs w:val="18"/>
            </w:rPr>
            <w:tag w:val="_PLD_937f557a5cdb4ea99a0a914e755f781f"/>
            <w:id w:val="-452558024"/>
          </w:sdtPr>
          <w:sdtEndPr/>
          <w:sdtContent>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ind w:left="-40" w:right="-97"/>
                  <w:jc w:val="center"/>
                  <w:rPr>
                    <w:rFonts w:cs="Arial"/>
                    <w:color w:val="000000" w:themeColor="text1"/>
                    <w:sz w:val="18"/>
                    <w:szCs w:val="18"/>
                  </w:rPr>
                </w:pPr>
                <w:r>
                  <w:rPr>
                    <w:rFonts w:cs="Arial" w:hint="eastAsia"/>
                    <w:color w:val="000000" w:themeColor="text1"/>
                    <w:sz w:val="18"/>
                    <w:szCs w:val="18"/>
                    <w:lang w:val="en-GB"/>
                  </w:rPr>
                  <w:t>非流动负债</w:t>
                </w:r>
              </w:p>
            </w:tc>
          </w:sdtContent>
        </w:sdt>
        <w:sdt>
          <w:sdtPr>
            <w:rPr>
              <w:color w:val="000000" w:themeColor="text1"/>
              <w:sz w:val="18"/>
              <w:szCs w:val="18"/>
            </w:rPr>
            <w:tag w:val="_PLD_c4b998a44f394e1eb0924a4f19409ff8"/>
            <w:id w:val="1752928631"/>
          </w:sdtPr>
          <w:sdtEndPr/>
          <w:sdtContent>
            <w:tc>
              <w:tcPr>
                <w:tcW w:w="396" w:type="pct"/>
                <w:tcBorders>
                  <w:top w:val="single" w:sz="6" w:space="0" w:color="auto"/>
                  <w:left w:val="single" w:sz="6" w:space="0" w:color="auto"/>
                  <w:bottom w:val="single" w:sz="6" w:space="0" w:color="auto"/>
                  <w:right w:val="single" w:sz="4" w:space="0" w:color="auto"/>
                </w:tcBorders>
                <w:shd w:val="clear" w:color="auto" w:fill="auto"/>
                <w:vAlign w:val="center"/>
              </w:tcPr>
              <w:p w:rsidR="00597370" w:rsidRDefault="003C2EEE">
                <w:pPr>
                  <w:jc w:val="center"/>
                  <w:rPr>
                    <w:rFonts w:cs="Arial"/>
                    <w:color w:val="000000" w:themeColor="text1"/>
                    <w:sz w:val="18"/>
                    <w:szCs w:val="18"/>
                  </w:rPr>
                </w:pPr>
                <w:r>
                  <w:rPr>
                    <w:rFonts w:cs="Arial" w:hint="eastAsia"/>
                    <w:color w:val="000000" w:themeColor="text1"/>
                    <w:sz w:val="18"/>
                    <w:szCs w:val="18"/>
                    <w:lang w:val="en-GB"/>
                  </w:rPr>
                  <w:t>负债合计</w:t>
                </w:r>
              </w:p>
            </w:tc>
          </w:sdtContent>
        </w:sdt>
      </w:tr>
      <w:tr w:rsidR="00597370">
        <w:tc>
          <w:tcPr>
            <w:tcW w:w="184" w:type="pct"/>
            <w:tcBorders>
              <w:top w:val="single" w:sz="6" w:space="0" w:color="auto"/>
              <w:left w:val="single" w:sz="4" w:space="0" w:color="auto"/>
              <w:bottom w:val="single" w:sz="4" w:space="0" w:color="auto"/>
              <w:right w:val="single" w:sz="6" w:space="0" w:color="auto"/>
            </w:tcBorders>
          </w:tcPr>
          <w:p w:rsidR="00597370" w:rsidRDefault="003C2EEE">
            <w:pPr>
              <w:pStyle w:val="Style106"/>
              <w:rPr>
                <w:sz w:val="18"/>
                <w:szCs w:val="18"/>
              </w:rPr>
            </w:pPr>
            <w:proofErr w:type="gramStart"/>
            <w:r>
              <w:rPr>
                <w:rFonts w:hint="eastAsia"/>
                <w:sz w:val="18"/>
                <w:szCs w:val="18"/>
              </w:rPr>
              <w:t>云变电气</w:t>
            </w:r>
            <w:proofErr w:type="gramEnd"/>
          </w:p>
        </w:tc>
        <w:tc>
          <w:tcPr>
            <w:tcW w:w="427"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109,970.51 </w:t>
            </w:r>
          </w:p>
        </w:tc>
        <w:tc>
          <w:tcPr>
            <w:tcW w:w="396"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49,877.83 </w:t>
            </w:r>
          </w:p>
        </w:tc>
        <w:tc>
          <w:tcPr>
            <w:tcW w:w="427"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159,848.34 </w:t>
            </w:r>
          </w:p>
        </w:tc>
        <w:tc>
          <w:tcPr>
            <w:tcW w:w="396"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90,780.84 </w:t>
            </w:r>
          </w:p>
        </w:tc>
        <w:tc>
          <w:tcPr>
            <w:tcW w:w="366"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1,882.46 </w:t>
            </w:r>
          </w:p>
        </w:tc>
        <w:tc>
          <w:tcPr>
            <w:tcW w:w="396"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92,663.30 </w:t>
            </w:r>
          </w:p>
        </w:tc>
        <w:tc>
          <w:tcPr>
            <w:tcW w:w="427"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107,824.65 </w:t>
            </w:r>
          </w:p>
        </w:tc>
        <w:tc>
          <w:tcPr>
            <w:tcW w:w="396"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50,332.05 </w:t>
            </w:r>
          </w:p>
        </w:tc>
        <w:tc>
          <w:tcPr>
            <w:tcW w:w="427"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158,156.70 </w:t>
            </w:r>
          </w:p>
        </w:tc>
        <w:tc>
          <w:tcPr>
            <w:tcW w:w="396"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90,239.90 </w:t>
            </w:r>
          </w:p>
        </w:tc>
        <w:tc>
          <w:tcPr>
            <w:tcW w:w="366" w:type="pct"/>
            <w:tcBorders>
              <w:top w:val="single" w:sz="6" w:space="0" w:color="auto"/>
              <w:left w:val="single" w:sz="6" w:space="0" w:color="auto"/>
              <w:bottom w:val="single" w:sz="4" w:space="0" w:color="auto"/>
              <w:right w:val="single" w:sz="6" w:space="0" w:color="auto"/>
            </w:tcBorders>
          </w:tcPr>
          <w:p w:rsidR="00597370" w:rsidRDefault="003C2EEE">
            <w:pPr>
              <w:jc w:val="right"/>
              <w:rPr>
                <w:sz w:val="18"/>
                <w:szCs w:val="18"/>
              </w:rPr>
            </w:pPr>
            <w:r>
              <w:rPr>
                <w:sz w:val="18"/>
                <w:szCs w:val="18"/>
              </w:rPr>
              <w:t xml:space="preserve"> 2,000.00 </w:t>
            </w:r>
          </w:p>
        </w:tc>
        <w:tc>
          <w:tcPr>
            <w:tcW w:w="396" w:type="pct"/>
            <w:tcBorders>
              <w:top w:val="single" w:sz="6" w:space="0" w:color="auto"/>
              <w:left w:val="single" w:sz="6" w:space="0" w:color="auto"/>
              <w:bottom w:val="single" w:sz="4" w:space="0" w:color="auto"/>
              <w:right w:val="single" w:sz="4" w:space="0" w:color="auto"/>
            </w:tcBorders>
          </w:tcPr>
          <w:p w:rsidR="00597370" w:rsidRDefault="003C2EEE">
            <w:pPr>
              <w:jc w:val="right"/>
              <w:rPr>
                <w:sz w:val="18"/>
                <w:szCs w:val="18"/>
              </w:rPr>
            </w:pPr>
            <w:r>
              <w:rPr>
                <w:sz w:val="18"/>
                <w:szCs w:val="18"/>
              </w:rPr>
              <w:t xml:space="preserve"> 92,239.90 </w:t>
            </w:r>
          </w:p>
        </w:tc>
      </w:tr>
    </w:tbl>
    <w:p w:rsidR="00597370" w:rsidRDefault="00597370">
      <w:pPr>
        <w:rPr>
          <w:rFonts w:cs="Arial"/>
          <w:color w:val="000000" w:themeColor="text1"/>
        </w:rPr>
      </w:pPr>
    </w:p>
    <w:tbl>
      <w:tblPr>
        <w:tblStyle w:val="g2"/>
        <w:tblW w:w="5000" w:type="pct"/>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68"/>
        <w:gridCol w:w="1026"/>
        <w:gridCol w:w="936"/>
        <w:gridCol w:w="831"/>
        <w:gridCol w:w="937"/>
        <w:gridCol w:w="1025"/>
        <w:gridCol w:w="935"/>
        <w:gridCol w:w="828"/>
        <w:gridCol w:w="937"/>
      </w:tblGrid>
      <w:tr w:rsidR="00597370">
        <w:trPr>
          <w:trHeight w:val="241"/>
        </w:trPr>
        <w:sdt>
          <w:sdtPr>
            <w:rPr>
              <w:color w:val="000000" w:themeColor="text1"/>
              <w:sz w:val="18"/>
              <w:szCs w:val="18"/>
            </w:rPr>
            <w:tag w:val="_PLD_87ab97227e5642b988e110c5a28abb39"/>
            <w:id w:val="-541210268"/>
          </w:sdtPr>
          <w:sdtEndPr/>
          <w:sdtContent>
            <w:tc>
              <w:tcPr>
                <w:tcW w:w="776"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597370" w:rsidRDefault="003C2EEE">
                <w:pPr>
                  <w:spacing w:line="276" w:lineRule="auto"/>
                  <w:ind w:right="-16"/>
                  <w:jc w:val="center"/>
                  <w:rPr>
                    <w:rFonts w:cs="Arial"/>
                    <w:color w:val="000000" w:themeColor="text1"/>
                    <w:sz w:val="18"/>
                    <w:szCs w:val="18"/>
                  </w:rPr>
                </w:pPr>
                <w:r>
                  <w:rPr>
                    <w:rFonts w:cs="Arial" w:hint="eastAsia"/>
                    <w:color w:val="000000" w:themeColor="text1"/>
                    <w:sz w:val="18"/>
                    <w:szCs w:val="18"/>
                    <w:lang w:val="en-GB"/>
                  </w:rPr>
                  <w:t>子公司名称</w:t>
                </w:r>
              </w:p>
            </w:tc>
          </w:sdtContent>
        </w:sdt>
        <w:sdt>
          <w:sdtPr>
            <w:rPr>
              <w:color w:val="000000" w:themeColor="text1"/>
              <w:sz w:val="18"/>
              <w:szCs w:val="18"/>
            </w:rPr>
            <w:tag w:val="_PLD_85f8737cebf641b2aa266052f4118ba8"/>
            <w:id w:val="1645701606"/>
          </w:sdtPr>
          <w:sdtEndPr/>
          <w:sdtContent>
            <w:tc>
              <w:tcPr>
                <w:tcW w:w="2113"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597370" w:rsidRDefault="003C2EEE">
                <w:pPr>
                  <w:spacing w:line="276" w:lineRule="auto"/>
                  <w:ind w:right="-16"/>
                  <w:jc w:val="center"/>
                  <w:rPr>
                    <w:rFonts w:cs="Arial"/>
                    <w:color w:val="000000" w:themeColor="text1"/>
                    <w:sz w:val="18"/>
                    <w:szCs w:val="18"/>
                  </w:rPr>
                </w:pPr>
                <w:r>
                  <w:rPr>
                    <w:rFonts w:cs="Arial" w:hint="eastAsia"/>
                    <w:color w:val="000000" w:themeColor="text1"/>
                    <w:sz w:val="18"/>
                    <w:szCs w:val="18"/>
                    <w:lang w:val="en-GB"/>
                  </w:rPr>
                  <w:t>本期发生额</w:t>
                </w:r>
              </w:p>
            </w:tc>
          </w:sdtContent>
        </w:sdt>
        <w:sdt>
          <w:sdtPr>
            <w:rPr>
              <w:color w:val="000000" w:themeColor="text1"/>
              <w:sz w:val="18"/>
              <w:szCs w:val="18"/>
            </w:rPr>
            <w:tag w:val="_PLD_32dac50c80854f268b3afdebef20332e"/>
            <w:id w:val="-209655331"/>
          </w:sdtPr>
          <w:sdtEndPr/>
          <w:sdtContent>
            <w:tc>
              <w:tcPr>
                <w:tcW w:w="2111"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597370" w:rsidRDefault="003C2EEE">
                <w:pPr>
                  <w:spacing w:line="276" w:lineRule="auto"/>
                  <w:ind w:right="-16"/>
                  <w:jc w:val="center"/>
                  <w:rPr>
                    <w:rFonts w:cs="Arial"/>
                    <w:color w:val="000000" w:themeColor="text1"/>
                    <w:sz w:val="18"/>
                    <w:szCs w:val="18"/>
                  </w:rPr>
                </w:pPr>
                <w:r>
                  <w:rPr>
                    <w:rFonts w:cs="Arial" w:hint="eastAsia"/>
                    <w:color w:val="000000" w:themeColor="text1"/>
                    <w:sz w:val="18"/>
                    <w:szCs w:val="18"/>
                    <w:lang w:val="en-GB"/>
                  </w:rPr>
                  <w:t>上期发生额</w:t>
                </w:r>
              </w:p>
            </w:tc>
          </w:sdtContent>
        </w:sdt>
      </w:tr>
      <w:tr w:rsidR="00597370">
        <w:trPr>
          <w:trHeight w:val="241"/>
        </w:trPr>
        <w:tc>
          <w:tcPr>
            <w:tcW w:w="776" w:type="pct"/>
            <w:vMerge/>
            <w:tcBorders>
              <w:top w:val="single" w:sz="4" w:space="0" w:color="auto"/>
              <w:left w:val="single" w:sz="4" w:space="0" w:color="auto"/>
              <w:bottom w:val="single" w:sz="6" w:space="0" w:color="auto"/>
              <w:right w:val="single" w:sz="6" w:space="0" w:color="auto"/>
            </w:tcBorders>
            <w:shd w:val="clear" w:color="auto" w:fill="auto"/>
            <w:vAlign w:val="center"/>
          </w:tcPr>
          <w:p w:rsidR="00597370" w:rsidRDefault="00597370">
            <w:pPr>
              <w:jc w:val="center"/>
              <w:rPr>
                <w:rFonts w:cs="Arial"/>
                <w:color w:val="000000" w:themeColor="text1"/>
                <w:sz w:val="18"/>
                <w:szCs w:val="18"/>
              </w:rPr>
            </w:pPr>
          </w:p>
        </w:tc>
        <w:sdt>
          <w:sdtPr>
            <w:rPr>
              <w:color w:val="000000" w:themeColor="text1"/>
              <w:sz w:val="18"/>
              <w:szCs w:val="18"/>
            </w:rPr>
            <w:tag w:val="_PLD_29407a86c6924579a6442f5b24e6decd"/>
            <w:id w:val="1019043969"/>
          </w:sdtPr>
          <w:sdtEndPr/>
          <w:sdtContent>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spacing w:line="276" w:lineRule="auto"/>
                  <w:jc w:val="center"/>
                  <w:rPr>
                    <w:rFonts w:cs="Arial"/>
                    <w:color w:val="000000" w:themeColor="text1"/>
                    <w:sz w:val="18"/>
                    <w:szCs w:val="18"/>
                  </w:rPr>
                </w:pPr>
                <w:r>
                  <w:rPr>
                    <w:rFonts w:cs="Arial" w:hint="eastAsia"/>
                    <w:color w:val="000000" w:themeColor="text1"/>
                    <w:sz w:val="18"/>
                    <w:szCs w:val="18"/>
                    <w:lang w:val="en-GB"/>
                  </w:rPr>
                  <w:t>营业收入</w:t>
                </w:r>
              </w:p>
            </w:tc>
          </w:sdtContent>
        </w:sdt>
        <w:sdt>
          <w:sdtPr>
            <w:rPr>
              <w:color w:val="000000" w:themeColor="text1"/>
              <w:sz w:val="18"/>
              <w:szCs w:val="18"/>
            </w:rPr>
            <w:tag w:val="_PLD_bc59f1076f2243f8984efa8df921ad2c"/>
            <w:id w:val="-1801060074"/>
          </w:sdtPr>
          <w:sdtEndPr/>
          <w:sdtContent>
            <w:tc>
              <w:tcPr>
                <w:tcW w:w="530"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spacing w:line="276" w:lineRule="auto"/>
                  <w:jc w:val="center"/>
                  <w:rPr>
                    <w:rFonts w:cs="Arial"/>
                    <w:color w:val="000000" w:themeColor="text1"/>
                    <w:sz w:val="18"/>
                    <w:szCs w:val="18"/>
                  </w:rPr>
                </w:pPr>
                <w:r>
                  <w:rPr>
                    <w:rFonts w:cs="Arial" w:hint="eastAsia"/>
                    <w:color w:val="000000" w:themeColor="text1"/>
                    <w:sz w:val="18"/>
                    <w:szCs w:val="18"/>
                    <w:lang w:val="en-GB"/>
                  </w:rPr>
                  <w:t>净利润</w:t>
                </w:r>
              </w:p>
            </w:tc>
          </w:sdtContent>
        </w:sdt>
        <w:sdt>
          <w:sdtPr>
            <w:rPr>
              <w:color w:val="000000" w:themeColor="text1"/>
              <w:sz w:val="18"/>
              <w:szCs w:val="18"/>
            </w:rPr>
            <w:tag w:val="_PLD_90f87c27e3fb4843892cceb85599a3b1"/>
            <w:id w:val="-140581841"/>
          </w:sdtPr>
          <w:sdtEndPr/>
          <w:sdtContent>
            <w:tc>
              <w:tcPr>
                <w:tcW w:w="471"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spacing w:line="276" w:lineRule="auto"/>
                  <w:jc w:val="center"/>
                  <w:rPr>
                    <w:rFonts w:cs="Arial"/>
                    <w:color w:val="000000" w:themeColor="text1"/>
                    <w:sz w:val="18"/>
                    <w:szCs w:val="18"/>
                  </w:rPr>
                </w:pPr>
                <w:r>
                  <w:rPr>
                    <w:rFonts w:cs="Arial" w:hint="eastAsia"/>
                    <w:color w:val="000000" w:themeColor="text1"/>
                    <w:sz w:val="18"/>
                    <w:szCs w:val="18"/>
                    <w:lang w:val="en-GB"/>
                  </w:rPr>
                  <w:t>综合收益总额</w:t>
                </w:r>
              </w:p>
            </w:tc>
          </w:sdtContent>
        </w:sdt>
        <w:sdt>
          <w:sdtPr>
            <w:rPr>
              <w:color w:val="000000" w:themeColor="text1"/>
              <w:sz w:val="18"/>
              <w:szCs w:val="18"/>
            </w:rPr>
            <w:tag w:val="_PLD_3126fb1798f346de95a39458603c4301"/>
            <w:id w:val="1025899840"/>
          </w:sdtPr>
          <w:sdtEndPr/>
          <w:sdtContent>
            <w:tc>
              <w:tcPr>
                <w:tcW w:w="530"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spacing w:line="276" w:lineRule="auto"/>
                  <w:jc w:val="center"/>
                  <w:rPr>
                    <w:rFonts w:cs="Arial"/>
                    <w:color w:val="000000" w:themeColor="text1"/>
                    <w:sz w:val="18"/>
                    <w:szCs w:val="18"/>
                  </w:rPr>
                </w:pPr>
                <w:r>
                  <w:rPr>
                    <w:rFonts w:cs="Arial" w:hint="eastAsia"/>
                    <w:color w:val="000000" w:themeColor="text1"/>
                    <w:sz w:val="18"/>
                    <w:szCs w:val="18"/>
                    <w:lang w:val="en-GB"/>
                  </w:rPr>
                  <w:t>经营活动现金流量</w:t>
                </w:r>
              </w:p>
            </w:tc>
          </w:sdtContent>
        </w:sdt>
        <w:sdt>
          <w:sdtPr>
            <w:rPr>
              <w:color w:val="000000" w:themeColor="text1"/>
              <w:sz w:val="18"/>
              <w:szCs w:val="18"/>
            </w:rPr>
            <w:tag w:val="_PLD_44ccfb27fc6943ac84654ba7c7bef20e"/>
            <w:id w:val="-270008074"/>
          </w:sdtPr>
          <w:sdtEndPr/>
          <w:sdtContent>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spacing w:line="276" w:lineRule="auto"/>
                  <w:jc w:val="center"/>
                  <w:rPr>
                    <w:rFonts w:cs="Arial"/>
                    <w:color w:val="000000" w:themeColor="text1"/>
                    <w:sz w:val="18"/>
                    <w:szCs w:val="18"/>
                  </w:rPr>
                </w:pPr>
                <w:r>
                  <w:rPr>
                    <w:rFonts w:cs="Arial" w:hint="eastAsia"/>
                    <w:color w:val="000000" w:themeColor="text1"/>
                    <w:sz w:val="18"/>
                    <w:szCs w:val="18"/>
                    <w:lang w:val="en-GB"/>
                  </w:rPr>
                  <w:t>营业收入</w:t>
                </w:r>
              </w:p>
            </w:tc>
          </w:sdtContent>
        </w:sdt>
        <w:sdt>
          <w:sdtPr>
            <w:rPr>
              <w:color w:val="000000" w:themeColor="text1"/>
              <w:sz w:val="18"/>
              <w:szCs w:val="18"/>
            </w:rPr>
            <w:tag w:val="_PLD_c08aebbf24fa4b1aa2c4f79232c7c630"/>
            <w:id w:val="867337709"/>
          </w:sdtPr>
          <w:sdtEndPr/>
          <w:sdtContent>
            <w:tc>
              <w:tcPr>
                <w:tcW w:w="530"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spacing w:line="276" w:lineRule="auto"/>
                  <w:jc w:val="center"/>
                  <w:rPr>
                    <w:rFonts w:cs="Arial"/>
                    <w:color w:val="000000" w:themeColor="text1"/>
                    <w:sz w:val="18"/>
                    <w:szCs w:val="18"/>
                  </w:rPr>
                </w:pPr>
                <w:r>
                  <w:rPr>
                    <w:rFonts w:cs="Arial" w:hint="eastAsia"/>
                    <w:color w:val="000000" w:themeColor="text1"/>
                    <w:sz w:val="18"/>
                    <w:szCs w:val="18"/>
                    <w:lang w:val="en-GB"/>
                  </w:rPr>
                  <w:t>净利润</w:t>
                </w:r>
              </w:p>
            </w:tc>
          </w:sdtContent>
        </w:sdt>
        <w:sdt>
          <w:sdtPr>
            <w:rPr>
              <w:color w:val="000000" w:themeColor="text1"/>
              <w:sz w:val="18"/>
              <w:szCs w:val="18"/>
            </w:rPr>
            <w:tag w:val="_PLD_0a377a03553f4d909179190a153a31b7"/>
            <w:id w:val="1151558170"/>
          </w:sdtPr>
          <w:sdtEndPr/>
          <w:sdtContent>
            <w:tc>
              <w:tcPr>
                <w:tcW w:w="469"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spacing w:line="276" w:lineRule="auto"/>
                  <w:jc w:val="center"/>
                  <w:rPr>
                    <w:rFonts w:cs="Arial"/>
                    <w:color w:val="000000" w:themeColor="text1"/>
                    <w:sz w:val="18"/>
                    <w:szCs w:val="18"/>
                  </w:rPr>
                </w:pPr>
                <w:r>
                  <w:rPr>
                    <w:rFonts w:cs="Arial" w:hint="eastAsia"/>
                    <w:color w:val="000000" w:themeColor="text1"/>
                    <w:sz w:val="18"/>
                    <w:szCs w:val="18"/>
                    <w:lang w:val="en-GB"/>
                  </w:rPr>
                  <w:t>综合收益总额</w:t>
                </w:r>
              </w:p>
            </w:tc>
          </w:sdtContent>
        </w:sdt>
        <w:sdt>
          <w:sdtPr>
            <w:rPr>
              <w:color w:val="000000" w:themeColor="text1"/>
              <w:sz w:val="18"/>
              <w:szCs w:val="18"/>
            </w:rPr>
            <w:tag w:val="_PLD_400ec1e5e2cf42e5a9eea23ddbdbd572"/>
            <w:id w:val="-714582555"/>
          </w:sdtPr>
          <w:sdtEndPr/>
          <w:sdtContent>
            <w:tc>
              <w:tcPr>
                <w:tcW w:w="530" w:type="pct"/>
                <w:tcBorders>
                  <w:top w:val="single" w:sz="6" w:space="0" w:color="auto"/>
                  <w:left w:val="single" w:sz="6" w:space="0" w:color="auto"/>
                  <w:bottom w:val="single" w:sz="6" w:space="0" w:color="auto"/>
                  <w:right w:val="single" w:sz="4" w:space="0" w:color="auto"/>
                </w:tcBorders>
                <w:shd w:val="clear" w:color="auto" w:fill="auto"/>
                <w:vAlign w:val="center"/>
              </w:tcPr>
              <w:p w:rsidR="00597370" w:rsidRDefault="003C2EEE">
                <w:pPr>
                  <w:spacing w:line="276" w:lineRule="auto"/>
                  <w:jc w:val="center"/>
                  <w:rPr>
                    <w:rFonts w:cs="Arial"/>
                    <w:color w:val="000000" w:themeColor="text1"/>
                    <w:sz w:val="18"/>
                    <w:szCs w:val="18"/>
                  </w:rPr>
                </w:pPr>
                <w:r>
                  <w:rPr>
                    <w:rFonts w:cs="Arial" w:hint="eastAsia"/>
                    <w:color w:val="000000" w:themeColor="text1"/>
                    <w:sz w:val="18"/>
                    <w:szCs w:val="18"/>
                    <w:lang w:val="en-GB"/>
                  </w:rPr>
                  <w:t>经营活动现金流量</w:t>
                </w:r>
              </w:p>
            </w:tc>
          </w:sdtContent>
        </w:sdt>
      </w:tr>
      <w:tr w:rsidR="00597370">
        <w:tc>
          <w:tcPr>
            <w:tcW w:w="776" w:type="pct"/>
            <w:tcBorders>
              <w:top w:val="single" w:sz="6" w:space="0" w:color="auto"/>
              <w:left w:val="single" w:sz="4" w:space="0" w:color="auto"/>
              <w:bottom w:val="single" w:sz="4" w:space="0" w:color="auto"/>
              <w:right w:val="single" w:sz="6" w:space="0" w:color="auto"/>
            </w:tcBorders>
          </w:tcPr>
          <w:p w:rsidR="00597370" w:rsidRDefault="003C2EEE">
            <w:pPr>
              <w:spacing w:line="276" w:lineRule="auto"/>
              <w:rPr>
                <w:sz w:val="18"/>
                <w:szCs w:val="18"/>
              </w:rPr>
            </w:pPr>
            <w:proofErr w:type="gramStart"/>
            <w:r>
              <w:rPr>
                <w:rFonts w:hint="eastAsia"/>
                <w:sz w:val="18"/>
                <w:szCs w:val="18"/>
              </w:rPr>
              <w:t>云变电气</w:t>
            </w:r>
            <w:proofErr w:type="gramEnd"/>
          </w:p>
        </w:tc>
        <w:tc>
          <w:tcPr>
            <w:tcW w:w="581" w:type="pct"/>
            <w:tcBorders>
              <w:top w:val="single" w:sz="6" w:space="0" w:color="auto"/>
              <w:left w:val="single" w:sz="6" w:space="0" w:color="auto"/>
              <w:bottom w:val="single" w:sz="4" w:space="0" w:color="auto"/>
              <w:right w:val="single" w:sz="6" w:space="0" w:color="auto"/>
            </w:tcBorders>
          </w:tcPr>
          <w:p w:rsidR="00597370" w:rsidRDefault="003C2EEE">
            <w:pPr>
              <w:spacing w:line="276" w:lineRule="auto"/>
              <w:jc w:val="right"/>
              <w:rPr>
                <w:sz w:val="18"/>
                <w:szCs w:val="18"/>
              </w:rPr>
            </w:pPr>
            <w:r>
              <w:rPr>
                <w:sz w:val="18"/>
                <w:szCs w:val="18"/>
              </w:rPr>
              <w:t xml:space="preserve"> 22,755.03 </w:t>
            </w:r>
          </w:p>
        </w:tc>
        <w:tc>
          <w:tcPr>
            <w:tcW w:w="530" w:type="pct"/>
            <w:tcBorders>
              <w:top w:val="single" w:sz="6" w:space="0" w:color="auto"/>
              <w:left w:val="single" w:sz="6" w:space="0" w:color="auto"/>
              <w:bottom w:val="single" w:sz="4" w:space="0" w:color="auto"/>
              <w:right w:val="single" w:sz="6" w:space="0" w:color="auto"/>
            </w:tcBorders>
          </w:tcPr>
          <w:p w:rsidR="00597370" w:rsidRDefault="003C2EEE">
            <w:pPr>
              <w:spacing w:line="276" w:lineRule="auto"/>
              <w:jc w:val="right"/>
              <w:rPr>
                <w:sz w:val="18"/>
                <w:szCs w:val="18"/>
              </w:rPr>
            </w:pPr>
            <w:r>
              <w:rPr>
                <w:sz w:val="18"/>
                <w:szCs w:val="18"/>
              </w:rPr>
              <w:t xml:space="preserve"> 1,030.63 </w:t>
            </w:r>
          </w:p>
        </w:tc>
        <w:tc>
          <w:tcPr>
            <w:tcW w:w="471" w:type="pct"/>
            <w:tcBorders>
              <w:top w:val="single" w:sz="6" w:space="0" w:color="auto"/>
              <w:left w:val="single" w:sz="6" w:space="0" w:color="auto"/>
              <w:bottom w:val="single" w:sz="4" w:space="0" w:color="auto"/>
              <w:right w:val="single" w:sz="6" w:space="0" w:color="auto"/>
            </w:tcBorders>
          </w:tcPr>
          <w:p w:rsidR="00597370" w:rsidRDefault="003C2EEE">
            <w:pPr>
              <w:spacing w:line="276" w:lineRule="auto"/>
              <w:jc w:val="right"/>
              <w:rPr>
                <w:sz w:val="18"/>
                <w:szCs w:val="18"/>
              </w:rPr>
            </w:pPr>
            <w:r>
              <w:rPr>
                <w:sz w:val="18"/>
                <w:szCs w:val="18"/>
              </w:rPr>
              <w:t xml:space="preserve"> 200.35 </w:t>
            </w:r>
          </w:p>
        </w:tc>
        <w:tc>
          <w:tcPr>
            <w:tcW w:w="530" w:type="pct"/>
            <w:tcBorders>
              <w:top w:val="single" w:sz="6" w:space="0" w:color="auto"/>
              <w:left w:val="single" w:sz="6" w:space="0" w:color="auto"/>
              <w:bottom w:val="single" w:sz="4" w:space="0" w:color="auto"/>
              <w:right w:val="single" w:sz="6" w:space="0" w:color="auto"/>
            </w:tcBorders>
          </w:tcPr>
          <w:p w:rsidR="00597370" w:rsidRDefault="003C2EEE">
            <w:pPr>
              <w:spacing w:line="276" w:lineRule="auto"/>
              <w:jc w:val="right"/>
              <w:rPr>
                <w:sz w:val="18"/>
                <w:szCs w:val="18"/>
              </w:rPr>
            </w:pPr>
            <w:r>
              <w:rPr>
                <w:sz w:val="18"/>
                <w:szCs w:val="18"/>
              </w:rPr>
              <w:t xml:space="preserve"> -8,706.76 </w:t>
            </w:r>
          </w:p>
        </w:tc>
        <w:tc>
          <w:tcPr>
            <w:tcW w:w="581" w:type="pct"/>
            <w:tcBorders>
              <w:top w:val="single" w:sz="6" w:space="0" w:color="auto"/>
              <w:left w:val="single" w:sz="6" w:space="0" w:color="auto"/>
              <w:bottom w:val="single" w:sz="4" w:space="0" w:color="auto"/>
              <w:right w:val="single" w:sz="6" w:space="0" w:color="auto"/>
            </w:tcBorders>
          </w:tcPr>
          <w:p w:rsidR="00597370" w:rsidRDefault="00597370">
            <w:pPr>
              <w:spacing w:line="276" w:lineRule="auto"/>
              <w:jc w:val="right"/>
              <w:rPr>
                <w:sz w:val="18"/>
                <w:szCs w:val="18"/>
              </w:rPr>
            </w:pPr>
          </w:p>
        </w:tc>
        <w:tc>
          <w:tcPr>
            <w:tcW w:w="530" w:type="pct"/>
            <w:tcBorders>
              <w:top w:val="single" w:sz="6" w:space="0" w:color="auto"/>
              <w:left w:val="single" w:sz="6" w:space="0" w:color="auto"/>
              <w:bottom w:val="single" w:sz="4" w:space="0" w:color="auto"/>
              <w:right w:val="single" w:sz="6" w:space="0" w:color="auto"/>
            </w:tcBorders>
          </w:tcPr>
          <w:p w:rsidR="00597370" w:rsidRDefault="00597370">
            <w:pPr>
              <w:spacing w:line="276" w:lineRule="auto"/>
              <w:jc w:val="right"/>
              <w:rPr>
                <w:sz w:val="18"/>
                <w:szCs w:val="18"/>
              </w:rPr>
            </w:pPr>
          </w:p>
        </w:tc>
        <w:tc>
          <w:tcPr>
            <w:tcW w:w="469" w:type="pct"/>
            <w:tcBorders>
              <w:top w:val="single" w:sz="6" w:space="0" w:color="auto"/>
              <w:left w:val="single" w:sz="6" w:space="0" w:color="auto"/>
              <w:bottom w:val="single" w:sz="4" w:space="0" w:color="auto"/>
              <w:right w:val="single" w:sz="6" w:space="0" w:color="auto"/>
            </w:tcBorders>
          </w:tcPr>
          <w:p w:rsidR="00597370" w:rsidRDefault="00597370">
            <w:pPr>
              <w:spacing w:line="276" w:lineRule="auto"/>
              <w:jc w:val="right"/>
              <w:rPr>
                <w:sz w:val="18"/>
                <w:szCs w:val="18"/>
              </w:rPr>
            </w:pPr>
          </w:p>
        </w:tc>
        <w:tc>
          <w:tcPr>
            <w:tcW w:w="530" w:type="pct"/>
            <w:tcBorders>
              <w:top w:val="single" w:sz="6" w:space="0" w:color="auto"/>
              <w:left w:val="single" w:sz="6" w:space="0" w:color="auto"/>
              <w:bottom w:val="single" w:sz="4" w:space="0" w:color="auto"/>
              <w:right w:val="single" w:sz="4" w:space="0" w:color="auto"/>
            </w:tcBorders>
          </w:tcPr>
          <w:p w:rsidR="00597370" w:rsidRDefault="00597370">
            <w:pPr>
              <w:spacing w:line="276" w:lineRule="auto"/>
              <w:jc w:val="right"/>
              <w:rPr>
                <w:sz w:val="18"/>
                <w:szCs w:val="18"/>
              </w:rPr>
            </w:pPr>
          </w:p>
        </w:tc>
      </w:tr>
    </w:tbl>
    <w:p w:rsidR="00597370" w:rsidRDefault="003C2EEE">
      <w:pPr>
        <w:rPr>
          <w:rFonts w:cs="Arial"/>
          <w:color w:val="000000" w:themeColor="text1"/>
        </w:rPr>
      </w:pPr>
      <w:r>
        <w:rPr>
          <w:rFonts w:cs="Arial" w:hint="eastAsia"/>
          <w:color w:val="000000" w:themeColor="text1"/>
        </w:rPr>
        <w:t>其他说明：</w:t>
      </w:r>
    </w:p>
    <w:sdt>
      <w:sdtPr>
        <w:rPr>
          <w:rFonts w:cs="Arial"/>
          <w:color w:val="000000" w:themeColor="text1"/>
        </w:rPr>
        <w:alias w:val="重要非全资子公司的主要财务信息的其他说明"/>
        <w:tag w:val="_GBC_c6413d961dad488aae6fcf0fda2bf33a"/>
        <w:id w:val="-1796975447"/>
        <w:placeholder>
          <w:docPart w:val="GBC22222222222222222222222222222"/>
        </w:placeholder>
      </w:sdtPr>
      <w:sdtEndPr/>
      <w:sdtContent>
        <w:p w:rsidR="00597370" w:rsidRDefault="003C2EEE">
          <w:pPr>
            <w:rPr>
              <w:rFonts w:cs="Arial"/>
              <w:color w:val="000000" w:themeColor="text1"/>
            </w:rPr>
          </w:pPr>
          <w:r>
            <w:rPr>
              <w:rFonts w:cs="Arial" w:hint="eastAsia"/>
              <w:color w:val="000000" w:themeColor="text1"/>
            </w:rPr>
            <w:t>无</w:t>
          </w:r>
        </w:p>
      </w:sdtContent>
    </w:sdt>
    <w:p w:rsidR="00597370" w:rsidRDefault="003C2EEE">
      <w:pPr>
        <w:pStyle w:val="Style110"/>
        <w:numPr>
          <w:ilvl w:val="3"/>
          <w:numId w:val="95"/>
        </w:numPr>
        <w:ind w:left="426" w:hangingChars="202" w:hanging="426"/>
        <w:rPr>
          <w:color w:val="000000" w:themeColor="text1"/>
        </w:rPr>
      </w:pPr>
      <w:r>
        <w:rPr>
          <w:rFonts w:hint="eastAsia"/>
          <w:color w:val="000000" w:themeColor="text1"/>
        </w:rPr>
        <w:t>使用企业集团资产和清偿企业集团债务的重大限制：</w:t>
      </w:r>
    </w:p>
    <w:sdt>
      <w:sdtPr>
        <w:rPr>
          <w:color w:val="000000" w:themeColor="text1"/>
        </w:rPr>
        <w:alias w:val="是否适用：使用企业集团资产和清偿企业集团债务的重大限制[双击切换]"/>
        <w:tag w:val="_GBC_d4aaeca51c634ffea892b86812441771"/>
        <w:id w:val="799037065"/>
        <w:placeholder>
          <w:docPart w:val="GBC22222222222222222222222222222"/>
        </w:placeholder>
      </w:sdtPr>
      <w:sdtEndPr/>
      <w:sdtContent>
        <w:p w:rsidR="00597370" w:rsidRDefault="003C2EEE">
          <w:pPr>
            <w:rPr>
              <w:rFonts w:cs="Arial"/>
              <w:b/>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95"/>
        </w:numPr>
        <w:ind w:left="426" w:hangingChars="202" w:hanging="426"/>
        <w:rPr>
          <w:color w:val="000000" w:themeColor="text1"/>
        </w:rPr>
      </w:pPr>
      <w:r>
        <w:rPr>
          <w:rFonts w:hint="eastAsia"/>
          <w:color w:val="000000" w:themeColor="text1"/>
        </w:rPr>
        <w:t>向纳入合并财务报表范围的结构化主体提供的财务支持或其他支持：</w:t>
      </w:r>
    </w:p>
    <w:sdt>
      <w:sdtPr>
        <w:rPr>
          <w:color w:val="000000" w:themeColor="text1"/>
        </w:rPr>
        <w:alias w:val="是否适用：向纳入合并财务报表范围的结构化主体提供的财务支持或其他支持[双击切换]"/>
        <w:tag w:val="_GBC_3ee0b326ed544ace8060843f29d4cd3a"/>
        <w:id w:val="790476725"/>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在子公司中的权益其他说明[双击切换]"/>
        <w:tag w:val="_GBC_e4c33fb40d7a42bc88681a9facbf5ba5"/>
        <w:id w:val="-6619922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94"/>
        </w:numPr>
        <w:rPr>
          <w:rFonts w:ascii="宋体" w:hAnsi="宋体"/>
          <w:color w:val="000000" w:themeColor="text1"/>
        </w:rPr>
      </w:pPr>
      <w:r>
        <w:rPr>
          <w:rFonts w:ascii="宋体" w:hAnsi="宋体" w:hint="eastAsia"/>
          <w:color w:val="000000" w:themeColor="text1"/>
        </w:rPr>
        <w:t>在子公司的所有者权益份额发生变化且仍控制子公司的交易</w:t>
      </w:r>
    </w:p>
    <w:sdt>
      <w:sdtPr>
        <w:rPr>
          <w:color w:val="000000" w:themeColor="text1"/>
        </w:rPr>
        <w:alias w:val="是否适用：在子公司的所有者权益份额发生变化且仍控制子公司的交易[双击切换]"/>
        <w:tag w:val="_GBC_51b903d8f50944dc91e91048eba723cd"/>
        <w:id w:val="1997150794"/>
        <w:lock w:val="contentLocked"/>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96"/>
        </w:numPr>
        <w:rPr>
          <w:rFonts w:ascii="宋体" w:hAnsi="宋体"/>
          <w:color w:val="000000" w:themeColor="text1"/>
        </w:rPr>
      </w:pPr>
      <w:r>
        <w:rPr>
          <w:rFonts w:ascii="宋体" w:hAnsi="宋体" w:hint="eastAsia"/>
          <w:color w:val="000000" w:themeColor="text1"/>
        </w:rPr>
        <w:t>在子公司所有者权益份额的变化情况的说明</w:t>
      </w:r>
    </w:p>
    <w:sdt>
      <w:sdtPr>
        <w:rPr>
          <w:color w:val="000000" w:themeColor="text1"/>
        </w:rPr>
        <w:alias w:val="是否适用：在子公司所有者权益份额的变化情况的说明[双击切换]"/>
        <w:tag w:val="_GBC_5c947dd5a782480db6a7bc23f9bdc87b"/>
        <w:id w:val="-544755095"/>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96"/>
        </w:numPr>
        <w:rPr>
          <w:rFonts w:ascii="宋体" w:hAnsi="宋体"/>
          <w:color w:val="000000" w:themeColor="text1"/>
        </w:rPr>
      </w:pPr>
      <w:r>
        <w:rPr>
          <w:rFonts w:ascii="宋体" w:hAnsi="宋体" w:hint="eastAsia"/>
          <w:color w:val="000000" w:themeColor="text1"/>
        </w:rPr>
        <w:t>交易对于少数股东权益及归属于母公司所有者权益的影响</w:t>
      </w:r>
    </w:p>
    <w:sdt>
      <w:sdtPr>
        <w:rPr>
          <w:color w:val="000000" w:themeColor="text1"/>
        </w:rPr>
        <w:alias w:val="是否适用：交易对于少数股东权益及归属于母公司所有者权益的影响[双击切换]"/>
        <w:tag w:val="_GBC_69fd0bf0624a469082601f65caf81470"/>
        <w:id w:val="-76792910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cs="Arial"/>
          <w:color w:val="000000" w:themeColor="text1"/>
        </w:rPr>
      </w:pPr>
      <w:r>
        <w:rPr>
          <w:rFonts w:cs="Arial" w:hint="eastAsia"/>
          <w:color w:val="000000" w:themeColor="text1"/>
        </w:rPr>
        <w:t>其他说明</w:t>
      </w:r>
    </w:p>
    <w:sdt>
      <w:sdtPr>
        <w:rPr>
          <w:rFonts w:cs="Arial"/>
          <w:color w:val="000000" w:themeColor="text1"/>
        </w:rPr>
        <w:alias w:val="是否适用：在子公司的所有者权益份额发生变化且仍控制子公司的交易的说明[双击切换]"/>
        <w:tag w:val="_GBC_6634a1e782124f6cbe61f6956908ceac"/>
        <w:id w:val="-1586138067"/>
        <w:placeholder>
          <w:docPart w:val="GBC22222222222222222222222222222"/>
        </w:placeholder>
      </w:sdtPr>
      <w:sdtEndPr/>
      <w:sdtContent>
        <w:p w:rsidR="00597370" w:rsidRDefault="003C2EEE">
          <w:pPr>
            <w:rPr>
              <w:rFonts w:cs="Arial"/>
              <w:color w:val="000000" w:themeColor="text1"/>
            </w:rPr>
          </w:pPr>
          <w:r>
            <w:rPr>
              <w:rFonts w:cs="Arial"/>
              <w:color w:val="000000" w:themeColor="text1"/>
            </w:rPr>
            <w:fldChar w:fldCharType="begin"/>
          </w:r>
          <w:r>
            <w:rPr>
              <w:rFonts w:cs="Arial"/>
              <w:color w:val="000000" w:themeColor="text1"/>
            </w:rPr>
            <w:instrText xml:space="preserve"> MACROBUTTON  SnrToggleCheckbox √适用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sdt>
      <w:sdtPr>
        <w:rPr>
          <w:rFonts w:cs="Arial"/>
          <w:color w:val="000000" w:themeColor="text1"/>
        </w:rPr>
        <w:alias w:val="在子公司的所有者权益份额发生变化且仍控制子公司的交易的说明"/>
        <w:tag w:val="_GBC_94f1d878c03b476980af0f649abdb28a"/>
        <w:id w:val="1143547836"/>
        <w:placeholder>
          <w:docPart w:val="GBC22222222222222222222222222222"/>
        </w:placeholder>
      </w:sdtPr>
      <w:sdtEndPr/>
      <w:sdtContent>
        <w:p w:rsidR="00597370" w:rsidRDefault="003C2EEE">
          <w:pPr>
            <w:rPr>
              <w:rFonts w:cs="Arial"/>
              <w:color w:val="000000" w:themeColor="text1"/>
            </w:rPr>
          </w:pPr>
          <w:r>
            <w:rPr>
              <w:rFonts w:cs="Arial" w:hint="eastAsia"/>
              <w:color w:val="000000" w:themeColor="text1"/>
            </w:rPr>
            <w:t>无</w:t>
          </w:r>
        </w:p>
      </w:sdtContent>
    </w:sdt>
    <w:p w:rsidR="00597370" w:rsidRDefault="003C2EEE">
      <w:pPr>
        <w:pStyle w:val="Style109"/>
        <w:numPr>
          <w:ilvl w:val="2"/>
          <w:numId w:val="94"/>
        </w:numPr>
        <w:rPr>
          <w:rFonts w:ascii="宋体" w:hAnsi="宋体"/>
          <w:color w:val="000000" w:themeColor="text1"/>
        </w:rPr>
      </w:pPr>
      <w:r>
        <w:rPr>
          <w:rFonts w:ascii="宋体" w:hAnsi="宋体" w:hint="eastAsia"/>
          <w:color w:val="000000" w:themeColor="text1"/>
        </w:rPr>
        <w:t>在合营企业或联营企业中的权益</w:t>
      </w:r>
    </w:p>
    <w:sdt>
      <w:sdtPr>
        <w:rPr>
          <w:color w:val="000000" w:themeColor="text1"/>
        </w:rPr>
        <w:alias w:val="是否适用：在合营企业或联营企业中的权益[双击切换]"/>
        <w:tag w:val="_GBC_31c0fe2068fd4a898e4269df4925aa76"/>
        <w:id w:val="-1456023316"/>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3"/>
          <w:numId w:val="97"/>
        </w:numPr>
        <w:tabs>
          <w:tab w:val="left" w:pos="630"/>
        </w:tabs>
        <w:rPr>
          <w:rFonts w:ascii="宋体" w:hAnsi="宋体"/>
          <w:color w:val="000000" w:themeColor="text1"/>
        </w:rPr>
      </w:pPr>
      <w:r>
        <w:rPr>
          <w:rFonts w:ascii="宋体" w:hAnsi="宋体" w:hint="eastAsia"/>
          <w:color w:val="000000" w:themeColor="text1"/>
        </w:rPr>
        <w:t>重要的合营企业或联营企业</w:t>
      </w:r>
    </w:p>
    <w:sdt>
      <w:sdtPr>
        <w:rPr>
          <w:color w:val="000000" w:themeColor="text1"/>
        </w:rPr>
        <w:alias w:val="是否适用：重要的合营企业或联营企业[双击切换]"/>
        <w:tag w:val="_GBC_9973f58b324442d5879a5d16db0cd410"/>
        <w:id w:val="1112558461"/>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3"/>
          <w:numId w:val="97"/>
        </w:numPr>
        <w:tabs>
          <w:tab w:val="left" w:pos="630"/>
        </w:tabs>
        <w:rPr>
          <w:rFonts w:ascii="宋体" w:hAnsi="宋体"/>
          <w:color w:val="000000" w:themeColor="text1"/>
        </w:rPr>
      </w:pPr>
      <w:r>
        <w:rPr>
          <w:rFonts w:ascii="宋体" w:hAnsi="宋体" w:hint="eastAsia"/>
          <w:color w:val="000000" w:themeColor="text1"/>
        </w:rPr>
        <w:t>重要合营企业的主要财务信息</w:t>
      </w:r>
    </w:p>
    <w:p w:rsidR="00597370" w:rsidRDefault="006840ED">
      <w:pPr>
        <w:rPr>
          <w:rFonts w:cs="Arial"/>
          <w:color w:val="000000" w:themeColor="text1"/>
        </w:rPr>
      </w:pPr>
      <w:sdt>
        <w:sdtPr>
          <w:rPr>
            <w:rFonts w:hint="eastAsia"/>
            <w:b/>
            <w:color w:val="000000" w:themeColor="text1"/>
          </w:rPr>
          <w:alias w:val="是否适用：重要合营企业的主要财务信息[双击切换]"/>
          <w:tag w:val="_GBC_6241cde567c342139ae6186afeea9fb4"/>
          <w:id w:val="1220172249"/>
          <w:placeholder>
            <w:docPart w:val="GBC22222222222222222222222222222"/>
          </w:placeholder>
        </w:sdtPr>
        <w:sdtEndPr>
          <w:rPr>
            <w:b w:val="0"/>
          </w:r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pStyle w:val="4"/>
        <w:numPr>
          <w:ilvl w:val="3"/>
          <w:numId w:val="97"/>
        </w:numPr>
        <w:tabs>
          <w:tab w:val="left" w:pos="630"/>
        </w:tabs>
        <w:rPr>
          <w:rFonts w:ascii="宋体" w:hAnsi="宋体"/>
          <w:color w:val="000000" w:themeColor="text1"/>
        </w:rPr>
      </w:pPr>
      <w:r>
        <w:rPr>
          <w:rFonts w:ascii="宋体" w:hAnsi="宋体" w:hint="eastAsia"/>
          <w:color w:val="000000" w:themeColor="text1"/>
        </w:rPr>
        <w:t>重要联营企业的主要财务信息</w:t>
      </w:r>
    </w:p>
    <w:p w:rsidR="00597370" w:rsidRDefault="006840ED">
      <w:pPr>
        <w:rPr>
          <w:rFonts w:cs="Arial"/>
          <w:color w:val="000000" w:themeColor="text1"/>
        </w:rPr>
      </w:pPr>
      <w:sdt>
        <w:sdtPr>
          <w:rPr>
            <w:rFonts w:hint="eastAsia"/>
            <w:b/>
            <w:color w:val="000000" w:themeColor="text1"/>
          </w:rPr>
          <w:alias w:val="是否适用：重要联营企业的主要财务信息[双击切换]"/>
          <w:tag w:val="_GBC_e304b69adb6f449495c3916754024763"/>
          <w:id w:val="1080178341"/>
          <w:placeholder>
            <w:docPart w:val="GBC22222222222222222222222222222"/>
          </w:placeholder>
        </w:sdtPr>
        <w:sdtEndPr>
          <w:rPr>
            <w:b w:val="0"/>
          </w:r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pStyle w:val="4"/>
        <w:numPr>
          <w:ilvl w:val="3"/>
          <w:numId w:val="97"/>
        </w:numPr>
        <w:tabs>
          <w:tab w:val="left" w:pos="630"/>
        </w:tabs>
        <w:rPr>
          <w:rFonts w:ascii="宋体" w:hAnsi="宋体"/>
          <w:color w:val="000000" w:themeColor="text1"/>
        </w:rPr>
      </w:pPr>
      <w:r>
        <w:rPr>
          <w:rFonts w:ascii="宋体" w:hAnsi="宋体" w:hint="eastAsia"/>
          <w:color w:val="000000" w:themeColor="text1"/>
        </w:rPr>
        <w:t>不重要的合营企业和联营企业的汇总财务信息</w:t>
      </w:r>
    </w:p>
    <w:sdt>
      <w:sdtPr>
        <w:rPr>
          <w:color w:val="000000" w:themeColor="text1"/>
        </w:rPr>
        <w:alias w:val="是否适用：不重要的合营企业和联营企业的汇总财务信息[双击切换]"/>
        <w:tag w:val="_GBC_eb809f81680b42f794ba04df499e52dc"/>
        <w:id w:val="-1143739638"/>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3"/>
          <w:numId w:val="97"/>
        </w:numPr>
        <w:tabs>
          <w:tab w:val="left" w:pos="630"/>
        </w:tabs>
        <w:rPr>
          <w:rFonts w:ascii="宋体" w:hAnsi="宋体"/>
          <w:color w:val="000000" w:themeColor="text1"/>
        </w:rPr>
      </w:pPr>
      <w:r>
        <w:rPr>
          <w:rFonts w:ascii="宋体" w:hAnsi="宋体" w:hint="eastAsia"/>
          <w:color w:val="000000" w:themeColor="text1"/>
        </w:rPr>
        <w:t>合营企业或联营企业向本公司转移资金的能力存在重大限制的说明</w:t>
      </w:r>
    </w:p>
    <w:sdt>
      <w:sdtPr>
        <w:rPr>
          <w:color w:val="000000" w:themeColor="text1"/>
        </w:rPr>
        <w:alias w:val="是否适用：合营企业或联营企业向本公司转移资金的能力存在重大限制的说明[双击切换]"/>
        <w:tag w:val="_GBC_73dfba3df3e24fc2a5b5ede5fa8d6f09"/>
        <w:id w:val="13408967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3"/>
          <w:numId w:val="97"/>
        </w:numPr>
        <w:tabs>
          <w:tab w:val="left" w:pos="630"/>
        </w:tabs>
        <w:rPr>
          <w:rFonts w:ascii="宋体" w:hAnsi="宋体"/>
          <w:color w:val="000000" w:themeColor="text1"/>
        </w:rPr>
      </w:pPr>
      <w:r>
        <w:rPr>
          <w:rFonts w:ascii="宋体" w:hAnsi="宋体" w:hint="eastAsia"/>
          <w:color w:val="000000" w:themeColor="text1"/>
        </w:rPr>
        <w:t>合营企业或联营企业发生的超额亏损</w:t>
      </w:r>
    </w:p>
    <w:sdt>
      <w:sdtPr>
        <w:rPr>
          <w:color w:val="000000" w:themeColor="text1"/>
        </w:rPr>
        <w:alias w:val="是否适用：合营企业或联营企业发生的超额亏损[双击切换]"/>
        <w:tag w:val="_GBC_c30af0beca864d788c2fe12f47f13428"/>
        <w:id w:val="-1321500033"/>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3"/>
          <w:numId w:val="97"/>
        </w:numPr>
        <w:tabs>
          <w:tab w:val="left" w:pos="630"/>
        </w:tabs>
        <w:rPr>
          <w:rFonts w:ascii="宋体" w:hAnsi="宋体"/>
          <w:color w:val="000000" w:themeColor="text1"/>
        </w:rPr>
      </w:pPr>
      <w:r>
        <w:rPr>
          <w:rFonts w:ascii="宋体" w:hAnsi="宋体" w:hint="eastAsia"/>
          <w:color w:val="000000" w:themeColor="text1"/>
        </w:rPr>
        <w:t>与合营企业投资相关的未确认承诺</w:t>
      </w:r>
    </w:p>
    <w:sdt>
      <w:sdtPr>
        <w:rPr>
          <w:color w:val="000000" w:themeColor="text1"/>
        </w:rPr>
        <w:alias w:val="是否适用：与合营企业投资相关的未确认承诺[双击切换]"/>
        <w:tag w:val="_GBC_9d014d8b476148b59476808a5cda81d8"/>
        <w:id w:val="-1632010739"/>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3"/>
          <w:numId w:val="97"/>
        </w:numPr>
        <w:tabs>
          <w:tab w:val="left" w:pos="630"/>
        </w:tabs>
        <w:rPr>
          <w:rFonts w:ascii="宋体" w:hAnsi="宋体"/>
          <w:color w:val="000000" w:themeColor="text1"/>
        </w:rPr>
      </w:pPr>
      <w:r>
        <w:rPr>
          <w:rFonts w:ascii="宋体" w:hAnsi="宋体" w:hint="eastAsia"/>
          <w:color w:val="000000" w:themeColor="text1"/>
        </w:rPr>
        <w:t>与合营企业或联营企业投资相关的或有负债</w:t>
      </w:r>
    </w:p>
    <w:sdt>
      <w:sdtPr>
        <w:rPr>
          <w:color w:val="000000" w:themeColor="text1"/>
        </w:rPr>
        <w:alias w:val="是否适用：与合营企业或联营企业投资相关的或有负债[双击切换]"/>
        <w:tag w:val="_GBC_caba618be81b4cb1acf89073549a456a"/>
        <w:id w:val="121667210"/>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94"/>
        </w:numPr>
        <w:rPr>
          <w:rFonts w:ascii="宋体" w:hAnsi="宋体"/>
          <w:color w:val="000000" w:themeColor="text1"/>
        </w:rPr>
      </w:pPr>
      <w:r>
        <w:rPr>
          <w:rFonts w:ascii="宋体" w:hAnsi="宋体" w:hint="eastAsia"/>
          <w:color w:val="000000" w:themeColor="text1"/>
        </w:rPr>
        <w:t>重要的共同经营</w:t>
      </w:r>
    </w:p>
    <w:sdt>
      <w:sdtPr>
        <w:rPr>
          <w:color w:val="000000" w:themeColor="text1"/>
        </w:rPr>
        <w:alias w:val="是否适用：重要的共同经营[双击切换]"/>
        <w:tag w:val="_GBC_7911b1c8195d4c20b2800b1c5ac94a93"/>
        <w:id w:val="-725298651"/>
        <w:placeholder>
          <w:docPart w:val="GBC22222222222222222222222222222"/>
        </w:placeholder>
      </w:sdtPr>
      <w:sdtEndPr/>
      <w:sdtContent>
        <w:p w:rsidR="00597370" w:rsidRDefault="003C2EEE">
          <w:pPr>
            <w:rPr>
              <w:rFonts w:cs="Arial"/>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2"/>
          <w:numId w:val="94"/>
        </w:numPr>
        <w:rPr>
          <w:rFonts w:ascii="宋体" w:hAnsi="宋体"/>
          <w:color w:val="000000" w:themeColor="text1"/>
        </w:rPr>
      </w:pPr>
      <w:r>
        <w:rPr>
          <w:rFonts w:ascii="宋体" w:hAnsi="宋体" w:hint="eastAsia"/>
          <w:color w:val="000000" w:themeColor="text1"/>
        </w:rPr>
        <w:t>在未纳入合并财务报表范围的结构化主体中的权益</w:t>
      </w:r>
    </w:p>
    <w:p w:rsidR="00597370" w:rsidRDefault="003C2EEE">
      <w:pPr>
        <w:rPr>
          <w:rFonts w:cs="Arial"/>
          <w:color w:val="000000" w:themeColor="text1"/>
        </w:rPr>
      </w:pPr>
      <w:r>
        <w:rPr>
          <w:rFonts w:cs="Arial" w:hint="eastAsia"/>
          <w:color w:val="000000" w:themeColor="text1"/>
        </w:rPr>
        <w:t>未纳入合并财务报表范围的结构化主体的相关说明：</w:t>
      </w:r>
    </w:p>
    <w:sdt>
      <w:sdtPr>
        <w:rPr>
          <w:rFonts w:cs="Arial"/>
          <w:color w:val="000000" w:themeColor="text1"/>
        </w:rPr>
        <w:alias w:val="是否适用：未纳入合并财务报表范围的结构化主体的相关说明[双击切换]"/>
        <w:tag w:val="_GBC_48eb6d215e5341c694f98d18f5889902"/>
        <w:id w:val="1340047846"/>
        <w:placeholder>
          <w:docPart w:val="GBC22222222222222222222222222222"/>
        </w:placeholder>
      </w:sdtPr>
      <w:sdtEndPr/>
      <w:sdtContent>
        <w:p w:rsidR="00597370" w:rsidRDefault="003C2EEE">
          <w:pPr>
            <w:rPr>
              <w:rFonts w:cs="Arial"/>
              <w:color w:val="000000" w:themeColor="text1"/>
            </w:rPr>
          </w:pPr>
          <w:r>
            <w:rPr>
              <w:rFonts w:cs="Arial"/>
              <w:color w:val="000000" w:themeColor="text1"/>
            </w:rPr>
            <w:fldChar w:fldCharType="begin"/>
          </w:r>
          <w:r>
            <w:rPr>
              <w:rFonts w:cs="Arial"/>
              <w:color w:val="000000" w:themeColor="text1"/>
            </w:rPr>
            <w:instrText xml:space="preserve"> MACROBUTTON  SnrToggleCheckbox □适用 </w:instrText>
          </w:r>
          <w:r>
            <w:rPr>
              <w:rFonts w:cs="Arial"/>
              <w:color w:val="000000" w:themeColor="text1"/>
            </w:rPr>
            <w:fldChar w:fldCharType="end"/>
          </w:r>
          <w:r>
            <w:rPr>
              <w:rFonts w:cs="Arial"/>
              <w:color w:val="000000" w:themeColor="text1"/>
            </w:rPr>
            <w:fldChar w:fldCharType="begin"/>
          </w:r>
          <w:r>
            <w:rPr>
              <w:rFonts w:cs="Arial"/>
              <w:color w:val="000000" w:themeColor="text1"/>
            </w:rPr>
            <w:instrText xml:space="preserve"> MACROBUTTON  SnrToggleCheckbox √不适用 </w:instrText>
          </w:r>
          <w:r>
            <w:rPr>
              <w:rFonts w:cs="Arial"/>
              <w:color w:val="000000" w:themeColor="text1"/>
            </w:rPr>
            <w:fldChar w:fldCharType="end"/>
          </w:r>
        </w:p>
      </w:sdtContent>
    </w:sdt>
    <w:p w:rsidR="00597370" w:rsidRDefault="003C2EEE">
      <w:pPr>
        <w:pStyle w:val="Style109"/>
        <w:numPr>
          <w:ilvl w:val="2"/>
          <w:numId w:val="94"/>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在其他主体中的权益其他需要说明的事项[双击切换]"/>
        <w:tag w:val="_GBC_ad8b7a7df0724efaa681a931c91befff"/>
        <w:id w:val="-112839929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bookmarkStart w:id="376" w:name="_Hlk167976217"/>
      <w:r>
        <w:rPr>
          <w:rFonts w:ascii="宋体" w:hAnsi="宋体" w:hint="eastAsia"/>
          <w:color w:val="000000" w:themeColor="text1"/>
        </w:rPr>
        <w:t>政府补助</w:t>
      </w:r>
    </w:p>
    <w:p w:rsidR="00597370" w:rsidRDefault="003C2EEE">
      <w:pPr>
        <w:pStyle w:val="Style109"/>
        <w:numPr>
          <w:ilvl w:val="0"/>
          <w:numId w:val="98"/>
        </w:numPr>
        <w:ind w:left="0" w:firstLine="0"/>
        <w:rPr>
          <w:color w:val="000000" w:themeColor="text1"/>
        </w:rPr>
      </w:pPr>
      <w:r>
        <w:rPr>
          <w:color w:val="000000" w:themeColor="text1"/>
        </w:rPr>
        <w:t>报告期末按应收金额确认的政府补助</w:t>
      </w:r>
    </w:p>
    <w:sdt>
      <w:sdtPr>
        <w:rPr>
          <w:color w:val="000000" w:themeColor="text1"/>
        </w:rPr>
        <w:alias w:val="是否适用：按应收金额确认的政府补助[双击切换]"/>
        <w:tag w:val="_GBC_3d18d31d14384adf9969b37c0463bdb6"/>
        <w:id w:val="-88309798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color w:val="000000" w:themeColor="text1"/>
        </w:rPr>
        <w:t>未能在预计时点收到预计金额的政府补助</w:t>
      </w:r>
      <w:r>
        <w:rPr>
          <w:rFonts w:hint="eastAsia"/>
          <w:color w:val="000000" w:themeColor="text1"/>
        </w:rPr>
        <w:t>的</w:t>
      </w:r>
      <w:r>
        <w:rPr>
          <w:color w:val="000000" w:themeColor="text1"/>
        </w:rPr>
        <w:t>原因</w:t>
      </w:r>
    </w:p>
    <w:sdt>
      <w:sdtPr>
        <w:rPr>
          <w:color w:val="000000" w:themeColor="text1"/>
        </w:rPr>
        <w:alias w:val="是否适用：未能在预计时点收到预计金额的政府补助的原因[双击切换]"/>
        <w:tag w:val="_GBC_e0b0850317ba480b8188bda150ebfb78"/>
        <w:id w:val="-206470265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98"/>
        </w:numPr>
        <w:ind w:left="0" w:firstLine="0"/>
        <w:rPr>
          <w:color w:val="000000" w:themeColor="text1"/>
        </w:rPr>
      </w:pPr>
      <w:r>
        <w:rPr>
          <w:color w:val="000000" w:themeColor="text1"/>
        </w:rPr>
        <w:t>涉及政府补助的负债项目</w:t>
      </w:r>
    </w:p>
    <w:sdt>
      <w:sdtPr>
        <w:rPr>
          <w:color w:val="000000" w:themeColor="text1"/>
        </w:rPr>
        <w:alias w:val="是否适用：涉及政府补助的负债项目[双击切换]"/>
        <w:tag w:val="_GBC_5b8cf655c53545cab80f75be728637c0"/>
        <w:id w:val="-3972056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涉及政府补助的负债项目"/>
          <w:tag w:val="_GBC_3f46f2e72def428785501464e8373dc7"/>
          <w:id w:val="168941334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涉及政府补助的负债项目"/>
          <w:tag w:val="_GBC_2061879c791b40ceb951bedd0f7334b3"/>
          <w:id w:val="-17642153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059"/>
        <w:gridCol w:w="1085"/>
        <w:gridCol w:w="1085"/>
        <w:gridCol w:w="1085"/>
        <w:gridCol w:w="1085"/>
        <w:gridCol w:w="1085"/>
        <w:gridCol w:w="1082"/>
      </w:tblGrid>
      <w:tr w:rsidR="00597370">
        <w:bookmarkStart w:id="377" w:name="_Hlk153267407" w:displacedByCustomXml="next"/>
        <w:sdt>
          <w:sdtPr>
            <w:rPr>
              <w:rFonts w:hint="eastAsia"/>
              <w:color w:val="000000" w:themeColor="text1"/>
            </w:rPr>
            <w:tag w:val="_PLD_69dbfe6de199442ba67fa4c2623ba343"/>
            <w:id w:val="215637025"/>
          </w:sdtPr>
          <w:sdtEndPr/>
          <w:sdtContent>
            <w:tc>
              <w:tcPr>
                <w:tcW w:w="712" w:type="pct"/>
                <w:shd w:val="clear" w:color="auto" w:fill="auto"/>
                <w:vAlign w:val="center"/>
              </w:tcPr>
              <w:p w:rsidR="00597370" w:rsidRDefault="003C2EEE">
                <w:pPr>
                  <w:jc w:val="center"/>
                  <w:rPr>
                    <w:color w:val="000000" w:themeColor="text1"/>
                  </w:rPr>
                </w:pPr>
                <w:r>
                  <w:rPr>
                    <w:rFonts w:hint="eastAsia"/>
                    <w:color w:val="000000" w:themeColor="text1"/>
                  </w:rPr>
                  <w:t>财务报表项目</w:t>
                </w:r>
              </w:p>
            </w:tc>
          </w:sdtContent>
        </w:sdt>
        <w:sdt>
          <w:sdtPr>
            <w:rPr>
              <w:rFonts w:hint="eastAsia"/>
              <w:color w:val="000000" w:themeColor="text1"/>
            </w:rPr>
            <w:tag w:val="_PLD_ed889bd262164e639c21bff48ded3a53"/>
            <w:id w:val="-1462955050"/>
          </w:sdtPr>
          <w:sdtEndPr/>
          <w:sdtContent>
            <w:tc>
              <w:tcPr>
                <w:tcW w:w="600" w:type="pct"/>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7052fd9610c24b8baab6d4bc81cd150d"/>
            <w:id w:val="1224803009"/>
          </w:sdtPr>
          <w:sdtEndPr/>
          <w:sdtContent>
            <w:tc>
              <w:tcPr>
                <w:tcW w:w="615" w:type="pct"/>
                <w:shd w:val="clear" w:color="auto" w:fill="auto"/>
                <w:vAlign w:val="center"/>
              </w:tcPr>
              <w:p w:rsidR="00597370" w:rsidRDefault="003C2EEE">
                <w:pPr>
                  <w:jc w:val="center"/>
                  <w:rPr>
                    <w:color w:val="000000" w:themeColor="text1"/>
                  </w:rPr>
                </w:pPr>
                <w:r>
                  <w:rPr>
                    <w:color w:val="000000" w:themeColor="text1"/>
                  </w:rPr>
                  <w:t>本期新增补助金额</w:t>
                </w:r>
              </w:p>
            </w:tc>
          </w:sdtContent>
        </w:sdt>
        <w:sdt>
          <w:sdtPr>
            <w:rPr>
              <w:color w:val="000000" w:themeColor="text1"/>
            </w:rPr>
            <w:tag w:val="_PLD_52c2e402043d4e31a35cf36007217038"/>
            <w:id w:val="-447624907"/>
          </w:sdtPr>
          <w:sdtEndPr/>
          <w:sdtContent>
            <w:tc>
              <w:tcPr>
                <w:tcW w:w="615" w:type="pct"/>
                <w:shd w:val="clear" w:color="auto" w:fill="auto"/>
                <w:vAlign w:val="center"/>
              </w:tcPr>
              <w:p w:rsidR="00597370" w:rsidRDefault="003C2EEE">
                <w:pPr>
                  <w:jc w:val="center"/>
                  <w:rPr>
                    <w:color w:val="000000" w:themeColor="text1"/>
                  </w:rPr>
                </w:pPr>
                <w:r>
                  <w:rPr>
                    <w:color w:val="000000" w:themeColor="text1"/>
                  </w:rPr>
                  <w:t>本期计入营业外收入金额</w:t>
                </w:r>
              </w:p>
            </w:tc>
          </w:sdtContent>
        </w:sdt>
        <w:sdt>
          <w:sdtPr>
            <w:rPr>
              <w:color w:val="000000" w:themeColor="text1"/>
            </w:rPr>
            <w:tag w:val="_PLD_54cb3f3d4b4b49b9913df5c05007eb61"/>
            <w:id w:val="1282541120"/>
          </w:sdtPr>
          <w:sdtEndPr/>
          <w:sdtContent>
            <w:tc>
              <w:tcPr>
                <w:tcW w:w="615" w:type="pct"/>
                <w:vAlign w:val="center"/>
              </w:tcPr>
              <w:p w:rsidR="00597370" w:rsidRDefault="003C2EEE">
                <w:pPr>
                  <w:jc w:val="center"/>
                  <w:rPr>
                    <w:color w:val="000000" w:themeColor="text1"/>
                  </w:rPr>
                </w:pPr>
                <w:r>
                  <w:rPr>
                    <w:color w:val="000000" w:themeColor="text1"/>
                  </w:rPr>
                  <w:t>本期转入其他收益</w:t>
                </w:r>
              </w:p>
            </w:tc>
          </w:sdtContent>
        </w:sdt>
        <w:sdt>
          <w:sdtPr>
            <w:rPr>
              <w:rFonts w:hint="eastAsia"/>
              <w:color w:val="000000" w:themeColor="text1"/>
            </w:rPr>
            <w:tag w:val="_PLD_f8464a8361c140659dec395b64a565c0"/>
            <w:id w:val="431329382"/>
          </w:sdtPr>
          <w:sdtEndPr/>
          <w:sdtContent>
            <w:tc>
              <w:tcPr>
                <w:tcW w:w="615" w:type="pct"/>
                <w:vAlign w:val="center"/>
              </w:tcPr>
              <w:p w:rsidR="00597370" w:rsidRDefault="003C2EEE">
                <w:pPr>
                  <w:jc w:val="center"/>
                  <w:rPr>
                    <w:color w:val="000000" w:themeColor="text1"/>
                  </w:rPr>
                </w:pPr>
                <w:r>
                  <w:rPr>
                    <w:rFonts w:hint="eastAsia"/>
                    <w:color w:val="000000" w:themeColor="text1"/>
                  </w:rPr>
                  <w:t>本期其他变动</w:t>
                </w:r>
              </w:p>
            </w:tc>
          </w:sdtContent>
        </w:sdt>
        <w:sdt>
          <w:sdtPr>
            <w:rPr>
              <w:rFonts w:hint="eastAsia"/>
              <w:color w:val="000000" w:themeColor="text1"/>
            </w:rPr>
            <w:tag w:val="_PLD_abc368d2d0c7418dbd78f4f89cd037d5"/>
            <w:id w:val="34552829"/>
          </w:sdtPr>
          <w:sdtEndPr/>
          <w:sdtContent>
            <w:tc>
              <w:tcPr>
                <w:tcW w:w="615" w:type="pct"/>
                <w:vAlign w:val="center"/>
              </w:tcPr>
              <w:p w:rsidR="00597370" w:rsidRDefault="003C2EEE">
                <w:pPr>
                  <w:jc w:val="center"/>
                  <w:rPr>
                    <w:color w:val="000000" w:themeColor="text1"/>
                  </w:rPr>
                </w:pPr>
                <w:r>
                  <w:rPr>
                    <w:rFonts w:hint="eastAsia"/>
                    <w:color w:val="000000" w:themeColor="text1"/>
                  </w:rPr>
                  <w:t>期末余额</w:t>
                </w:r>
              </w:p>
            </w:tc>
          </w:sdtContent>
        </w:sdt>
        <w:sdt>
          <w:sdtPr>
            <w:rPr>
              <w:rFonts w:hint="eastAsia"/>
              <w:color w:val="000000" w:themeColor="text1"/>
            </w:rPr>
            <w:tag w:val="_PLD_3ff2a65a79344d48808fa5737db3cb39"/>
            <w:id w:val="-1411541935"/>
          </w:sdtPr>
          <w:sdtEndPr>
            <w:rPr>
              <w:rFonts w:hint="default"/>
            </w:rPr>
          </w:sdtEndPr>
          <w:sdtContent>
            <w:tc>
              <w:tcPr>
                <w:tcW w:w="613" w:type="pct"/>
                <w:vAlign w:val="center"/>
              </w:tcPr>
              <w:p w:rsidR="00597370" w:rsidRDefault="003C2EEE">
                <w:pPr>
                  <w:jc w:val="center"/>
                  <w:rPr>
                    <w:color w:val="000000" w:themeColor="text1"/>
                  </w:rPr>
                </w:pPr>
                <w:r>
                  <w:rPr>
                    <w:rFonts w:hint="eastAsia"/>
                    <w:color w:val="000000" w:themeColor="text1"/>
                  </w:rPr>
                  <w:t>与资产</w:t>
                </w:r>
                <w:r>
                  <w:rPr>
                    <w:color w:val="000000" w:themeColor="text1"/>
                  </w:rPr>
                  <w:t>/收益相关</w:t>
                </w:r>
              </w:p>
            </w:tc>
          </w:sdtContent>
        </w:sdt>
      </w:tr>
      <w:tr w:rsidR="00597370">
        <w:tc>
          <w:tcPr>
            <w:tcW w:w="712" w:type="pct"/>
            <w:shd w:val="clear" w:color="auto" w:fill="auto"/>
            <w:vAlign w:val="bottom"/>
          </w:tcPr>
          <w:p w:rsidR="00597370" w:rsidRDefault="003C2EEE">
            <w:pPr>
              <w:rPr>
                <w:rFonts w:asciiTheme="minorEastAsia" w:eastAsiaTheme="minorEastAsia" w:hAnsiTheme="minorEastAsia"/>
              </w:rPr>
            </w:pPr>
            <w:r>
              <w:rPr>
                <w:rFonts w:asciiTheme="minorEastAsia" w:eastAsiaTheme="minorEastAsia" w:hAnsiTheme="minorEastAsia" w:hint="eastAsia"/>
                <w:color w:val="000000"/>
              </w:rPr>
              <w:t>10万吨高磁感取向硅钢（二期）工程项目</w:t>
            </w:r>
          </w:p>
        </w:tc>
        <w:tc>
          <w:tcPr>
            <w:tcW w:w="600"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2,076.46</w:t>
            </w: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13.74</w:t>
            </w:r>
          </w:p>
        </w:tc>
        <w:tc>
          <w:tcPr>
            <w:tcW w:w="615" w:type="pct"/>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2,062.72</w:t>
            </w:r>
          </w:p>
        </w:tc>
        <w:tc>
          <w:tcPr>
            <w:tcW w:w="613" w:type="pct"/>
            <w:vAlign w:val="center"/>
          </w:tcPr>
          <w:p w:rsidR="00597370" w:rsidRDefault="003C2EEE">
            <w:pPr>
              <w:rPr>
                <w:rFonts w:asciiTheme="minorEastAsia" w:eastAsiaTheme="minorEastAsia" w:hAnsiTheme="minorEastAsia"/>
              </w:rPr>
            </w:pPr>
            <w:r>
              <w:rPr>
                <w:rFonts w:asciiTheme="minorEastAsia" w:eastAsiaTheme="minorEastAsia" w:hAnsiTheme="minorEastAsia"/>
              </w:rPr>
              <w:t>与资产相关政府补助</w:t>
            </w:r>
          </w:p>
        </w:tc>
      </w:tr>
      <w:tr w:rsidR="00597370">
        <w:tc>
          <w:tcPr>
            <w:tcW w:w="712" w:type="pct"/>
            <w:shd w:val="clear" w:color="auto" w:fill="auto"/>
            <w:vAlign w:val="bottom"/>
          </w:tcPr>
          <w:p w:rsidR="00597370" w:rsidRDefault="003C2EEE">
            <w:pPr>
              <w:rPr>
                <w:rFonts w:asciiTheme="minorEastAsia" w:eastAsiaTheme="minorEastAsia" w:hAnsiTheme="minorEastAsia"/>
              </w:rPr>
            </w:pPr>
            <w:r>
              <w:rPr>
                <w:rFonts w:asciiTheme="minorEastAsia" w:eastAsiaTheme="minorEastAsia" w:hAnsiTheme="minorEastAsia" w:hint="eastAsia"/>
                <w:color w:val="000000"/>
              </w:rPr>
              <w:t>产业发展专项资金</w:t>
            </w:r>
          </w:p>
        </w:tc>
        <w:tc>
          <w:tcPr>
            <w:tcW w:w="600"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 xml:space="preserve"> 788.78 </w:t>
            </w: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25.70</w:t>
            </w:r>
          </w:p>
        </w:tc>
        <w:tc>
          <w:tcPr>
            <w:tcW w:w="615" w:type="pct"/>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763.08</w:t>
            </w:r>
          </w:p>
        </w:tc>
        <w:tc>
          <w:tcPr>
            <w:tcW w:w="613" w:type="pct"/>
            <w:vAlign w:val="center"/>
          </w:tcPr>
          <w:p w:rsidR="00597370" w:rsidRDefault="003C2EEE">
            <w:pPr>
              <w:rPr>
                <w:rFonts w:asciiTheme="minorEastAsia" w:eastAsiaTheme="minorEastAsia" w:hAnsiTheme="minorEastAsia"/>
              </w:rPr>
            </w:pPr>
            <w:r>
              <w:rPr>
                <w:rFonts w:asciiTheme="minorEastAsia" w:eastAsiaTheme="minorEastAsia" w:hAnsiTheme="minorEastAsia"/>
              </w:rPr>
              <w:t>与资产相关政府补助</w:t>
            </w:r>
          </w:p>
        </w:tc>
      </w:tr>
      <w:tr w:rsidR="00597370">
        <w:tc>
          <w:tcPr>
            <w:tcW w:w="712" w:type="pct"/>
            <w:shd w:val="clear" w:color="auto" w:fill="auto"/>
            <w:vAlign w:val="bottom"/>
          </w:tcPr>
          <w:p w:rsidR="00597370" w:rsidRDefault="003C2EEE">
            <w:pPr>
              <w:rPr>
                <w:rFonts w:asciiTheme="minorEastAsia" w:eastAsiaTheme="minorEastAsia" w:hAnsiTheme="minorEastAsia"/>
              </w:rPr>
            </w:pPr>
            <w:r>
              <w:rPr>
                <w:rFonts w:asciiTheme="minorEastAsia" w:eastAsiaTheme="minorEastAsia" w:hAnsiTheme="minorEastAsia" w:hint="eastAsia"/>
                <w:color w:val="000000"/>
              </w:rPr>
              <w:t>非晶带材及高磁感铁芯材料项目</w:t>
            </w:r>
          </w:p>
        </w:tc>
        <w:tc>
          <w:tcPr>
            <w:tcW w:w="600"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 xml:space="preserve"> 2,721.84 </w:t>
            </w: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100.22</w:t>
            </w:r>
          </w:p>
        </w:tc>
        <w:tc>
          <w:tcPr>
            <w:tcW w:w="615" w:type="pct"/>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2,621.62</w:t>
            </w:r>
          </w:p>
        </w:tc>
        <w:tc>
          <w:tcPr>
            <w:tcW w:w="613" w:type="pct"/>
            <w:vAlign w:val="center"/>
          </w:tcPr>
          <w:p w:rsidR="00597370" w:rsidRDefault="003C2EEE">
            <w:pPr>
              <w:rPr>
                <w:rFonts w:asciiTheme="minorEastAsia" w:eastAsiaTheme="minorEastAsia" w:hAnsiTheme="minorEastAsia"/>
              </w:rPr>
            </w:pPr>
            <w:r>
              <w:rPr>
                <w:rFonts w:asciiTheme="minorEastAsia" w:eastAsiaTheme="minorEastAsia" w:hAnsiTheme="minorEastAsia"/>
              </w:rPr>
              <w:t>与资产相关政府补助</w:t>
            </w:r>
          </w:p>
        </w:tc>
      </w:tr>
      <w:tr w:rsidR="00597370">
        <w:tc>
          <w:tcPr>
            <w:tcW w:w="712" w:type="pct"/>
            <w:shd w:val="clear" w:color="auto" w:fill="auto"/>
            <w:vAlign w:val="bottom"/>
          </w:tcPr>
          <w:p w:rsidR="00597370" w:rsidRDefault="003C2EEE">
            <w:pPr>
              <w:rPr>
                <w:rFonts w:asciiTheme="minorEastAsia" w:eastAsiaTheme="minorEastAsia" w:hAnsiTheme="minorEastAsia"/>
              </w:rPr>
            </w:pPr>
            <w:r>
              <w:rPr>
                <w:rFonts w:asciiTheme="minorEastAsia" w:eastAsiaTheme="minorEastAsia" w:hAnsiTheme="minorEastAsia" w:hint="eastAsia"/>
                <w:color w:val="000000"/>
              </w:rPr>
              <w:t>高磁感取向硅钢激光刻痕生产线技改项目</w:t>
            </w:r>
          </w:p>
        </w:tc>
        <w:tc>
          <w:tcPr>
            <w:tcW w:w="600"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 xml:space="preserve"> 117.58 </w:t>
            </w: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8.50</w:t>
            </w:r>
          </w:p>
        </w:tc>
        <w:tc>
          <w:tcPr>
            <w:tcW w:w="615" w:type="pct"/>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109.08</w:t>
            </w:r>
          </w:p>
        </w:tc>
        <w:tc>
          <w:tcPr>
            <w:tcW w:w="613" w:type="pct"/>
            <w:vAlign w:val="center"/>
          </w:tcPr>
          <w:p w:rsidR="00597370" w:rsidRDefault="003C2EEE">
            <w:pPr>
              <w:rPr>
                <w:rFonts w:asciiTheme="minorEastAsia" w:eastAsiaTheme="minorEastAsia" w:hAnsiTheme="minorEastAsia"/>
              </w:rPr>
            </w:pPr>
            <w:r>
              <w:rPr>
                <w:rFonts w:asciiTheme="minorEastAsia" w:eastAsiaTheme="minorEastAsia" w:hAnsiTheme="minorEastAsia"/>
              </w:rPr>
              <w:t>与资产相关政府补助</w:t>
            </w:r>
          </w:p>
        </w:tc>
      </w:tr>
      <w:tr w:rsidR="00597370">
        <w:tc>
          <w:tcPr>
            <w:tcW w:w="712" w:type="pct"/>
            <w:shd w:val="clear" w:color="auto" w:fill="auto"/>
            <w:vAlign w:val="bottom"/>
          </w:tcPr>
          <w:p w:rsidR="00597370" w:rsidRDefault="003C2EEE">
            <w:pPr>
              <w:rPr>
                <w:rFonts w:asciiTheme="minorEastAsia" w:eastAsiaTheme="minorEastAsia" w:hAnsiTheme="minorEastAsia"/>
              </w:rPr>
            </w:pPr>
            <w:r>
              <w:rPr>
                <w:rFonts w:asciiTheme="minorEastAsia" w:eastAsiaTheme="minorEastAsia" w:hAnsiTheme="minorEastAsia" w:hint="eastAsia"/>
                <w:color w:val="000000"/>
              </w:rPr>
              <w:t>黔南电气设备生成基地建设项目</w:t>
            </w:r>
          </w:p>
        </w:tc>
        <w:tc>
          <w:tcPr>
            <w:tcW w:w="600"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 xml:space="preserve"> 472.96 </w:t>
            </w: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118.94</w:t>
            </w:r>
          </w:p>
        </w:tc>
        <w:tc>
          <w:tcPr>
            <w:tcW w:w="615" w:type="pct"/>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354.02</w:t>
            </w:r>
          </w:p>
        </w:tc>
        <w:tc>
          <w:tcPr>
            <w:tcW w:w="613" w:type="pct"/>
            <w:vAlign w:val="center"/>
          </w:tcPr>
          <w:p w:rsidR="00597370" w:rsidRDefault="003C2EEE">
            <w:pPr>
              <w:rPr>
                <w:rFonts w:asciiTheme="minorEastAsia" w:eastAsiaTheme="minorEastAsia" w:hAnsiTheme="minorEastAsia"/>
              </w:rPr>
            </w:pPr>
            <w:r>
              <w:rPr>
                <w:rFonts w:asciiTheme="minorEastAsia" w:eastAsiaTheme="minorEastAsia" w:hAnsiTheme="minorEastAsia"/>
              </w:rPr>
              <w:t>与资产相关政府补助</w:t>
            </w:r>
          </w:p>
        </w:tc>
      </w:tr>
      <w:tr w:rsidR="00597370">
        <w:tc>
          <w:tcPr>
            <w:tcW w:w="712" w:type="pct"/>
            <w:shd w:val="clear" w:color="auto" w:fill="auto"/>
            <w:vAlign w:val="bottom"/>
          </w:tcPr>
          <w:p w:rsidR="00597370" w:rsidRDefault="003C2EEE">
            <w:pPr>
              <w:rPr>
                <w:rFonts w:asciiTheme="minorEastAsia" w:eastAsiaTheme="minorEastAsia" w:hAnsiTheme="minorEastAsia"/>
              </w:rPr>
            </w:pPr>
            <w:r>
              <w:rPr>
                <w:rFonts w:asciiTheme="minorEastAsia" w:eastAsiaTheme="minorEastAsia" w:hAnsiTheme="minorEastAsia" w:hint="eastAsia"/>
                <w:color w:val="000000"/>
              </w:rPr>
              <w:t>重庆市工业和信息化专项资金项目</w:t>
            </w:r>
          </w:p>
        </w:tc>
        <w:tc>
          <w:tcPr>
            <w:tcW w:w="600" w:type="pct"/>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 xml:space="preserve"> 225.00 </w:t>
            </w: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25.00</w:t>
            </w:r>
          </w:p>
        </w:tc>
        <w:tc>
          <w:tcPr>
            <w:tcW w:w="615" w:type="pct"/>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200.00</w:t>
            </w:r>
          </w:p>
        </w:tc>
        <w:tc>
          <w:tcPr>
            <w:tcW w:w="613" w:type="pct"/>
            <w:vAlign w:val="center"/>
          </w:tcPr>
          <w:p w:rsidR="00597370" w:rsidRDefault="003C2EEE">
            <w:pPr>
              <w:rPr>
                <w:rFonts w:asciiTheme="minorEastAsia" w:eastAsiaTheme="minorEastAsia" w:hAnsiTheme="minorEastAsia"/>
              </w:rPr>
            </w:pPr>
            <w:r>
              <w:rPr>
                <w:rFonts w:asciiTheme="minorEastAsia" w:eastAsiaTheme="minorEastAsia" w:hAnsiTheme="minorEastAsia"/>
              </w:rPr>
              <w:t>与资产相关政府补助</w:t>
            </w:r>
          </w:p>
        </w:tc>
      </w:tr>
      <w:tr w:rsidR="00597370">
        <w:tc>
          <w:tcPr>
            <w:tcW w:w="712" w:type="pct"/>
            <w:shd w:val="clear" w:color="auto" w:fill="auto"/>
            <w:vAlign w:val="bottom"/>
          </w:tcPr>
          <w:p w:rsidR="00597370" w:rsidRDefault="003C2EEE">
            <w:pPr>
              <w:rPr>
                <w:rFonts w:asciiTheme="minorEastAsia" w:eastAsiaTheme="minorEastAsia" w:hAnsiTheme="minorEastAsia"/>
              </w:rPr>
            </w:pPr>
            <w:r>
              <w:rPr>
                <w:rFonts w:asciiTheme="minorEastAsia" w:eastAsiaTheme="minorEastAsia" w:hAnsiTheme="minorEastAsia" w:hint="eastAsia"/>
                <w:color w:val="000000"/>
              </w:rPr>
              <w:t>重庆市民营经济产业发展专项资金</w:t>
            </w:r>
          </w:p>
        </w:tc>
        <w:tc>
          <w:tcPr>
            <w:tcW w:w="600" w:type="pct"/>
            <w:shd w:val="clear" w:color="auto" w:fill="auto"/>
            <w:vAlign w:val="center"/>
          </w:tcPr>
          <w:p w:rsidR="00597370" w:rsidRDefault="003C2EEE">
            <w:pPr>
              <w:ind w:right="105"/>
              <w:jc w:val="right"/>
              <w:rPr>
                <w:rFonts w:asciiTheme="minorEastAsia" w:eastAsiaTheme="minorEastAsia" w:hAnsiTheme="minorEastAsia"/>
              </w:rPr>
            </w:pPr>
            <w:r>
              <w:rPr>
                <w:rFonts w:asciiTheme="minorEastAsia" w:eastAsiaTheme="minorEastAsia" w:hAnsiTheme="minorEastAsia" w:hint="eastAsia"/>
              </w:rPr>
              <w:t xml:space="preserve">14.00 </w:t>
            </w: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shd w:val="clear" w:color="auto" w:fill="auto"/>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2.00</w:t>
            </w:r>
          </w:p>
        </w:tc>
        <w:tc>
          <w:tcPr>
            <w:tcW w:w="615" w:type="pct"/>
            <w:vAlign w:val="center"/>
          </w:tcPr>
          <w:p w:rsidR="00597370" w:rsidRDefault="00597370">
            <w:pPr>
              <w:jc w:val="right"/>
              <w:rPr>
                <w:rFonts w:asciiTheme="minorEastAsia" w:eastAsiaTheme="minorEastAsia" w:hAnsiTheme="minorEastAsia"/>
              </w:rPr>
            </w:pPr>
          </w:p>
        </w:tc>
        <w:tc>
          <w:tcPr>
            <w:tcW w:w="615" w:type="pct"/>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12.00</w:t>
            </w:r>
          </w:p>
        </w:tc>
        <w:tc>
          <w:tcPr>
            <w:tcW w:w="613" w:type="pct"/>
            <w:vAlign w:val="center"/>
          </w:tcPr>
          <w:p w:rsidR="00597370" w:rsidRDefault="003C2EEE">
            <w:pPr>
              <w:rPr>
                <w:rFonts w:asciiTheme="minorEastAsia" w:eastAsiaTheme="minorEastAsia" w:hAnsiTheme="minorEastAsia"/>
              </w:rPr>
            </w:pPr>
            <w:r>
              <w:rPr>
                <w:rFonts w:asciiTheme="minorEastAsia" w:eastAsiaTheme="minorEastAsia" w:hAnsiTheme="minorEastAsia"/>
              </w:rPr>
              <w:t>与资产相关政府补助</w:t>
            </w:r>
          </w:p>
        </w:tc>
      </w:tr>
      <w:tr w:rsidR="00597370">
        <w:tc>
          <w:tcPr>
            <w:tcW w:w="71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rFonts w:asciiTheme="minorEastAsia" w:eastAsiaTheme="minorEastAsia" w:hAnsiTheme="minorEastAsia"/>
              </w:rPr>
            </w:pPr>
            <w:r>
              <w:rPr>
                <w:rFonts w:asciiTheme="minorEastAsia" w:eastAsiaTheme="minorEastAsia" w:hAnsiTheme="minorEastAsia"/>
              </w:rPr>
              <w:t>合计</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 xml:space="preserve"> 6,416.61 </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rPr>
            </w:pPr>
          </w:p>
        </w:tc>
        <w:tc>
          <w:tcPr>
            <w:tcW w:w="61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294.09</w:t>
            </w:r>
          </w:p>
        </w:tc>
        <w:tc>
          <w:tcPr>
            <w:tcW w:w="615"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rFonts w:asciiTheme="minorEastAsia" w:eastAsiaTheme="minorEastAsia" w:hAnsiTheme="minorEastAsia"/>
              </w:rPr>
            </w:pPr>
          </w:p>
        </w:tc>
        <w:tc>
          <w:tcPr>
            <w:tcW w:w="61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6,122.52</w:t>
            </w:r>
          </w:p>
        </w:tc>
        <w:tc>
          <w:tcPr>
            <w:tcW w:w="613" w:type="pct"/>
            <w:tcBorders>
              <w:top w:val="single" w:sz="4" w:space="0" w:color="auto"/>
              <w:left w:val="single" w:sz="4" w:space="0" w:color="auto"/>
              <w:bottom w:val="single" w:sz="4" w:space="0" w:color="auto"/>
              <w:right w:val="single" w:sz="4" w:space="0" w:color="auto"/>
            </w:tcBorders>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p>
        </w:tc>
      </w:tr>
    </w:tbl>
    <w:p w:rsidR="00597370" w:rsidRDefault="00597370">
      <w:pPr>
        <w:rPr>
          <w:rFonts w:asciiTheme="minorEastAsia" w:eastAsiaTheme="minorEastAsia" w:hAnsiTheme="minorEastAsia"/>
        </w:rPr>
      </w:pPr>
    </w:p>
    <w:p w:rsidR="00B14B79" w:rsidRDefault="00B14B79" w:rsidP="00B14B79">
      <w:pPr>
        <w:pStyle w:val="3"/>
        <w:numPr>
          <w:ilvl w:val="0"/>
          <w:numId w:val="124"/>
        </w:numPr>
        <w:ind w:left="0" w:firstLine="0"/>
        <w:rPr>
          <w:rFonts w:cs="宋体"/>
          <w:color w:val="000000" w:themeColor="text1"/>
          <w:kern w:val="0"/>
          <w:szCs w:val="24"/>
        </w:rPr>
      </w:pPr>
      <w:bookmarkStart w:id="378" w:name="_Hlk153267868"/>
      <w:bookmarkEnd w:id="377"/>
      <w:r>
        <w:rPr>
          <w:rFonts w:cs="宋体" w:hint="eastAsia"/>
          <w:color w:val="000000" w:themeColor="text1"/>
          <w:kern w:val="0"/>
          <w:szCs w:val="24"/>
        </w:rPr>
        <w:t>计入当期</w:t>
      </w:r>
      <w:r>
        <w:rPr>
          <w:rFonts w:ascii="宋体" w:hAnsi="宋体" w:cs="宋体" w:hint="eastAsia"/>
          <w:color w:val="000000" w:themeColor="text1"/>
          <w:kern w:val="0"/>
          <w:szCs w:val="24"/>
        </w:rPr>
        <w:t>损益</w:t>
      </w:r>
      <w:r>
        <w:rPr>
          <w:rFonts w:cs="宋体" w:hint="eastAsia"/>
          <w:color w:val="000000" w:themeColor="text1"/>
          <w:kern w:val="0"/>
          <w:szCs w:val="24"/>
        </w:rPr>
        <w:t>的政府补助</w:t>
      </w:r>
    </w:p>
    <w:sdt>
      <w:sdtPr>
        <w:rPr>
          <w:rStyle w:val="40"/>
          <w:b w:val="0"/>
          <w:color w:val="000000" w:themeColor="text1"/>
        </w:rPr>
        <w:alias w:val="是否适用：计入当期损益的政府补助[双击切换]"/>
        <w:tag w:val="_GBC_01aefe636f4f4e8b8752cf8841e143f6"/>
        <w:id w:val="1783224092"/>
      </w:sdtPr>
      <w:sdtEndPr>
        <w:rPr>
          <w:rStyle w:val="40"/>
        </w:rPr>
      </w:sdtEndPr>
      <w:sdtContent>
        <w:p w:rsidR="00B14B79" w:rsidRDefault="00B14B79" w:rsidP="00D76ECB">
          <w:pPr>
            <w:rPr>
              <w:rStyle w:val="40"/>
              <w:b w:val="0"/>
              <w:color w:val="000000" w:themeColor="text1"/>
            </w:rPr>
          </w:pPr>
          <w:r>
            <w:rPr>
              <w:rStyle w:val="40"/>
              <w:b w:val="0"/>
              <w:color w:val="000000" w:themeColor="text1"/>
            </w:rPr>
            <w:fldChar w:fldCharType="begin"/>
          </w:r>
          <w:r w:rsidR="00D76ECB">
            <w:rPr>
              <w:rStyle w:val="40"/>
              <w:rFonts w:hint="eastAsia"/>
              <w:color w:val="000000" w:themeColor="text1"/>
            </w:rPr>
            <w:instrText xml:space="preserve">MACROBUTTON SnrToggleCheckbox </w:instrText>
          </w:r>
          <w:r w:rsidR="00D76ECB">
            <w:rPr>
              <w:rStyle w:val="40"/>
              <w:rFonts w:hint="eastAsia"/>
              <w:color w:val="000000" w:themeColor="text1"/>
            </w:rPr>
            <w:instrText>√适用</w:instrText>
          </w:r>
          <w:r w:rsidR="00D76ECB">
            <w:rPr>
              <w:rStyle w:val="40"/>
              <w:rFonts w:hint="eastAsia"/>
              <w:color w:val="000000" w:themeColor="text1"/>
            </w:rPr>
            <w:instrText xml:space="preserve"> </w:instrText>
          </w:r>
          <w:r>
            <w:rPr>
              <w:rStyle w:val="40"/>
              <w:b w:val="0"/>
              <w:color w:val="000000" w:themeColor="text1"/>
            </w:rPr>
            <w:fldChar w:fldCharType="end"/>
          </w:r>
          <w:r>
            <w:rPr>
              <w:rStyle w:val="40"/>
              <w:b w:val="0"/>
              <w:color w:val="000000" w:themeColor="text1"/>
            </w:rPr>
            <w:fldChar w:fldCharType="begin"/>
          </w:r>
          <w:r w:rsidR="00D76ECB">
            <w:rPr>
              <w:rStyle w:val="40"/>
              <w:rFonts w:hint="eastAsia"/>
              <w:color w:val="000000" w:themeColor="text1"/>
            </w:rPr>
            <w:instrText xml:space="preserve">MACROBUTTON  SnrToggleCheckbox </w:instrText>
          </w:r>
          <w:r w:rsidR="00D76ECB">
            <w:rPr>
              <w:rStyle w:val="40"/>
              <w:rFonts w:hint="eastAsia"/>
              <w:color w:val="000000" w:themeColor="text1"/>
            </w:rPr>
            <w:instrText>□不适用</w:instrText>
          </w:r>
          <w:r w:rsidR="00D76ECB">
            <w:rPr>
              <w:rStyle w:val="40"/>
              <w:rFonts w:hint="eastAsia"/>
              <w:color w:val="000000" w:themeColor="text1"/>
            </w:rPr>
            <w:instrText xml:space="preserve"> </w:instrText>
          </w:r>
          <w:r>
            <w:rPr>
              <w:rStyle w:val="40"/>
              <w:b w:val="0"/>
              <w:color w:val="000000" w:themeColor="text1"/>
            </w:rPr>
            <w:fldChar w:fldCharType="end"/>
          </w:r>
        </w:p>
      </w:sdtContent>
    </w:sdt>
    <w:p w:rsidR="00D76ECB" w:rsidRDefault="00D76ECB" w:rsidP="00EE3D38">
      <w:pPr>
        <w:jc w:val="right"/>
        <w:rPr>
          <w:color w:val="000000" w:themeColor="text1"/>
        </w:rPr>
      </w:pPr>
      <w:r>
        <w:rPr>
          <w:rFonts w:hint="eastAsia"/>
          <w:color w:val="000000" w:themeColor="text1"/>
        </w:rPr>
        <w:lastRenderedPageBreak/>
        <w:t xml:space="preserve"> 单位：</w:t>
      </w:r>
      <w:sdt>
        <w:sdtPr>
          <w:rPr>
            <w:rFonts w:hint="eastAsia"/>
            <w:color w:val="000000" w:themeColor="text1"/>
          </w:rPr>
          <w:alias w:val="单位：财务附注：计入当期损益的政府补助"/>
          <w:tag w:val="_GBC_87984e2b7f344109836efe6282c2894b"/>
          <w:id w:val="-1040970400"/>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财务附注：计入当期损益的政府补助"/>
          <w:tag w:val="_GBC_105736a35c964ea1b5378bede4faea2f"/>
          <w:id w:val="203969757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2799"/>
        <w:gridCol w:w="3012"/>
        <w:gridCol w:w="3012"/>
      </w:tblGrid>
      <w:tr w:rsidR="00D76ECB" w:rsidTr="002A3992">
        <w:trPr>
          <w:trHeight w:val="556"/>
          <w:jc w:val="center"/>
        </w:trPr>
        <w:sdt>
          <w:sdtPr>
            <w:rPr>
              <w:color w:val="000000" w:themeColor="text1"/>
            </w:rPr>
            <w:tag w:val="_PLD_4e0950c6d44c4f6c93412dd988ce84f3"/>
            <w:id w:val="-1909979606"/>
          </w:sdtPr>
          <w:sdtEndPr/>
          <w:sdtContent>
            <w:tc>
              <w:tcPr>
                <w:tcW w:w="1586" w:type="pct"/>
                <w:tcBorders>
                  <w:top w:val="single" w:sz="4" w:space="0" w:color="auto"/>
                  <w:left w:val="single" w:sz="4" w:space="0" w:color="auto"/>
                  <w:bottom w:val="single" w:sz="4" w:space="0" w:color="auto"/>
                  <w:right w:val="single" w:sz="4" w:space="0" w:color="auto"/>
                </w:tcBorders>
                <w:vAlign w:val="center"/>
              </w:tcPr>
              <w:p w:rsidR="00D76ECB" w:rsidRDefault="00D76ECB" w:rsidP="00CA4D60">
                <w:pPr>
                  <w:jc w:val="center"/>
                  <w:rPr>
                    <w:color w:val="000000" w:themeColor="text1"/>
                  </w:rPr>
                </w:pPr>
                <w:r>
                  <w:rPr>
                    <w:rFonts w:hint="eastAsia"/>
                    <w:color w:val="000000" w:themeColor="text1"/>
                  </w:rPr>
                  <w:t>类型</w:t>
                </w:r>
              </w:p>
            </w:tc>
          </w:sdtContent>
        </w:sdt>
        <w:sdt>
          <w:sdtPr>
            <w:rPr>
              <w:color w:val="000000" w:themeColor="text1"/>
            </w:rPr>
            <w:tag w:val="_PLD_b137547e48b242d2a32ab92cdeb61433"/>
            <w:id w:val="-798376328"/>
          </w:sdtPr>
          <w:sdtEndPr/>
          <w:sdtContent>
            <w:tc>
              <w:tcPr>
                <w:tcW w:w="1707" w:type="pct"/>
                <w:tcBorders>
                  <w:top w:val="single" w:sz="4" w:space="0" w:color="auto"/>
                  <w:left w:val="single" w:sz="4" w:space="0" w:color="auto"/>
                  <w:bottom w:val="single" w:sz="4" w:space="0" w:color="auto"/>
                  <w:right w:val="single" w:sz="4" w:space="0" w:color="auto"/>
                </w:tcBorders>
                <w:vAlign w:val="center"/>
              </w:tcPr>
              <w:p w:rsidR="00D76ECB" w:rsidRDefault="00D76ECB" w:rsidP="00CA4D60">
                <w:pPr>
                  <w:jc w:val="center"/>
                  <w:rPr>
                    <w:color w:val="000000" w:themeColor="text1"/>
                  </w:rPr>
                </w:pPr>
                <w:r>
                  <w:rPr>
                    <w:color w:val="000000" w:themeColor="text1"/>
                  </w:rPr>
                  <w:t>本期发生额</w:t>
                </w:r>
              </w:p>
            </w:tc>
          </w:sdtContent>
        </w:sdt>
        <w:sdt>
          <w:sdtPr>
            <w:rPr>
              <w:color w:val="000000" w:themeColor="text1"/>
            </w:rPr>
            <w:tag w:val="_PLD_b1f0e1514b364efda3d03053bbe4e90c"/>
            <w:id w:val="1655104100"/>
          </w:sdtPr>
          <w:sdtEndPr/>
          <w:sdtContent>
            <w:tc>
              <w:tcPr>
                <w:tcW w:w="1707" w:type="pct"/>
                <w:tcBorders>
                  <w:top w:val="single" w:sz="4" w:space="0" w:color="auto"/>
                  <w:left w:val="single" w:sz="4" w:space="0" w:color="auto"/>
                  <w:bottom w:val="single" w:sz="4" w:space="0" w:color="auto"/>
                  <w:right w:val="single" w:sz="4" w:space="0" w:color="auto"/>
                </w:tcBorders>
                <w:vAlign w:val="center"/>
              </w:tcPr>
              <w:p w:rsidR="00D76ECB" w:rsidRDefault="00D76ECB" w:rsidP="00CA4D60">
                <w:pPr>
                  <w:jc w:val="center"/>
                  <w:rPr>
                    <w:color w:val="000000" w:themeColor="text1"/>
                  </w:rPr>
                </w:pPr>
                <w:r>
                  <w:rPr>
                    <w:color w:val="000000" w:themeColor="text1"/>
                  </w:rPr>
                  <w:t>上期发生额</w:t>
                </w:r>
              </w:p>
            </w:tc>
          </w:sdtContent>
        </w:sdt>
      </w:tr>
      <w:tr w:rsidR="00EE7053" w:rsidTr="004132F3">
        <w:trPr>
          <w:jc w:val="center"/>
        </w:trPr>
        <w:sdt>
          <w:sdtPr>
            <w:rPr>
              <w:color w:val="000000" w:themeColor="text1"/>
            </w:rPr>
            <w:alias w:val="计入当期损益的政府补助项目名称"/>
            <w:tag w:val="_GBC_a983426201404cbea85ab6577f8d9056"/>
            <w:id w:val="812685145"/>
            <w:comboBox>
              <w:listItem w:displayText="与资产相关" w:value="与资产相关"/>
              <w:listItem w:displayText="与收益相关" w:value="与收益相关"/>
              <w:listItem w:displayText="其他" w:value="其他"/>
            </w:comboBox>
          </w:sdtPr>
          <w:sdtEndPr/>
          <w:sdtContent>
            <w:tc>
              <w:tcPr>
                <w:tcW w:w="1586"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rPr>
                    <w:color w:val="000000" w:themeColor="text1"/>
                  </w:rPr>
                </w:pPr>
                <w:r>
                  <w:rPr>
                    <w:color w:val="000000" w:themeColor="text1"/>
                  </w:rPr>
                  <w:t>与资产相关</w:t>
                </w:r>
              </w:p>
            </w:tc>
          </w:sdtContent>
        </w:sdt>
        <w:tc>
          <w:tcPr>
            <w:tcW w:w="1707"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jc w:val="right"/>
              <w:rPr>
                <w:bCs w:val="0"/>
                <w:color w:val="000000"/>
                <w:sz w:val="24"/>
                <w:szCs w:val="24"/>
              </w:rPr>
            </w:pPr>
            <w:r>
              <w:rPr>
                <w:rFonts w:hint="eastAsia"/>
                <w:color w:val="000000"/>
              </w:rPr>
              <w:t xml:space="preserve"> 294.09 </w:t>
            </w:r>
          </w:p>
        </w:tc>
        <w:tc>
          <w:tcPr>
            <w:tcW w:w="1707"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jc w:val="right"/>
              <w:rPr>
                <w:bCs w:val="0"/>
                <w:color w:val="000000"/>
                <w:sz w:val="24"/>
                <w:szCs w:val="24"/>
              </w:rPr>
            </w:pPr>
            <w:r>
              <w:rPr>
                <w:rFonts w:hint="eastAsia"/>
                <w:color w:val="000000"/>
              </w:rPr>
              <w:t xml:space="preserve"> 193.28 </w:t>
            </w:r>
          </w:p>
        </w:tc>
      </w:tr>
      <w:tr w:rsidR="00EE7053" w:rsidTr="004132F3">
        <w:trPr>
          <w:jc w:val="center"/>
        </w:trPr>
        <w:sdt>
          <w:sdtPr>
            <w:rPr>
              <w:color w:val="000000" w:themeColor="text1"/>
            </w:rPr>
            <w:alias w:val="计入当期损益的政府补助项目名称"/>
            <w:tag w:val="_GBC_a983426201404cbea85ab6577f8d9056"/>
            <w:id w:val="393932344"/>
            <w:comboBox>
              <w:listItem w:displayText="与资产相关" w:value="与资产相关"/>
              <w:listItem w:displayText="与收益相关" w:value="与收益相关"/>
              <w:listItem w:displayText="其他" w:value="其他"/>
            </w:comboBox>
          </w:sdtPr>
          <w:sdtEndPr/>
          <w:sdtContent>
            <w:tc>
              <w:tcPr>
                <w:tcW w:w="1586"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rPr>
                    <w:color w:val="000000" w:themeColor="text1"/>
                  </w:rPr>
                </w:pPr>
                <w:r>
                  <w:rPr>
                    <w:color w:val="000000" w:themeColor="text1"/>
                  </w:rPr>
                  <w:t>与收益相关</w:t>
                </w:r>
              </w:p>
            </w:tc>
          </w:sdtContent>
        </w:sdt>
        <w:tc>
          <w:tcPr>
            <w:tcW w:w="1707"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jc w:val="right"/>
              <w:rPr>
                <w:color w:val="000000"/>
              </w:rPr>
            </w:pPr>
            <w:r>
              <w:rPr>
                <w:rFonts w:hint="eastAsia"/>
                <w:color w:val="000000"/>
              </w:rPr>
              <w:t xml:space="preserve"> 4,901.03 </w:t>
            </w:r>
          </w:p>
        </w:tc>
        <w:tc>
          <w:tcPr>
            <w:tcW w:w="1707"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jc w:val="right"/>
              <w:rPr>
                <w:color w:val="000000"/>
              </w:rPr>
            </w:pPr>
            <w:r>
              <w:rPr>
                <w:rFonts w:hint="eastAsia"/>
                <w:color w:val="000000"/>
              </w:rPr>
              <w:t xml:space="preserve"> 122.46 </w:t>
            </w:r>
          </w:p>
        </w:tc>
      </w:tr>
      <w:tr w:rsidR="00EE7053" w:rsidTr="004132F3">
        <w:trPr>
          <w:jc w:val="center"/>
        </w:trPr>
        <w:sdt>
          <w:sdtPr>
            <w:rPr>
              <w:color w:val="000000" w:themeColor="text1"/>
            </w:rPr>
            <w:alias w:val="计入当期损益的政府补助项目名称"/>
            <w:tag w:val="_GBC_a983426201404cbea85ab6577f8d9056"/>
            <w:id w:val="25768114"/>
            <w:comboBox>
              <w:listItem w:displayText="与资产相关" w:value="与资产相关"/>
              <w:listItem w:displayText="与收益相关" w:value="与收益相关"/>
              <w:listItem w:displayText="其他" w:value="其他"/>
            </w:comboBox>
          </w:sdtPr>
          <w:sdtEndPr/>
          <w:sdtContent>
            <w:tc>
              <w:tcPr>
                <w:tcW w:w="1586"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rPr>
                    <w:color w:val="000000" w:themeColor="text1"/>
                  </w:rPr>
                </w:pPr>
                <w:r>
                  <w:rPr>
                    <w:color w:val="000000" w:themeColor="text1"/>
                  </w:rPr>
                  <w:t>其他</w:t>
                </w:r>
              </w:p>
            </w:tc>
          </w:sdtContent>
        </w:sdt>
        <w:tc>
          <w:tcPr>
            <w:tcW w:w="1707"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jc w:val="right"/>
              <w:rPr>
                <w:color w:val="000000"/>
              </w:rPr>
            </w:pPr>
            <w:r>
              <w:rPr>
                <w:rFonts w:hint="eastAsia"/>
                <w:color w:val="000000"/>
              </w:rPr>
              <w:t xml:space="preserve"> 14.89 </w:t>
            </w:r>
          </w:p>
        </w:tc>
        <w:tc>
          <w:tcPr>
            <w:tcW w:w="1707" w:type="pct"/>
            <w:tcBorders>
              <w:top w:val="single" w:sz="4" w:space="0" w:color="auto"/>
              <w:left w:val="single" w:sz="4" w:space="0" w:color="auto"/>
              <w:bottom w:val="single" w:sz="4" w:space="0" w:color="auto"/>
              <w:right w:val="single" w:sz="4" w:space="0" w:color="auto"/>
            </w:tcBorders>
            <w:vAlign w:val="bottom"/>
          </w:tcPr>
          <w:p w:rsidR="00EE7053" w:rsidRDefault="00EE7053" w:rsidP="00EE7053">
            <w:pPr>
              <w:jc w:val="right"/>
              <w:rPr>
                <w:color w:val="000000"/>
              </w:rPr>
            </w:pPr>
            <w:r>
              <w:rPr>
                <w:rFonts w:hint="eastAsia"/>
                <w:color w:val="000000"/>
              </w:rPr>
              <w:t xml:space="preserve"> 5.67 </w:t>
            </w:r>
          </w:p>
        </w:tc>
      </w:tr>
      <w:tr w:rsidR="00D76ECB" w:rsidTr="002A3992">
        <w:trPr>
          <w:jc w:val="center"/>
        </w:trPr>
        <w:tc>
          <w:tcPr>
            <w:tcW w:w="1586" w:type="pct"/>
            <w:tcBorders>
              <w:top w:val="single" w:sz="4" w:space="0" w:color="auto"/>
              <w:left w:val="single" w:sz="4" w:space="0" w:color="auto"/>
              <w:bottom w:val="single" w:sz="4" w:space="0" w:color="auto"/>
              <w:right w:val="single" w:sz="4" w:space="0" w:color="auto"/>
            </w:tcBorders>
            <w:vAlign w:val="center"/>
          </w:tcPr>
          <w:p w:rsidR="00D76ECB" w:rsidRDefault="00D76ECB" w:rsidP="00CA4D60">
            <w:pPr>
              <w:jc w:val="center"/>
              <w:rPr>
                <w:color w:val="000000" w:themeColor="text1"/>
              </w:rPr>
            </w:pPr>
            <w:r>
              <w:rPr>
                <w:rFonts w:hint="eastAsia"/>
                <w:color w:val="000000" w:themeColor="text1"/>
              </w:rPr>
              <w:t>合计</w:t>
            </w:r>
          </w:p>
        </w:tc>
        <w:tc>
          <w:tcPr>
            <w:tcW w:w="1707" w:type="pct"/>
            <w:tcBorders>
              <w:top w:val="single" w:sz="4" w:space="0" w:color="auto"/>
              <w:left w:val="single" w:sz="4" w:space="0" w:color="auto"/>
              <w:bottom w:val="single" w:sz="4" w:space="0" w:color="auto"/>
              <w:right w:val="single" w:sz="4" w:space="0" w:color="auto"/>
            </w:tcBorders>
          </w:tcPr>
          <w:p w:rsidR="00D76ECB" w:rsidRDefault="00D76ECB" w:rsidP="00CA4D60">
            <w:pPr>
              <w:jc w:val="right"/>
            </w:pPr>
            <w:r>
              <w:rPr>
                <w:rFonts w:hint="eastAsia"/>
              </w:rPr>
              <w:t>5,210.01</w:t>
            </w:r>
          </w:p>
        </w:tc>
        <w:tc>
          <w:tcPr>
            <w:tcW w:w="1707" w:type="pct"/>
            <w:tcBorders>
              <w:top w:val="single" w:sz="4" w:space="0" w:color="auto"/>
              <w:left w:val="single" w:sz="4" w:space="0" w:color="auto"/>
              <w:bottom w:val="single" w:sz="4" w:space="0" w:color="auto"/>
              <w:right w:val="single" w:sz="4" w:space="0" w:color="auto"/>
            </w:tcBorders>
          </w:tcPr>
          <w:p w:rsidR="00D76ECB" w:rsidRDefault="00D76ECB" w:rsidP="00CA4D60">
            <w:pPr>
              <w:jc w:val="right"/>
            </w:pPr>
            <w:r>
              <w:rPr>
                <w:rFonts w:hint="eastAsia"/>
              </w:rPr>
              <w:t>321.41</w:t>
            </w:r>
          </w:p>
        </w:tc>
      </w:tr>
    </w:tbl>
    <w:p w:rsidR="00B14B79" w:rsidRDefault="00B14B79" w:rsidP="00B14B79"/>
    <w:p w:rsidR="00597370" w:rsidRDefault="003C2EEE">
      <w:pPr>
        <w:rPr>
          <w:color w:val="000000" w:themeColor="text1"/>
        </w:rPr>
      </w:pPr>
      <w:r>
        <w:rPr>
          <w:rFonts w:hint="eastAsia"/>
          <w:color w:val="000000" w:themeColor="text1"/>
        </w:rPr>
        <w:t>其他说明：</w:t>
      </w:r>
    </w:p>
    <w:sdt>
      <w:sdtPr>
        <w:rPr>
          <w:color w:val="000000" w:themeColor="text1"/>
        </w:rPr>
        <w:alias w:val="政府补助说明"/>
        <w:tag w:val="_GBC_2db67f97ef974f8db75ebfb04517ea6f"/>
        <w:id w:val="-1420712972"/>
        <w:lock w:val="sdtLocked"/>
        <w:placeholder>
          <w:docPart w:val="GBC22222222222222222222222222222"/>
        </w:placeholder>
      </w:sdtPr>
      <w:sdtEndPr/>
      <w:sdtContent>
        <w:p w:rsidR="00597370" w:rsidRDefault="00EE7053">
          <w:pPr>
            <w:rPr>
              <w:color w:val="000000" w:themeColor="text1"/>
            </w:rPr>
          </w:pPr>
          <w:r>
            <w:rPr>
              <w:rFonts w:hint="eastAsia"/>
              <w:color w:val="000000" w:themeColor="text1"/>
            </w:rPr>
            <w:t>无</w:t>
          </w:r>
        </w:p>
      </w:sdtContent>
    </w:sdt>
    <w:p w:rsidR="00597370" w:rsidRDefault="003C2EEE">
      <w:pPr>
        <w:pStyle w:val="Style108"/>
        <w:numPr>
          <w:ilvl w:val="0"/>
          <w:numId w:val="36"/>
        </w:numPr>
        <w:ind w:left="422" w:hanging="422"/>
        <w:rPr>
          <w:rFonts w:ascii="宋体" w:hAnsi="宋体"/>
          <w:color w:val="000000" w:themeColor="text1"/>
        </w:rPr>
      </w:pPr>
      <w:bookmarkStart w:id="379" w:name="_Hlk167976349"/>
      <w:bookmarkEnd w:id="376"/>
      <w:bookmarkEnd w:id="378"/>
      <w:r>
        <w:rPr>
          <w:rFonts w:ascii="宋体" w:hAnsi="宋体" w:hint="eastAsia"/>
          <w:color w:val="000000" w:themeColor="text1"/>
        </w:rPr>
        <w:t>与金融工具相关的风险</w:t>
      </w:r>
    </w:p>
    <w:p w:rsidR="00597370" w:rsidRDefault="003C2EEE">
      <w:pPr>
        <w:pStyle w:val="Style109"/>
        <w:numPr>
          <w:ilvl w:val="0"/>
          <w:numId w:val="99"/>
        </w:numPr>
        <w:ind w:left="425" w:hanging="425"/>
        <w:rPr>
          <w:color w:val="000000" w:themeColor="text1"/>
        </w:rPr>
      </w:pPr>
      <w:r>
        <w:rPr>
          <w:rFonts w:hint="eastAsia"/>
          <w:color w:val="000000" w:themeColor="text1"/>
        </w:rPr>
        <w:t>金融工具的风险</w:t>
      </w:r>
    </w:p>
    <w:sdt>
      <w:sdtPr>
        <w:rPr>
          <w:color w:val="000000" w:themeColor="text1"/>
        </w:rPr>
        <w:alias w:val="是否适用：与金融工具相关的风险[双击切换]"/>
        <w:tag w:val="_GBC_e1cf17d3b39745d798050adfebdd2723"/>
        <w:id w:val="71023043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sz w:val="21"/>
          <w:szCs w:val="21"/>
        </w:rPr>
        <w:alias w:val="与金融工具相关的风险"/>
        <w:tag w:val="_GBC_a654575471934b06b0c3b91a6a980434"/>
        <w:id w:val="-420491440"/>
      </w:sdtPr>
      <w:sdtEndPr>
        <w:rPr>
          <w:b/>
          <w:sz w:val="24"/>
          <w:szCs w:val="24"/>
        </w:rPr>
      </w:sdtEndPr>
      <w:sdtContent>
        <w:p w:rsidR="00597370" w:rsidRDefault="003C2EEE">
          <w:pPr>
            <w:pStyle w:val="Style180"/>
            <w:adjustRightInd w:val="0"/>
            <w:snapToGrid w:val="0"/>
            <w:spacing w:beforeLines="0"/>
            <w:ind w:firstLine="420"/>
            <w:rPr>
              <w:rStyle w:val="Char10"/>
            </w:rPr>
          </w:pPr>
          <w:r>
            <w:rPr>
              <w:rStyle w:val="Char10"/>
              <w:rFonts w:hint="eastAsia"/>
            </w:rPr>
            <w:t>本公司的主要金融工具包括货币资金、股权投资、借款、应收款项、应付款项等。在日常活动中面临各种金融工具的风险，主要包括信用风险、流动性风险、市场风险。与这些金融工具相关的风险，以及本公司为降低这些风险所采取的风险管理政策如下所述：</w:t>
          </w:r>
        </w:p>
        <w:p w:rsidR="00597370" w:rsidRDefault="003C2EEE">
          <w:pPr>
            <w:pStyle w:val="Style180"/>
            <w:adjustRightInd w:val="0"/>
            <w:snapToGrid w:val="0"/>
            <w:spacing w:beforeLines="0"/>
            <w:ind w:firstLine="420"/>
            <w:rPr>
              <w:rStyle w:val="Char10"/>
            </w:rPr>
          </w:pPr>
          <w:r>
            <w:rPr>
              <w:rStyle w:val="Char10"/>
              <w:rFonts w:hint="eastAsia"/>
            </w:rPr>
            <w:t>董事会负责规划并建立本公司的风险管理架构，制定本公司的风险管理政策和相关指引并监督风险管理措施的执行情况。本公司已制定风险管理政策以识别和分析本公司所面临的风险，这些风险管理政策对特定风险进行了明确规定，涵盖了市场风险、信用风险和流动性风险管理等诸多方面。本公司定期评估市场环境及本公司经营活动的变化以决定是否对风险管理政策及系统进行更新。</w:t>
          </w:r>
        </w:p>
        <w:p w:rsidR="00597370" w:rsidRDefault="003C2EEE">
          <w:pPr>
            <w:pStyle w:val="Style180"/>
            <w:adjustRightInd w:val="0"/>
            <w:snapToGrid w:val="0"/>
            <w:spacing w:beforeLines="0"/>
            <w:ind w:firstLine="420"/>
            <w:rPr>
              <w:rStyle w:val="Char10"/>
            </w:rPr>
          </w:pPr>
          <w:r>
            <w:rPr>
              <w:rStyle w:val="Char10"/>
              <w:rFonts w:hint="eastAsia"/>
            </w:rPr>
            <w:t>（</w:t>
          </w:r>
          <w:r>
            <w:rPr>
              <w:rStyle w:val="Char10"/>
              <w:rFonts w:hint="eastAsia"/>
            </w:rPr>
            <w:t>1</w:t>
          </w:r>
          <w:r>
            <w:rPr>
              <w:rStyle w:val="Char10"/>
              <w:rFonts w:hint="eastAsia"/>
            </w:rPr>
            <w:t>）</w:t>
          </w:r>
          <w:r>
            <w:rPr>
              <w:rStyle w:val="Char10"/>
            </w:rPr>
            <w:t>信用风险</w:t>
          </w:r>
        </w:p>
        <w:p w:rsidR="00597370" w:rsidRDefault="003C2EEE">
          <w:pPr>
            <w:pStyle w:val="Style180"/>
            <w:adjustRightInd w:val="0"/>
            <w:snapToGrid w:val="0"/>
            <w:spacing w:beforeLines="0"/>
            <w:ind w:firstLine="420"/>
            <w:rPr>
              <w:rStyle w:val="Char10"/>
            </w:rPr>
          </w:pPr>
          <w:r>
            <w:rPr>
              <w:rStyle w:val="Char10"/>
              <w:rFonts w:hint="eastAsia"/>
            </w:rPr>
            <w:t>信用风险是指交易对手未能履行合同义务而导致本公司产生财务损失的风险，管理层已制定适当的信用政策，并且不断监察信用风险的敞口。</w:t>
          </w:r>
        </w:p>
        <w:p w:rsidR="00597370" w:rsidRDefault="003C2EEE">
          <w:pPr>
            <w:pStyle w:val="Style180"/>
            <w:adjustRightInd w:val="0"/>
            <w:snapToGrid w:val="0"/>
            <w:spacing w:beforeLines="0"/>
            <w:ind w:firstLine="420"/>
            <w:rPr>
              <w:rStyle w:val="Char10"/>
            </w:rPr>
          </w:pPr>
          <w:r>
            <w:rPr>
              <w:rStyle w:val="Char10"/>
              <w:rFonts w:hint="eastAsia"/>
            </w:rPr>
            <w:t>本公司已采取政策只与信用良好的交易对手进行交易。另外，本公司基于对客户的财务状况、从第三方获取担保的可能性、信用记录及其它因素诸如目前市场状况等评估客户的信用资质并设置相应信用期。本公司对应收票据、应收账款余额及收回情况进行持续监控，对于信用记录不良的客户，本公司会采用书面催款、缩短信用期或取消信用期等方式，以确保本公司不致面临重大信用损失。此外，本公司于每个资产负债表日审核金融资产的回收情况，以确保相关金融资产计提了充分的预期信用损失准备。</w:t>
          </w:r>
        </w:p>
        <w:p w:rsidR="00597370" w:rsidRDefault="003C2EEE">
          <w:pPr>
            <w:pStyle w:val="Style180"/>
            <w:adjustRightInd w:val="0"/>
            <w:snapToGrid w:val="0"/>
            <w:spacing w:beforeLines="0"/>
            <w:ind w:firstLine="420"/>
            <w:rPr>
              <w:rStyle w:val="Char10"/>
            </w:rPr>
          </w:pPr>
          <w:r>
            <w:rPr>
              <w:rStyle w:val="Char10"/>
              <w:rFonts w:hint="eastAsia"/>
            </w:rPr>
            <w:t>本公司其他金融资产包括货币资金、其他应收款等，这些金融资产的信用风险源自于交易对手违约，最大信用风险敞口为资产负债表中每项金融资产的账面金额。本公司没有提供任何其他可能令本公司承受信用风险的担保。</w:t>
          </w:r>
        </w:p>
        <w:p w:rsidR="00597370" w:rsidRDefault="003C2EEE">
          <w:pPr>
            <w:pStyle w:val="Style180"/>
            <w:adjustRightInd w:val="0"/>
            <w:snapToGrid w:val="0"/>
            <w:spacing w:beforeLines="0"/>
            <w:ind w:firstLine="420"/>
            <w:rPr>
              <w:rStyle w:val="Char10"/>
            </w:rPr>
          </w:pPr>
          <w:r>
            <w:rPr>
              <w:rStyle w:val="Char10"/>
              <w:rFonts w:hint="eastAsia"/>
            </w:rPr>
            <w:t>本公司持有的货币资金主要存放于国有控股银行和其他大中型商业银行等金融机构，管理层认为这些商业银行具备较高信誉和资产状况，不存在重大的信用风险，不会产生因对方单位违约而导致的任何重大损失。本公司的政策是根据各知名金融机构的市场信誉、经营规模及财务背景来控制存放当中的存款金额，以限制对任何单个金融机构的信用风险金额。</w:t>
          </w:r>
        </w:p>
        <w:p w:rsidR="00597370" w:rsidRDefault="003C2EEE">
          <w:pPr>
            <w:pStyle w:val="Style180"/>
            <w:adjustRightInd w:val="0"/>
            <w:snapToGrid w:val="0"/>
            <w:spacing w:beforeLines="0"/>
            <w:ind w:firstLine="420"/>
            <w:rPr>
              <w:rStyle w:val="Char10"/>
            </w:rPr>
          </w:pPr>
          <w:r>
            <w:rPr>
              <w:rStyle w:val="Char10"/>
              <w:rFonts w:hint="eastAsia"/>
            </w:rPr>
            <w:t>作为本公司信用风险资产管理的一部分，本公司利用账龄来评估应收账款、应收票据和其他</w:t>
          </w:r>
          <w:r>
            <w:rPr>
              <w:rStyle w:val="Char10"/>
              <w:rFonts w:hint="eastAsia"/>
            </w:rPr>
            <w:lastRenderedPageBreak/>
            <w:t>应收款的减值损失。本公司的应收账款、应收票据和其他应收</w:t>
          </w:r>
          <w:proofErr w:type="gramStart"/>
          <w:r>
            <w:rPr>
              <w:rStyle w:val="Char10"/>
              <w:rFonts w:hint="eastAsia"/>
            </w:rPr>
            <w:t>款涉及</w:t>
          </w:r>
          <w:proofErr w:type="gramEnd"/>
          <w:r>
            <w:rPr>
              <w:rStyle w:val="Char10"/>
              <w:rFonts w:hint="eastAsia"/>
            </w:rPr>
            <w:t>大量客户，账</w:t>
          </w:r>
          <w:proofErr w:type="gramStart"/>
          <w:r>
            <w:rPr>
              <w:rStyle w:val="Char10"/>
              <w:rFonts w:hint="eastAsia"/>
            </w:rPr>
            <w:t>龄信息</w:t>
          </w:r>
          <w:proofErr w:type="gramEnd"/>
          <w:r>
            <w:rPr>
              <w:rStyle w:val="Char10"/>
              <w:rFonts w:hint="eastAsia"/>
            </w:rPr>
            <w:t>可以反映这些客户对于应收账款和其他应收款的偿付能力和坏账风险。本公司根据历史数据计算不同</w:t>
          </w:r>
          <w:proofErr w:type="gramStart"/>
          <w:r>
            <w:rPr>
              <w:rStyle w:val="Char10"/>
              <w:rFonts w:hint="eastAsia"/>
            </w:rPr>
            <w:t>账</w:t>
          </w:r>
          <w:proofErr w:type="gramEnd"/>
          <w:r>
            <w:rPr>
              <w:rStyle w:val="Char10"/>
              <w:rFonts w:hint="eastAsia"/>
            </w:rPr>
            <w:t>龄期间的历史实际坏账率，并考虑了当前及未来经济状况的预测，如国家</w:t>
          </w:r>
          <w:r>
            <w:rPr>
              <w:rStyle w:val="Char10"/>
            </w:rPr>
            <w:t>GDP</w:t>
          </w:r>
          <w:r>
            <w:rPr>
              <w:rStyle w:val="Char10"/>
            </w:rPr>
            <w:t>增速、基建投资总额、国家货币政策等前瞻性信息进行调整得出预期损失率。对于长期应收款，本公司综合考虑结算期、合同约定付款期、债务人的财务状况和债务人所处行业的经济形势，并考虑上述前瞻性信息进行调整</w:t>
          </w:r>
          <w:r>
            <w:rPr>
              <w:rStyle w:val="Char10"/>
              <w:rFonts w:hint="eastAsia"/>
            </w:rPr>
            <w:t>后对于预期信用损失进行合理评估。</w:t>
          </w:r>
        </w:p>
        <w:p w:rsidR="00597370" w:rsidRDefault="003C2EEE">
          <w:pPr>
            <w:pStyle w:val="Style180"/>
            <w:adjustRightInd w:val="0"/>
            <w:snapToGrid w:val="0"/>
            <w:spacing w:beforeLines="0"/>
            <w:ind w:firstLine="420"/>
            <w:rPr>
              <w:rStyle w:val="Char10"/>
            </w:rPr>
          </w:pPr>
          <w:r>
            <w:rPr>
              <w:rStyle w:val="Char10"/>
              <w:rFonts w:hint="eastAsia"/>
            </w:rPr>
            <w:t>截止</w:t>
          </w:r>
          <w:r>
            <w:rPr>
              <w:rStyle w:val="Char10"/>
            </w:rPr>
            <w:t>2024</w:t>
          </w:r>
          <w:r>
            <w:rPr>
              <w:rStyle w:val="Char10"/>
            </w:rPr>
            <w:t>年</w:t>
          </w:r>
          <w:r>
            <w:rPr>
              <w:rStyle w:val="Char10"/>
            </w:rPr>
            <w:t>6</w:t>
          </w:r>
          <w:r>
            <w:rPr>
              <w:rStyle w:val="Char10"/>
            </w:rPr>
            <w:t>月</w:t>
          </w:r>
          <w:r>
            <w:rPr>
              <w:rStyle w:val="Char10"/>
            </w:rPr>
            <w:t>30</w:t>
          </w:r>
          <w:r>
            <w:rPr>
              <w:rStyle w:val="Char10"/>
            </w:rPr>
            <w:t>日，相关资产的账面余额与预期信用减值损失情况如下：</w:t>
          </w:r>
        </w:p>
        <w:tbl>
          <w:tblPr>
            <w:tblStyle w:val="g7"/>
            <w:tblW w:w="4819" w:type="pct"/>
            <w:jc w:val="center"/>
            <w:tblInd w:w="0" w:type="dxa"/>
            <w:tblLayout w:type="fixed"/>
            <w:tblCellMar>
              <w:right w:w="28" w:type="dxa"/>
            </w:tblCellMar>
            <w:tblLook w:val="04A0" w:firstRow="1" w:lastRow="0" w:firstColumn="1" w:lastColumn="0" w:noHBand="0" w:noVBand="1"/>
          </w:tblPr>
          <w:tblGrid>
            <w:gridCol w:w="2943"/>
            <w:gridCol w:w="2725"/>
            <w:gridCol w:w="2836"/>
          </w:tblGrid>
          <w:tr w:rsidR="00597370">
            <w:trPr>
              <w:trHeight w:val="397"/>
              <w:jc w:val="center"/>
            </w:trPr>
            <w:tc>
              <w:tcPr>
                <w:tcW w:w="2956" w:type="dxa"/>
                <w:vAlign w:val="center"/>
              </w:tcPr>
              <w:p w:rsidR="00597370" w:rsidRDefault="003C2EEE">
                <w:pPr>
                  <w:pStyle w:val="Style189"/>
                  <w:adjustRightInd w:val="0"/>
                  <w:snapToGrid w:val="0"/>
                  <w:rPr>
                    <w:rStyle w:val="Char10"/>
                    <w:rFonts w:asciiTheme="minorEastAsia" w:eastAsiaTheme="minorEastAsia" w:hAnsiTheme="minorEastAsia"/>
                  </w:rPr>
                </w:pPr>
                <w:r>
                  <w:rPr>
                    <w:rStyle w:val="Char10"/>
                    <w:rFonts w:asciiTheme="minorEastAsia" w:eastAsiaTheme="minorEastAsia" w:hAnsiTheme="minorEastAsia"/>
                  </w:rPr>
                  <w:t>项目</w:t>
                </w:r>
              </w:p>
            </w:tc>
            <w:tc>
              <w:tcPr>
                <w:tcW w:w="2737" w:type="dxa"/>
                <w:vAlign w:val="center"/>
              </w:tcPr>
              <w:p w:rsidR="00597370" w:rsidRDefault="003C2EEE">
                <w:pPr>
                  <w:pStyle w:val="Style189"/>
                  <w:adjustRightInd w:val="0"/>
                  <w:snapToGrid w:val="0"/>
                  <w:rPr>
                    <w:rStyle w:val="Char10"/>
                    <w:rFonts w:asciiTheme="minorEastAsia" w:eastAsiaTheme="minorEastAsia" w:hAnsiTheme="minorEastAsia"/>
                  </w:rPr>
                </w:pPr>
                <w:r>
                  <w:rPr>
                    <w:rStyle w:val="Char10"/>
                    <w:rFonts w:asciiTheme="minorEastAsia" w:eastAsiaTheme="minorEastAsia" w:hAnsiTheme="minorEastAsia"/>
                  </w:rPr>
                  <w:t>账面余额</w:t>
                </w:r>
                <w:r>
                  <w:rPr>
                    <w:rStyle w:val="Char10"/>
                    <w:rFonts w:asciiTheme="minorEastAsia" w:eastAsiaTheme="minorEastAsia" w:hAnsiTheme="minorEastAsia" w:hint="eastAsia"/>
                  </w:rPr>
                  <w:t>(元）</w:t>
                </w:r>
              </w:p>
            </w:tc>
            <w:tc>
              <w:tcPr>
                <w:tcW w:w="2849" w:type="dxa"/>
                <w:vAlign w:val="center"/>
              </w:tcPr>
              <w:p w:rsidR="00597370" w:rsidRDefault="003C2EEE">
                <w:pPr>
                  <w:pStyle w:val="Style189"/>
                  <w:adjustRightInd w:val="0"/>
                  <w:snapToGrid w:val="0"/>
                  <w:rPr>
                    <w:rStyle w:val="Char10"/>
                    <w:rFonts w:asciiTheme="minorEastAsia" w:eastAsiaTheme="minorEastAsia" w:hAnsiTheme="minorEastAsia"/>
                  </w:rPr>
                </w:pPr>
                <w:r>
                  <w:rPr>
                    <w:rStyle w:val="Char10"/>
                    <w:rFonts w:asciiTheme="minorEastAsia" w:eastAsiaTheme="minorEastAsia" w:hAnsiTheme="minorEastAsia"/>
                  </w:rPr>
                  <w:t>减值准备</w:t>
                </w:r>
                <w:r>
                  <w:rPr>
                    <w:rStyle w:val="Char10"/>
                    <w:rFonts w:asciiTheme="minorEastAsia" w:eastAsiaTheme="minorEastAsia" w:hAnsiTheme="minorEastAsia" w:hint="eastAsia"/>
                  </w:rPr>
                  <w:t>（元）</w:t>
                </w:r>
              </w:p>
            </w:tc>
          </w:tr>
          <w:tr w:rsidR="00597370">
            <w:trPr>
              <w:trHeight w:val="397"/>
              <w:jc w:val="center"/>
            </w:trPr>
            <w:tc>
              <w:tcPr>
                <w:tcW w:w="2956" w:type="dxa"/>
              </w:tcPr>
              <w:p w:rsidR="00597370" w:rsidRDefault="003C2EEE">
                <w:pPr>
                  <w:pStyle w:val="Style188"/>
                  <w:adjustRightInd w:val="0"/>
                  <w:snapToGrid w:val="0"/>
                  <w:rPr>
                    <w:rStyle w:val="Char10"/>
                    <w:rFonts w:asciiTheme="minorEastAsia" w:eastAsiaTheme="minorEastAsia" w:hAnsiTheme="minorEastAsia"/>
                  </w:rPr>
                </w:pPr>
                <w:r>
                  <w:rPr>
                    <w:rStyle w:val="Char10"/>
                    <w:rFonts w:asciiTheme="minorEastAsia" w:eastAsiaTheme="minorEastAsia" w:hAnsiTheme="minorEastAsia"/>
                  </w:rPr>
                  <w:t>应收票据</w:t>
                </w:r>
              </w:p>
            </w:tc>
            <w:tc>
              <w:tcPr>
                <w:tcW w:w="2737" w:type="dxa"/>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210,550,852.09 </w:t>
                </w:r>
              </w:p>
            </w:tc>
            <w:tc>
              <w:tcPr>
                <w:tcW w:w="2849" w:type="dxa"/>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15,905,646.9</w:t>
                </w:r>
                <w:r>
                  <w:rPr>
                    <w:rFonts w:asciiTheme="minorEastAsia" w:eastAsiaTheme="minorEastAsia" w:hAnsiTheme="minorEastAsia" w:cs="Times New Roman" w:hint="eastAsia"/>
                    <w:sz w:val="21"/>
                    <w:szCs w:val="21"/>
                  </w:rPr>
                  <w:t>0</w:t>
                </w:r>
                <w:r>
                  <w:rPr>
                    <w:rFonts w:asciiTheme="minorEastAsia" w:eastAsiaTheme="minorEastAsia" w:hAnsiTheme="minorEastAsia" w:cs="Times New Roman"/>
                    <w:sz w:val="21"/>
                    <w:szCs w:val="21"/>
                  </w:rPr>
                  <w:t xml:space="preserve"> </w:t>
                </w:r>
              </w:p>
            </w:tc>
          </w:tr>
          <w:tr w:rsidR="00597370">
            <w:trPr>
              <w:trHeight w:val="397"/>
              <w:jc w:val="center"/>
            </w:trPr>
            <w:tc>
              <w:tcPr>
                <w:tcW w:w="2956" w:type="dxa"/>
              </w:tcPr>
              <w:p w:rsidR="00597370" w:rsidRDefault="003C2EEE">
                <w:pPr>
                  <w:pStyle w:val="Style188"/>
                  <w:adjustRightInd w:val="0"/>
                  <w:snapToGrid w:val="0"/>
                  <w:rPr>
                    <w:rStyle w:val="Char10"/>
                    <w:rFonts w:asciiTheme="minorEastAsia" w:eastAsiaTheme="minorEastAsia" w:hAnsiTheme="minorEastAsia"/>
                  </w:rPr>
                </w:pPr>
                <w:r>
                  <w:rPr>
                    <w:rStyle w:val="Char10"/>
                    <w:rFonts w:asciiTheme="minorEastAsia" w:eastAsiaTheme="minorEastAsia" w:hAnsiTheme="minorEastAsia"/>
                  </w:rPr>
                  <w:t>应收款项融资</w:t>
                </w:r>
              </w:p>
            </w:tc>
            <w:tc>
              <w:tcPr>
                <w:tcW w:w="2737" w:type="dxa"/>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25,422,493.50 </w:t>
                </w:r>
              </w:p>
            </w:tc>
            <w:tc>
              <w:tcPr>
                <w:tcW w:w="2849" w:type="dxa"/>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624,116.90 </w:t>
                </w:r>
              </w:p>
            </w:tc>
          </w:tr>
          <w:tr w:rsidR="00597370">
            <w:trPr>
              <w:trHeight w:val="397"/>
              <w:jc w:val="center"/>
            </w:trPr>
            <w:tc>
              <w:tcPr>
                <w:tcW w:w="2956" w:type="dxa"/>
              </w:tcPr>
              <w:p w:rsidR="00597370" w:rsidRDefault="003C2EEE">
                <w:pPr>
                  <w:pStyle w:val="Style188"/>
                  <w:adjustRightInd w:val="0"/>
                  <w:snapToGrid w:val="0"/>
                  <w:rPr>
                    <w:rStyle w:val="Char10"/>
                    <w:rFonts w:asciiTheme="minorEastAsia" w:eastAsiaTheme="minorEastAsia" w:hAnsiTheme="minorEastAsia"/>
                  </w:rPr>
                </w:pPr>
                <w:r>
                  <w:rPr>
                    <w:rStyle w:val="Char10"/>
                    <w:rFonts w:asciiTheme="minorEastAsia" w:eastAsiaTheme="minorEastAsia" w:hAnsiTheme="minorEastAsia"/>
                  </w:rPr>
                  <w:t>应收账款</w:t>
                </w:r>
              </w:p>
            </w:tc>
            <w:tc>
              <w:tcPr>
                <w:tcW w:w="2737" w:type="dxa"/>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1,740,889,615.39 </w:t>
                </w:r>
              </w:p>
            </w:tc>
            <w:tc>
              <w:tcPr>
                <w:tcW w:w="2849" w:type="dxa"/>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188,572,330.44 </w:t>
                </w:r>
              </w:p>
            </w:tc>
          </w:tr>
          <w:tr w:rsidR="00597370">
            <w:trPr>
              <w:trHeight w:val="397"/>
              <w:jc w:val="center"/>
            </w:trPr>
            <w:tc>
              <w:tcPr>
                <w:tcW w:w="2956" w:type="dxa"/>
              </w:tcPr>
              <w:p w:rsidR="00597370" w:rsidRDefault="003C2EEE">
                <w:pPr>
                  <w:pStyle w:val="Style188"/>
                  <w:adjustRightInd w:val="0"/>
                  <w:snapToGrid w:val="0"/>
                  <w:rPr>
                    <w:rStyle w:val="Char10"/>
                    <w:rFonts w:asciiTheme="minorEastAsia" w:eastAsiaTheme="minorEastAsia" w:hAnsiTheme="minorEastAsia"/>
                  </w:rPr>
                </w:pPr>
                <w:r>
                  <w:rPr>
                    <w:rStyle w:val="Char10"/>
                    <w:rFonts w:asciiTheme="minorEastAsia" w:eastAsiaTheme="minorEastAsia" w:hAnsiTheme="minorEastAsia"/>
                  </w:rPr>
                  <w:t>其他应收款</w:t>
                </w:r>
              </w:p>
            </w:tc>
            <w:tc>
              <w:tcPr>
                <w:tcW w:w="2737" w:type="dxa"/>
                <w:shd w:val="clear" w:color="auto" w:fill="auto"/>
                <w:vAlign w:val="center"/>
              </w:tcPr>
              <w:p w:rsidR="00597370" w:rsidRDefault="003C2EEE">
                <w:pPr>
                  <w:widowControl/>
                  <w:adjustRightInd w:val="0"/>
                  <w:snapToGrid w:val="0"/>
                  <w:jc w:val="right"/>
                  <w:textAlignment w:val="bottom"/>
                  <w:rPr>
                    <w:color w:val="000000"/>
                    <w:sz w:val="22"/>
                    <w:szCs w:val="22"/>
                  </w:rPr>
                </w:pPr>
                <w:r>
                  <w:rPr>
                    <w:rFonts w:hint="eastAsia"/>
                    <w:color w:val="000000"/>
                    <w:sz w:val="22"/>
                    <w:szCs w:val="22"/>
                    <w:lang w:bidi="ar"/>
                  </w:rPr>
                  <w:t xml:space="preserve"> 184,112,625.45 </w:t>
                </w:r>
              </w:p>
            </w:tc>
            <w:tc>
              <w:tcPr>
                <w:tcW w:w="2849" w:type="dxa"/>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26,828,502.56 </w:t>
                </w:r>
              </w:p>
            </w:tc>
          </w:tr>
          <w:tr w:rsidR="00597370">
            <w:trPr>
              <w:trHeight w:val="397"/>
              <w:jc w:val="center"/>
            </w:trPr>
            <w:tc>
              <w:tcPr>
                <w:tcW w:w="2956" w:type="dxa"/>
              </w:tcPr>
              <w:p w:rsidR="00597370" w:rsidRDefault="003C2EEE">
                <w:pPr>
                  <w:pStyle w:val="Style188"/>
                  <w:adjustRightInd w:val="0"/>
                  <w:snapToGrid w:val="0"/>
                  <w:rPr>
                    <w:rStyle w:val="Char10"/>
                    <w:rFonts w:asciiTheme="minorEastAsia" w:eastAsiaTheme="minorEastAsia" w:hAnsiTheme="minorEastAsia"/>
                  </w:rPr>
                </w:pPr>
                <w:r>
                  <w:rPr>
                    <w:rStyle w:val="Char10"/>
                    <w:rFonts w:asciiTheme="minorEastAsia" w:eastAsiaTheme="minorEastAsia" w:hAnsiTheme="minorEastAsia"/>
                  </w:rPr>
                  <w:t>合计</w:t>
                </w:r>
              </w:p>
            </w:tc>
            <w:tc>
              <w:tcPr>
                <w:tcW w:w="2737" w:type="dxa"/>
                <w:shd w:val="clear" w:color="auto" w:fill="auto"/>
                <w:vAlign w:val="center"/>
              </w:tcPr>
              <w:p w:rsidR="00597370" w:rsidRDefault="003C2EEE">
                <w:pPr>
                  <w:widowControl/>
                  <w:adjustRightInd w:val="0"/>
                  <w:snapToGrid w:val="0"/>
                  <w:jc w:val="right"/>
                  <w:textAlignment w:val="top"/>
                  <w:rPr>
                    <w:color w:val="000000"/>
                  </w:rPr>
                </w:pPr>
                <w:r>
                  <w:rPr>
                    <w:rFonts w:hint="eastAsia"/>
                    <w:color w:val="000000"/>
                    <w:lang w:bidi="ar"/>
                  </w:rPr>
                  <w:t>2,160,975,586.43</w:t>
                </w:r>
              </w:p>
            </w:tc>
            <w:tc>
              <w:tcPr>
                <w:tcW w:w="2849" w:type="dxa"/>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231,930,596.8</w:t>
                </w:r>
                <w:r>
                  <w:rPr>
                    <w:rFonts w:asciiTheme="minorEastAsia" w:eastAsiaTheme="minorEastAsia" w:hAnsiTheme="minorEastAsia" w:cs="Times New Roman" w:hint="eastAsia"/>
                    <w:sz w:val="21"/>
                    <w:szCs w:val="21"/>
                  </w:rPr>
                  <w:t>0</w:t>
                </w:r>
                <w:r>
                  <w:rPr>
                    <w:rFonts w:asciiTheme="minorEastAsia" w:eastAsiaTheme="minorEastAsia" w:hAnsiTheme="minorEastAsia" w:cs="Times New Roman"/>
                    <w:sz w:val="21"/>
                    <w:szCs w:val="21"/>
                  </w:rPr>
                  <w:t xml:space="preserve"> </w:t>
                </w:r>
              </w:p>
            </w:tc>
          </w:tr>
        </w:tbl>
        <w:p w:rsidR="00597370" w:rsidRDefault="003C2EEE">
          <w:pPr>
            <w:pStyle w:val="Style180"/>
            <w:adjustRightInd w:val="0"/>
            <w:snapToGrid w:val="0"/>
            <w:spacing w:beforeLines="0"/>
            <w:ind w:firstLine="420"/>
            <w:rPr>
              <w:rStyle w:val="Char10"/>
            </w:rPr>
          </w:pPr>
          <w:r>
            <w:rPr>
              <w:rStyle w:val="Char10"/>
              <w:rFonts w:hint="eastAsia"/>
            </w:rPr>
            <w:t>本公司的主要客户为国家电网、南方电网等，该等客户具有可靠及良好的信誉，因此，本公司认为该等客户并无重大信用风险。由于本公司的客户广泛，因此没有重大的信用集中风险。截止</w:t>
          </w:r>
          <w:r>
            <w:rPr>
              <w:rStyle w:val="Char10"/>
            </w:rPr>
            <w:t>2024</w:t>
          </w:r>
          <w:r>
            <w:rPr>
              <w:rStyle w:val="Char10"/>
            </w:rPr>
            <w:t>年</w:t>
          </w:r>
          <w:r>
            <w:rPr>
              <w:rStyle w:val="Char10"/>
            </w:rPr>
            <w:t>6</w:t>
          </w:r>
          <w:r>
            <w:rPr>
              <w:rStyle w:val="Char10"/>
            </w:rPr>
            <w:t>月</w:t>
          </w:r>
          <w:r>
            <w:rPr>
              <w:rStyle w:val="Char10"/>
            </w:rPr>
            <w:t>30</w:t>
          </w:r>
          <w:r>
            <w:rPr>
              <w:rStyle w:val="Char10"/>
            </w:rPr>
            <w:t>日，本公司的前五大客户的应收</w:t>
          </w:r>
          <w:proofErr w:type="gramStart"/>
          <w:r>
            <w:rPr>
              <w:rStyle w:val="Char10"/>
            </w:rPr>
            <w:t>账款占</w:t>
          </w:r>
          <w:proofErr w:type="gramEnd"/>
          <w:r>
            <w:rPr>
              <w:rStyle w:val="Char10"/>
            </w:rPr>
            <w:t>本公司应收账款总额</w:t>
          </w:r>
          <w:r>
            <w:rPr>
              <w:rStyle w:val="Char10"/>
              <w:rFonts w:hint="eastAsia"/>
            </w:rPr>
            <w:t>7</w:t>
          </w:r>
          <w:r>
            <w:rPr>
              <w:rStyle w:val="Char10"/>
            </w:rPr>
            <w:t>.79</w:t>
          </w:r>
          <w:r>
            <w:rPr>
              <w:rStyle w:val="Char10"/>
              <w:rFonts w:hint="eastAsia"/>
            </w:rPr>
            <w:t>%</w:t>
          </w:r>
          <w:r>
            <w:rPr>
              <w:rStyle w:val="Char10"/>
            </w:rPr>
            <w:t>。</w:t>
          </w:r>
        </w:p>
        <w:p w:rsidR="00597370" w:rsidRDefault="003C2EEE">
          <w:pPr>
            <w:pStyle w:val="Style180"/>
            <w:adjustRightInd w:val="0"/>
            <w:snapToGrid w:val="0"/>
            <w:spacing w:beforeLines="0"/>
            <w:ind w:firstLine="420"/>
            <w:rPr>
              <w:rStyle w:val="Char10"/>
            </w:rPr>
          </w:pPr>
          <w:r>
            <w:rPr>
              <w:rStyle w:val="Char10"/>
              <w:rFonts w:hint="eastAsia"/>
            </w:rPr>
            <w:t>（</w:t>
          </w:r>
          <w:r>
            <w:rPr>
              <w:rStyle w:val="Char10"/>
              <w:rFonts w:hint="eastAsia"/>
            </w:rPr>
            <w:t>2</w:t>
          </w:r>
          <w:r>
            <w:rPr>
              <w:rStyle w:val="Char10"/>
              <w:rFonts w:hint="eastAsia"/>
            </w:rPr>
            <w:t>）流动性风险</w:t>
          </w:r>
        </w:p>
        <w:p w:rsidR="00597370" w:rsidRDefault="003C2EEE">
          <w:pPr>
            <w:pStyle w:val="Style180"/>
            <w:adjustRightInd w:val="0"/>
            <w:snapToGrid w:val="0"/>
            <w:spacing w:beforeLines="0"/>
            <w:ind w:firstLine="420"/>
            <w:rPr>
              <w:rStyle w:val="Char10"/>
            </w:rPr>
          </w:pPr>
          <w:r>
            <w:rPr>
              <w:rStyle w:val="Char10"/>
              <w:rFonts w:hint="eastAsia"/>
            </w:rPr>
            <w:t>流动性风险是指本公司在履行以交付现金或其他金融资产的方式结算的义务时发生资金短缺的风险。本公司下属成员企业各自负责其现金流量预测。公司财务部门基于各成员企业的现金流量预测结果，在公司层面持续监控公司短期和长期的资金需求，以确保维持充裕的现金储备；同时持续监控是否符合借款协议的规定，从主要金融机构获得提供足够备用资金的承诺，以满足短期和长期的资金需求。此外，本公司与主要业务往来银行订立融资额度授信协议，为本公司履行与商业票据相关的义务提供支持。截止</w:t>
          </w:r>
          <w:r>
            <w:rPr>
              <w:rStyle w:val="Char10"/>
            </w:rPr>
            <w:t>2024</w:t>
          </w:r>
          <w:r>
            <w:rPr>
              <w:rStyle w:val="Char10"/>
            </w:rPr>
            <w:t>年</w:t>
          </w:r>
          <w:r>
            <w:rPr>
              <w:rStyle w:val="Char10"/>
            </w:rPr>
            <w:t>6</w:t>
          </w:r>
          <w:r>
            <w:rPr>
              <w:rStyle w:val="Char10"/>
            </w:rPr>
            <w:t>月</w:t>
          </w:r>
          <w:r>
            <w:rPr>
              <w:rStyle w:val="Char10"/>
            </w:rPr>
            <w:t>30</w:t>
          </w:r>
          <w:r>
            <w:rPr>
              <w:rStyle w:val="Char10"/>
            </w:rPr>
            <w:t>日，本公司已拥有国内多家银行提供的银行授信额度，金额</w:t>
          </w:r>
          <w:r>
            <w:rPr>
              <w:rStyle w:val="Char10"/>
            </w:rPr>
            <w:t>516,969.00</w:t>
          </w:r>
          <w:r>
            <w:rPr>
              <w:rStyle w:val="Char10"/>
            </w:rPr>
            <w:t>万元，其中：已使用授</w:t>
          </w:r>
          <w:proofErr w:type="gramStart"/>
          <w:r>
            <w:rPr>
              <w:rStyle w:val="Char10"/>
            </w:rPr>
            <w:t>信金额</w:t>
          </w:r>
          <w:proofErr w:type="gramEnd"/>
          <w:r>
            <w:rPr>
              <w:rStyle w:val="Char10"/>
            </w:rPr>
            <w:t>为</w:t>
          </w:r>
          <w:r>
            <w:rPr>
              <w:rStyle w:val="Char10"/>
            </w:rPr>
            <w:t>251,136.67</w:t>
          </w:r>
          <w:r>
            <w:rPr>
              <w:rStyle w:val="Char10"/>
            </w:rPr>
            <w:t>万元。</w:t>
          </w:r>
        </w:p>
        <w:p w:rsidR="00597370" w:rsidRDefault="003C2EEE">
          <w:pPr>
            <w:pStyle w:val="Style180"/>
            <w:adjustRightInd w:val="0"/>
            <w:snapToGrid w:val="0"/>
            <w:spacing w:beforeLines="0"/>
            <w:ind w:firstLine="420"/>
            <w:rPr>
              <w:rStyle w:val="Char10"/>
            </w:rPr>
          </w:pPr>
          <w:r>
            <w:rPr>
              <w:rStyle w:val="Char10"/>
              <w:rFonts w:hint="eastAsia"/>
            </w:rPr>
            <w:t>截止</w:t>
          </w:r>
          <w:r>
            <w:rPr>
              <w:rStyle w:val="Char10"/>
            </w:rPr>
            <w:t>2024</w:t>
          </w:r>
          <w:r>
            <w:rPr>
              <w:rStyle w:val="Char10"/>
            </w:rPr>
            <w:t>年</w:t>
          </w:r>
          <w:r>
            <w:rPr>
              <w:rStyle w:val="Char10"/>
            </w:rPr>
            <w:t>6</w:t>
          </w:r>
          <w:r>
            <w:rPr>
              <w:rStyle w:val="Char10"/>
            </w:rPr>
            <w:t>月</w:t>
          </w:r>
          <w:r>
            <w:rPr>
              <w:rStyle w:val="Char10"/>
            </w:rPr>
            <w:t>30</w:t>
          </w:r>
          <w:r>
            <w:rPr>
              <w:rStyle w:val="Char10"/>
            </w:rPr>
            <w:t>日，本公司金融负债和表外担保项目以未折现的合同现金流量按合同剩余期限列示如下：</w:t>
          </w:r>
        </w:p>
        <w:tbl>
          <w:tblPr>
            <w:tblStyle w:val="g7"/>
            <w:tblW w:w="5005" w:type="pct"/>
            <w:jc w:val="center"/>
            <w:tblInd w:w="0" w:type="dxa"/>
            <w:tblLayout w:type="fixed"/>
            <w:tblCellMar>
              <w:right w:w="28" w:type="dxa"/>
            </w:tblCellMar>
            <w:tblLook w:val="04A0" w:firstRow="1" w:lastRow="0" w:firstColumn="1" w:lastColumn="0" w:noHBand="0" w:noVBand="1"/>
          </w:tblPr>
          <w:tblGrid>
            <w:gridCol w:w="2208"/>
            <w:gridCol w:w="2208"/>
            <w:gridCol w:w="2208"/>
            <w:gridCol w:w="2208"/>
          </w:tblGrid>
          <w:tr w:rsidR="00597370">
            <w:trPr>
              <w:trHeight w:val="397"/>
              <w:jc w:val="center"/>
            </w:trPr>
            <w:tc>
              <w:tcPr>
                <w:tcW w:w="2217" w:type="dxa"/>
                <w:vMerge w:val="restart"/>
                <w:vAlign w:val="center"/>
              </w:tcPr>
              <w:p w:rsidR="00597370" w:rsidRDefault="003C2EEE">
                <w:pPr>
                  <w:pStyle w:val="Style189"/>
                  <w:adjustRightInd w:val="0"/>
                  <w:snapToGrid w:val="0"/>
                  <w:rPr>
                    <w:rStyle w:val="Char10"/>
                  </w:rPr>
                </w:pPr>
                <w:r>
                  <w:rPr>
                    <w:rStyle w:val="Char10"/>
                    <w:rFonts w:hint="eastAsia"/>
                  </w:rPr>
                  <w:t>项目</w:t>
                </w:r>
              </w:p>
            </w:tc>
            <w:tc>
              <w:tcPr>
                <w:tcW w:w="6654" w:type="dxa"/>
                <w:gridSpan w:val="3"/>
                <w:vAlign w:val="center"/>
              </w:tcPr>
              <w:p w:rsidR="00597370" w:rsidRDefault="003C2EEE">
                <w:pPr>
                  <w:pStyle w:val="Style189"/>
                  <w:adjustRightInd w:val="0"/>
                  <w:snapToGrid w:val="0"/>
                  <w:rPr>
                    <w:rStyle w:val="Char10"/>
                  </w:rPr>
                </w:pPr>
                <w:r>
                  <w:rPr>
                    <w:rStyle w:val="Char10"/>
                    <w:rFonts w:hint="eastAsia"/>
                  </w:rPr>
                  <w:t>期末余额（元）</w:t>
                </w:r>
              </w:p>
            </w:tc>
          </w:tr>
          <w:tr w:rsidR="00597370">
            <w:trPr>
              <w:trHeight w:val="397"/>
              <w:jc w:val="center"/>
            </w:trPr>
            <w:tc>
              <w:tcPr>
                <w:tcW w:w="2217" w:type="dxa"/>
                <w:vMerge/>
                <w:vAlign w:val="center"/>
              </w:tcPr>
              <w:p w:rsidR="00597370" w:rsidRDefault="00597370">
                <w:pPr>
                  <w:pStyle w:val="Style189"/>
                  <w:adjustRightInd w:val="0"/>
                  <w:snapToGrid w:val="0"/>
                  <w:rPr>
                    <w:rStyle w:val="Char10"/>
                  </w:rPr>
                </w:pPr>
              </w:p>
            </w:tc>
            <w:tc>
              <w:tcPr>
                <w:tcW w:w="2218" w:type="dxa"/>
                <w:vAlign w:val="center"/>
              </w:tcPr>
              <w:p w:rsidR="00597370" w:rsidRDefault="003C2EEE">
                <w:pPr>
                  <w:pStyle w:val="Style189"/>
                  <w:adjustRightInd w:val="0"/>
                  <w:snapToGrid w:val="0"/>
                  <w:rPr>
                    <w:rStyle w:val="Char10"/>
                  </w:rPr>
                </w:pPr>
                <w:r>
                  <w:rPr>
                    <w:rStyle w:val="Char10"/>
                  </w:rPr>
                  <w:t>1</w:t>
                </w:r>
                <w:r>
                  <w:rPr>
                    <w:rStyle w:val="Char10"/>
                  </w:rPr>
                  <w:t>年以内付款</w:t>
                </w:r>
              </w:p>
            </w:tc>
            <w:tc>
              <w:tcPr>
                <w:tcW w:w="2218" w:type="dxa"/>
                <w:vAlign w:val="center"/>
              </w:tcPr>
              <w:p w:rsidR="00597370" w:rsidRDefault="003C2EEE">
                <w:pPr>
                  <w:pStyle w:val="Style189"/>
                  <w:adjustRightInd w:val="0"/>
                  <w:snapToGrid w:val="0"/>
                  <w:rPr>
                    <w:rStyle w:val="Char10"/>
                  </w:rPr>
                </w:pPr>
                <w:r>
                  <w:rPr>
                    <w:rStyle w:val="Char10"/>
                  </w:rPr>
                  <w:t>1</w:t>
                </w:r>
                <w:r>
                  <w:rPr>
                    <w:rStyle w:val="Char10"/>
                  </w:rPr>
                  <w:t>年以上</w:t>
                </w:r>
              </w:p>
            </w:tc>
            <w:tc>
              <w:tcPr>
                <w:tcW w:w="2218" w:type="dxa"/>
                <w:vAlign w:val="center"/>
              </w:tcPr>
              <w:p w:rsidR="00597370" w:rsidRDefault="003C2EEE">
                <w:pPr>
                  <w:pStyle w:val="Style189"/>
                  <w:adjustRightInd w:val="0"/>
                  <w:snapToGrid w:val="0"/>
                  <w:rPr>
                    <w:rStyle w:val="Char10"/>
                  </w:rPr>
                </w:pPr>
                <w:r>
                  <w:rPr>
                    <w:rStyle w:val="Char10"/>
                  </w:rPr>
                  <w:t>合计</w:t>
                </w:r>
              </w:p>
            </w:tc>
          </w:tr>
          <w:tr w:rsidR="00597370">
            <w:trPr>
              <w:trHeight w:val="397"/>
              <w:jc w:val="center"/>
            </w:trPr>
            <w:tc>
              <w:tcPr>
                <w:tcW w:w="2217" w:type="dxa"/>
                <w:vAlign w:val="center"/>
              </w:tcPr>
              <w:p w:rsidR="00597370" w:rsidRDefault="003C2EEE">
                <w:pPr>
                  <w:pStyle w:val="Style188"/>
                  <w:adjustRightInd w:val="0"/>
                  <w:snapToGrid w:val="0"/>
                  <w:rPr>
                    <w:rStyle w:val="Char10"/>
                  </w:rPr>
                </w:pPr>
                <w:r>
                  <w:rPr>
                    <w:rStyle w:val="Char10"/>
                  </w:rPr>
                  <w:t>短期借款</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265,390,464.80 </w:t>
                </w:r>
              </w:p>
            </w:tc>
            <w:tc>
              <w:tcPr>
                <w:tcW w:w="2218" w:type="dxa"/>
                <w:vAlign w:val="bottom"/>
              </w:tcPr>
              <w:p w:rsidR="00597370" w:rsidRDefault="00597370">
                <w:pPr>
                  <w:pStyle w:val="Style187"/>
                  <w:adjustRightInd w:val="0"/>
                  <w:snapToGrid w:val="0"/>
                  <w:rPr>
                    <w:rStyle w:val="Char10"/>
                    <w:rFonts w:asciiTheme="minorEastAsia" w:eastAsiaTheme="minorEastAsia" w:hAnsiTheme="minorEastAsia" w:cs="Times New Roman"/>
                  </w:rPr>
                </w:pP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265,390,464.80 </w:t>
                </w:r>
              </w:p>
            </w:tc>
          </w:tr>
          <w:tr w:rsidR="00597370">
            <w:trPr>
              <w:trHeight w:val="397"/>
              <w:jc w:val="center"/>
            </w:trPr>
            <w:tc>
              <w:tcPr>
                <w:tcW w:w="2217" w:type="dxa"/>
                <w:vAlign w:val="center"/>
              </w:tcPr>
              <w:p w:rsidR="00597370" w:rsidRDefault="003C2EEE">
                <w:pPr>
                  <w:pStyle w:val="Style188"/>
                  <w:adjustRightInd w:val="0"/>
                  <w:snapToGrid w:val="0"/>
                  <w:rPr>
                    <w:rStyle w:val="Char10"/>
                  </w:rPr>
                </w:pPr>
                <w:r>
                  <w:rPr>
                    <w:rStyle w:val="Char10"/>
                  </w:rPr>
                  <w:t>长期借款</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377,149,999.09 </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751,857,879.70 </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1,129,007,878.79 </w:t>
                </w:r>
              </w:p>
            </w:tc>
          </w:tr>
          <w:tr w:rsidR="00597370">
            <w:trPr>
              <w:trHeight w:val="397"/>
              <w:jc w:val="center"/>
            </w:trPr>
            <w:tc>
              <w:tcPr>
                <w:tcW w:w="2217" w:type="dxa"/>
                <w:vAlign w:val="center"/>
              </w:tcPr>
              <w:p w:rsidR="00597370" w:rsidRDefault="003C2EEE">
                <w:pPr>
                  <w:pStyle w:val="Style188"/>
                  <w:adjustRightInd w:val="0"/>
                  <w:snapToGrid w:val="0"/>
                  <w:rPr>
                    <w:rStyle w:val="Char10"/>
                  </w:rPr>
                </w:pPr>
                <w:r>
                  <w:rPr>
                    <w:rStyle w:val="Char10"/>
                    <w:rFonts w:hint="eastAsia"/>
                  </w:rPr>
                  <w:t>应付票据</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589,493,398.03 </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589,493,398.03 </w:t>
                </w:r>
              </w:p>
            </w:tc>
          </w:tr>
          <w:tr w:rsidR="00597370">
            <w:trPr>
              <w:trHeight w:val="397"/>
              <w:jc w:val="center"/>
            </w:trPr>
            <w:tc>
              <w:tcPr>
                <w:tcW w:w="2217" w:type="dxa"/>
                <w:vAlign w:val="center"/>
              </w:tcPr>
              <w:p w:rsidR="00597370" w:rsidRDefault="003C2EEE">
                <w:pPr>
                  <w:pStyle w:val="Style188"/>
                  <w:adjustRightInd w:val="0"/>
                  <w:snapToGrid w:val="0"/>
                  <w:rPr>
                    <w:rStyle w:val="Char10"/>
                  </w:rPr>
                </w:pPr>
                <w:r>
                  <w:rPr>
                    <w:rStyle w:val="Char10"/>
                    <w:rFonts w:hint="eastAsia"/>
                  </w:rPr>
                  <w:t>应付账款</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919,160,100.68 </w:t>
                </w:r>
              </w:p>
            </w:tc>
            <w:tc>
              <w:tcPr>
                <w:tcW w:w="2218" w:type="dxa"/>
                <w:vAlign w:val="bottom"/>
              </w:tcPr>
              <w:p w:rsidR="00597370" w:rsidRDefault="00597370">
                <w:pPr>
                  <w:pStyle w:val="Style187"/>
                  <w:adjustRightInd w:val="0"/>
                  <w:snapToGrid w:val="0"/>
                  <w:rPr>
                    <w:rStyle w:val="Char10"/>
                    <w:rFonts w:asciiTheme="minorEastAsia" w:eastAsiaTheme="minorEastAsia" w:hAnsiTheme="minorEastAsia" w:cs="Times New Roman"/>
                  </w:rPr>
                </w:pP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919,160,100.68 </w:t>
                </w:r>
              </w:p>
            </w:tc>
          </w:tr>
          <w:tr w:rsidR="00597370">
            <w:trPr>
              <w:trHeight w:val="397"/>
              <w:jc w:val="center"/>
            </w:trPr>
            <w:tc>
              <w:tcPr>
                <w:tcW w:w="2217" w:type="dxa"/>
                <w:vAlign w:val="center"/>
              </w:tcPr>
              <w:p w:rsidR="00597370" w:rsidRDefault="003C2EEE">
                <w:pPr>
                  <w:pStyle w:val="Style188"/>
                  <w:adjustRightInd w:val="0"/>
                  <w:snapToGrid w:val="0"/>
                  <w:rPr>
                    <w:rStyle w:val="Char10"/>
                  </w:rPr>
                </w:pPr>
                <w:r>
                  <w:rPr>
                    <w:rStyle w:val="Char10"/>
                    <w:rFonts w:hint="eastAsia"/>
                  </w:rPr>
                  <w:t>其他应付款</w:t>
                </w:r>
              </w:p>
            </w:tc>
            <w:tc>
              <w:tcPr>
                <w:tcW w:w="2218" w:type="dxa"/>
                <w:shd w:val="clear" w:color="auto" w:fill="auto"/>
                <w:vAlign w:val="center"/>
              </w:tcPr>
              <w:p w:rsidR="00597370" w:rsidRDefault="003C2EEE">
                <w:pPr>
                  <w:widowControl/>
                  <w:adjustRightInd w:val="0"/>
                  <w:snapToGrid w:val="0"/>
                  <w:jc w:val="right"/>
                  <w:textAlignment w:val="center"/>
                  <w:rPr>
                    <w:color w:val="000000"/>
                    <w:sz w:val="24"/>
                    <w:szCs w:val="24"/>
                  </w:rPr>
                </w:pPr>
                <w:r>
                  <w:rPr>
                    <w:rFonts w:asciiTheme="minorEastAsia" w:eastAsiaTheme="minorEastAsia" w:hAnsiTheme="minorEastAsia" w:cs="Times New Roman" w:hint="eastAsia"/>
                    <w:bCs w:val="0"/>
                  </w:rPr>
                  <w:t xml:space="preserve"> 110,397,912.86</w:t>
                </w:r>
                <w:r>
                  <w:rPr>
                    <w:rFonts w:hint="eastAsia"/>
                    <w:color w:val="000000"/>
                    <w:sz w:val="24"/>
                    <w:szCs w:val="24"/>
                    <w:lang w:bidi="ar"/>
                  </w:rPr>
                  <w:t xml:space="preserve"> </w:t>
                </w:r>
              </w:p>
            </w:tc>
            <w:tc>
              <w:tcPr>
                <w:tcW w:w="2218" w:type="dxa"/>
                <w:vAlign w:val="bottom"/>
              </w:tcPr>
              <w:p w:rsidR="00597370" w:rsidRDefault="00597370">
                <w:pPr>
                  <w:pStyle w:val="Style187"/>
                  <w:adjustRightInd w:val="0"/>
                  <w:snapToGrid w:val="0"/>
                  <w:rPr>
                    <w:rStyle w:val="Char10"/>
                    <w:rFonts w:asciiTheme="minorEastAsia" w:eastAsiaTheme="minorEastAsia" w:hAnsiTheme="minorEastAsia" w:cs="Times New Roman"/>
                  </w:rPr>
                </w:pP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hint="eastAsia"/>
                    <w:sz w:val="21"/>
                    <w:szCs w:val="21"/>
                  </w:rPr>
                  <w:t xml:space="preserve"> 110,397,912.86</w:t>
                </w:r>
                <w:r>
                  <w:rPr>
                    <w:rFonts w:asciiTheme="minorEastAsia" w:eastAsiaTheme="minorEastAsia" w:hAnsiTheme="minorEastAsia" w:cs="Times New Roman"/>
                    <w:sz w:val="21"/>
                    <w:szCs w:val="21"/>
                  </w:rPr>
                  <w:t xml:space="preserve"> </w:t>
                </w:r>
              </w:p>
            </w:tc>
          </w:tr>
          <w:tr w:rsidR="00597370">
            <w:trPr>
              <w:trHeight w:val="397"/>
              <w:jc w:val="center"/>
            </w:trPr>
            <w:tc>
              <w:tcPr>
                <w:tcW w:w="2217" w:type="dxa"/>
                <w:vAlign w:val="center"/>
              </w:tcPr>
              <w:p w:rsidR="00597370" w:rsidRDefault="003C2EEE">
                <w:pPr>
                  <w:pStyle w:val="Style188"/>
                  <w:adjustRightInd w:val="0"/>
                  <w:snapToGrid w:val="0"/>
                  <w:rPr>
                    <w:rStyle w:val="Char10"/>
                  </w:rPr>
                </w:pPr>
                <w:r>
                  <w:rPr>
                    <w:rStyle w:val="Char10"/>
                    <w:rFonts w:hint="eastAsia"/>
                  </w:rPr>
                  <w:lastRenderedPageBreak/>
                  <w:t>其他流动负债</w:t>
                </w: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219,729,490.67 </w:t>
                </w:r>
              </w:p>
            </w:tc>
            <w:tc>
              <w:tcPr>
                <w:tcW w:w="2218" w:type="dxa"/>
                <w:vAlign w:val="bottom"/>
              </w:tcPr>
              <w:p w:rsidR="00597370" w:rsidRDefault="00597370">
                <w:pPr>
                  <w:pStyle w:val="Style187"/>
                  <w:adjustRightInd w:val="0"/>
                  <w:snapToGrid w:val="0"/>
                  <w:rPr>
                    <w:rStyle w:val="Char10"/>
                    <w:rFonts w:asciiTheme="minorEastAsia" w:eastAsiaTheme="minorEastAsia" w:hAnsiTheme="minorEastAsia" w:cs="Times New Roman"/>
                  </w:rPr>
                </w:pPr>
              </w:p>
            </w:tc>
            <w:tc>
              <w:tcPr>
                <w:tcW w:w="2218" w:type="dxa"/>
                <w:vAlign w:val="bottom"/>
              </w:tcPr>
              <w:p w:rsidR="00597370" w:rsidRDefault="003C2EEE">
                <w:pPr>
                  <w:pStyle w:val="Style187"/>
                  <w:adjustRightInd w:val="0"/>
                  <w:snapToGrid w:val="0"/>
                  <w:rPr>
                    <w:rStyle w:val="Char10"/>
                    <w:rFonts w:asciiTheme="minorEastAsia" w:eastAsiaTheme="minorEastAsia" w:hAnsiTheme="minorEastAsia" w:cs="Times New Roman"/>
                  </w:rPr>
                </w:pPr>
                <w:r>
                  <w:rPr>
                    <w:rFonts w:asciiTheme="minorEastAsia" w:eastAsiaTheme="minorEastAsia" w:hAnsiTheme="minorEastAsia" w:cs="Times New Roman"/>
                    <w:sz w:val="21"/>
                    <w:szCs w:val="21"/>
                  </w:rPr>
                  <w:t xml:space="preserve"> 219,729,490.67 </w:t>
                </w:r>
              </w:p>
            </w:tc>
          </w:tr>
          <w:tr w:rsidR="00597370">
            <w:trPr>
              <w:trHeight w:val="397"/>
              <w:jc w:val="center"/>
            </w:trPr>
            <w:tc>
              <w:tcPr>
                <w:tcW w:w="2217" w:type="dxa"/>
                <w:vAlign w:val="center"/>
              </w:tcPr>
              <w:p w:rsidR="00597370" w:rsidRDefault="003C2EEE">
                <w:pPr>
                  <w:pStyle w:val="Style188"/>
                  <w:adjustRightInd w:val="0"/>
                  <w:snapToGrid w:val="0"/>
                  <w:rPr>
                    <w:rStyle w:val="Char10"/>
                  </w:rPr>
                </w:pPr>
                <w:r>
                  <w:rPr>
                    <w:rStyle w:val="Char10"/>
                  </w:rPr>
                  <w:t>合计</w:t>
                </w:r>
              </w:p>
            </w:tc>
            <w:tc>
              <w:tcPr>
                <w:tcW w:w="2218" w:type="dxa"/>
                <w:vAlign w:val="bottom"/>
              </w:tcPr>
              <w:p w:rsidR="00597370" w:rsidRDefault="003C2EEE">
                <w:pPr>
                  <w:widowControl/>
                  <w:adjustRightInd w:val="0"/>
                  <w:snapToGrid w:val="0"/>
                  <w:jc w:val="right"/>
                  <w:textAlignment w:val="bottom"/>
                  <w:rPr>
                    <w:rStyle w:val="Char10"/>
                    <w:rFonts w:asciiTheme="minorEastAsia" w:eastAsiaTheme="minorEastAsia" w:hAnsiTheme="minorEastAsia" w:cs="Times New Roman"/>
                  </w:rPr>
                </w:pPr>
                <w:r>
                  <w:rPr>
                    <w:rFonts w:hint="eastAsia"/>
                    <w:color w:val="000000"/>
                    <w:lang w:bidi="ar"/>
                  </w:rPr>
                  <w:t>2,456,213,261.18</w:t>
                </w:r>
              </w:p>
            </w:tc>
            <w:tc>
              <w:tcPr>
                <w:tcW w:w="2218" w:type="dxa"/>
                <w:vAlign w:val="bottom"/>
              </w:tcPr>
              <w:p w:rsidR="00597370" w:rsidRDefault="003C2EEE">
                <w:pPr>
                  <w:widowControl/>
                  <w:adjustRightInd w:val="0"/>
                  <w:snapToGrid w:val="0"/>
                  <w:jc w:val="right"/>
                  <w:textAlignment w:val="bottom"/>
                  <w:rPr>
                    <w:rStyle w:val="Char10"/>
                    <w:rFonts w:asciiTheme="minorEastAsia" w:eastAsiaTheme="minorEastAsia" w:hAnsiTheme="minorEastAsia" w:cs="Times New Roman"/>
                  </w:rPr>
                </w:pPr>
                <w:r>
                  <w:rPr>
                    <w:rFonts w:hint="eastAsia"/>
                    <w:color w:val="000000"/>
                    <w:lang w:bidi="ar"/>
                  </w:rPr>
                  <w:t>751,857,879.70</w:t>
                </w:r>
              </w:p>
            </w:tc>
            <w:tc>
              <w:tcPr>
                <w:tcW w:w="2218" w:type="dxa"/>
                <w:shd w:val="clear" w:color="auto" w:fill="auto"/>
                <w:vAlign w:val="bottom"/>
              </w:tcPr>
              <w:p w:rsidR="00597370" w:rsidRDefault="003C2EEE">
                <w:pPr>
                  <w:widowControl/>
                  <w:adjustRightInd w:val="0"/>
                  <w:snapToGrid w:val="0"/>
                  <w:jc w:val="right"/>
                  <w:textAlignment w:val="bottom"/>
                  <w:rPr>
                    <w:color w:val="000000"/>
                  </w:rPr>
                </w:pPr>
                <w:r>
                  <w:rPr>
                    <w:rFonts w:hint="eastAsia"/>
                    <w:color w:val="000000"/>
                    <w:lang w:bidi="ar"/>
                  </w:rPr>
                  <w:t xml:space="preserve"> 3,233,179,245.83 </w:t>
                </w:r>
              </w:p>
            </w:tc>
          </w:tr>
        </w:tbl>
        <w:p w:rsidR="00597370" w:rsidRDefault="003C2EEE">
          <w:pPr>
            <w:pStyle w:val="Style180"/>
            <w:adjustRightInd w:val="0"/>
            <w:snapToGrid w:val="0"/>
            <w:spacing w:beforeLines="0"/>
            <w:ind w:firstLine="420"/>
            <w:rPr>
              <w:rStyle w:val="Char10"/>
            </w:rPr>
          </w:pPr>
          <w:r>
            <w:rPr>
              <w:rStyle w:val="Char10"/>
              <w:rFonts w:hint="eastAsia"/>
            </w:rPr>
            <w:t>（</w:t>
          </w:r>
          <w:r>
            <w:rPr>
              <w:rStyle w:val="Char10"/>
              <w:rFonts w:hint="eastAsia"/>
            </w:rPr>
            <w:t>3</w:t>
          </w:r>
          <w:r>
            <w:rPr>
              <w:rStyle w:val="Char10"/>
              <w:rFonts w:hint="eastAsia"/>
            </w:rPr>
            <w:t>）市场风险</w:t>
          </w:r>
        </w:p>
        <w:p w:rsidR="00597370" w:rsidRDefault="003C2EEE">
          <w:pPr>
            <w:pStyle w:val="Style180"/>
            <w:adjustRightInd w:val="0"/>
            <w:snapToGrid w:val="0"/>
            <w:spacing w:beforeLines="0"/>
            <w:ind w:firstLine="420"/>
            <w:rPr>
              <w:rStyle w:val="Char10"/>
            </w:rPr>
          </w:pPr>
          <w:r>
            <w:rPr>
              <w:rStyle w:val="Char10"/>
              <w:rFonts w:hint="eastAsia"/>
            </w:rPr>
            <w:t>1</w:t>
          </w:r>
          <w:r>
            <w:rPr>
              <w:rStyle w:val="Char10"/>
              <w:rFonts w:hint="eastAsia"/>
            </w:rPr>
            <w:t>）</w:t>
          </w:r>
          <w:r>
            <w:rPr>
              <w:rStyle w:val="Char10"/>
            </w:rPr>
            <w:t>汇率风险</w:t>
          </w:r>
        </w:p>
        <w:p w:rsidR="00597370" w:rsidRDefault="003C2EEE">
          <w:pPr>
            <w:pStyle w:val="Style180"/>
            <w:adjustRightInd w:val="0"/>
            <w:snapToGrid w:val="0"/>
            <w:spacing w:beforeLines="0"/>
            <w:ind w:firstLine="420"/>
            <w:rPr>
              <w:rStyle w:val="Char10"/>
            </w:rPr>
          </w:pPr>
          <w:r>
            <w:rPr>
              <w:rStyle w:val="Char10"/>
              <w:rFonts w:hint="eastAsia"/>
            </w:rPr>
            <w:t>本公司的主要经营位于中国境内，主要业务以人民币结算。但本公司已确认的外币资产和负债及未来的外币交易（外币资产和负债及外币交易的计价货币主要为美元和欧元）依然存在汇率风险。本公司财务部门负责监控公司外币交易和外币资产及负债的规模，以最大程度降低面临的汇率风险。</w:t>
          </w:r>
        </w:p>
        <w:p w:rsidR="00597370" w:rsidRDefault="003C2EEE">
          <w:pPr>
            <w:pStyle w:val="Style180"/>
            <w:adjustRightInd w:val="0"/>
            <w:snapToGrid w:val="0"/>
            <w:spacing w:beforeLines="0"/>
            <w:ind w:firstLineChars="0"/>
            <w:rPr>
              <w:rStyle w:val="Char10"/>
            </w:rPr>
          </w:pPr>
          <w:r>
            <w:rPr>
              <w:rStyle w:val="Char10"/>
            </w:rPr>
            <w:t>本年度公司未签署任何远期外汇合约或货币互换合约。</w:t>
          </w:r>
        </w:p>
        <w:p w:rsidR="00597370" w:rsidRDefault="003C2EEE">
          <w:pPr>
            <w:pStyle w:val="Style180"/>
            <w:adjustRightInd w:val="0"/>
            <w:snapToGrid w:val="0"/>
            <w:spacing w:beforeLines="0"/>
            <w:ind w:firstLine="420"/>
            <w:rPr>
              <w:rStyle w:val="Char10"/>
            </w:rPr>
          </w:pPr>
          <w:r>
            <w:rPr>
              <w:rStyle w:val="Char10"/>
              <w:rFonts w:hint="eastAsia"/>
            </w:rPr>
            <w:t>2</w:t>
          </w:r>
          <w:r>
            <w:rPr>
              <w:rStyle w:val="Char10"/>
              <w:rFonts w:hint="eastAsia"/>
            </w:rPr>
            <w:t>）利率风险</w:t>
          </w:r>
        </w:p>
        <w:p w:rsidR="00597370" w:rsidRDefault="003C2EEE">
          <w:pPr>
            <w:pStyle w:val="Style180"/>
            <w:adjustRightInd w:val="0"/>
            <w:snapToGrid w:val="0"/>
            <w:spacing w:beforeLines="0"/>
            <w:ind w:firstLine="420"/>
            <w:rPr>
              <w:rStyle w:val="Char10"/>
            </w:rPr>
          </w:pPr>
          <w:r>
            <w:rPr>
              <w:rStyle w:val="Char10"/>
              <w:rFonts w:hint="eastAsia"/>
            </w:rPr>
            <w:t>本公司的利率风险主要产生于银行借款等。浮动利率的金融负债使本公司面临现金流量利率风险，固定利率的金融负债使本公司面临公允价值利率风险。本公司根据当时的市场环境来决定固定利率及浮动利率合同的相对比例。</w:t>
          </w:r>
        </w:p>
        <w:p w:rsidR="00597370" w:rsidRDefault="003C2EEE">
          <w:pPr>
            <w:pStyle w:val="Style180"/>
            <w:adjustRightInd w:val="0"/>
            <w:snapToGrid w:val="0"/>
            <w:spacing w:beforeLines="0"/>
            <w:ind w:firstLine="420"/>
            <w:rPr>
              <w:rStyle w:val="Char10"/>
            </w:rPr>
          </w:pPr>
          <w:r>
            <w:rPr>
              <w:rStyle w:val="Char10"/>
              <w:rFonts w:hint="eastAsia"/>
            </w:rPr>
            <w:t>本公司财务部门持续监控公司利率水平。利率上升会增加新增带息债务的成本以及本公司尚未付清的以浮动利率计息的带息债务的利息支出，并对本公司的财务业绩产生重大的不利影响，管理层会依据最新的市场状况及时做出调整。</w:t>
          </w:r>
        </w:p>
        <w:p w:rsidR="00597370" w:rsidRDefault="003C2EEE">
          <w:pPr>
            <w:pStyle w:val="Style180"/>
            <w:adjustRightInd w:val="0"/>
            <w:snapToGrid w:val="0"/>
            <w:spacing w:beforeLines="0"/>
            <w:ind w:firstLine="420"/>
            <w:rPr>
              <w:rStyle w:val="Char10"/>
            </w:rPr>
          </w:pPr>
          <w:r>
            <w:rPr>
              <w:rStyle w:val="Char10"/>
            </w:rPr>
            <w:t>3</w:t>
          </w:r>
          <w:r>
            <w:rPr>
              <w:rStyle w:val="Char10"/>
              <w:rFonts w:hint="eastAsia"/>
            </w:rPr>
            <w:t>）价格风险</w:t>
          </w:r>
        </w:p>
        <w:p w:rsidR="00597370" w:rsidRDefault="003C2EEE">
          <w:pPr>
            <w:pStyle w:val="Style180"/>
            <w:adjustRightInd w:val="0"/>
            <w:snapToGrid w:val="0"/>
            <w:spacing w:beforeLines="0"/>
            <w:ind w:firstLine="420"/>
            <w:rPr>
              <w:rFonts w:ascii="Times New Roman" w:hAnsi="Times New Roman"/>
              <w:kern w:val="2"/>
              <w:sz w:val="21"/>
              <w:szCs w:val="21"/>
            </w:rPr>
          </w:pPr>
          <w:r>
            <w:rPr>
              <w:rStyle w:val="Char10"/>
              <w:rFonts w:hint="eastAsia"/>
            </w:rPr>
            <w:t>价格风险指汇率风险和利率风险以外的市场价格变动而发生波动的风险，主要源于商品价格、股票市场指数、权益工具价格以及其他风险变量的变化。</w:t>
          </w:r>
        </w:p>
      </w:sdtContent>
    </w:sdt>
    <w:p w:rsidR="00597370" w:rsidRDefault="003C2EEE">
      <w:pPr>
        <w:pStyle w:val="Style109"/>
        <w:numPr>
          <w:ilvl w:val="0"/>
          <w:numId w:val="99"/>
        </w:numPr>
        <w:ind w:left="425" w:hanging="425"/>
        <w:rPr>
          <w:color w:val="000000" w:themeColor="text1"/>
        </w:rPr>
      </w:pPr>
      <w:r>
        <w:rPr>
          <w:rFonts w:hint="eastAsia"/>
          <w:color w:val="000000" w:themeColor="text1"/>
        </w:rPr>
        <w:t>套期</w:t>
      </w:r>
    </w:p>
    <w:p w:rsidR="00597370" w:rsidRDefault="003C2EEE">
      <w:pPr>
        <w:pStyle w:val="Style110"/>
        <w:numPr>
          <w:ilvl w:val="0"/>
          <w:numId w:val="100"/>
        </w:numPr>
        <w:ind w:left="0" w:firstLine="0"/>
        <w:rPr>
          <w:color w:val="000000" w:themeColor="text1"/>
        </w:rPr>
      </w:pPr>
      <w:r>
        <w:rPr>
          <w:rFonts w:hint="eastAsia"/>
          <w:color w:val="000000" w:themeColor="text1"/>
        </w:rPr>
        <w:t>公司开展套期业务进行风险管理</w:t>
      </w:r>
    </w:p>
    <w:sdt>
      <w:sdtPr>
        <w:rPr>
          <w:color w:val="000000" w:themeColor="text1"/>
        </w:rPr>
        <w:alias w:val="是否适用：公司开展套期业务进行风险管理情况[双击切换]"/>
        <w:tag w:val="_GBC_2f499c37491c40ebb25e43ccee2adbf5"/>
        <w:id w:val="-15682566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公司开展套期业务进行风险管理的其他说明[双击切换]"/>
        <w:tag w:val="_GBC_75de8ffa05014fb7849cdf4959d00e5b"/>
        <w:id w:val="9340117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00"/>
        </w:numPr>
        <w:ind w:left="0" w:firstLine="0"/>
        <w:rPr>
          <w:color w:val="000000" w:themeColor="text1"/>
        </w:rPr>
      </w:pPr>
      <w:r>
        <w:rPr>
          <w:rFonts w:hint="eastAsia"/>
          <w:color w:val="000000" w:themeColor="text1"/>
        </w:rPr>
        <w:t>公司开展符合条件套期业务并应用套期会计</w:t>
      </w:r>
    </w:p>
    <w:sdt>
      <w:sdtPr>
        <w:rPr>
          <w:color w:val="000000" w:themeColor="text1"/>
        </w:rPr>
        <w:alias w:val="是否适用：公司开展符合条件套期业务并应用套期会计情况[双击切换]"/>
        <w:tag w:val="_GBC_6e6b563ac07d4214b853bf73488c53f8"/>
        <w:id w:val="-60318812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公司开展符合条件套期业务并应用套期会计情况的其他说明[双击切换]"/>
        <w:tag w:val="_GBC_27a95a99453a402ca0b1fc92fc64b202"/>
        <w:id w:val="-11674021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00"/>
        </w:numPr>
        <w:ind w:left="0" w:firstLine="0"/>
        <w:rPr>
          <w:color w:val="000000" w:themeColor="text1"/>
        </w:rPr>
      </w:pPr>
      <w:r>
        <w:rPr>
          <w:rFonts w:hint="eastAsia"/>
          <w:color w:val="000000" w:themeColor="text1"/>
        </w:rPr>
        <w:t>公司开展套期业务进行风险管理、预期能实现风险管理目标但未应用套期会计</w:t>
      </w:r>
    </w:p>
    <w:sdt>
      <w:sdtPr>
        <w:rPr>
          <w:color w:val="000000" w:themeColor="text1"/>
        </w:rPr>
        <w:alias w:val="是否适用：公司开展套期业务进行风险管理、预期能实现风险管理目标但未应用套期会计[双击切换]"/>
        <w:tag w:val="_GBC_8ff64f4b33cf4c818fade70a82ac65ca"/>
        <w:id w:val="151534011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公司开展套期业务进行风险管理、预期能实现风险管理目标但未应用套期会计的其他说明[双击切换]"/>
        <w:tag w:val="_GBC_a996d12612974969937163f50fa093b8"/>
        <w:id w:val="20114074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99"/>
        </w:numPr>
        <w:ind w:left="425" w:hanging="425"/>
        <w:rPr>
          <w:color w:val="000000" w:themeColor="text1"/>
        </w:rPr>
      </w:pPr>
      <w:r>
        <w:rPr>
          <w:rFonts w:hint="eastAsia"/>
          <w:color w:val="000000" w:themeColor="text1"/>
        </w:rPr>
        <w:t>金融资产转移</w:t>
      </w:r>
    </w:p>
    <w:p w:rsidR="00597370" w:rsidRDefault="003C2EEE">
      <w:pPr>
        <w:pStyle w:val="Style110"/>
        <w:numPr>
          <w:ilvl w:val="0"/>
          <w:numId w:val="101"/>
        </w:numPr>
        <w:ind w:left="425" w:hanging="425"/>
        <w:rPr>
          <w:color w:val="000000" w:themeColor="text1"/>
        </w:rPr>
      </w:pPr>
      <w:bookmarkStart w:id="380" w:name="_Hlk153550670"/>
      <w:r>
        <w:rPr>
          <w:rFonts w:hint="eastAsia"/>
          <w:color w:val="000000" w:themeColor="text1"/>
        </w:rPr>
        <w:t>转移方式分类</w:t>
      </w:r>
    </w:p>
    <w:sdt>
      <w:sdtPr>
        <w:rPr>
          <w:color w:val="000000" w:themeColor="text1"/>
        </w:rPr>
        <w:alias w:val="是否适用：转移方式分类[双击切换]"/>
        <w:tag w:val="_GBC_3e1020fb455f4853972cca8d6b0a6b3e"/>
        <w:id w:val="160306240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80"/>
    <w:p w:rsidR="00597370" w:rsidRDefault="003C2EEE">
      <w:pPr>
        <w:pStyle w:val="Style110"/>
        <w:numPr>
          <w:ilvl w:val="0"/>
          <w:numId w:val="101"/>
        </w:numPr>
        <w:ind w:left="425" w:hanging="425"/>
        <w:rPr>
          <w:color w:val="000000" w:themeColor="text1"/>
        </w:rPr>
      </w:pPr>
      <w:r>
        <w:rPr>
          <w:rFonts w:hint="eastAsia"/>
          <w:color w:val="000000" w:themeColor="text1"/>
        </w:rPr>
        <w:t>因转移而终止确认的金融资产</w:t>
      </w:r>
    </w:p>
    <w:sdt>
      <w:sdtPr>
        <w:rPr>
          <w:rFonts w:hint="eastAsia"/>
          <w:color w:val="000000" w:themeColor="text1"/>
        </w:rPr>
        <w:alias w:val="是否适用：因转移而终止确认的金融资产[双击切换]"/>
        <w:tag w:val="_GBC_46574eb995bc458dacbb66d429fbeb28"/>
        <w:id w:val="176502937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01"/>
        </w:numPr>
        <w:ind w:left="425" w:hanging="425"/>
        <w:rPr>
          <w:color w:val="000000" w:themeColor="text1"/>
        </w:rPr>
      </w:pPr>
      <w:r>
        <w:rPr>
          <w:rFonts w:hint="eastAsia"/>
          <w:color w:val="000000" w:themeColor="text1"/>
        </w:rPr>
        <w:lastRenderedPageBreak/>
        <w:t>继续涉入的转移金融资产</w:t>
      </w:r>
    </w:p>
    <w:sdt>
      <w:sdtPr>
        <w:rPr>
          <w:color w:val="000000" w:themeColor="text1"/>
        </w:rPr>
        <w:alias w:val="是否适用：继续涉入的转移金融资产[双击切换]"/>
        <w:tag w:val="_GBC_839df5011587479d8e96a4229c69e37a"/>
        <w:id w:val="-139642814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是否适用：金融资产转移其他说明[双击切换]"/>
        <w:tag w:val="_GBC_d5c96ff7d4c3440e81b67f6ecd7164b1"/>
        <w:id w:val="201063410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79"/>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公允价值的披露</w:t>
      </w:r>
    </w:p>
    <w:p w:rsidR="00597370" w:rsidRDefault="003C2EEE">
      <w:pPr>
        <w:pStyle w:val="Style109"/>
        <w:numPr>
          <w:ilvl w:val="0"/>
          <w:numId w:val="102"/>
        </w:numPr>
        <w:rPr>
          <w:rFonts w:ascii="宋体" w:hAnsi="宋体"/>
          <w:color w:val="000000" w:themeColor="text1"/>
        </w:rPr>
      </w:pPr>
      <w:bookmarkStart w:id="381" w:name="_Hlk10539195"/>
      <w:r>
        <w:rPr>
          <w:rFonts w:ascii="宋体" w:hAnsi="宋体" w:hint="eastAsia"/>
          <w:color w:val="000000" w:themeColor="text1"/>
        </w:rPr>
        <w:t>以公允价值计量的资产和负债的期末公允价值</w:t>
      </w:r>
    </w:p>
    <w:sdt>
      <w:sdtPr>
        <w:rPr>
          <w:color w:val="000000" w:themeColor="text1"/>
        </w:rPr>
        <w:alias w:val="是否适用：以公允价值计量的资产和负债的期末公允价值[双击切换]"/>
        <w:tag w:val="_GBC_291486261b6a4e8092eea55d961b7664"/>
        <w:id w:val="-158336995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以公允价值计量的资产和负债的期末公允价值"/>
          <w:tag w:val="_GBC_4b785696cde44d3f8a4a7d28ab963e38"/>
          <w:id w:val="-16246070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财务附注：以公允价值计量的资产和负债的期末公允价值"/>
          <w:tag w:val="_GBC_3bb5670d72804a4b8298edc3e439955a"/>
          <w:id w:val="-20795760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63"/>
        <w:gridCol w:w="1666"/>
        <w:gridCol w:w="1625"/>
        <w:gridCol w:w="1692"/>
        <w:gridCol w:w="1477"/>
      </w:tblGrid>
      <w:tr w:rsidR="00597370">
        <w:trPr>
          <w:trHeight w:val="145"/>
        </w:trPr>
        <w:sdt>
          <w:sdtPr>
            <w:rPr>
              <w:color w:val="000000" w:themeColor="text1"/>
            </w:rPr>
            <w:tag w:val="_PLD_25e2bb7801744f08a089c0e6a2b31b9b"/>
            <w:id w:val="-2009429864"/>
          </w:sdtPr>
          <w:sdtEndPr/>
          <w:sdtContent>
            <w:tc>
              <w:tcPr>
                <w:tcW w:w="1339"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outlineLvl w:val="2"/>
                  <w:rPr>
                    <w:rFonts w:cs="Cambria"/>
                    <w:color w:val="000000" w:themeColor="text1"/>
                  </w:rPr>
                </w:pPr>
                <w:r>
                  <w:rPr>
                    <w:rFonts w:cs="Cambria" w:hint="eastAsia"/>
                    <w:color w:val="000000" w:themeColor="text1"/>
                  </w:rPr>
                  <w:t>项目</w:t>
                </w:r>
              </w:p>
            </w:tc>
          </w:sdtContent>
        </w:sdt>
        <w:sdt>
          <w:sdtPr>
            <w:rPr>
              <w:color w:val="000000" w:themeColor="text1"/>
            </w:rPr>
            <w:tag w:val="_PLD_ad919f08ba5040a28e31328eb66da0bf"/>
            <w:id w:val="-2144809710"/>
          </w:sdtPr>
          <w:sdtEndPr/>
          <w:sdtContent>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outlineLvl w:val="2"/>
                  <w:rPr>
                    <w:rFonts w:cs="Cambria"/>
                    <w:color w:val="000000" w:themeColor="text1"/>
                  </w:rPr>
                </w:pPr>
                <w:r>
                  <w:rPr>
                    <w:rFonts w:cs="Cambria" w:hint="eastAsia"/>
                    <w:color w:val="000000" w:themeColor="text1"/>
                  </w:rPr>
                  <w:t>期末公允价值</w:t>
                </w:r>
              </w:p>
            </w:tc>
          </w:sdtContent>
        </w:sdt>
      </w:tr>
      <w:tr w:rsidR="00597370">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rsidR="00597370" w:rsidRDefault="00597370">
            <w:pPr>
              <w:jc w:val="center"/>
              <w:outlineLvl w:val="2"/>
              <w:rPr>
                <w:rFonts w:cs="Cambria"/>
                <w:color w:val="000000" w:themeColor="text1"/>
              </w:rPr>
            </w:pPr>
          </w:p>
        </w:tc>
        <w:sdt>
          <w:sdtPr>
            <w:rPr>
              <w:color w:val="000000" w:themeColor="text1"/>
            </w:rPr>
            <w:tag w:val="_PLD_4bb34c3d92bf450fb80f7c0c95977a2b"/>
            <w:id w:val="-1666783094"/>
          </w:sdtPr>
          <w:sdtEnd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outlineLvl w:val="2"/>
                  <w:rPr>
                    <w:rFonts w:cs="Cambria"/>
                    <w:color w:val="000000" w:themeColor="text1"/>
                  </w:rPr>
                </w:pPr>
                <w:r>
                  <w:rPr>
                    <w:rFonts w:cs="Cambria" w:hint="eastAsia"/>
                    <w:color w:val="000000" w:themeColor="text1"/>
                  </w:rPr>
                  <w:t>第一层次公允价值计量</w:t>
                </w:r>
              </w:p>
            </w:tc>
          </w:sdtContent>
        </w:sdt>
        <w:sdt>
          <w:sdtPr>
            <w:rPr>
              <w:color w:val="000000" w:themeColor="text1"/>
            </w:rPr>
            <w:tag w:val="_PLD_08753059c9e04a10af2918fbc1559bed"/>
            <w:id w:val="1466006437"/>
          </w:sdtPr>
          <w:sdtEndPr/>
          <w:sdtContent>
            <w:tc>
              <w:tcPr>
                <w:tcW w:w="92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outlineLvl w:val="2"/>
                  <w:rPr>
                    <w:rFonts w:cs="Cambria"/>
                    <w:color w:val="000000" w:themeColor="text1"/>
                  </w:rPr>
                </w:pPr>
                <w:r>
                  <w:rPr>
                    <w:rFonts w:cs="Cambria" w:hint="eastAsia"/>
                    <w:color w:val="000000" w:themeColor="text1"/>
                  </w:rPr>
                  <w:t>第二层次公允价值计量</w:t>
                </w:r>
              </w:p>
            </w:tc>
          </w:sdtContent>
        </w:sdt>
        <w:sdt>
          <w:sdtPr>
            <w:rPr>
              <w:color w:val="000000" w:themeColor="text1"/>
            </w:rPr>
            <w:tag w:val="_PLD_b263de838c9c4afa9fddb6dee6409a62"/>
            <w:id w:val="-912619618"/>
          </w:sdtPr>
          <w:sdtEndPr/>
          <w:sdtContent>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outlineLvl w:val="2"/>
                  <w:rPr>
                    <w:rFonts w:cs="Cambria"/>
                    <w:color w:val="000000" w:themeColor="text1"/>
                  </w:rPr>
                </w:pPr>
                <w:r>
                  <w:rPr>
                    <w:rFonts w:cs="Cambria" w:hint="eastAsia"/>
                    <w:color w:val="000000" w:themeColor="text1"/>
                  </w:rPr>
                  <w:t>第三层次公允价值计量</w:t>
                </w:r>
              </w:p>
            </w:tc>
          </w:sdtContent>
        </w:sdt>
        <w:sdt>
          <w:sdtPr>
            <w:rPr>
              <w:color w:val="000000" w:themeColor="text1"/>
            </w:rPr>
            <w:tag w:val="_PLD_50eba344a451417c8072228a7a4959c5"/>
            <w:id w:val="486133790"/>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outlineLvl w:val="2"/>
                  <w:rPr>
                    <w:rFonts w:cs="Cambria"/>
                    <w:color w:val="000000" w:themeColor="text1"/>
                  </w:rPr>
                </w:pPr>
                <w:r>
                  <w:rPr>
                    <w:rFonts w:cs="Cambria" w:hint="eastAsia"/>
                    <w:color w:val="000000" w:themeColor="text1"/>
                  </w:rPr>
                  <w:t>合计</w:t>
                </w:r>
              </w:p>
            </w:tc>
          </w:sdtContent>
        </w:sdt>
      </w:tr>
      <w:tr w:rsidR="00597370">
        <w:trPr>
          <w:trHeight w:val="227"/>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b/>
                <w:color w:val="000000" w:themeColor="text1"/>
              </w:rPr>
            </w:pPr>
            <w:r>
              <w:rPr>
                <w:rFonts w:hint="eastAsia"/>
                <w:b/>
                <w:color w:val="000000"/>
              </w:rPr>
              <w:t>一、持续的公允价值计量</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color w:val="000000" w:themeColor="text1"/>
              </w:rPr>
            </w:pPr>
            <w:r>
              <w:rPr>
                <w:rStyle w:val="Style185"/>
                <w:rFonts w:hint="default"/>
              </w:rPr>
              <w:t>（一）交易性金融资产</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color w:val="000000" w:themeColor="text1"/>
              </w:rPr>
            </w:pPr>
            <w:r>
              <w:rPr>
                <w:rFonts w:hint="eastAsia"/>
                <w:color w:val="000000"/>
              </w:rPr>
              <w:t>1.以公允价值计量且变动计入当期损益的金融资产</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（1）债务工具投资</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（2）权益工具投资</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（3）衍生金融资产</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799"/>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2. 指定以公允价值计量且其变动计入当期损益的金融资产</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（1）债务工具投资</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（2）权益工具投资</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color w:val="000000" w:themeColor="text1"/>
              </w:rPr>
            </w:pPr>
            <w:r>
              <w:rPr>
                <w:rStyle w:val="Style185"/>
                <w:rFonts w:hint="default"/>
              </w:rPr>
              <w:t>（二）其他债权投资</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color w:val="000000" w:themeColor="text1"/>
              </w:rPr>
            </w:pPr>
            <w:r>
              <w:rPr>
                <w:rStyle w:val="Style185"/>
                <w:rFonts w:hint="default"/>
              </w:rPr>
              <w:t>（三）其他权益工具投资</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outlineLvl w:val="2"/>
              <w:rPr>
                <w:rFonts w:cs="Cambria"/>
              </w:rPr>
            </w:pPr>
            <w:r>
              <w:rPr>
                <w:rFonts w:cs="Cambria"/>
              </w:rPr>
              <w:t>1,558.19</w:t>
            </w: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textAlignment w:val="bottom"/>
              <w:rPr>
                <w:color w:val="000000"/>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bottom"/>
              <w:rPr>
                <w:color w:val="000000"/>
              </w:rPr>
            </w:pPr>
            <w:r>
              <w:rPr>
                <w:rFonts w:hint="eastAsia"/>
                <w:color w:val="000000"/>
                <w:lang w:bidi="ar"/>
              </w:rPr>
              <w:t xml:space="preserve"> 1,558.19 </w:t>
            </w:r>
          </w:p>
        </w:tc>
      </w:tr>
      <w:tr w:rsidR="00597370">
        <w:trPr>
          <w:trHeight w:val="9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Style w:val="Style185"/>
                <w:rFonts w:hint="default"/>
              </w:rPr>
              <w:t>（四）投资性房地产</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c>
          <w:tcPr>
            <w:tcW w:w="83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1.出租用的土地使用权</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c>
          <w:tcPr>
            <w:tcW w:w="83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2.出租的建筑物</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c>
          <w:tcPr>
            <w:tcW w:w="83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r>
      <w:tr w:rsidR="00597370">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3.持有并</w:t>
            </w:r>
            <w:proofErr w:type="gramStart"/>
            <w:r>
              <w:rPr>
                <w:rFonts w:hint="eastAsia"/>
                <w:color w:val="000000"/>
              </w:rPr>
              <w:t>准备增值</w:t>
            </w:r>
            <w:proofErr w:type="gramEnd"/>
            <w:r>
              <w:rPr>
                <w:rFonts w:hint="eastAsia"/>
                <w:color w:val="000000"/>
              </w:rPr>
              <w:t>后转让的土地使用权</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c>
          <w:tcPr>
            <w:tcW w:w="83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Style w:val="Style185"/>
                <w:rFonts w:hint="default"/>
              </w:rPr>
              <w:t>（五）生物资产</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c>
          <w:tcPr>
            <w:tcW w:w="83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1.消耗性生物资产</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c>
          <w:tcPr>
            <w:tcW w:w="83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2.生产性生物资产</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c>
          <w:tcPr>
            <w:tcW w:w="837"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pPr>
          </w:p>
        </w:tc>
      </w:tr>
      <w:tr w:rsidR="00597370">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rPr>
            </w:pPr>
            <w:r>
              <w:rPr>
                <w:rFonts w:hint="eastAsia"/>
                <w:color w:val="000000"/>
              </w:rPr>
              <w:t>（六）应收款项融资</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bottom"/>
              <w:rPr>
                <w:color w:val="000000"/>
              </w:rPr>
            </w:pPr>
            <w:r>
              <w:rPr>
                <w:rFonts w:hint="eastAsia"/>
                <w:color w:val="000000"/>
                <w:lang w:bidi="ar"/>
              </w:rPr>
              <w:t xml:space="preserve"> 2,486.59 </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bottom"/>
              <w:rPr>
                <w:color w:val="000000"/>
              </w:rPr>
            </w:pPr>
            <w:r>
              <w:rPr>
                <w:rFonts w:hint="eastAsia"/>
                <w:color w:val="000000"/>
                <w:lang w:bidi="ar"/>
              </w:rPr>
              <w:t xml:space="preserve"> 2,486.59 </w:t>
            </w:r>
          </w:p>
        </w:tc>
      </w:tr>
      <w:tr w:rsidR="00597370">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b/>
                <w:color w:val="000000" w:themeColor="text1"/>
              </w:rPr>
            </w:pPr>
            <w:r>
              <w:rPr>
                <w:rFonts w:hint="eastAsia"/>
                <w:b/>
                <w:color w:val="000000"/>
              </w:rPr>
              <w:t>持续以公允价值计量的资产总额</w:t>
            </w:r>
          </w:p>
        </w:tc>
        <w:tc>
          <w:tcPr>
            <w:tcW w:w="94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outlineLvl w:val="2"/>
              <w:rPr>
                <w:rFonts w:cs="Cambria"/>
              </w:rPr>
            </w:pPr>
            <w:r>
              <w:rPr>
                <w:rFonts w:cs="Cambria"/>
              </w:rPr>
              <w:t>1,558.19</w:t>
            </w:r>
          </w:p>
        </w:tc>
        <w:tc>
          <w:tcPr>
            <w:tcW w:w="92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bottom"/>
              <w:rPr>
                <w:color w:val="000000"/>
              </w:rPr>
            </w:pPr>
            <w:r>
              <w:rPr>
                <w:color w:val="000000"/>
              </w:rPr>
              <w:t>2,486.59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textAlignment w:val="bottom"/>
              <w:rPr>
                <w:color w:val="000000"/>
              </w:rPr>
            </w:pPr>
            <w:r>
              <w:rPr>
                <w:rFonts w:hint="eastAsia"/>
                <w:color w:val="000000"/>
                <w:lang w:bidi="ar"/>
              </w:rPr>
              <w:t xml:space="preserve"> 4,044.78 </w:t>
            </w:r>
          </w:p>
        </w:tc>
      </w:tr>
      <w:tr w:rsidR="00597370">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Style w:val="Style185"/>
                <w:rFonts w:hint="default"/>
              </w:rPr>
              <w:t>（六）交易性金融负债</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1.以公允价值计量且变动计入当期损益的金融负债</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其中：发行的交易性债券</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trHeight w:val="286"/>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tabs>
                <w:tab w:val="left" w:pos="432"/>
                <w:tab w:val="center" w:pos="5630"/>
                <w:tab w:val="center" w:pos="7430"/>
              </w:tabs>
              <w:ind w:firstLineChars="300" w:firstLine="630"/>
              <w:rPr>
                <w:rFonts w:cs="Cambria"/>
                <w:color w:val="000000" w:themeColor="text1"/>
              </w:rPr>
            </w:pPr>
            <w:r>
              <w:rPr>
                <w:rFonts w:hint="eastAsia"/>
                <w:color w:val="000000"/>
              </w:rPr>
              <w:t>衍生金融负债</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84"/>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tabs>
                <w:tab w:val="left" w:pos="432"/>
                <w:tab w:val="center" w:pos="5630"/>
                <w:tab w:val="center" w:pos="7430"/>
              </w:tabs>
              <w:ind w:firstLineChars="300" w:firstLine="630"/>
              <w:rPr>
                <w:rFonts w:cs="Cambria"/>
                <w:color w:val="000000" w:themeColor="text1"/>
              </w:rPr>
            </w:pPr>
            <w:r>
              <w:rPr>
                <w:rFonts w:hint="eastAsia"/>
                <w:color w:val="000000"/>
              </w:rPr>
              <w:t>其他</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lastRenderedPageBreak/>
              <w:t>2.指定为以公允价值计量且变动计入当期损益的金融负债</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b/>
                <w:color w:val="000000" w:themeColor="text1"/>
              </w:rPr>
            </w:pPr>
            <w:r>
              <w:rPr>
                <w:rFonts w:hint="eastAsia"/>
                <w:b/>
                <w:color w:val="000000"/>
              </w:rPr>
              <w:t>持续以公允价值计量的负债总额</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tabs>
                <w:tab w:val="center" w:pos="824"/>
                <w:tab w:val="right" w:pos="1649"/>
              </w:tabs>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b/>
                <w:color w:val="000000" w:themeColor="text1"/>
              </w:rPr>
            </w:pPr>
            <w:r>
              <w:rPr>
                <w:rFonts w:hint="eastAsia"/>
                <w:b/>
                <w:color w:val="000000"/>
              </w:rPr>
              <w:t>二、非持续的公允价值计量</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color w:val="000000" w:themeColor="text1"/>
              </w:rPr>
            </w:pPr>
            <w:r>
              <w:rPr>
                <w:rFonts w:hint="eastAsia"/>
                <w:color w:val="000000"/>
              </w:rPr>
              <w:t>（一）持有待售资产</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r w:rsidR="00597370">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outlineLvl w:val="2"/>
              <w:rPr>
                <w:rFonts w:cs="Cambria"/>
                <w:b/>
                <w:color w:val="000000" w:themeColor="text1"/>
              </w:rPr>
            </w:pPr>
            <w:r>
              <w:rPr>
                <w:rFonts w:hint="eastAsia"/>
                <w:b/>
                <w:color w:val="000000"/>
              </w:rPr>
              <w:t>非持续以公允价值计量的资产总额</w:t>
            </w:r>
          </w:p>
        </w:tc>
        <w:tc>
          <w:tcPr>
            <w:tcW w:w="944"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p w:rsidR="00597370" w:rsidRDefault="00597370">
            <w:pPr>
              <w:jc w:val="center"/>
              <w:rPr>
                <w:rFonts w:cs="Cambria"/>
              </w:rPr>
            </w:pPr>
          </w:p>
        </w:tc>
        <w:tc>
          <w:tcPr>
            <w:tcW w:w="837" w:type="pct"/>
            <w:tcBorders>
              <w:top w:val="single" w:sz="4" w:space="0" w:color="auto"/>
              <w:left w:val="single" w:sz="4" w:space="0" w:color="auto"/>
              <w:bottom w:val="single" w:sz="4" w:space="0" w:color="auto"/>
              <w:right w:val="single" w:sz="4" w:space="0" w:color="auto"/>
            </w:tcBorders>
          </w:tcPr>
          <w:p w:rsidR="00597370" w:rsidRDefault="00597370">
            <w:pPr>
              <w:jc w:val="right"/>
              <w:outlineLvl w:val="2"/>
              <w:rPr>
                <w:rFonts w:cs="Cambria"/>
              </w:rPr>
            </w:pPr>
          </w:p>
        </w:tc>
      </w:tr>
    </w:tbl>
    <w:p w:rsidR="00597370" w:rsidRDefault="00597370">
      <w:pPr>
        <w:tabs>
          <w:tab w:val="left" w:pos="1134"/>
        </w:tabs>
        <w:rPr>
          <w:rFonts w:cs="Cambria"/>
          <w:b/>
          <w:color w:val="000000" w:themeColor="text1"/>
        </w:rPr>
      </w:pPr>
    </w:p>
    <w:bookmarkEnd w:id="381"/>
    <w:p w:rsidR="00597370" w:rsidRDefault="003C2EEE">
      <w:pPr>
        <w:pStyle w:val="Style109"/>
        <w:numPr>
          <w:ilvl w:val="0"/>
          <w:numId w:val="102"/>
        </w:numPr>
        <w:rPr>
          <w:rFonts w:ascii="宋体" w:hAnsi="宋体"/>
          <w:color w:val="000000" w:themeColor="text1"/>
        </w:rPr>
      </w:pPr>
      <w:r>
        <w:rPr>
          <w:rFonts w:ascii="宋体" w:hAnsi="宋体" w:hint="eastAsia"/>
          <w:color w:val="000000" w:themeColor="text1"/>
        </w:rPr>
        <w:t>持续和非持续第一层次公允价值计量项目市价的确定依据</w:t>
      </w:r>
    </w:p>
    <w:sdt>
      <w:sdtPr>
        <w:rPr>
          <w:color w:val="000000" w:themeColor="text1"/>
        </w:rPr>
        <w:alias w:val="是否适用：持续和非持续第一层次公允价值计量项目市价的确定依据[双击切换]"/>
        <w:tag w:val="_GBC_699178e78c6743f697df07ed34d59216"/>
        <w:id w:val="210977119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6840ED">
      <w:pPr>
        <w:ind w:firstLineChars="200" w:firstLine="420"/>
        <w:rPr>
          <w:rFonts w:cs="Arial"/>
          <w:color w:val="000000" w:themeColor="text1"/>
        </w:rPr>
      </w:pPr>
      <w:sdt>
        <w:sdtPr>
          <w:rPr>
            <w:rFonts w:cs="Arial" w:hint="eastAsia"/>
            <w:color w:val="000000" w:themeColor="text1"/>
          </w:rPr>
          <w:alias w:val="持续和非持续第一层次公允价值计量项目市价的确定依据"/>
          <w:tag w:val="_GBC_8db65a2ca59047da919942f97cfc594e"/>
          <w:id w:val="-802076810"/>
          <w:placeholder>
            <w:docPart w:val="262EC317A5044E9FB3163D0C6205A131"/>
          </w:placeholder>
        </w:sdtPr>
        <w:sdtEndPr/>
        <w:sdtContent>
          <w:proofErr w:type="gramStart"/>
          <w:r w:rsidR="003C2EEE">
            <w:rPr>
              <w:rFonts w:cs="Arial" w:hint="eastAsia"/>
              <w:color w:val="000000" w:themeColor="text1"/>
            </w:rPr>
            <w:t>子公司云变电气</w:t>
          </w:r>
          <w:proofErr w:type="gramEnd"/>
          <w:r w:rsidR="003C2EEE">
            <w:rPr>
              <w:rFonts w:cs="Arial" w:hint="eastAsia"/>
              <w:color w:val="000000" w:themeColor="text1"/>
            </w:rPr>
            <w:t>持有的交通银行股份有限公司</w:t>
          </w:r>
          <w:r w:rsidR="003C2EEE">
            <w:rPr>
              <w:rFonts w:cs="Arial"/>
              <w:color w:val="000000" w:themeColor="text1"/>
            </w:rPr>
            <w:t>A 股股票，能够取得其在活跃市场上未经调整的报价，因此采用第一层次输入值作为公允价值。</w:t>
          </w:r>
        </w:sdtContent>
      </w:sdt>
    </w:p>
    <w:p w:rsidR="00597370" w:rsidRDefault="003C2EEE">
      <w:pPr>
        <w:pStyle w:val="Style109"/>
        <w:numPr>
          <w:ilvl w:val="0"/>
          <w:numId w:val="102"/>
        </w:numPr>
        <w:rPr>
          <w:rFonts w:ascii="宋体" w:hAnsi="宋体"/>
          <w:color w:val="000000" w:themeColor="text1"/>
        </w:rPr>
      </w:pPr>
      <w:r>
        <w:rPr>
          <w:rFonts w:ascii="宋体" w:hAnsi="宋体" w:hint="eastAsia"/>
          <w:color w:val="000000" w:themeColor="text1"/>
        </w:rPr>
        <w:t>持续和非持续第二层次公允价值计量项目，采用的估值技术和重要参数的定性及定量信息</w:t>
      </w:r>
    </w:p>
    <w:sdt>
      <w:sdtPr>
        <w:rPr>
          <w:rFonts w:cs="Cambria" w:hint="eastAsia"/>
          <w:color w:val="000000" w:themeColor="text1"/>
        </w:rPr>
        <w:alias w:val="是否适用：持续和非持续第二层次公允价值计量项目，采用的估值技术和重要参数的定性及定量信息[双击切换]"/>
        <w:tag w:val="_GBC_8bee9b1c9bf241d5ae1f2c4578fc3b6c"/>
        <w:id w:val="-519472990"/>
        <w:placeholder>
          <w:docPart w:val="GBC22222222222222222222222222222"/>
        </w:placeholder>
      </w:sdtPr>
      <w:sdtEndPr/>
      <w:sdtContent>
        <w:p w:rsidR="00597370" w:rsidRDefault="003C2EEE">
          <w:pPr>
            <w:tabs>
              <w:tab w:val="left" w:pos="1134"/>
            </w:tabs>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□适用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√不适用 </w:instrText>
          </w:r>
          <w:r>
            <w:rPr>
              <w:rFonts w:cs="Cambria"/>
              <w:color w:val="000000" w:themeColor="text1"/>
            </w:rPr>
            <w:fldChar w:fldCharType="end"/>
          </w:r>
        </w:p>
      </w:sdtContent>
    </w:sdt>
    <w:p w:rsidR="00597370" w:rsidRDefault="003C2EEE">
      <w:pPr>
        <w:pStyle w:val="Style109"/>
        <w:numPr>
          <w:ilvl w:val="0"/>
          <w:numId w:val="102"/>
        </w:numPr>
        <w:rPr>
          <w:rFonts w:ascii="宋体" w:hAnsi="宋体"/>
          <w:color w:val="000000" w:themeColor="text1"/>
        </w:rPr>
      </w:pPr>
      <w:r>
        <w:rPr>
          <w:rFonts w:ascii="宋体" w:hAnsi="宋体" w:hint="eastAsia"/>
          <w:color w:val="000000" w:themeColor="text1"/>
        </w:rPr>
        <w:t>持续和非持续第三层次公允价值计量项目，采用的估值技术和重要参数的定性及定量信息</w:t>
      </w:r>
    </w:p>
    <w:sdt>
      <w:sdtPr>
        <w:rPr>
          <w:rFonts w:hint="eastAsia"/>
          <w:color w:val="000000" w:themeColor="text1"/>
        </w:rPr>
        <w:alias w:val="是否适用：持续和非持续第三层次公允价值计量项目，采用的估值技术和重要参数的定性及定量信息[双击切换]"/>
        <w:tag w:val="_GBC_4feedb18bf344f2ebff0035f82f30e3c"/>
        <w:id w:val="116058140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SnrToggleCheckbox √适用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持续和非持续第三层次公允价值计量项目，采用的估值技术和重要参数的定性及定量信息"/>
        <w:tag w:val="_GBC_db2fdcfb26ce4ca9ac1e8da23b16aaaa"/>
        <w:id w:val="1725096341"/>
        <w:placeholder>
          <w:docPart w:val="GBC22222222222222222222222222222"/>
        </w:placeholder>
      </w:sdtPr>
      <w:sdtEndPr/>
      <w:sdtContent>
        <w:p w:rsidR="00597370" w:rsidRDefault="003C2EEE">
          <w:pPr>
            <w:ind w:firstLineChars="200" w:firstLine="420"/>
            <w:rPr>
              <w:color w:val="000000" w:themeColor="text1"/>
            </w:rPr>
          </w:pPr>
          <w:r>
            <w:rPr>
              <w:rFonts w:hint="eastAsia"/>
              <w:color w:val="000000" w:themeColor="text1"/>
            </w:rPr>
            <w:t>本公司经评估后认为报告期内所持有的应收款项融资不存在重大的信用风险且期限较短，其公允价值根据本金确定。</w:t>
          </w:r>
        </w:p>
      </w:sdtContent>
    </w:sdt>
    <w:p w:rsidR="00597370" w:rsidRDefault="003C2EEE">
      <w:pPr>
        <w:pStyle w:val="Style109"/>
        <w:numPr>
          <w:ilvl w:val="0"/>
          <w:numId w:val="102"/>
        </w:numPr>
        <w:rPr>
          <w:rFonts w:ascii="宋体" w:hAnsi="宋体"/>
          <w:color w:val="000000" w:themeColor="text1"/>
        </w:rPr>
      </w:pPr>
      <w:r>
        <w:rPr>
          <w:rFonts w:ascii="宋体" w:hAnsi="宋体" w:hint="eastAsia"/>
          <w:color w:val="000000" w:themeColor="text1"/>
        </w:rPr>
        <w:t>持续的第三层次公允价值计量项目，期初与期末账面价值间的调节信息及不可观察参数敏感性分析</w:t>
      </w:r>
    </w:p>
    <w:sdt>
      <w:sdtPr>
        <w:rPr>
          <w:rFonts w:hint="eastAsia"/>
          <w:color w:val="000000" w:themeColor="text1"/>
        </w:rPr>
        <w:alias w:val="是否适用：持续的第三层次公允价值计量项目，期初与期末账面价值间的调节信息及不可观察参数敏感性分析[双击切换]"/>
        <w:tag w:val="_GBC_fbb80659fa8c4cbba85b32b2b514495c"/>
        <w:id w:val="-8242024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2"/>
        </w:numPr>
        <w:rPr>
          <w:rFonts w:ascii="宋体" w:hAnsi="宋体"/>
          <w:color w:val="000000" w:themeColor="text1"/>
        </w:rPr>
      </w:pPr>
      <w:r>
        <w:rPr>
          <w:rFonts w:ascii="宋体" w:hAnsi="宋体" w:hint="eastAsia"/>
          <w:color w:val="000000" w:themeColor="text1"/>
        </w:rPr>
        <w:t>持续的公允价值计量项目，本期内发生各层级之间转换的，转换的原因及确定转换时点的政策</w:t>
      </w:r>
    </w:p>
    <w:sdt>
      <w:sdtPr>
        <w:rPr>
          <w:rFonts w:hint="eastAsia"/>
          <w:color w:val="000000" w:themeColor="text1"/>
        </w:rPr>
        <w:alias w:val="是否适用：持续的公允价值计量项目，本期内发生各层级之间转换的，转换的原因及确定转换时点的政策[双击切换]"/>
        <w:tag w:val="_GBC_e3d16a79a58242bc9c7be1f3a6f00898"/>
        <w:id w:val="-77578399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2"/>
        </w:numPr>
        <w:rPr>
          <w:rFonts w:ascii="宋体" w:hAnsi="宋体"/>
          <w:color w:val="000000" w:themeColor="text1"/>
        </w:rPr>
      </w:pPr>
      <w:r>
        <w:rPr>
          <w:rFonts w:ascii="宋体" w:hAnsi="宋体" w:hint="eastAsia"/>
          <w:color w:val="000000" w:themeColor="text1"/>
        </w:rPr>
        <w:t>本期内发生的估值技术变更及变更原因</w:t>
      </w:r>
    </w:p>
    <w:sdt>
      <w:sdtPr>
        <w:rPr>
          <w:color w:val="000000" w:themeColor="text1"/>
        </w:rPr>
        <w:alias w:val="是否适用：本期内发生的估值技术变更及变更原因[双击切换]"/>
        <w:tag w:val="_GBC_b070160060a9485c87417fe5a8b5e02f"/>
        <w:id w:val="76049118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2"/>
        </w:numPr>
        <w:rPr>
          <w:rFonts w:ascii="宋体" w:hAnsi="宋体"/>
          <w:color w:val="000000" w:themeColor="text1"/>
        </w:rPr>
      </w:pPr>
      <w:r>
        <w:rPr>
          <w:rFonts w:ascii="宋体" w:hAnsi="宋体" w:hint="eastAsia"/>
          <w:color w:val="000000" w:themeColor="text1"/>
        </w:rPr>
        <w:t>不以公允价值计量的金融资产和金融负债的公允价值情况</w:t>
      </w:r>
    </w:p>
    <w:sdt>
      <w:sdtPr>
        <w:rPr>
          <w:rFonts w:cstheme="minorBidi" w:hint="eastAsia"/>
          <w:color w:val="000000" w:themeColor="text1"/>
        </w:rPr>
        <w:alias w:val="是否适用：不以公允价值计量的金融资产和金融负债的公允价值情况[双击切换]"/>
        <w:tag w:val="_GBC_848a058035fb408c922e66294e86defb"/>
        <w:id w:val="116728165"/>
        <w:placeholder>
          <w:docPart w:val="GBC22222222222222222222222222222"/>
        </w:placeholder>
      </w:sdtPr>
      <w:sdtEndPr/>
      <w:sdtContent>
        <w:p w:rsidR="00597370" w:rsidRDefault="003C2EEE">
          <w:pPr>
            <w:rPr>
              <w:rFonts w:cstheme="minorBidi"/>
              <w:color w:val="000000" w:themeColor="text1"/>
            </w:rPr>
          </w:pPr>
          <w:r>
            <w:rPr>
              <w:rFonts w:cstheme="minorBidi"/>
              <w:color w:val="000000" w:themeColor="text1"/>
            </w:rPr>
            <w:fldChar w:fldCharType="begin"/>
          </w:r>
          <w:r>
            <w:rPr>
              <w:rFonts w:cstheme="minorBidi"/>
              <w:color w:val="000000" w:themeColor="text1"/>
            </w:rPr>
            <w:instrText xml:space="preserve"> MACROBUTTON  SnrToggleCheckbox □适用 </w:instrText>
          </w:r>
          <w:r>
            <w:rPr>
              <w:rFonts w:cstheme="minorBidi"/>
              <w:color w:val="000000" w:themeColor="text1"/>
            </w:rPr>
            <w:fldChar w:fldCharType="end"/>
          </w:r>
          <w:r>
            <w:rPr>
              <w:rFonts w:cstheme="minorBidi"/>
              <w:color w:val="000000" w:themeColor="text1"/>
            </w:rPr>
            <w:fldChar w:fldCharType="begin"/>
          </w:r>
          <w:r>
            <w:rPr>
              <w:rFonts w:cstheme="minorBidi"/>
              <w:color w:val="000000" w:themeColor="text1"/>
            </w:rPr>
            <w:instrText xml:space="preserve"> MACROBUTTON  SnrToggleCheckbox √不适用 </w:instrText>
          </w:r>
          <w:r>
            <w:rPr>
              <w:rFonts w:cstheme="minorBidi"/>
              <w:color w:val="000000" w:themeColor="text1"/>
            </w:rPr>
            <w:fldChar w:fldCharType="end"/>
          </w:r>
        </w:p>
      </w:sdtContent>
    </w:sdt>
    <w:p w:rsidR="00597370" w:rsidRDefault="003C2EEE">
      <w:pPr>
        <w:pStyle w:val="Style109"/>
        <w:numPr>
          <w:ilvl w:val="0"/>
          <w:numId w:val="102"/>
        </w:numPr>
        <w:rPr>
          <w:rFonts w:ascii="宋体" w:hAnsi="宋体"/>
          <w:color w:val="000000" w:themeColor="text1"/>
        </w:rPr>
      </w:pPr>
      <w:r>
        <w:rPr>
          <w:rFonts w:ascii="宋体" w:hAnsi="宋体" w:hint="eastAsia"/>
          <w:color w:val="000000" w:themeColor="text1"/>
        </w:rPr>
        <w:t>其他</w:t>
      </w:r>
    </w:p>
    <w:sdt>
      <w:sdtPr>
        <w:rPr>
          <w:rFonts w:hint="eastAsia"/>
          <w:color w:val="000000" w:themeColor="text1"/>
        </w:rPr>
        <w:alias w:val="是否适用：公允价值其他需要披露的事项[双击切换]"/>
        <w:tag w:val="_GBC_9174a0e7dec04e80924ee384dabe783a"/>
        <w:id w:val="187503416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关联方及关联交易</w:t>
      </w:r>
    </w:p>
    <w:p w:rsidR="00597370" w:rsidRDefault="003C2EEE">
      <w:pPr>
        <w:pStyle w:val="Style109"/>
        <w:numPr>
          <w:ilvl w:val="0"/>
          <w:numId w:val="103"/>
        </w:numPr>
        <w:rPr>
          <w:rFonts w:ascii="宋体" w:hAnsi="宋体"/>
          <w:color w:val="000000" w:themeColor="text1"/>
        </w:rPr>
      </w:pPr>
      <w:r>
        <w:rPr>
          <w:rFonts w:ascii="宋体" w:hAnsi="宋体" w:hint="eastAsia"/>
          <w:color w:val="000000" w:themeColor="text1"/>
        </w:rPr>
        <w:t>本企业的母公司情况</w:t>
      </w:r>
    </w:p>
    <w:sdt>
      <w:sdtPr>
        <w:rPr>
          <w:color w:val="000000" w:themeColor="text1"/>
        </w:rPr>
        <w:alias w:val="是否适用：本企业的母公司情况[双击切换]"/>
        <w:tag w:val="_GBC_ead7e4ec9cc847adb62aa8efd8005802"/>
        <w:id w:val="80081013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3"/>
        </w:numPr>
        <w:rPr>
          <w:rFonts w:ascii="宋体" w:hAnsi="宋体"/>
          <w:color w:val="000000" w:themeColor="text1"/>
        </w:rPr>
      </w:pPr>
      <w:r>
        <w:rPr>
          <w:rFonts w:ascii="宋体" w:hAnsi="宋体" w:hint="eastAsia"/>
          <w:color w:val="000000" w:themeColor="text1"/>
        </w:rPr>
        <w:t>本企业的子公司情况</w:t>
      </w:r>
    </w:p>
    <w:p w:rsidR="00597370" w:rsidRDefault="003C2EEE">
      <w:pPr>
        <w:rPr>
          <w:color w:val="000000" w:themeColor="text1"/>
        </w:rPr>
      </w:pPr>
      <w:r>
        <w:rPr>
          <w:rFonts w:hint="eastAsia"/>
          <w:color w:val="000000" w:themeColor="text1"/>
        </w:rPr>
        <w:t>本企业子公司的情况详见附注</w:t>
      </w:r>
    </w:p>
    <w:sdt>
      <w:sdtPr>
        <w:rPr>
          <w:color w:val="000000" w:themeColor="text1"/>
        </w:rPr>
        <w:alias w:val="是否适用：本公司的子公司情况详见附注[双击切换]"/>
        <w:tag w:val="_GBC_a8d551b9f62149d3bf9322adae2c671f"/>
        <w:id w:val="212934996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rFonts w:hint="eastAsia"/>
          <w:color w:val="000000" w:themeColor="text1"/>
        </w:rPr>
        <w:alias w:val="本公司的子公司情况详见附注"/>
        <w:tag w:val="_GBC_bb3e2669c3cc45d0a6637b1809087708"/>
        <w:id w:val="1609003378"/>
      </w:sdtPr>
      <w:sdtEndPr/>
      <w:sdtContent>
        <w:p w:rsidR="00597370" w:rsidRDefault="003C2EEE">
          <w:r>
            <w:rPr>
              <w:rFonts w:hint="eastAsia"/>
              <w:color w:val="000000" w:themeColor="text1"/>
            </w:rPr>
            <w:t>详见第十节</w:t>
          </w:r>
          <w:r>
            <w:rPr>
              <w:color w:val="000000" w:themeColor="text1"/>
            </w:rPr>
            <w:t>.十.在其他主体中的权益</w:t>
          </w:r>
        </w:p>
      </w:sdtContent>
    </w:sdt>
    <w:p w:rsidR="00597370" w:rsidRDefault="003C2EEE">
      <w:pPr>
        <w:pStyle w:val="Style109"/>
        <w:numPr>
          <w:ilvl w:val="0"/>
          <w:numId w:val="103"/>
        </w:numPr>
        <w:rPr>
          <w:rFonts w:ascii="宋体" w:hAnsi="宋体"/>
          <w:color w:val="000000" w:themeColor="text1"/>
        </w:rPr>
      </w:pPr>
      <w:r>
        <w:rPr>
          <w:rFonts w:ascii="宋体" w:hAnsi="宋体" w:hint="eastAsia"/>
          <w:color w:val="000000" w:themeColor="text1"/>
        </w:rPr>
        <w:t>本企业合营和联营企业情况</w:t>
      </w:r>
    </w:p>
    <w:p w:rsidR="00597370" w:rsidRDefault="003C2EEE">
      <w:pPr>
        <w:rPr>
          <w:color w:val="000000" w:themeColor="text1"/>
        </w:rPr>
      </w:pPr>
      <w:r>
        <w:rPr>
          <w:rFonts w:hint="eastAsia"/>
          <w:color w:val="000000" w:themeColor="text1"/>
        </w:rPr>
        <w:t>本企业重要的合营或联营企业详见附注</w:t>
      </w:r>
    </w:p>
    <w:sdt>
      <w:sdtPr>
        <w:rPr>
          <w:color w:val="000000" w:themeColor="text1"/>
        </w:rPr>
        <w:alias w:val="是否适用：本企业重要的合营或联营企业详见附注[双击切换]"/>
        <w:tag w:val="_GBC_2a369d3377e94598b2a744dfe59973e2"/>
        <w:id w:val="195405666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本期与本公司发生关联方交易，或前期与本公司发生关联方交易形成余额的其他合营或联营企业情况如下</w:t>
      </w:r>
    </w:p>
    <w:sdt>
      <w:sdtPr>
        <w:rPr>
          <w:color w:val="000000" w:themeColor="text1"/>
        </w:rPr>
        <w:alias w:val="是否适用：本期与本公司发生关联方交易，或前期与本公司发生关联方交易形成余额的其他合营或联营企业情况如下[双击切换]"/>
        <w:tag w:val="_GBC_cab97913a7cc4573b25c34077eadbc4c"/>
        <w:id w:val="-1082372386"/>
        <w:placeholder>
          <w:docPart w:val="GBC22222222222222222222222222222"/>
        </w:placeholder>
      </w:sdtPr>
      <w:sdtEndPr/>
      <w:sdtContent>
        <w:p w:rsidR="00597370" w:rsidRDefault="003C2EEE">
          <w:pPr>
            <w:rPr>
              <w:rFonts w:cs="Cambria"/>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3"/>
        </w:numPr>
        <w:rPr>
          <w:rFonts w:ascii="宋体" w:hAnsi="宋体"/>
          <w:color w:val="000000" w:themeColor="text1"/>
        </w:rPr>
      </w:pPr>
      <w:r>
        <w:rPr>
          <w:rFonts w:ascii="宋体" w:hAnsi="宋体" w:hint="eastAsia"/>
          <w:color w:val="000000" w:themeColor="text1"/>
        </w:rPr>
        <w:t>其他关联方情况</w:t>
      </w:r>
    </w:p>
    <w:sdt>
      <w:sdtPr>
        <w:rPr>
          <w:color w:val="000000" w:themeColor="text1"/>
        </w:rPr>
        <w:alias w:val="是否适用：其他关联方情况[双击切换]"/>
        <w:tag w:val="_GBC_f9c029ef57734babb6375a74af1e3736"/>
        <w:id w:val="-12609618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92"/>
      </w:tblGrid>
      <w:tr w:rsidR="00597370">
        <w:trPr>
          <w:trHeight w:val="267"/>
        </w:trPr>
        <w:sdt>
          <w:sdtPr>
            <w:rPr>
              <w:color w:val="000000" w:themeColor="text1"/>
            </w:rPr>
            <w:tag w:val="_PLD_8fe00abbc9b249a98b2e3ac6b12f12db"/>
            <w:id w:val="910048359"/>
          </w:sdtPr>
          <w:sdtEndPr/>
          <w:sdtContent>
            <w:tc>
              <w:tcPr>
                <w:tcW w:w="2568"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rFonts w:cs="Cambria"/>
                    <w:color w:val="000000" w:themeColor="text1"/>
                  </w:rPr>
                </w:pPr>
                <w:r>
                  <w:rPr>
                    <w:rFonts w:cs="Cambria" w:hint="eastAsia"/>
                    <w:color w:val="000000" w:themeColor="text1"/>
                  </w:rPr>
                  <w:t>其他关联方名称</w:t>
                </w:r>
              </w:p>
            </w:tc>
          </w:sdtContent>
        </w:sdt>
        <w:sdt>
          <w:sdtPr>
            <w:rPr>
              <w:color w:val="000000" w:themeColor="text1"/>
            </w:rPr>
            <w:tag w:val="_PLD_c1304840da1e482f80286e0c7ca19002"/>
            <w:id w:val="-1905755304"/>
          </w:sdtPr>
          <w:sdtEndPr/>
          <w:sdtContent>
            <w:tc>
              <w:tcPr>
                <w:tcW w:w="2432"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center"/>
                  <w:rPr>
                    <w:rFonts w:cs="Cambria"/>
                    <w:color w:val="000000" w:themeColor="text1"/>
                  </w:rPr>
                </w:pPr>
                <w:r>
                  <w:rPr>
                    <w:rFonts w:cs="Cambria" w:hint="eastAsia"/>
                    <w:color w:val="000000" w:themeColor="text1"/>
                  </w:rPr>
                  <w:t>其他关联方与本企业关系</w:t>
                </w:r>
              </w:p>
            </w:tc>
          </w:sdtContent>
        </w:sdt>
      </w:tr>
      <w:tr w:rsidR="00597370">
        <w:trPr>
          <w:trHeight w:val="267"/>
        </w:trPr>
        <w:tc>
          <w:tcPr>
            <w:tcW w:w="2568" w:type="pct"/>
            <w:tcBorders>
              <w:top w:val="single" w:sz="4" w:space="0" w:color="auto"/>
              <w:left w:val="single" w:sz="4" w:space="0" w:color="auto"/>
              <w:bottom w:val="single" w:sz="4" w:space="0" w:color="auto"/>
              <w:right w:val="single" w:sz="4" w:space="0" w:color="auto"/>
            </w:tcBorders>
            <w:vAlign w:val="center"/>
          </w:tcPr>
          <w:p w:rsidR="00597370" w:rsidRDefault="003C2EEE">
            <w:pPr>
              <w:rPr>
                <w:rFonts w:cs="Cambria"/>
              </w:rPr>
            </w:pPr>
            <w:r>
              <w:t>四川明珠电工材料有限责任公司</w:t>
            </w:r>
          </w:p>
        </w:tc>
        <w:tc>
          <w:tcPr>
            <w:tcW w:w="2432" w:type="pct"/>
            <w:tcBorders>
              <w:top w:val="single" w:sz="4" w:space="0" w:color="auto"/>
              <w:left w:val="single" w:sz="4" w:space="0" w:color="auto"/>
              <w:bottom w:val="single" w:sz="4" w:space="0" w:color="auto"/>
              <w:right w:val="single" w:sz="4" w:space="0" w:color="auto"/>
            </w:tcBorders>
          </w:tcPr>
          <w:p w:rsidR="00597370" w:rsidRDefault="003C2EEE">
            <w:pPr>
              <w:rPr>
                <w:rFonts w:cs="Cambria"/>
                <w:color w:val="000000" w:themeColor="text1"/>
              </w:rPr>
            </w:pPr>
            <w:r>
              <w:rPr>
                <w:rFonts w:cs="Cambria" w:hint="eastAsia"/>
                <w:color w:val="000000" w:themeColor="text1"/>
              </w:rPr>
              <w:t>其他</w:t>
            </w:r>
          </w:p>
        </w:tc>
      </w:tr>
      <w:tr w:rsidR="00597370">
        <w:trPr>
          <w:trHeight w:val="267"/>
        </w:trPr>
        <w:tc>
          <w:tcPr>
            <w:tcW w:w="2568" w:type="pct"/>
            <w:tcBorders>
              <w:top w:val="single" w:sz="4" w:space="0" w:color="auto"/>
              <w:left w:val="single" w:sz="4" w:space="0" w:color="auto"/>
              <w:bottom w:val="single" w:sz="4" w:space="0" w:color="auto"/>
              <w:right w:val="single" w:sz="4" w:space="0" w:color="auto"/>
            </w:tcBorders>
            <w:vAlign w:val="center"/>
          </w:tcPr>
          <w:p w:rsidR="00597370" w:rsidRDefault="003C2EEE">
            <w:pPr>
              <w:rPr>
                <w:rFonts w:cs="Cambria"/>
              </w:rPr>
            </w:pPr>
            <w:r>
              <w:t>重庆能投长寿经开区售电有限公司</w:t>
            </w:r>
          </w:p>
        </w:tc>
        <w:sdt>
          <w:sdtPr>
            <w:rPr>
              <w:rFonts w:cs="Cambria"/>
              <w:color w:val="000000" w:themeColor="text1"/>
            </w:rPr>
            <w:alias w:val="本企业的其他关联方情况明细－其他关联方与本公司关系"/>
            <w:tag w:val="_GBC_2205fb8ea5f648b5a0c9e8e3f8499f9f"/>
            <w:id w:val="736359154"/>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432" w:type="pct"/>
                <w:tcBorders>
                  <w:top w:val="single" w:sz="4" w:space="0" w:color="auto"/>
                  <w:left w:val="single" w:sz="4" w:space="0" w:color="auto"/>
                  <w:bottom w:val="single" w:sz="4" w:space="0" w:color="auto"/>
                  <w:right w:val="single" w:sz="4" w:space="0" w:color="auto"/>
                </w:tcBorders>
              </w:tcPr>
              <w:p w:rsidR="00597370" w:rsidRDefault="003C2EEE">
                <w:pPr>
                  <w:rPr>
                    <w:rFonts w:cs="Cambria"/>
                    <w:color w:val="000000" w:themeColor="text1"/>
                  </w:rPr>
                </w:pPr>
                <w:r>
                  <w:rPr>
                    <w:rFonts w:cs="Cambria" w:hint="eastAsia"/>
                    <w:color w:val="000000" w:themeColor="text1"/>
                  </w:rPr>
                  <w:t>其他</w:t>
                </w:r>
              </w:p>
            </w:tc>
          </w:sdtContent>
        </w:sdt>
      </w:tr>
      <w:tr w:rsidR="00597370">
        <w:trPr>
          <w:trHeight w:val="267"/>
        </w:trPr>
        <w:tc>
          <w:tcPr>
            <w:tcW w:w="2568" w:type="pct"/>
            <w:tcBorders>
              <w:top w:val="single" w:sz="4" w:space="0" w:color="auto"/>
              <w:left w:val="single" w:sz="4" w:space="0" w:color="auto"/>
              <w:bottom w:val="single" w:sz="4" w:space="0" w:color="auto"/>
              <w:right w:val="single" w:sz="4" w:space="0" w:color="auto"/>
            </w:tcBorders>
          </w:tcPr>
          <w:p w:rsidR="00597370" w:rsidRDefault="003C2EEE">
            <w:r>
              <w:rPr>
                <w:rFonts w:hint="eastAsia"/>
              </w:rPr>
              <w:t>黔南都能开发有限公司及其分公司</w:t>
            </w:r>
          </w:p>
        </w:tc>
        <w:tc>
          <w:tcPr>
            <w:tcW w:w="2432" w:type="pct"/>
            <w:tcBorders>
              <w:top w:val="single" w:sz="4" w:space="0" w:color="auto"/>
              <w:left w:val="single" w:sz="4" w:space="0" w:color="auto"/>
              <w:bottom w:val="single" w:sz="4" w:space="0" w:color="auto"/>
              <w:right w:val="single" w:sz="4" w:space="0" w:color="auto"/>
            </w:tcBorders>
          </w:tcPr>
          <w:p w:rsidR="00597370" w:rsidRDefault="003C2EEE">
            <w:r>
              <w:t>其他</w:t>
            </w:r>
          </w:p>
        </w:tc>
      </w:tr>
      <w:tr w:rsidR="00597370">
        <w:trPr>
          <w:trHeight w:val="267"/>
        </w:trPr>
        <w:tc>
          <w:tcPr>
            <w:tcW w:w="2568" w:type="pct"/>
            <w:tcBorders>
              <w:top w:val="single" w:sz="4" w:space="0" w:color="auto"/>
              <w:left w:val="single" w:sz="4" w:space="0" w:color="auto"/>
              <w:bottom w:val="single" w:sz="4" w:space="0" w:color="auto"/>
              <w:right w:val="single" w:sz="4" w:space="0" w:color="auto"/>
            </w:tcBorders>
          </w:tcPr>
          <w:p w:rsidR="00597370" w:rsidRDefault="003C2EEE">
            <w:r>
              <w:rPr>
                <w:rFonts w:hint="eastAsia"/>
              </w:rPr>
              <w:t>福泉市金山电力开发有限责任公司</w:t>
            </w:r>
          </w:p>
        </w:tc>
        <w:tc>
          <w:tcPr>
            <w:tcW w:w="2432" w:type="pct"/>
            <w:tcBorders>
              <w:top w:val="single" w:sz="4" w:space="0" w:color="auto"/>
              <w:left w:val="single" w:sz="4" w:space="0" w:color="auto"/>
              <w:bottom w:val="single" w:sz="4" w:space="0" w:color="auto"/>
              <w:right w:val="single" w:sz="4" w:space="0" w:color="auto"/>
            </w:tcBorders>
          </w:tcPr>
          <w:p w:rsidR="00597370" w:rsidRDefault="003C2EEE">
            <w:r>
              <w:t>其他</w:t>
            </w:r>
          </w:p>
        </w:tc>
      </w:tr>
      <w:tr w:rsidR="00597370">
        <w:trPr>
          <w:trHeight w:val="267"/>
        </w:trPr>
        <w:tc>
          <w:tcPr>
            <w:tcW w:w="2568" w:type="pct"/>
            <w:tcBorders>
              <w:top w:val="single" w:sz="4" w:space="0" w:color="auto"/>
              <w:left w:val="single" w:sz="4" w:space="0" w:color="auto"/>
              <w:bottom w:val="single" w:sz="4" w:space="0" w:color="auto"/>
              <w:right w:val="single" w:sz="4" w:space="0" w:color="auto"/>
            </w:tcBorders>
          </w:tcPr>
          <w:p w:rsidR="00597370" w:rsidRDefault="003C2EEE">
            <w:r>
              <w:rPr>
                <w:rFonts w:hint="eastAsia"/>
              </w:rPr>
              <w:t>瓮安县明辉水电开发有限公司</w:t>
            </w:r>
          </w:p>
        </w:tc>
        <w:tc>
          <w:tcPr>
            <w:tcW w:w="2432" w:type="pct"/>
            <w:tcBorders>
              <w:top w:val="single" w:sz="4" w:space="0" w:color="auto"/>
              <w:left w:val="single" w:sz="4" w:space="0" w:color="auto"/>
              <w:bottom w:val="single" w:sz="4" w:space="0" w:color="auto"/>
              <w:right w:val="single" w:sz="4" w:space="0" w:color="auto"/>
            </w:tcBorders>
          </w:tcPr>
          <w:p w:rsidR="00597370" w:rsidRDefault="003C2EEE">
            <w:r>
              <w:t>其他</w:t>
            </w:r>
          </w:p>
        </w:tc>
      </w:tr>
      <w:tr w:rsidR="00597370">
        <w:trPr>
          <w:trHeight w:val="267"/>
        </w:trPr>
        <w:tc>
          <w:tcPr>
            <w:tcW w:w="2568" w:type="pct"/>
            <w:tcBorders>
              <w:top w:val="single" w:sz="4" w:space="0" w:color="auto"/>
              <w:left w:val="single" w:sz="4" w:space="0" w:color="auto"/>
              <w:bottom w:val="single" w:sz="4" w:space="0" w:color="auto"/>
              <w:right w:val="single" w:sz="4" w:space="0" w:color="auto"/>
            </w:tcBorders>
          </w:tcPr>
          <w:p w:rsidR="00597370" w:rsidRDefault="003C2EEE">
            <w:r>
              <w:rPr>
                <w:rFonts w:hint="eastAsia"/>
              </w:rPr>
              <w:t>贵州省罗甸县明达水电开发有限责任公司</w:t>
            </w:r>
          </w:p>
        </w:tc>
        <w:tc>
          <w:tcPr>
            <w:tcW w:w="2432" w:type="pct"/>
            <w:tcBorders>
              <w:top w:val="single" w:sz="4" w:space="0" w:color="auto"/>
              <w:left w:val="single" w:sz="4" w:space="0" w:color="auto"/>
              <w:bottom w:val="single" w:sz="4" w:space="0" w:color="auto"/>
              <w:right w:val="single" w:sz="4" w:space="0" w:color="auto"/>
            </w:tcBorders>
          </w:tcPr>
          <w:p w:rsidR="00597370" w:rsidRDefault="003C2EEE">
            <w:r>
              <w:t>其他</w:t>
            </w:r>
          </w:p>
        </w:tc>
      </w:tr>
      <w:tr w:rsidR="00597370">
        <w:trPr>
          <w:trHeight w:val="267"/>
        </w:trPr>
        <w:tc>
          <w:tcPr>
            <w:tcW w:w="2568" w:type="pct"/>
            <w:tcBorders>
              <w:top w:val="single" w:sz="4" w:space="0" w:color="auto"/>
              <w:left w:val="single" w:sz="4" w:space="0" w:color="auto"/>
              <w:bottom w:val="single" w:sz="4" w:space="0" w:color="auto"/>
              <w:right w:val="single" w:sz="4" w:space="0" w:color="auto"/>
            </w:tcBorders>
          </w:tcPr>
          <w:p w:rsidR="00597370" w:rsidRDefault="003C2EEE">
            <w:r>
              <w:rPr>
                <w:rFonts w:hint="eastAsia"/>
              </w:rPr>
              <w:t>惠水惠明电气实业有限责任公司</w:t>
            </w:r>
          </w:p>
        </w:tc>
        <w:tc>
          <w:tcPr>
            <w:tcW w:w="2432" w:type="pct"/>
            <w:tcBorders>
              <w:top w:val="single" w:sz="4" w:space="0" w:color="auto"/>
              <w:left w:val="single" w:sz="4" w:space="0" w:color="auto"/>
              <w:bottom w:val="single" w:sz="4" w:space="0" w:color="auto"/>
              <w:right w:val="single" w:sz="4" w:space="0" w:color="auto"/>
            </w:tcBorders>
          </w:tcPr>
          <w:p w:rsidR="00597370" w:rsidRDefault="003C2EEE">
            <w:r>
              <w:t>其他</w:t>
            </w:r>
          </w:p>
        </w:tc>
      </w:tr>
      <w:tr w:rsidR="00597370">
        <w:trPr>
          <w:trHeight w:val="267"/>
        </w:trPr>
        <w:tc>
          <w:tcPr>
            <w:tcW w:w="2568" w:type="pct"/>
            <w:tcBorders>
              <w:top w:val="single" w:sz="4" w:space="0" w:color="auto"/>
              <w:left w:val="single" w:sz="4" w:space="0" w:color="auto"/>
              <w:bottom w:val="single" w:sz="4" w:space="0" w:color="auto"/>
              <w:right w:val="single" w:sz="4" w:space="0" w:color="auto"/>
            </w:tcBorders>
          </w:tcPr>
          <w:p w:rsidR="00597370" w:rsidRDefault="003C2EEE">
            <w:r>
              <w:rPr>
                <w:rFonts w:hint="eastAsia"/>
              </w:rPr>
              <w:t>黔南海滨供电设备有限公司</w:t>
            </w:r>
          </w:p>
        </w:tc>
        <w:tc>
          <w:tcPr>
            <w:tcW w:w="2432" w:type="pct"/>
            <w:tcBorders>
              <w:top w:val="single" w:sz="4" w:space="0" w:color="auto"/>
              <w:left w:val="single" w:sz="4" w:space="0" w:color="auto"/>
              <w:bottom w:val="single" w:sz="4" w:space="0" w:color="auto"/>
              <w:right w:val="single" w:sz="4" w:space="0" w:color="auto"/>
            </w:tcBorders>
          </w:tcPr>
          <w:p w:rsidR="00597370" w:rsidRDefault="003C2EEE">
            <w:r>
              <w:t>其他</w:t>
            </w:r>
          </w:p>
        </w:tc>
      </w:tr>
      <w:tr w:rsidR="00597370">
        <w:trPr>
          <w:trHeight w:val="267"/>
        </w:trPr>
        <w:tc>
          <w:tcPr>
            <w:tcW w:w="2568" w:type="pct"/>
            <w:tcBorders>
              <w:top w:val="single" w:sz="4" w:space="0" w:color="auto"/>
              <w:left w:val="single" w:sz="4" w:space="0" w:color="auto"/>
              <w:bottom w:val="single" w:sz="4" w:space="0" w:color="auto"/>
              <w:right w:val="single" w:sz="4" w:space="0" w:color="auto"/>
            </w:tcBorders>
          </w:tcPr>
          <w:p w:rsidR="00597370" w:rsidRDefault="003C2EEE">
            <w:r>
              <w:rPr>
                <w:rFonts w:hint="eastAsia"/>
              </w:rPr>
              <w:t>重庆圣耀电力工程有限责任公司</w:t>
            </w:r>
          </w:p>
        </w:tc>
        <w:tc>
          <w:tcPr>
            <w:tcW w:w="2432" w:type="pct"/>
            <w:tcBorders>
              <w:top w:val="single" w:sz="4" w:space="0" w:color="auto"/>
              <w:left w:val="single" w:sz="4" w:space="0" w:color="auto"/>
              <w:bottom w:val="single" w:sz="4" w:space="0" w:color="auto"/>
              <w:right w:val="single" w:sz="4" w:space="0" w:color="auto"/>
            </w:tcBorders>
          </w:tcPr>
          <w:p w:rsidR="00597370" w:rsidRDefault="003C2EEE">
            <w:r>
              <w:t>其他</w:t>
            </w:r>
          </w:p>
        </w:tc>
      </w:tr>
    </w:tbl>
    <w:p w:rsidR="00597370" w:rsidRDefault="00597370">
      <w:pPr>
        <w:pStyle w:val="Style106"/>
      </w:pPr>
    </w:p>
    <w:p w:rsidR="00597370" w:rsidRDefault="003C2EEE">
      <w:pPr>
        <w:tabs>
          <w:tab w:val="left" w:pos="1134"/>
        </w:tabs>
        <w:rPr>
          <w:rFonts w:cs="Cambria"/>
          <w:color w:val="000000" w:themeColor="text1"/>
        </w:rPr>
      </w:pPr>
      <w:r>
        <w:rPr>
          <w:rFonts w:cs="Cambria" w:hint="eastAsia"/>
          <w:color w:val="000000" w:themeColor="text1"/>
        </w:rPr>
        <w:t>其他说明</w:t>
      </w:r>
    </w:p>
    <w:sdt>
      <w:sdtPr>
        <w:rPr>
          <w:rFonts w:cs="Cambria"/>
          <w:color w:val="000000" w:themeColor="text1"/>
        </w:rPr>
        <w:alias w:val="本企业的其他关联方情况的说明"/>
        <w:tag w:val="_GBC_214bcb1375e347c4be22006f5cc854a9"/>
        <w:id w:val="-1783483966"/>
        <w:placeholder>
          <w:docPart w:val="GBC22222222222222222222222222222"/>
        </w:placeholder>
      </w:sdtPr>
      <w:sdtEndPr/>
      <w:sdtContent>
        <w:p w:rsidR="00597370" w:rsidRDefault="003C2EEE">
          <w:pPr>
            <w:tabs>
              <w:tab w:val="left" w:pos="1134"/>
            </w:tabs>
            <w:spacing w:line="360" w:lineRule="auto"/>
            <w:ind w:firstLineChars="200" w:firstLine="420"/>
            <w:rPr>
              <w:rFonts w:cs="Cambria"/>
              <w:color w:val="000000" w:themeColor="text1"/>
            </w:rPr>
          </w:pPr>
          <w:r>
            <w:rPr>
              <w:rFonts w:cs="Cambria" w:hint="eastAsia"/>
              <w:color w:val="000000" w:themeColor="text1"/>
            </w:rPr>
            <w:t>四川明珠电工材料有限责任公司与本企业的关系为：该公司控股股东夏强，截止</w:t>
          </w:r>
          <w:r>
            <w:rPr>
              <w:rFonts w:cs="Cambria"/>
              <w:color w:val="000000" w:themeColor="text1"/>
            </w:rPr>
            <w:t>2024年6月30日</w:t>
          </w:r>
          <w:proofErr w:type="gramStart"/>
          <w:r>
            <w:rPr>
              <w:rFonts w:cs="Cambria"/>
              <w:color w:val="000000" w:themeColor="text1"/>
            </w:rPr>
            <w:t>持有望变电气</w:t>
          </w:r>
          <w:proofErr w:type="gramEnd"/>
          <w:r>
            <w:rPr>
              <w:rFonts w:cs="Cambria"/>
              <w:color w:val="000000" w:themeColor="text1"/>
            </w:rPr>
            <w:t>230.6万股股票，占公司本次发行后股份总数的0.69%，持股51%并担任执行董事兼经理；黔南都能开发有限公司为持有本公司子公司黔南望江40%股权的股东；福泉市金山电力开发有限责任公司、瓮安县明辉水电开发有限公司、贵州省罗甸县明达水电开发有限责任公司、惠水惠明电气实业有限责任公司、黔南海滨供电设备有限公司均为黔南都能开发有限公司的子</w:t>
          </w:r>
          <w:r>
            <w:rPr>
              <w:rFonts w:cs="Cambria" w:hint="eastAsia"/>
              <w:color w:val="000000" w:themeColor="text1"/>
            </w:rPr>
            <w:t>公司，重庆圣耀电力工程有限责任公司为本公司销售员工控股的企业</w:t>
          </w:r>
        </w:p>
      </w:sdtContent>
    </w:sdt>
    <w:p w:rsidR="00597370" w:rsidRDefault="003C2EEE">
      <w:pPr>
        <w:pStyle w:val="Style109"/>
        <w:numPr>
          <w:ilvl w:val="0"/>
          <w:numId w:val="103"/>
        </w:numPr>
        <w:rPr>
          <w:rFonts w:ascii="宋体" w:hAnsi="宋体"/>
          <w:color w:val="000000" w:themeColor="text1"/>
        </w:rPr>
      </w:pPr>
      <w:r>
        <w:rPr>
          <w:rFonts w:ascii="宋体" w:hAnsi="宋体" w:hint="eastAsia"/>
          <w:color w:val="000000" w:themeColor="text1"/>
        </w:rPr>
        <w:t>关联交易情况</w:t>
      </w:r>
    </w:p>
    <w:p w:rsidR="00597370" w:rsidRDefault="003C2EEE">
      <w:pPr>
        <w:pStyle w:val="Style110"/>
        <w:numPr>
          <w:ilvl w:val="0"/>
          <w:numId w:val="104"/>
        </w:numPr>
        <w:tabs>
          <w:tab w:val="left" w:pos="616"/>
        </w:tabs>
        <w:rPr>
          <w:rFonts w:ascii="宋体" w:hAnsi="宋体"/>
          <w:color w:val="000000" w:themeColor="text1"/>
        </w:rPr>
      </w:pPr>
      <w:r>
        <w:rPr>
          <w:rFonts w:ascii="宋体" w:hAnsi="宋体" w:hint="eastAsia"/>
          <w:color w:val="000000" w:themeColor="text1"/>
        </w:rPr>
        <w:t>购销商品、提供和接受劳务的关联交易</w:t>
      </w:r>
    </w:p>
    <w:p w:rsidR="00597370" w:rsidRDefault="003C2EEE">
      <w:pPr>
        <w:rPr>
          <w:color w:val="000000" w:themeColor="text1"/>
        </w:rPr>
      </w:pPr>
      <w:bookmarkStart w:id="382" w:name="_Hlk137124040"/>
      <w:r>
        <w:rPr>
          <w:rFonts w:hint="eastAsia"/>
          <w:color w:val="000000" w:themeColor="text1"/>
        </w:rPr>
        <w:t>采购商品/接受劳务情况表</w:t>
      </w:r>
    </w:p>
    <w:sdt>
      <w:sdtPr>
        <w:rPr>
          <w:color w:val="000000" w:themeColor="text1"/>
        </w:rPr>
        <w:alias w:val="是否适用：采购商品或接受劳务情况表[双击切换]"/>
        <w:tag w:val="_GBC_af7e43b831354837910c4edde708e04a"/>
        <w:id w:val="49022830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rFonts w:cs="Cambria"/>
          <w:b/>
          <w:color w:val="000000" w:themeColor="text1"/>
        </w:rPr>
      </w:pPr>
      <w:r>
        <w:rPr>
          <w:rFonts w:cs="Cambria" w:hint="eastAsia"/>
          <w:color w:val="000000" w:themeColor="text1"/>
        </w:rPr>
        <w:t>单位：</w:t>
      </w:r>
      <w:sdt>
        <w:sdtPr>
          <w:rPr>
            <w:rFonts w:cs="Cambria" w:hint="eastAsia"/>
            <w:color w:val="000000" w:themeColor="text1"/>
          </w:rPr>
          <w:alias w:val="单位：采购商品接受劳务情况表"/>
          <w:tag w:val="_GBC_45ae86deace34388a904346eae355be1"/>
          <w:id w:val="-4942597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color w:val="000000" w:themeColor="text1"/>
            </w:rPr>
            <w:t>万元</w:t>
          </w:r>
        </w:sdtContent>
      </w:sdt>
      <w:r>
        <w:rPr>
          <w:rFonts w:cs="Cambria" w:hint="eastAsia"/>
          <w:color w:val="000000" w:themeColor="text1"/>
        </w:rPr>
        <w:t xml:space="preserve">  币种：</w:t>
      </w:r>
      <w:sdt>
        <w:sdtPr>
          <w:rPr>
            <w:rFonts w:cs="Cambria" w:hint="eastAsia"/>
            <w:color w:val="000000" w:themeColor="text1"/>
          </w:rPr>
          <w:alias w:val="币种：采购商品接受劳务情况表"/>
          <w:tag w:val="_GBC_ac9ca64b68bd493da1d7e7c719a6104c"/>
          <w:id w:val="2428438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1071"/>
        <w:gridCol w:w="1339"/>
        <w:gridCol w:w="1551"/>
        <w:gridCol w:w="1629"/>
        <w:gridCol w:w="1253"/>
      </w:tblGrid>
      <w:tr w:rsidR="00597370">
        <w:trPr>
          <w:cantSplit/>
          <w:trHeight w:val="295"/>
        </w:trPr>
        <w:sdt>
          <w:sdtPr>
            <w:rPr>
              <w:color w:val="000000" w:themeColor="text1"/>
            </w:rPr>
            <w:tag w:val="_PLD_c09a7dc97d494a8fb07056392e54876a"/>
            <w:id w:val="1842734379"/>
          </w:sdtPr>
          <w:sdtEndPr/>
          <w:sdtContent>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关联方</w:t>
                </w:r>
              </w:p>
            </w:tc>
          </w:sdtContent>
        </w:sdt>
        <w:sdt>
          <w:sdtPr>
            <w:rPr>
              <w:color w:val="000000" w:themeColor="text1"/>
            </w:rPr>
            <w:tag w:val="_PLD_6f5fdab53c694e56963e5e189cd0c28d"/>
            <w:id w:val="260110235"/>
          </w:sdtPr>
          <w:sdtEndPr/>
          <w:sdtContent>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关联交易内容</w:t>
                </w:r>
              </w:p>
            </w:tc>
          </w:sdtContent>
        </w:sdt>
        <w:sdt>
          <w:sdtPr>
            <w:rPr>
              <w:color w:val="000000" w:themeColor="text1"/>
            </w:rPr>
            <w:tag w:val="_PLD_1237b998b2a64f30a674dff433b841b0"/>
            <w:id w:val="1471015483"/>
          </w:sdtPr>
          <w:sdtEndPr/>
          <w:sdtContent>
            <w:tc>
              <w:tcPr>
                <w:tcW w:w="759" w:type="pc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本期发生额</w:t>
                </w:r>
              </w:p>
            </w:tc>
          </w:sdtContent>
        </w:sdt>
        <w:sdt>
          <w:sdtPr>
            <w:rPr>
              <w:rFonts w:hint="eastAsia"/>
              <w:color w:val="000000" w:themeColor="text1"/>
            </w:rPr>
            <w:tag w:val="_PLD_b1a311757d3a457e811c8d8ffb0b6ac0"/>
            <w:id w:val="1229647497"/>
          </w:sdtPr>
          <w:sdtEndPr/>
          <w:sdtContent>
            <w:tc>
              <w:tcPr>
                <w:tcW w:w="879" w:type="pc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获批的交易额度（如适用）</w:t>
                </w:r>
              </w:p>
            </w:tc>
          </w:sdtContent>
        </w:sdt>
        <w:sdt>
          <w:sdtPr>
            <w:rPr>
              <w:color w:val="000000" w:themeColor="text1"/>
            </w:rPr>
            <w:tag w:val="_PLD_c145e8a0e9404dc7b7dab215447b876b"/>
            <w:id w:val="1740055640"/>
          </w:sdtPr>
          <w:sdtEndPr>
            <w:rPr>
              <w:rFonts w:hint="eastAsia"/>
            </w:rPr>
          </w:sdtEndPr>
          <w:sdtContent>
            <w:tc>
              <w:tcPr>
                <w:tcW w:w="923" w:type="pc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color w:val="000000" w:themeColor="text1"/>
                  </w:rPr>
                  <w:t>是否超过交易额度</w:t>
                </w:r>
                <w:r>
                  <w:rPr>
                    <w:rFonts w:hint="eastAsia"/>
                    <w:color w:val="000000" w:themeColor="text1"/>
                  </w:rPr>
                  <w:t>（如适用）</w:t>
                </w:r>
              </w:p>
            </w:tc>
          </w:sdtContent>
        </w:sdt>
        <w:sdt>
          <w:sdtPr>
            <w:rPr>
              <w:color w:val="000000" w:themeColor="text1"/>
            </w:rPr>
            <w:tag w:val="_PLD_f7d77ff6fdf642199e4c9fc12f00610d"/>
            <w:id w:val="-1575808685"/>
          </w:sdtPr>
          <w:sdtEndPr/>
          <w:sdtContent>
            <w:tc>
              <w:tcPr>
                <w:tcW w:w="710" w:type="pc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上期发生额</w:t>
                </w:r>
              </w:p>
            </w:tc>
          </w:sdtContent>
        </w:sdt>
      </w:tr>
      <w:tr w:rsidR="00597370">
        <w:trPr>
          <w:cantSplit/>
        </w:trPr>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bookmarkStart w:id="383" w:name="_Hlk40536931"/>
            <w:r>
              <w:rPr>
                <w:rFonts w:hint="eastAsia"/>
              </w:rPr>
              <w:t>四川明珠电工材料有限责任公司</w:t>
            </w:r>
          </w:p>
          <w:p w:rsidR="00597370" w:rsidRDefault="00597370">
            <w:pPr>
              <w:jc w:val="cente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采购</w:t>
            </w:r>
            <w:r>
              <w:t>原材料</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2,962.37</w:t>
            </w:r>
          </w:p>
        </w:tc>
        <w:tc>
          <w:tcPr>
            <w:tcW w:w="87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sdt>
          <w:sdtPr>
            <w:rPr>
              <w:color w:val="000000" w:themeColor="text1"/>
            </w:rPr>
            <w:alias w:val="采购商品接受劳务情况明细-是否超过交易额度"/>
            <w:tag w:val="_GBC_8948407543bf4b9e8a27ff07478d8950"/>
            <w:id w:val="-272173322"/>
            <w:comboBox>
              <w:listItem w:displayText="是" w:value="是"/>
              <w:listItem w:displayText="否" w:value="否"/>
            </w:comboBox>
          </w:sdtPr>
          <w:sdtEndPr/>
          <w:sdtContent>
            <w:tc>
              <w:tcPr>
                <w:tcW w:w="923"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color w:val="000000" w:themeColor="text1"/>
                  </w:rPr>
                </w:pPr>
                <w:r>
                  <w:rPr>
                    <w:rFonts w:hint="eastAsia"/>
                    <w:color w:val="000000" w:themeColor="text1"/>
                  </w:rPr>
                  <w:t xml:space="preserve">　</w:t>
                </w:r>
              </w:p>
            </w:tc>
          </w:sdtContent>
        </w:sdt>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2,574.83</w:t>
            </w:r>
          </w:p>
        </w:tc>
      </w:tr>
      <w:tr w:rsidR="00597370">
        <w:trPr>
          <w:cantSplit/>
        </w:trPr>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重庆能投长寿经开区售电有限公司</w:t>
            </w:r>
          </w:p>
          <w:p w:rsidR="00597370" w:rsidRDefault="00597370">
            <w:pPr>
              <w:jc w:val="cente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采购其他</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rPr>
              <w:t>0</w:t>
            </w:r>
            <w:r>
              <w:t>.3</w:t>
            </w:r>
          </w:p>
        </w:tc>
        <w:tc>
          <w:tcPr>
            <w:tcW w:w="879"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923"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rPr>
                <w:color w:val="000000" w:themeColor="text1"/>
              </w:rPr>
            </w:pP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pPr>
          </w:p>
        </w:tc>
      </w:tr>
    </w:tbl>
    <w:p w:rsidR="00597370" w:rsidRDefault="00597370">
      <w:pPr>
        <w:rPr>
          <w:color w:val="000000" w:themeColor="text1"/>
        </w:rPr>
      </w:pPr>
    </w:p>
    <w:bookmarkEnd w:id="382"/>
    <w:bookmarkEnd w:id="383"/>
    <w:p w:rsidR="00597370" w:rsidRDefault="003C2EEE">
      <w:pPr>
        <w:ind w:rightChars="-369" w:right="-775"/>
        <w:rPr>
          <w:color w:val="000000" w:themeColor="text1"/>
        </w:rPr>
      </w:pPr>
      <w:r>
        <w:rPr>
          <w:rFonts w:hint="eastAsia"/>
          <w:color w:val="000000" w:themeColor="text1"/>
        </w:rPr>
        <w:t>出售商品/提供劳务情况表</w:t>
      </w:r>
    </w:p>
    <w:sdt>
      <w:sdtPr>
        <w:rPr>
          <w:color w:val="000000" w:themeColor="text1"/>
        </w:rPr>
        <w:alias w:val="是否适用：出售商品或提供劳务情况表[双击切换]"/>
        <w:tag w:val="_GBC_18ae630e2f3641959d3a9fc1a3f3ccf3"/>
        <w:id w:val="-1414621036"/>
        <w:placeholder>
          <w:docPart w:val="GBC22222222222222222222222222222"/>
        </w:placeholder>
      </w:sdtPr>
      <w:sdtEndPr/>
      <w:sdtContent>
        <w:p w:rsidR="00597370" w:rsidRDefault="003C2EEE">
          <w:pPr>
            <w:ind w:rightChars="-369" w:right="-77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tabs>
          <w:tab w:val="left" w:pos="3870"/>
        </w:tabs>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8610453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万元</w:t>
          </w:r>
        </w:sdtContent>
      </w:sdt>
      <w:r>
        <w:rPr>
          <w:color w:val="000000" w:themeColor="text1"/>
        </w:rPr>
        <w:t xml:space="preserve">  币种：</w:t>
      </w:r>
      <w:sdt>
        <w:sdtPr>
          <w:rPr>
            <w:color w:val="000000" w:themeColor="text1"/>
          </w:rPr>
          <w:alias w:val="币种：出售商品提供劳务情况表"/>
          <w:tag w:val="_GBC_d298f57687684d2eafef1d8c13d51722"/>
          <w:id w:val="8764310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396"/>
        <w:gridCol w:w="2105"/>
        <w:gridCol w:w="2160"/>
        <w:gridCol w:w="2162"/>
      </w:tblGrid>
      <w:tr w:rsidR="00597370">
        <w:trPr>
          <w:cantSplit/>
          <w:trHeight w:val="273"/>
        </w:trPr>
        <w:sdt>
          <w:sdtPr>
            <w:rPr>
              <w:color w:val="000000" w:themeColor="text1"/>
            </w:rPr>
            <w:tag w:val="_PLD_70510986aab647e99b00ba57c32e64cd"/>
            <w:id w:val="1885214351"/>
          </w:sdtPr>
          <w:sdtEnd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关联方</w:t>
                </w:r>
              </w:p>
            </w:tc>
          </w:sdtContent>
        </w:sdt>
        <w:sdt>
          <w:sdtPr>
            <w:rPr>
              <w:color w:val="000000" w:themeColor="text1"/>
            </w:rPr>
            <w:tag w:val="_PLD_66da90262f3d401c8151235b4c6f5e93"/>
            <w:id w:val="-1016064796"/>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关联交易内容</w:t>
                </w:r>
              </w:p>
            </w:tc>
          </w:sdtContent>
        </w:sdt>
        <w:sdt>
          <w:sdtPr>
            <w:rPr>
              <w:color w:val="000000" w:themeColor="text1"/>
            </w:rPr>
            <w:tag w:val="_PLD_09c424bd80324eb49dafea569ce1931b"/>
            <w:id w:val="-849174774"/>
          </w:sdtPr>
          <w:sdtEndPr/>
          <w:sdtContent>
            <w:tc>
              <w:tcPr>
                <w:tcW w:w="1224" w:type="pc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本期发生额</w:t>
                </w:r>
              </w:p>
            </w:tc>
          </w:sdtContent>
        </w:sdt>
        <w:sdt>
          <w:sdtPr>
            <w:rPr>
              <w:color w:val="000000" w:themeColor="text1"/>
            </w:rPr>
            <w:tag w:val="_PLD_fd0f9e0691744db49d5ceaf95d42197c"/>
            <w:id w:val="-1514133352"/>
          </w:sdtPr>
          <w:sdtEndPr/>
          <w:sdtContent>
            <w:tc>
              <w:tcPr>
                <w:tcW w:w="1225" w:type="pc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上期发生额</w:t>
                </w:r>
              </w:p>
            </w:tc>
          </w:sdtContent>
        </w:sdt>
      </w:tr>
      <w:tr w:rsidR="00597370">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福泉市金山电力开发有限责任公司</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输配电</w:t>
            </w:r>
            <w:r>
              <w:t>及控制设备</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rPr>
              <w:t>6.00</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rPr>
              <w:t>14.06</w:t>
            </w:r>
          </w:p>
        </w:tc>
      </w:tr>
      <w:tr w:rsidR="00597370">
        <w:trPr>
          <w:cantSplit/>
          <w:trHeight w:val="671"/>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重庆能投长寿经开区售电有限公司</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其他</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rPr>
              <w:t>14.16</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rPr>
              <w:t>3.55</w:t>
            </w:r>
          </w:p>
        </w:tc>
      </w:tr>
      <w:tr w:rsidR="00597370">
        <w:trPr>
          <w:cantSplit/>
          <w:trHeight w:val="428"/>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lastRenderedPageBreak/>
              <w:t>重庆圣耀电力工程有限责任公司</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输配电及控制设备</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rPr>
              <w:t>1</w:t>
            </w:r>
            <w:r>
              <w:t>77.39</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pPr>
          </w:p>
        </w:tc>
      </w:tr>
      <w:tr w:rsidR="00597370">
        <w:trPr>
          <w:cantSplit/>
          <w:trHeight w:val="428"/>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重庆圣耀电力工程有限责任公司</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pPr>
            <w:r>
              <w:rPr>
                <w:rFonts w:hint="eastAsia"/>
              </w:rPr>
              <w:t>其他</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hint="eastAsia"/>
              </w:rPr>
              <w:t>7</w:t>
            </w:r>
            <w:r>
              <w:t>.19</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pPr>
          </w:p>
        </w:tc>
      </w:tr>
    </w:tbl>
    <w:p w:rsidR="00597370" w:rsidRDefault="00597370">
      <w:pPr>
        <w:rPr>
          <w:color w:val="000000" w:themeColor="text1"/>
        </w:rPr>
      </w:pPr>
    </w:p>
    <w:p w:rsidR="00597370" w:rsidRDefault="003C2EEE">
      <w:pPr>
        <w:rPr>
          <w:rFonts w:cs="Cambria"/>
          <w:color w:val="000000" w:themeColor="text1"/>
        </w:rPr>
      </w:pPr>
      <w:r>
        <w:rPr>
          <w:rFonts w:cs="Cambria" w:hint="eastAsia"/>
          <w:color w:val="000000" w:themeColor="text1"/>
        </w:rPr>
        <w:t>购销商品、提供和接受劳务的关联交易说明</w:t>
      </w:r>
    </w:p>
    <w:sdt>
      <w:sdtPr>
        <w:rPr>
          <w:rFonts w:cs="Cambria"/>
          <w:color w:val="000000" w:themeColor="text1"/>
        </w:rPr>
        <w:alias w:val="是否适用：购销商品、提供和接受劳务的关联交易说明[双击切换]"/>
        <w:tag w:val="_GBC_9ec9e1b38e7f48d89bb7f6441bed1bd1"/>
        <w:id w:val="-1467579526"/>
        <w:placeholder>
          <w:docPart w:val="GBC22222222222222222222222222222"/>
        </w:placeholder>
      </w:sdtPr>
      <w:sdtEndPr/>
      <w:sdtContent>
        <w:p w:rsidR="00597370" w:rsidRDefault="003C2EEE">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√适用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□不适用 </w:instrText>
          </w:r>
          <w:r>
            <w:rPr>
              <w:rFonts w:cs="Cambria"/>
              <w:color w:val="000000" w:themeColor="text1"/>
            </w:rPr>
            <w:fldChar w:fldCharType="end"/>
          </w:r>
        </w:p>
      </w:sdtContent>
    </w:sdt>
    <w:sdt>
      <w:sdtPr>
        <w:rPr>
          <w:rFonts w:cs="Cambria"/>
          <w:color w:val="000000" w:themeColor="text1"/>
        </w:rPr>
        <w:alias w:val="购销商品、提供和接受劳务的关联交易说明"/>
        <w:tag w:val="_GBC_b40d5cc82ee746028d6efa52b270cc25"/>
        <w:id w:val="755251239"/>
        <w:placeholder>
          <w:docPart w:val="GBC22222222222222222222222222222"/>
        </w:placeholder>
      </w:sdtPr>
      <w:sdtEndPr/>
      <w:sdtContent>
        <w:p w:rsidR="00597370" w:rsidRDefault="003C2EEE">
          <w:pPr>
            <w:rPr>
              <w:rFonts w:cs="Cambria"/>
              <w:color w:val="000000" w:themeColor="text1"/>
            </w:rPr>
          </w:pPr>
          <w:r>
            <w:rPr>
              <w:rFonts w:cs="Cambria" w:hint="eastAsia"/>
              <w:color w:val="000000" w:themeColor="text1"/>
            </w:rPr>
            <w:t>无</w:t>
          </w:r>
        </w:p>
      </w:sdtContent>
    </w:sdt>
    <w:p w:rsidR="00597370" w:rsidRDefault="003C2EEE">
      <w:pPr>
        <w:pStyle w:val="Style110"/>
        <w:numPr>
          <w:ilvl w:val="0"/>
          <w:numId w:val="104"/>
        </w:numPr>
        <w:tabs>
          <w:tab w:val="left" w:pos="616"/>
        </w:tabs>
        <w:rPr>
          <w:rFonts w:ascii="宋体" w:hAnsi="宋体"/>
          <w:color w:val="000000" w:themeColor="text1"/>
        </w:rPr>
      </w:pPr>
      <w:r>
        <w:rPr>
          <w:rFonts w:ascii="宋体" w:hAnsi="宋体" w:hint="eastAsia"/>
          <w:color w:val="000000" w:themeColor="text1"/>
        </w:rPr>
        <w:t>关联受托管理/承包及委托管理/出包情况</w:t>
      </w:r>
    </w:p>
    <w:p w:rsidR="00597370" w:rsidRDefault="003C2EEE">
      <w:pPr>
        <w:rPr>
          <w:color w:val="000000" w:themeColor="text1"/>
        </w:rPr>
      </w:pPr>
      <w:r>
        <w:rPr>
          <w:rFonts w:hint="eastAsia"/>
          <w:color w:val="000000" w:themeColor="text1"/>
        </w:rPr>
        <w:t>本公司受托管理/承包情况表：</w:t>
      </w:r>
    </w:p>
    <w:sdt>
      <w:sdtPr>
        <w:rPr>
          <w:rFonts w:cs="Cambria"/>
          <w:color w:val="000000" w:themeColor="text1"/>
        </w:rPr>
        <w:alias w:val="是否适用：本公司受托管理或承包情况表[双击切换]"/>
        <w:tag w:val="_GBC_3810b3cad54c4b2f9754e7d6be3e9480"/>
        <w:id w:val="1884593698"/>
        <w:placeholder>
          <w:docPart w:val="GBC22222222222222222222222222222"/>
        </w:placeholder>
      </w:sdtPr>
      <w:sdtEndPr/>
      <w:sdtContent>
        <w:p w:rsidR="00597370" w:rsidRDefault="003C2EEE">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□适用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√不适用 </w:instrText>
          </w:r>
          <w:r>
            <w:rPr>
              <w:rFonts w:cs="Cambria"/>
              <w:color w:val="000000" w:themeColor="text1"/>
            </w:rPr>
            <w:fldChar w:fldCharType="end"/>
          </w:r>
        </w:p>
      </w:sdtContent>
    </w:sdt>
    <w:p w:rsidR="00597370" w:rsidRDefault="003C2EEE">
      <w:pPr>
        <w:rPr>
          <w:rFonts w:cs="Cambria"/>
          <w:color w:val="000000" w:themeColor="text1"/>
        </w:rPr>
      </w:pPr>
      <w:r>
        <w:rPr>
          <w:rFonts w:cs="Cambria" w:hint="eastAsia"/>
          <w:color w:val="000000" w:themeColor="text1"/>
        </w:rPr>
        <w:t>关联托管/承包情况说明</w:t>
      </w:r>
    </w:p>
    <w:sdt>
      <w:sdtPr>
        <w:rPr>
          <w:rFonts w:cs="Cambria"/>
          <w:color w:val="000000" w:themeColor="text1"/>
        </w:rPr>
        <w:alias w:val="是否适用：关联托管或承包情况说明[双击切换]"/>
        <w:tag w:val="_GBC_42ec6e3170b04610899c528ce7bda003"/>
        <w:id w:val="-282965615"/>
        <w:placeholder>
          <w:docPart w:val="GBC22222222222222222222222222222"/>
        </w:placeholder>
      </w:sdtPr>
      <w:sdtEndPr/>
      <w:sdtContent>
        <w:p w:rsidR="00597370" w:rsidRDefault="003C2EEE">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□适用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√不适用 </w:instrText>
          </w:r>
          <w:r>
            <w:rPr>
              <w:rFonts w:cs="Cambria"/>
              <w:color w:val="000000" w:themeColor="text1"/>
            </w:rPr>
            <w:fldChar w:fldCharType="end"/>
          </w:r>
        </w:p>
      </w:sdtContent>
    </w:sdt>
    <w:sdt>
      <w:sdtPr>
        <w:rPr>
          <w:rFonts w:cs="Cambria"/>
          <w:color w:val="000000" w:themeColor="text1"/>
        </w:rPr>
        <w:alias w:val="关联托管承包情况说明"/>
        <w:tag w:val="_GBC_b57de92981b242d09d3295da16c1b5d2"/>
        <w:id w:val="-1502120031"/>
        <w:placeholder>
          <w:docPart w:val="GBC22222222222222222222222222222"/>
        </w:placeholder>
      </w:sdtPr>
      <w:sdtEndPr/>
      <w:sdtContent>
        <w:p w:rsidR="00597370" w:rsidRDefault="003C2EEE">
          <w:pPr>
            <w:rPr>
              <w:rFonts w:cs="Cambria"/>
              <w:color w:val="000000" w:themeColor="text1"/>
            </w:rPr>
          </w:pPr>
          <w:r>
            <w:rPr>
              <w:rFonts w:cs="Cambria" w:hint="eastAsia"/>
              <w:color w:val="000000" w:themeColor="text1"/>
            </w:rPr>
            <w:t>无</w:t>
          </w:r>
        </w:p>
      </w:sdtContent>
    </w:sdt>
    <w:p w:rsidR="00597370" w:rsidRDefault="003C2EEE">
      <w:pPr>
        <w:rPr>
          <w:rFonts w:cs="Cambria"/>
          <w:color w:val="000000" w:themeColor="text1"/>
        </w:rPr>
      </w:pPr>
      <w:r>
        <w:rPr>
          <w:rFonts w:hint="eastAsia"/>
          <w:color w:val="000000" w:themeColor="text1"/>
        </w:rPr>
        <w:t>本公司</w:t>
      </w:r>
      <w:r>
        <w:rPr>
          <w:rFonts w:cs="Cambria" w:hint="eastAsia"/>
          <w:color w:val="000000" w:themeColor="text1"/>
        </w:rPr>
        <w:t>委托管理/出</w:t>
      </w:r>
      <w:proofErr w:type="gramStart"/>
      <w:r>
        <w:rPr>
          <w:rFonts w:cs="Cambria" w:hint="eastAsia"/>
          <w:color w:val="000000" w:themeColor="text1"/>
        </w:rPr>
        <w:t>包情况</w:t>
      </w:r>
      <w:proofErr w:type="gramEnd"/>
      <w:r>
        <w:rPr>
          <w:rFonts w:cs="Cambria" w:hint="eastAsia"/>
          <w:color w:val="000000" w:themeColor="text1"/>
        </w:rPr>
        <w:t>表：</w:t>
      </w:r>
    </w:p>
    <w:sdt>
      <w:sdtPr>
        <w:rPr>
          <w:rFonts w:cs="Cambria"/>
          <w:color w:val="000000" w:themeColor="text1"/>
        </w:rPr>
        <w:alias w:val="是否适用：本公司委托管理或出包情况表[双击切换]"/>
        <w:tag w:val="_GBC_37bf111a27194665b76f71bb5418d53c"/>
        <w:id w:val="-1172176802"/>
        <w:placeholder>
          <w:docPart w:val="GBC22222222222222222222222222222"/>
        </w:placeholder>
      </w:sdtPr>
      <w:sdtEndPr/>
      <w:sdtContent>
        <w:p w:rsidR="00597370" w:rsidRDefault="003C2EEE">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□适用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√不适用 </w:instrText>
          </w:r>
          <w:r>
            <w:rPr>
              <w:rFonts w:cs="Cambria"/>
              <w:color w:val="000000" w:themeColor="text1"/>
            </w:rPr>
            <w:fldChar w:fldCharType="end"/>
          </w:r>
        </w:p>
      </w:sdtContent>
    </w:sdt>
    <w:p w:rsidR="00597370" w:rsidRDefault="003C2EEE">
      <w:pPr>
        <w:rPr>
          <w:rFonts w:cs="Cambria"/>
          <w:color w:val="000000" w:themeColor="text1"/>
        </w:rPr>
      </w:pPr>
      <w:r>
        <w:rPr>
          <w:rFonts w:cs="Cambria" w:hint="eastAsia"/>
          <w:color w:val="000000" w:themeColor="text1"/>
        </w:rPr>
        <w:t>关联管理/出</w:t>
      </w:r>
      <w:proofErr w:type="gramStart"/>
      <w:r>
        <w:rPr>
          <w:rFonts w:cs="Cambria" w:hint="eastAsia"/>
          <w:color w:val="000000" w:themeColor="text1"/>
        </w:rPr>
        <w:t>包情况</w:t>
      </w:r>
      <w:proofErr w:type="gramEnd"/>
      <w:r>
        <w:rPr>
          <w:rFonts w:cs="Cambria" w:hint="eastAsia"/>
          <w:color w:val="000000" w:themeColor="text1"/>
        </w:rPr>
        <w:t>说明</w:t>
      </w:r>
    </w:p>
    <w:sdt>
      <w:sdtPr>
        <w:rPr>
          <w:rFonts w:cs="Cambria"/>
          <w:color w:val="000000" w:themeColor="text1"/>
        </w:rPr>
        <w:alias w:val="是否适用：关联管理或出包情况说明[双击切换]"/>
        <w:tag w:val="_GBC_0b0339c118c542eb8a6e3a68fab8e375"/>
        <w:id w:val="1398013487"/>
        <w:placeholder>
          <w:docPart w:val="GBC22222222222222222222222222222"/>
        </w:placeholder>
      </w:sdtPr>
      <w:sdtEndPr/>
      <w:sdtContent>
        <w:p w:rsidR="00597370" w:rsidRDefault="003C2EEE">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□适用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√不适用 </w:instrText>
          </w:r>
          <w:r>
            <w:rPr>
              <w:rFonts w:cs="Cambria"/>
              <w:color w:val="000000" w:themeColor="text1"/>
            </w:rPr>
            <w:fldChar w:fldCharType="end"/>
          </w:r>
        </w:p>
      </w:sdtContent>
    </w:sdt>
    <w:p w:rsidR="00597370" w:rsidRDefault="003C2EEE">
      <w:pPr>
        <w:pStyle w:val="Style110"/>
        <w:numPr>
          <w:ilvl w:val="0"/>
          <w:numId w:val="104"/>
        </w:numPr>
        <w:tabs>
          <w:tab w:val="left" w:pos="616"/>
        </w:tabs>
        <w:rPr>
          <w:rFonts w:ascii="宋体" w:hAnsi="宋体"/>
          <w:color w:val="000000" w:themeColor="text1"/>
        </w:rPr>
      </w:pPr>
      <w:bookmarkStart w:id="384" w:name="_Hlk105747475"/>
      <w:r>
        <w:rPr>
          <w:rFonts w:ascii="宋体" w:hAnsi="宋体" w:hint="eastAsia"/>
          <w:color w:val="000000" w:themeColor="text1"/>
        </w:rPr>
        <w:t>关联租赁情况</w:t>
      </w:r>
    </w:p>
    <w:p w:rsidR="00597370" w:rsidRDefault="003C2EEE">
      <w:pPr>
        <w:rPr>
          <w:color w:val="000000" w:themeColor="text1"/>
        </w:rPr>
      </w:pPr>
      <w:r>
        <w:rPr>
          <w:rFonts w:hint="eastAsia"/>
          <w:color w:val="000000" w:themeColor="text1"/>
        </w:rPr>
        <w:t>本公司作为出租方：</w:t>
      </w:r>
    </w:p>
    <w:sdt>
      <w:sdtPr>
        <w:rPr>
          <w:color w:val="000000" w:themeColor="text1"/>
        </w:rPr>
        <w:alias w:val="是否适用：本公司作为出租方的租赁情况表[双击切换]"/>
        <w:tag w:val="_GBC_f12cb8266cbd482b93c6a4bba1b05fb7"/>
        <w:id w:val="-1224750887"/>
        <w:placeholder>
          <w:docPart w:val="GBC22222222222222222222222222222"/>
        </w:placeholder>
      </w:sdtPr>
      <w:sdtEndPr/>
      <w:sdtContent>
        <w:p w:rsidR="00597370" w:rsidRDefault="003C2EEE">
          <w:pPr>
            <w:rPr>
              <w:color w:val="000000" w:themeColor="text1"/>
            </w:rPr>
            <w:sectPr w:rsidR="00597370">
              <w:pgSz w:w="11906" w:h="16838"/>
              <w:pgMar w:top="1525" w:right="1276" w:bottom="1440" w:left="1797" w:header="856" w:footer="992" w:gutter="0"/>
              <w:cols w:space="425"/>
              <w:docGrid w:linePitch="312"/>
            </w:sect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rPr>
          <w:color w:val="000000" w:themeColor="text1"/>
        </w:rPr>
      </w:pPr>
    </w:p>
    <w:p w:rsidR="00597370" w:rsidRDefault="003C2EEE">
      <w:pPr>
        <w:rPr>
          <w:color w:val="000000" w:themeColor="text1"/>
        </w:rPr>
      </w:pPr>
      <w:r>
        <w:rPr>
          <w:rFonts w:hint="eastAsia"/>
          <w:color w:val="000000" w:themeColor="text1"/>
        </w:rPr>
        <w:t>本公司作为承租方：</w:t>
      </w:r>
    </w:p>
    <w:sdt>
      <w:sdtPr>
        <w:rPr>
          <w:color w:val="000000" w:themeColor="text1"/>
        </w:rPr>
        <w:alias w:val="是否适用：本公司作为承租方的租赁情况表[双击切换]"/>
        <w:tag w:val="_GBC_e3319fb4cbb04bb0ab5516046d7e77a4"/>
        <w:id w:val="-180029518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关联租赁情况说明</w:t>
      </w:r>
    </w:p>
    <w:sdt>
      <w:sdtPr>
        <w:rPr>
          <w:color w:val="000000" w:themeColor="text1"/>
        </w:rPr>
        <w:alias w:val="是否适用：关联租赁情况说明[双击切换]"/>
        <w:tag w:val="_GBC_a8d25c1a27d24bbeb9dd0063be85a310"/>
        <w:id w:val="191966907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84"/>
    <w:p w:rsidR="00597370" w:rsidRDefault="00597370">
      <w:pPr>
        <w:rPr>
          <w:color w:val="000000" w:themeColor="text1"/>
        </w:rPr>
        <w:sectPr w:rsidR="00597370">
          <w:pgSz w:w="16838" w:h="11906" w:orient="landscape"/>
          <w:pgMar w:top="1797" w:right="1525" w:bottom="1276" w:left="1440" w:header="856" w:footer="992" w:gutter="0"/>
          <w:cols w:space="425"/>
          <w:docGrid w:linePitch="312"/>
        </w:sectPr>
      </w:pPr>
    </w:p>
    <w:p w:rsidR="00597370" w:rsidRDefault="00597370">
      <w:pPr>
        <w:rPr>
          <w:color w:val="000000" w:themeColor="text1"/>
        </w:rPr>
      </w:pPr>
    </w:p>
    <w:p w:rsidR="00597370" w:rsidRDefault="003C2EEE">
      <w:pPr>
        <w:pStyle w:val="Style110"/>
        <w:numPr>
          <w:ilvl w:val="0"/>
          <w:numId w:val="104"/>
        </w:numPr>
        <w:tabs>
          <w:tab w:val="left" w:pos="616"/>
        </w:tabs>
        <w:rPr>
          <w:rFonts w:ascii="宋体" w:hAnsi="宋体"/>
          <w:color w:val="000000" w:themeColor="text1"/>
        </w:rPr>
      </w:pPr>
      <w:bookmarkStart w:id="385" w:name="_Hlk105747684"/>
      <w:r>
        <w:rPr>
          <w:rFonts w:ascii="宋体" w:hAnsi="宋体" w:hint="eastAsia"/>
          <w:color w:val="000000" w:themeColor="text1"/>
        </w:rPr>
        <w:t>关联担保情况</w:t>
      </w:r>
    </w:p>
    <w:p w:rsidR="00597370" w:rsidRDefault="003C2EEE">
      <w:pPr>
        <w:rPr>
          <w:color w:val="000000" w:themeColor="text1"/>
        </w:rPr>
      </w:pPr>
      <w:r>
        <w:rPr>
          <w:rFonts w:hint="eastAsia"/>
          <w:color w:val="000000" w:themeColor="text1"/>
        </w:rPr>
        <w:t>本公司作为担保方</w:t>
      </w:r>
    </w:p>
    <w:sdt>
      <w:sdtPr>
        <w:rPr>
          <w:color w:val="000000" w:themeColor="text1"/>
        </w:rPr>
        <w:alias w:val="是否适用：本公司作为担保方的担保情况表[双击切换]"/>
        <w:tag w:val="_GBC_f0150417f8ec4c5281b86683570391cb"/>
        <w:id w:val="180928300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rFonts w:cs="Cambria"/>
          <w:b/>
          <w:color w:val="000000" w:themeColor="text1"/>
        </w:rPr>
      </w:pPr>
      <w:r>
        <w:rPr>
          <w:rFonts w:cs="Cambria" w:hint="eastAsia"/>
          <w:color w:val="000000" w:themeColor="text1"/>
        </w:rPr>
        <w:t>单位：</w:t>
      </w:r>
      <w:sdt>
        <w:sdtPr>
          <w:rPr>
            <w:rFonts w:cs="Cambria" w:hint="eastAsia"/>
            <w:color w:val="000000" w:themeColor="text1"/>
          </w:rPr>
          <w:alias w:val="单位：关联担保情况"/>
          <w:tag w:val="_GBC_379c49ecfda94d10a0dbf6a25b30832b"/>
          <w:id w:val="10442483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color w:val="000000" w:themeColor="text1"/>
            </w:rPr>
            <w:t>万元</w:t>
          </w:r>
        </w:sdtContent>
      </w:sdt>
      <w:r>
        <w:rPr>
          <w:rFonts w:cs="Cambria" w:hint="eastAsia"/>
          <w:color w:val="000000" w:themeColor="text1"/>
        </w:rPr>
        <w:t xml:space="preserve">  币种：</w:t>
      </w:r>
      <w:sdt>
        <w:sdtPr>
          <w:rPr>
            <w:rFonts w:cs="Cambria" w:hint="eastAsia"/>
            <w:color w:val="000000" w:themeColor="text1"/>
          </w:rPr>
          <w:alias w:val="币种：关联担保情况"/>
          <w:tag w:val="_GBC_30ef1648c7d34b02b08d4b5c5e962498"/>
          <w:id w:val="-8591111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563"/>
        <w:gridCol w:w="1641"/>
        <w:gridCol w:w="1786"/>
        <w:gridCol w:w="1777"/>
        <w:gridCol w:w="2056"/>
      </w:tblGrid>
      <w:tr w:rsidR="00597370">
        <w:sdt>
          <w:sdtPr>
            <w:rPr>
              <w:color w:val="000000" w:themeColor="text1"/>
            </w:rPr>
            <w:tag w:val="_PLD_7fb310b8c01a472093d9d29e302daa4b"/>
            <w:id w:val="-162018960"/>
          </w:sdtPr>
          <w:sdtEndPr/>
          <w:sdtContent>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被担保方</w:t>
                </w:r>
              </w:p>
            </w:tc>
          </w:sdtContent>
        </w:sdt>
        <w:sdt>
          <w:sdtPr>
            <w:rPr>
              <w:color w:val="000000" w:themeColor="text1"/>
            </w:rPr>
            <w:tag w:val="_PLD_cd6852cb7c5a4dea84a100ea01b8219f"/>
            <w:id w:val="667985581"/>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担保金额</w:t>
                </w:r>
              </w:p>
            </w:tc>
          </w:sdtContent>
        </w:sdt>
        <w:sdt>
          <w:sdtPr>
            <w:rPr>
              <w:color w:val="000000" w:themeColor="text1"/>
            </w:rPr>
            <w:tag w:val="_PLD_bb272624fc77442486c7a9b0b734043e"/>
            <w:id w:val="-1803686388"/>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担保起始日</w:t>
                </w:r>
              </w:p>
            </w:tc>
          </w:sdtContent>
        </w:sdt>
        <w:sdt>
          <w:sdtPr>
            <w:rPr>
              <w:color w:val="000000" w:themeColor="text1"/>
            </w:rPr>
            <w:tag w:val="_PLD_a35eb33b3ab1461794f97ed15e18ee6a"/>
            <w:id w:val="-1581053404"/>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担保到期日</w:t>
                </w:r>
              </w:p>
            </w:tc>
          </w:sdtContent>
        </w:sdt>
        <w:sdt>
          <w:sdtPr>
            <w:rPr>
              <w:color w:val="000000" w:themeColor="text1"/>
            </w:rPr>
            <w:tag w:val="_PLD_4d5bb53717184afaad59a41f21a18bd1"/>
            <w:id w:val="1617943967"/>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担保是否已经履行完毕</w:t>
                </w:r>
              </w:p>
            </w:tc>
          </w:sdtContent>
        </w:sdt>
      </w:tr>
      <w:tr w:rsidR="00597370">
        <w:tc>
          <w:tcPr>
            <w:tcW w:w="886"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rFonts w:cs="Cambria"/>
              </w:rPr>
            </w:pPr>
            <w:r>
              <w:rPr>
                <w:rFonts w:cs="Cambria" w:hint="eastAsia"/>
              </w:rPr>
              <w:t>黔南望江</w:t>
            </w:r>
          </w:p>
        </w:tc>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cs="Cambria"/>
              </w:rPr>
            </w:pPr>
            <w:r>
              <w:t>8,000.00</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cs="Cambria"/>
              </w:rPr>
            </w:pPr>
            <w:r>
              <w:t>2021/11/1</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cs="Cambria"/>
              </w:rPr>
            </w:pPr>
            <w:r>
              <w:t>2027/12/31</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cs="Cambria"/>
                <w:color w:val="000000" w:themeColor="text1"/>
              </w:rPr>
            </w:pPr>
            <w:r>
              <w:t>否</w:t>
            </w:r>
          </w:p>
        </w:tc>
      </w:tr>
      <w:tr w:rsidR="00597370">
        <w:tc>
          <w:tcPr>
            <w:tcW w:w="886"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rFonts w:cs="Cambria"/>
              </w:rPr>
            </w:pPr>
            <w:r>
              <w:rPr>
                <w:rFonts w:cs="Cambria" w:hint="eastAsia"/>
              </w:rPr>
              <w:t>黔南望江</w:t>
            </w:r>
          </w:p>
        </w:tc>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cs="Cambria"/>
              </w:rPr>
            </w:pPr>
            <w:r>
              <w:rPr>
                <w:rFonts w:cs="Cambria"/>
              </w:rPr>
              <w:t>3,000.00</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cs="Cambria"/>
              </w:rPr>
            </w:pPr>
            <w:r>
              <w:rPr>
                <w:rFonts w:cs="Cambria" w:hint="eastAsia"/>
              </w:rPr>
              <w:t>2024/3/8</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cs="Cambria"/>
              </w:rPr>
            </w:pPr>
            <w:r>
              <w:rPr>
                <w:rFonts w:cs="Cambria" w:hint="eastAsia"/>
              </w:rPr>
              <w:t>2028/3/7</w:t>
            </w:r>
          </w:p>
        </w:tc>
        <w:sdt>
          <w:sdtPr>
            <w:rPr>
              <w:rFonts w:cs="Cambria"/>
              <w:color w:val="000000" w:themeColor="text1"/>
            </w:rPr>
            <w:alias w:val="本公司作为担保方的关联担保情况明细-担保是否已经履行完毕"/>
            <w:tag w:val="_GBC_4d8807e0244c4281aa68d5aba3d78918"/>
            <w:id w:val="-1814251892"/>
            <w:comboBox>
              <w:listItem w:displayText="是" w:value="true"/>
              <w:listItem w:displayText="否" w:value="false"/>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rPr>
                    <w:rFonts w:cs="Cambria"/>
                    <w:color w:val="000000" w:themeColor="text1"/>
                  </w:rPr>
                </w:pPr>
                <w:r>
                  <w:rPr>
                    <w:rFonts w:cs="Cambria" w:hint="eastAsia"/>
                    <w:color w:val="000000" w:themeColor="text1"/>
                  </w:rPr>
                  <w:t>否</w:t>
                </w:r>
              </w:p>
            </w:tc>
          </w:sdtContent>
        </w:sdt>
      </w:tr>
      <w:tr w:rsidR="00597370">
        <w:tc>
          <w:tcPr>
            <w:tcW w:w="886"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rFonts w:cs="Cambria"/>
              </w:rPr>
            </w:pPr>
            <w:r>
              <w:rPr>
                <w:rFonts w:cs="Cambria" w:hint="eastAsia"/>
              </w:rPr>
              <w:t>合计</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jc w:val="right"/>
              <w:rPr>
                <w:rFonts w:cs="Cambria"/>
              </w:rPr>
            </w:pPr>
            <w:r>
              <w:rPr>
                <w:rFonts w:cs="Cambria"/>
              </w:rPr>
              <w:t>11,000.00</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cs="Cambria"/>
              </w:rPr>
            </w:pP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cs="Cambria"/>
              </w:rPr>
            </w:pP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cs="Cambria"/>
                <w:color w:val="000000" w:themeColor="text1"/>
              </w:rPr>
            </w:pPr>
          </w:p>
        </w:tc>
      </w:tr>
    </w:tbl>
    <w:p w:rsidR="00597370" w:rsidRDefault="003C2EEE">
      <w:pPr>
        <w:pStyle w:val="Style180"/>
        <w:spacing w:before="120"/>
        <w:ind w:firstLine="420"/>
        <w:rPr>
          <w:rFonts w:ascii="Times New Roman" w:hAnsi="Times New Roman"/>
          <w:kern w:val="2"/>
          <w:sz w:val="21"/>
          <w:szCs w:val="21"/>
        </w:rPr>
      </w:pPr>
      <w:r>
        <w:rPr>
          <w:rStyle w:val="Char10"/>
        </w:rPr>
        <w:t>2021</w:t>
      </w:r>
      <w:r>
        <w:rPr>
          <w:rStyle w:val="Char10"/>
          <w:rFonts w:hint="eastAsia"/>
        </w:rPr>
        <w:t>年</w:t>
      </w:r>
      <w:r>
        <w:rPr>
          <w:rStyle w:val="Char10"/>
        </w:rPr>
        <w:t>11</w:t>
      </w:r>
      <w:r>
        <w:rPr>
          <w:rStyle w:val="Char10"/>
          <w:rFonts w:hint="eastAsia"/>
        </w:rPr>
        <w:t>月</w:t>
      </w:r>
      <w:r>
        <w:rPr>
          <w:rStyle w:val="Char10"/>
        </w:rPr>
        <w:t>1</w:t>
      </w:r>
      <w:r>
        <w:rPr>
          <w:rStyle w:val="Char10"/>
          <w:rFonts w:hint="eastAsia"/>
        </w:rPr>
        <w:t>日本公司与中国工商银行股份有限公司都匀分行签订担保协议，本公司为全资子公司黔南望江变压器有限公司与中国工商银行股份有限公司都匀分行签订的</w:t>
      </w:r>
      <w:r>
        <w:rPr>
          <w:rStyle w:val="Char10"/>
        </w:rPr>
        <w:t>8,000</w:t>
      </w:r>
      <w:r>
        <w:rPr>
          <w:rStyle w:val="Char10"/>
          <w:rFonts w:hint="eastAsia"/>
        </w:rPr>
        <w:t>万元《项目贷款合同》提供担保，担保金额</w:t>
      </w:r>
      <w:r>
        <w:rPr>
          <w:rStyle w:val="Char10"/>
        </w:rPr>
        <w:t>: 8,000</w:t>
      </w:r>
      <w:r>
        <w:rPr>
          <w:rStyle w:val="Char10"/>
          <w:rFonts w:hint="eastAsia"/>
        </w:rPr>
        <w:t>万元。</w:t>
      </w:r>
      <w:r>
        <w:rPr>
          <w:rStyle w:val="Char10"/>
          <w:rFonts w:hint="eastAsia"/>
        </w:rPr>
        <w:t>2024</w:t>
      </w:r>
      <w:r>
        <w:rPr>
          <w:rStyle w:val="Char10"/>
          <w:rFonts w:hint="eastAsia"/>
        </w:rPr>
        <w:t>年</w:t>
      </w:r>
      <w:r>
        <w:rPr>
          <w:rStyle w:val="Char10"/>
          <w:rFonts w:hint="eastAsia"/>
        </w:rPr>
        <w:t>3</w:t>
      </w:r>
      <w:r>
        <w:rPr>
          <w:rStyle w:val="Char10"/>
          <w:rFonts w:hint="eastAsia"/>
        </w:rPr>
        <w:t>月</w:t>
      </w:r>
      <w:r>
        <w:rPr>
          <w:rStyle w:val="Char10"/>
          <w:rFonts w:hint="eastAsia"/>
        </w:rPr>
        <w:t>8</w:t>
      </w:r>
      <w:r>
        <w:rPr>
          <w:rStyle w:val="Char10"/>
          <w:rFonts w:hint="eastAsia"/>
        </w:rPr>
        <w:t>日本公司与贵州银行股份有限公司都匀剑江支行签订担保协议，本公司为全资子公司黔南望江变压器有限公司与贵州银行股份有限公司都匀剑江支行签订的</w:t>
      </w:r>
      <w:r>
        <w:rPr>
          <w:rStyle w:val="Char10"/>
          <w:rFonts w:hint="eastAsia"/>
        </w:rPr>
        <w:t>3</w:t>
      </w:r>
      <w:r>
        <w:rPr>
          <w:rStyle w:val="Char10"/>
        </w:rPr>
        <w:t>,</w:t>
      </w:r>
      <w:r>
        <w:rPr>
          <w:rStyle w:val="Char10"/>
          <w:rFonts w:hint="eastAsia"/>
        </w:rPr>
        <w:t>000</w:t>
      </w:r>
      <w:r>
        <w:rPr>
          <w:rStyle w:val="Char10"/>
          <w:rFonts w:hint="eastAsia"/>
        </w:rPr>
        <w:t>万元《流动资金借款合同》提供担保本，担保金额</w:t>
      </w:r>
      <w:r>
        <w:rPr>
          <w:rStyle w:val="Char10"/>
        </w:rPr>
        <w:t>: 3,000</w:t>
      </w:r>
      <w:r>
        <w:rPr>
          <w:rStyle w:val="Char10"/>
          <w:rFonts w:hint="eastAsia"/>
        </w:rPr>
        <w:t>万元。</w:t>
      </w:r>
      <w:r>
        <w:rPr>
          <w:rStyle w:val="Char10"/>
          <w:rFonts w:hint="eastAsia"/>
        </w:rPr>
        <w:t xml:space="preserve"> </w:t>
      </w:r>
      <w:r>
        <w:rPr>
          <w:rStyle w:val="Char10"/>
          <w:rFonts w:hint="eastAsia"/>
        </w:rPr>
        <w:t>本公司作为担保方。</w:t>
      </w:r>
    </w:p>
    <w:sdt>
      <w:sdtPr>
        <w:rPr>
          <w:rFonts w:cs="Cambria"/>
          <w:color w:val="000000" w:themeColor="text1"/>
        </w:rPr>
        <w:alias w:val="是否适用：本公司作为被担保方的担保情况表[双击切换]"/>
        <w:tag w:val="_GBC_3686094d29c941dd91bd168e3ef88833"/>
        <w:id w:val="-1920394724"/>
        <w:placeholder>
          <w:docPart w:val="GBC22222222222222222222222222222"/>
        </w:placeholder>
      </w:sdtPr>
      <w:sdtEndPr/>
      <w:sdtContent>
        <w:p w:rsidR="00597370" w:rsidRDefault="003C2EEE">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□适用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√不适用 </w:instrText>
          </w:r>
          <w:r>
            <w:rPr>
              <w:rFonts w:cs="Cambria"/>
              <w:color w:val="000000" w:themeColor="text1"/>
            </w:rPr>
            <w:fldChar w:fldCharType="end"/>
          </w:r>
        </w:p>
      </w:sdtContent>
    </w:sdt>
    <w:p w:rsidR="00597370" w:rsidRDefault="003C2EEE">
      <w:pPr>
        <w:rPr>
          <w:rFonts w:cs="Cambria"/>
          <w:color w:val="000000" w:themeColor="text1"/>
        </w:rPr>
      </w:pPr>
      <w:r>
        <w:rPr>
          <w:rFonts w:cs="Cambria" w:hint="eastAsia"/>
          <w:color w:val="000000" w:themeColor="text1"/>
        </w:rPr>
        <w:t>关联担保情况说明</w:t>
      </w:r>
    </w:p>
    <w:sdt>
      <w:sdtPr>
        <w:rPr>
          <w:rFonts w:cs="Cambria"/>
          <w:color w:val="000000" w:themeColor="text1"/>
        </w:rPr>
        <w:alias w:val="是否适用：关联担保情况说明[双击切换]"/>
        <w:tag w:val="_GBC_9a5a4769e8804b779ae17adb041890d7"/>
        <w:id w:val="-522706020"/>
        <w:placeholder>
          <w:docPart w:val="GBC22222222222222222222222222222"/>
        </w:placeholder>
      </w:sdtPr>
      <w:sdtEndPr/>
      <w:sdtContent>
        <w:p w:rsidR="00597370" w:rsidRDefault="003C2EEE">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□适用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√不适用 </w:instrText>
          </w:r>
          <w:r>
            <w:rPr>
              <w:rFonts w:cs="Cambria"/>
              <w:color w:val="000000" w:themeColor="text1"/>
            </w:rPr>
            <w:fldChar w:fldCharType="end"/>
          </w:r>
        </w:p>
      </w:sdtContent>
    </w:sdt>
    <w:p w:rsidR="00597370" w:rsidRDefault="003C2EEE">
      <w:pPr>
        <w:pStyle w:val="Style110"/>
        <w:numPr>
          <w:ilvl w:val="0"/>
          <w:numId w:val="104"/>
        </w:numPr>
        <w:tabs>
          <w:tab w:val="left" w:pos="616"/>
        </w:tabs>
        <w:rPr>
          <w:rFonts w:ascii="宋体" w:hAnsi="宋体"/>
          <w:color w:val="000000" w:themeColor="text1"/>
        </w:rPr>
      </w:pPr>
      <w:bookmarkStart w:id="386" w:name="_Hlk72829984"/>
      <w:bookmarkEnd w:id="385"/>
      <w:r>
        <w:rPr>
          <w:rFonts w:ascii="宋体" w:hAnsi="宋体" w:hint="eastAsia"/>
          <w:color w:val="000000" w:themeColor="text1"/>
        </w:rPr>
        <w:t>关联方资金拆借</w:t>
      </w:r>
    </w:p>
    <w:sdt>
      <w:sdtPr>
        <w:rPr>
          <w:color w:val="000000" w:themeColor="text1"/>
        </w:rPr>
        <w:alias w:val="是否适用：关联方资金拆借[双击切换]"/>
        <w:tag w:val="_GBC_4b2d20ddab104a06a9007945a55a3da5"/>
        <w:id w:val="177805054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86"/>
    <w:p w:rsidR="00597370" w:rsidRDefault="003C2EEE">
      <w:pPr>
        <w:pStyle w:val="Style110"/>
        <w:numPr>
          <w:ilvl w:val="0"/>
          <w:numId w:val="104"/>
        </w:numPr>
        <w:tabs>
          <w:tab w:val="left" w:pos="616"/>
        </w:tabs>
        <w:rPr>
          <w:rFonts w:ascii="宋体" w:hAnsi="宋体"/>
          <w:color w:val="000000" w:themeColor="text1"/>
        </w:rPr>
      </w:pPr>
      <w:r>
        <w:rPr>
          <w:rFonts w:ascii="宋体" w:hAnsi="宋体" w:hint="eastAsia"/>
          <w:color w:val="000000" w:themeColor="text1"/>
        </w:rPr>
        <w:t>关联方资产转让、债务重组情况</w:t>
      </w:r>
    </w:p>
    <w:sdt>
      <w:sdtPr>
        <w:rPr>
          <w:color w:val="000000" w:themeColor="text1"/>
        </w:rPr>
        <w:alias w:val="是否适用：关联方资产转让、债务重组情况[双击切换]"/>
        <w:tag w:val="_GBC_c590c66abdbe454e89c4c55269fb6adf"/>
        <w:id w:val="199313686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04"/>
        </w:numPr>
        <w:tabs>
          <w:tab w:val="left" w:pos="616"/>
        </w:tabs>
        <w:rPr>
          <w:rFonts w:ascii="宋体" w:hAnsi="宋体"/>
          <w:color w:val="000000" w:themeColor="text1"/>
        </w:rPr>
      </w:pPr>
      <w:r>
        <w:rPr>
          <w:rFonts w:ascii="宋体" w:hAnsi="宋体" w:hint="eastAsia"/>
          <w:color w:val="000000" w:themeColor="text1"/>
        </w:rPr>
        <w:t>关键管理人员报酬</w:t>
      </w:r>
    </w:p>
    <w:sdt>
      <w:sdtPr>
        <w:rPr>
          <w:color w:val="000000" w:themeColor="text1"/>
        </w:rPr>
        <w:alias w:val="是否适用：关键管理人员报酬[双击切换]"/>
        <w:tag w:val="_GBC_48379e9c7f5743bb916ac1cb044f4057"/>
        <w:id w:val="83163816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rFonts w:cs="Cambria"/>
          <w:color w:val="000000" w:themeColor="text1"/>
        </w:rPr>
      </w:pPr>
      <w:r>
        <w:rPr>
          <w:rFonts w:cs="Cambria" w:hint="eastAsia"/>
          <w:color w:val="000000" w:themeColor="text1"/>
        </w:rPr>
        <w:t>单位：</w:t>
      </w:r>
      <w:sdt>
        <w:sdtPr>
          <w:rPr>
            <w:rFonts w:cs="Cambria" w:hint="eastAsia"/>
            <w:color w:val="000000" w:themeColor="text1"/>
          </w:rPr>
          <w:alias w:val="单位：财务附注：关键管理人员报酬"/>
          <w:tag w:val="_GBC_ce83ed5df8424f9a845da83f15361f10"/>
          <w:id w:val="12816906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color w:val="000000" w:themeColor="text1"/>
            </w:rPr>
            <w:t>万元</w:t>
          </w:r>
        </w:sdtContent>
      </w:sdt>
      <w:r>
        <w:rPr>
          <w:rFonts w:cs="Cambria" w:hint="eastAsia"/>
          <w:color w:val="000000" w:themeColor="text1"/>
        </w:rPr>
        <w:t xml:space="preserve">  币种：</w:t>
      </w:r>
      <w:sdt>
        <w:sdtPr>
          <w:rPr>
            <w:rFonts w:cs="Cambria" w:hint="eastAsia"/>
            <w:color w:val="000000" w:themeColor="text1"/>
          </w:rPr>
          <w:alias w:val="币种：财务附注：关键管理人员报酬"/>
          <w:tag w:val="_GBC_f493c9ef199846639115d5bc3032a26e"/>
          <w:id w:val="20535798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2439"/>
      </w:tblGrid>
      <w:tr w:rsidR="00597370">
        <w:sdt>
          <w:sdtPr>
            <w:rPr>
              <w:color w:val="000000" w:themeColor="text1"/>
            </w:rPr>
            <w:tag w:val="_PLD_67f843efe3664c9fbe7a215b63622ea0"/>
            <w:id w:val="-1149901835"/>
          </w:sdtPr>
          <w:sdtEnd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项目</w:t>
                </w:r>
              </w:p>
            </w:tc>
          </w:sdtContent>
        </w:sdt>
        <w:sdt>
          <w:sdtPr>
            <w:rPr>
              <w:color w:val="000000" w:themeColor="text1"/>
            </w:rPr>
            <w:tag w:val="_PLD_30a169af324e457e93d304c688a55945"/>
            <w:id w:val="-1792659444"/>
          </w:sdtPr>
          <w:sdtEnd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本期发生额</w:t>
                </w:r>
              </w:p>
            </w:tc>
          </w:sdtContent>
        </w:sdt>
        <w:sdt>
          <w:sdtPr>
            <w:rPr>
              <w:color w:val="000000" w:themeColor="text1"/>
            </w:rPr>
            <w:tag w:val="_PLD_bf5a91780f544d6eade38e70db331a30"/>
            <w:id w:val="2141450957"/>
          </w:sdtPr>
          <w:sdtEndPr/>
          <w:sdtContent>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color w:val="000000" w:themeColor="text1"/>
                  </w:rPr>
                </w:pPr>
                <w:r>
                  <w:rPr>
                    <w:rFonts w:cs="Cambria" w:hint="eastAsia"/>
                    <w:color w:val="000000" w:themeColor="text1"/>
                  </w:rPr>
                  <w:t>上期发生额</w:t>
                </w:r>
              </w:p>
            </w:tc>
          </w:sdtContent>
        </w:sdt>
      </w:tr>
      <w:tr w:rsidR="00597370">
        <w:tc>
          <w:tcPr>
            <w:tcW w:w="1809"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rFonts w:cs="Cambria"/>
                <w:color w:val="000000" w:themeColor="text1"/>
              </w:rPr>
            </w:pPr>
            <w:r>
              <w:rPr>
                <w:rFonts w:cs="Cambria" w:hint="eastAsia"/>
                <w:color w:val="000000" w:themeColor="text1"/>
              </w:rPr>
              <w:t>关键管理人员报酬</w:t>
            </w:r>
          </w:p>
        </w:tc>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rPr>
            </w:pPr>
            <w:r>
              <w:rPr>
                <w:rFonts w:cs="Cambria" w:hint="eastAsia"/>
              </w:rPr>
              <w:t>33</w:t>
            </w:r>
            <w:r>
              <w:rPr>
                <w:rFonts w:cs="Cambria"/>
              </w:rPr>
              <w:t>4.99</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cs="Cambria"/>
              </w:rPr>
            </w:pPr>
            <w:r>
              <w:rPr>
                <w:rFonts w:cs="Cambria"/>
              </w:rPr>
              <w:t>251.09</w:t>
            </w:r>
          </w:p>
        </w:tc>
      </w:tr>
    </w:tbl>
    <w:p w:rsidR="00597370" w:rsidRDefault="00597370">
      <w:pPr>
        <w:rPr>
          <w:color w:val="000000" w:themeColor="text1"/>
        </w:rPr>
      </w:pPr>
    </w:p>
    <w:p w:rsidR="00597370" w:rsidRDefault="003C2EEE">
      <w:pPr>
        <w:pStyle w:val="Style110"/>
        <w:numPr>
          <w:ilvl w:val="0"/>
          <w:numId w:val="104"/>
        </w:numPr>
        <w:tabs>
          <w:tab w:val="left" w:pos="616"/>
        </w:tabs>
        <w:rPr>
          <w:rFonts w:ascii="宋体" w:hAnsi="宋体"/>
          <w:color w:val="000000" w:themeColor="text1"/>
        </w:rPr>
      </w:pPr>
      <w:r>
        <w:rPr>
          <w:rFonts w:ascii="宋体" w:hAnsi="宋体" w:hint="eastAsia"/>
          <w:color w:val="000000" w:themeColor="text1"/>
        </w:rPr>
        <w:t>其他关联交易</w:t>
      </w:r>
    </w:p>
    <w:sdt>
      <w:sdtPr>
        <w:rPr>
          <w:color w:val="000000" w:themeColor="text1"/>
        </w:rPr>
        <w:alias w:val="是否适用：其他关联交易[双击切换]"/>
        <w:tag w:val="_GBC_9768a300838a499089a7b814ff3d817d"/>
        <w:id w:val="42754056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3"/>
        </w:numPr>
        <w:rPr>
          <w:rFonts w:ascii="宋体" w:hAnsi="宋体"/>
          <w:color w:val="000000" w:themeColor="text1"/>
        </w:rPr>
      </w:pPr>
      <w:r>
        <w:rPr>
          <w:rFonts w:ascii="宋体" w:hAnsi="宋体" w:hint="eastAsia"/>
          <w:color w:val="000000" w:themeColor="text1"/>
        </w:rPr>
        <w:t>应收、应付关联方等未结算项目情况</w:t>
      </w:r>
    </w:p>
    <w:p w:rsidR="00597370" w:rsidRDefault="003C2EEE">
      <w:pPr>
        <w:pStyle w:val="Style110"/>
        <w:numPr>
          <w:ilvl w:val="0"/>
          <w:numId w:val="105"/>
        </w:numPr>
        <w:tabs>
          <w:tab w:val="left" w:pos="616"/>
        </w:tabs>
        <w:rPr>
          <w:rFonts w:ascii="宋体" w:hAnsi="宋体"/>
          <w:color w:val="000000" w:themeColor="text1"/>
        </w:rPr>
      </w:pPr>
      <w:r>
        <w:rPr>
          <w:rFonts w:ascii="宋体" w:hAnsi="宋体" w:hint="eastAsia"/>
          <w:color w:val="000000" w:themeColor="text1"/>
        </w:rPr>
        <w:t>应收项目</w:t>
      </w:r>
    </w:p>
    <w:sdt>
      <w:sdtPr>
        <w:rPr>
          <w:color w:val="000000" w:themeColor="text1"/>
        </w:rPr>
        <w:alias w:val="是否适用：应收项目[双击切换]"/>
        <w:tag w:val="_GBC_e5475e28b21641f6895ac4770b2631b5"/>
        <w:id w:val="34429783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上市公司应收关联方款项"/>
          <w:tag w:val="_GBC_04d0c208b4494e01aba7984c41905093"/>
          <w:id w:val="1934391132"/>
          <w:placeholder>
            <w:docPart w:val="7890E0CD696D4731A213B9DB06EA4C6B"/>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上市公司应收关联方款项"/>
          <w:tag w:val="_GBC_b106fdd467084a62837eebe1d06bbbee"/>
          <w:id w:val="1819140352"/>
          <w:placeholder>
            <w:docPart w:val="7890E0CD696D4731A213B9DB06EA4C6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35"/>
        <w:gridCol w:w="1353"/>
        <w:gridCol w:w="1355"/>
        <w:gridCol w:w="1353"/>
        <w:gridCol w:w="1479"/>
        <w:gridCol w:w="1848"/>
      </w:tblGrid>
      <w:tr w:rsidR="00597370">
        <w:sdt>
          <w:sdtPr>
            <w:rPr>
              <w:color w:val="000000" w:themeColor="text1"/>
            </w:rPr>
            <w:tag w:val="_PLD_75750bc8ac464afa98573c85adea097c"/>
            <w:id w:val="908036657"/>
          </w:sdtPr>
          <w:sdtEndPr/>
          <w:sdtContent>
            <w:tc>
              <w:tcPr>
                <w:tcW w:w="813"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项目名称</w:t>
                </w:r>
              </w:p>
            </w:tc>
          </w:sdtContent>
        </w:sdt>
        <w:sdt>
          <w:sdtPr>
            <w:rPr>
              <w:color w:val="000000" w:themeColor="text1"/>
            </w:rPr>
            <w:tag w:val="_PLD_5006be842c534839b3dabcf833329dd5"/>
            <w:id w:val="-496343302"/>
          </w:sdtPr>
          <w:sdtEndPr/>
          <w:sdtContent>
            <w:tc>
              <w:tcPr>
                <w:tcW w:w="767"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关联方</w:t>
                </w:r>
              </w:p>
            </w:tc>
          </w:sdtContent>
        </w:sdt>
        <w:sdt>
          <w:sdtPr>
            <w:rPr>
              <w:color w:val="000000" w:themeColor="text1"/>
            </w:rPr>
            <w:tag w:val="_PLD_f8f3c28b2f064090a27f319875eb1b52"/>
            <w:id w:val="-338999499"/>
          </w:sdtPr>
          <w:sdtEnd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fdab8cbff0b74f19a916d61075f629a0"/>
            <w:id w:val="178324073"/>
          </w:sdtPr>
          <w:sdtEndPr/>
          <w:sdtContent>
            <w:tc>
              <w:tcPr>
                <w:tcW w:w="1886"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期初余额</w:t>
                </w:r>
              </w:p>
            </w:tc>
          </w:sdtContent>
        </w:sdt>
      </w:tr>
      <w:tr w:rsidR="00597370">
        <w:tc>
          <w:tcPr>
            <w:tcW w:w="813" w:type="pct"/>
            <w:vMerge/>
            <w:tcBorders>
              <w:left w:val="single" w:sz="4" w:space="0" w:color="auto"/>
              <w:bottom w:val="single" w:sz="4" w:space="0" w:color="auto"/>
              <w:right w:val="single" w:sz="4" w:space="0" w:color="auto"/>
            </w:tcBorders>
            <w:vAlign w:val="center"/>
          </w:tcPr>
          <w:p w:rsidR="00597370" w:rsidRDefault="00597370">
            <w:pPr>
              <w:jc w:val="center"/>
              <w:rPr>
                <w:color w:val="000000" w:themeColor="text1"/>
              </w:rPr>
            </w:pPr>
          </w:p>
        </w:tc>
        <w:tc>
          <w:tcPr>
            <w:tcW w:w="767" w:type="pct"/>
            <w:vMerge/>
            <w:tcBorders>
              <w:left w:val="single" w:sz="4" w:space="0" w:color="auto"/>
              <w:bottom w:val="single" w:sz="4" w:space="0" w:color="auto"/>
              <w:right w:val="single" w:sz="4" w:space="0" w:color="auto"/>
            </w:tcBorders>
            <w:vAlign w:val="center"/>
          </w:tcPr>
          <w:p w:rsidR="00597370" w:rsidRDefault="00597370">
            <w:pPr>
              <w:jc w:val="center"/>
              <w:rPr>
                <w:color w:val="000000" w:themeColor="text1"/>
              </w:rPr>
            </w:pPr>
          </w:p>
        </w:tc>
        <w:sdt>
          <w:sdtPr>
            <w:rPr>
              <w:color w:val="000000" w:themeColor="text1"/>
            </w:rPr>
            <w:tag w:val="_PLD_5c085d18049644c9860a00b248b7c0ba"/>
            <w:id w:val="-1116213316"/>
          </w:sdtPr>
          <w:sdtEndPr/>
          <w:sdtContent>
            <w:tc>
              <w:tcPr>
                <w:tcW w:w="768"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账面余额</w:t>
                </w:r>
              </w:p>
            </w:tc>
          </w:sdtContent>
        </w:sdt>
        <w:sdt>
          <w:sdtPr>
            <w:rPr>
              <w:color w:val="000000" w:themeColor="text1"/>
            </w:rPr>
            <w:tag w:val="_PLD_8262489c05a6417a883e2c877ded6170"/>
            <w:id w:val="2096586285"/>
          </w:sdtPr>
          <w:sdtEndPr/>
          <w:sdtContent>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坏账准备</w:t>
                </w:r>
              </w:p>
            </w:tc>
          </w:sdtContent>
        </w:sdt>
        <w:sdt>
          <w:sdtPr>
            <w:rPr>
              <w:color w:val="000000" w:themeColor="text1"/>
            </w:rPr>
            <w:tag w:val="_PLD_46c6d827df3f47a3bc83a6dd8718f17e"/>
            <w:id w:val="1035939291"/>
          </w:sdtPr>
          <w:sdtEndPr/>
          <w:sdtContent>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账面余额</w:t>
                </w:r>
              </w:p>
            </w:tc>
          </w:sdtContent>
        </w:sdt>
        <w:sdt>
          <w:sdtPr>
            <w:rPr>
              <w:color w:val="000000" w:themeColor="text1"/>
            </w:rPr>
            <w:tag w:val="_PLD_fca2aa8baf8a48a7a4cdc730d7420d47"/>
            <w:id w:val="1783220767"/>
          </w:sdtPr>
          <w:sdtEndPr/>
          <w:sdtContent>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坏账准备</w:t>
                </w:r>
              </w:p>
            </w:tc>
          </w:sdtContent>
        </w:sdt>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黔南都能开发有限公司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627,647.00</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143,106.00</w:t>
            </w: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1,010,037.00</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184,496.40</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瓮安县明辉水电开发有限公司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130,393.22</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31,509.97</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黔南海滨供电设备有限公司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47,544.00</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27,572.00</w:t>
            </w: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47,544.00</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23,030.80</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lastRenderedPageBreak/>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福泉市金山电力开发有限责任公司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25,479.66</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3,227.72</w:t>
            </w: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48,114.66</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2,405.73</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重庆能投长寿经开区售电有限公司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182,660.00</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10,826.20</w:t>
            </w: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810,511.20</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42,218.76</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贵州省罗甸县明达水电开发有限责任公司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92,712.19</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18,542.44</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黔南都能开发有限公司三都分公司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44,015.05</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4,401.51</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黔南都能开发有限公司龙里分公司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177,668.94</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8,883.45</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重庆圣耀电力工程有限责任公司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2,252,318.18</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112,615.91</w:t>
            </w: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3,666,268.20</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183,313.41</w:t>
            </w:r>
          </w:p>
        </w:tc>
      </w:tr>
      <w:tr w:rsidR="00597370">
        <w:tc>
          <w:tcPr>
            <w:tcW w:w="813"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其他应收项目</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惠水惠明电气实业有限责任公司</w:t>
            </w: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2,359.06</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117.95</w:t>
            </w: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2,359.06</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117.95</w:t>
            </w:r>
          </w:p>
        </w:tc>
      </w:tr>
      <w:tr w:rsidR="00597370">
        <w:tc>
          <w:tcPr>
            <w:tcW w:w="813"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pPr>
            <w:r>
              <w:rPr>
                <w:rFonts w:hint="eastAsia"/>
              </w:rPr>
              <w:t>合计</w:t>
            </w:r>
          </w:p>
        </w:tc>
        <w:tc>
          <w:tcPr>
            <w:tcW w:w="767" w:type="pct"/>
            <w:tcBorders>
              <w:top w:val="single" w:sz="4" w:space="0" w:color="auto"/>
              <w:left w:val="single" w:sz="4" w:space="0" w:color="auto"/>
              <w:bottom w:val="single" w:sz="4" w:space="0" w:color="auto"/>
              <w:right w:val="single" w:sz="4" w:space="0" w:color="auto"/>
            </w:tcBorders>
          </w:tcPr>
          <w:p w:rsidR="00597370" w:rsidRDefault="00597370">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3,138,007.90</w:t>
            </w:r>
          </w:p>
        </w:tc>
        <w:tc>
          <w:tcPr>
            <w:tcW w:w="767"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297,465.78</w:t>
            </w:r>
          </w:p>
        </w:tc>
        <w:tc>
          <w:tcPr>
            <w:tcW w:w="83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6,029,623.52</w:t>
            </w:r>
          </w:p>
        </w:tc>
        <w:tc>
          <w:tcPr>
            <w:tcW w:w="1048"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498,920.42</w:t>
            </w:r>
          </w:p>
        </w:tc>
      </w:tr>
    </w:tbl>
    <w:p w:rsidR="00597370" w:rsidRDefault="00597370"/>
    <w:p w:rsidR="00597370" w:rsidRDefault="003C2EEE">
      <w:pPr>
        <w:pStyle w:val="Style110"/>
        <w:numPr>
          <w:ilvl w:val="0"/>
          <w:numId w:val="105"/>
        </w:numPr>
        <w:tabs>
          <w:tab w:val="left" w:pos="616"/>
        </w:tabs>
        <w:rPr>
          <w:rFonts w:ascii="宋体" w:hAnsi="宋体"/>
          <w:color w:val="000000" w:themeColor="text1"/>
        </w:rPr>
      </w:pPr>
      <w:r>
        <w:rPr>
          <w:rFonts w:ascii="宋体" w:hAnsi="宋体" w:hint="eastAsia"/>
          <w:color w:val="000000" w:themeColor="text1"/>
        </w:rPr>
        <w:t>应付项目</w:t>
      </w:r>
    </w:p>
    <w:p w:rsidR="00597370" w:rsidRDefault="006840ED">
      <w:pPr>
        <w:rPr>
          <w:color w:val="000000" w:themeColor="text1"/>
        </w:rPr>
      </w:pPr>
      <w:sdt>
        <w:sdtPr>
          <w:rPr>
            <w:rFonts w:hint="eastAsia"/>
            <w:color w:val="000000" w:themeColor="text1"/>
          </w:rPr>
          <w:alias w:val="是否适用：应付项目[双击切换]"/>
          <w:tag w:val="_GBC_9dbefb51b716471b878d2e2863524a53"/>
          <w:id w:val="2069458263"/>
          <w:placeholder>
            <w:docPart w:val="GBC22222222222222222222222222222"/>
          </w:placeholder>
        </w:sdtPr>
        <w:sdtEndPr/>
        <w:sdtContent>
          <w:r w:rsidR="003C2EEE">
            <w:rPr>
              <w:color w:val="000000" w:themeColor="text1"/>
            </w:rPr>
            <w:fldChar w:fldCharType="begin"/>
          </w:r>
          <w:r w:rsidR="003C2EEE">
            <w:rPr>
              <w:color w:val="000000" w:themeColor="text1"/>
            </w:rPr>
            <w:instrText xml:space="preserve"> MACROBUTTON  SnrToggleCheckbox √适用 </w:instrText>
          </w:r>
          <w:r w:rsidR="003C2EEE">
            <w:rPr>
              <w:color w:val="000000" w:themeColor="text1"/>
            </w:rPr>
            <w:fldChar w:fldCharType="end"/>
          </w:r>
          <w:r w:rsidR="003C2EEE">
            <w:rPr>
              <w:color w:val="000000" w:themeColor="text1"/>
            </w:rPr>
            <w:fldChar w:fldCharType="begin"/>
          </w:r>
          <w:r w:rsidR="003C2EEE">
            <w:rPr>
              <w:color w:val="000000" w:themeColor="text1"/>
            </w:rPr>
            <w:instrText xml:space="preserve"> MACROBUTTON  SnrToggleCheckbox □不适用 </w:instrText>
          </w:r>
          <w:r w:rsidR="003C2EEE">
            <w:rPr>
              <w:color w:val="000000" w:themeColor="text1"/>
            </w:rPr>
            <w:fldChar w:fldCharType="end"/>
          </w:r>
        </w:sdtContent>
      </w:sdt>
    </w:p>
    <w:p w:rsidR="00597370" w:rsidRDefault="003C2EEE">
      <w:pPr>
        <w:jc w:val="right"/>
        <w:rPr>
          <w:color w:val="000000" w:themeColor="text1"/>
        </w:rPr>
      </w:pPr>
      <w:bookmarkStart w:id="387" w:name="_Hlk167976682"/>
      <w:r>
        <w:rPr>
          <w:rFonts w:hint="eastAsia"/>
          <w:color w:val="000000" w:themeColor="text1"/>
        </w:rPr>
        <w:t>单位：</w:t>
      </w:r>
      <w:sdt>
        <w:sdtPr>
          <w:rPr>
            <w:rFonts w:hint="eastAsia"/>
            <w:color w:val="000000" w:themeColor="text1"/>
          </w:rPr>
          <w:alias w:val="单位：上市公司应付关联方款项"/>
          <w:tag w:val="_GBC_08d04faee6a64768877db8f6ab14663e"/>
          <w:id w:val="72323579"/>
          <w:placeholder>
            <w:docPart w:val="34E28A01E71345C782D8CB7154A2181E"/>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上市公司应付关联方款项"/>
          <w:tag w:val="_GBC_124ea57c07fc4e23931a125a103e711c"/>
          <w:id w:val="-1728903687"/>
          <w:placeholder>
            <w:docPart w:val="34E28A01E71345C782D8CB7154A2181E"/>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110"/>
        <w:gridCol w:w="2031"/>
        <w:gridCol w:w="2033"/>
        <w:gridCol w:w="2649"/>
      </w:tblGrid>
      <w:tr w:rsidR="00597370">
        <w:sdt>
          <w:sdtPr>
            <w:rPr>
              <w:color w:val="000000" w:themeColor="text1"/>
            </w:rPr>
            <w:tag w:val="_PLD_cf838d28f8e94c899328f1b9cd175b08"/>
            <w:id w:val="1900010098"/>
          </w:sdtPr>
          <w:sdtEndPr/>
          <w:sdtContent>
            <w:tc>
              <w:tcPr>
                <w:tcW w:w="1196" w:type="pct"/>
                <w:tcBorders>
                  <w:top w:val="single" w:sz="4" w:space="0" w:color="auto"/>
                  <w:left w:val="single" w:sz="4" w:space="0" w:color="auto"/>
                  <w:right w:val="single" w:sz="4" w:space="0" w:color="auto"/>
                </w:tcBorders>
              </w:tcPr>
              <w:p w:rsidR="00597370" w:rsidRDefault="003C2EEE">
                <w:pPr>
                  <w:jc w:val="center"/>
                  <w:rPr>
                    <w:color w:val="000000" w:themeColor="text1"/>
                  </w:rPr>
                </w:pPr>
                <w:r>
                  <w:rPr>
                    <w:rFonts w:hint="eastAsia"/>
                    <w:color w:val="000000" w:themeColor="text1"/>
                  </w:rPr>
                  <w:t>项目名称</w:t>
                </w:r>
              </w:p>
            </w:tc>
          </w:sdtContent>
        </w:sdt>
        <w:sdt>
          <w:sdtPr>
            <w:rPr>
              <w:color w:val="000000" w:themeColor="text1"/>
            </w:rPr>
            <w:tag w:val="_PLD_25173a15407f4af6adbf91389dcc2257"/>
            <w:id w:val="-1320190881"/>
          </w:sdtPr>
          <w:sdtEndPr/>
          <w:sdtContent>
            <w:tc>
              <w:tcPr>
                <w:tcW w:w="1151" w:type="pct"/>
                <w:tcBorders>
                  <w:top w:val="single" w:sz="4" w:space="0" w:color="auto"/>
                  <w:left w:val="single" w:sz="4" w:space="0" w:color="auto"/>
                  <w:right w:val="single" w:sz="4" w:space="0" w:color="auto"/>
                </w:tcBorders>
              </w:tcPr>
              <w:p w:rsidR="00597370" w:rsidRDefault="003C2EEE">
                <w:pPr>
                  <w:jc w:val="center"/>
                  <w:rPr>
                    <w:color w:val="000000" w:themeColor="text1"/>
                  </w:rPr>
                </w:pPr>
                <w:r>
                  <w:rPr>
                    <w:rFonts w:hint="eastAsia"/>
                    <w:color w:val="000000" w:themeColor="text1"/>
                  </w:rPr>
                  <w:t>关联方</w:t>
                </w:r>
              </w:p>
            </w:tc>
          </w:sdtContent>
        </w:sdt>
        <w:sdt>
          <w:sdtPr>
            <w:rPr>
              <w:color w:val="000000" w:themeColor="text1"/>
            </w:rPr>
            <w:tag w:val="_PLD_a8551739db0f47cab1b1a6ea0e700367"/>
            <w:id w:val="-1238694479"/>
          </w:sdtPr>
          <w:sdtEndPr/>
          <w:sdtContent>
            <w:tc>
              <w:tcPr>
                <w:tcW w:w="1152" w:type="pct"/>
                <w:tcBorders>
                  <w:top w:val="single" w:sz="4" w:space="0" w:color="auto"/>
                  <w:left w:val="single" w:sz="4" w:space="0" w:color="auto"/>
                  <w:bottom w:val="single" w:sz="4" w:space="0" w:color="auto"/>
                  <w:right w:val="single" w:sz="4" w:space="0" w:color="auto"/>
                </w:tcBorders>
              </w:tcPr>
              <w:p w:rsidR="00597370" w:rsidRDefault="003C2EEE">
                <w:pPr>
                  <w:jc w:val="center"/>
                  <w:rPr>
                    <w:color w:val="000000" w:themeColor="text1"/>
                  </w:rPr>
                </w:pPr>
                <w:r>
                  <w:rPr>
                    <w:rFonts w:hint="eastAsia"/>
                    <w:color w:val="000000" w:themeColor="text1"/>
                  </w:rPr>
                  <w:t>期末账面余额</w:t>
                </w:r>
              </w:p>
            </w:tc>
          </w:sdtContent>
        </w:sdt>
        <w:sdt>
          <w:sdtPr>
            <w:rPr>
              <w:color w:val="000000" w:themeColor="text1"/>
            </w:rPr>
            <w:tag w:val="_PLD_83bc027cb7f1401db7a26beffe77ce00"/>
            <w:id w:val="-1605800937"/>
          </w:sdtPr>
          <w:sdtEndPr/>
          <w:sdtContent>
            <w:tc>
              <w:tcPr>
                <w:tcW w:w="1501" w:type="pct"/>
                <w:tcBorders>
                  <w:top w:val="single" w:sz="4" w:space="0" w:color="auto"/>
                  <w:left w:val="single" w:sz="4" w:space="0" w:color="auto"/>
                  <w:bottom w:val="single" w:sz="4" w:space="0" w:color="auto"/>
                  <w:right w:val="single" w:sz="4" w:space="0" w:color="auto"/>
                </w:tcBorders>
              </w:tcPr>
              <w:p w:rsidR="00597370" w:rsidRDefault="003C2EEE">
                <w:pPr>
                  <w:jc w:val="center"/>
                  <w:rPr>
                    <w:color w:val="000000" w:themeColor="text1"/>
                  </w:rPr>
                </w:pPr>
                <w:r>
                  <w:rPr>
                    <w:rFonts w:hint="eastAsia"/>
                    <w:color w:val="000000" w:themeColor="text1"/>
                  </w:rPr>
                  <w:t>期初账面余额</w:t>
                </w:r>
              </w:p>
            </w:tc>
          </w:sdtContent>
        </w:sdt>
      </w:tr>
      <w:tr w:rsidR="00597370">
        <w:tc>
          <w:tcPr>
            <w:tcW w:w="1196"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应付项目</w:t>
            </w:r>
          </w:p>
        </w:tc>
        <w:tc>
          <w:tcPr>
            <w:tcW w:w="115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四川明珠电工材料有限责任公司</w:t>
            </w:r>
          </w:p>
        </w:tc>
        <w:tc>
          <w:tcPr>
            <w:tcW w:w="1152"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4,897,687.87</w:t>
            </w:r>
          </w:p>
        </w:tc>
        <w:tc>
          <w:tcPr>
            <w:tcW w:w="150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8,685,871.26</w:t>
            </w:r>
          </w:p>
        </w:tc>
      </w:tr>
      <w:tr w:rsidR="00597370">
        <w:tc>
          <w:tcPr>
            <w:tcW w:w="1196"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应付项目</w:t>
            </w:r>
          </w:p>
        </w:tc>
        <w:tc>
          <w:tcPr>
            <w:tcW w:w="115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重庆能投长寿经开区售电有限公司</w:t>
            </w:r>
          </w:p>
        </w:tc>
        <w:tc>
          <w:tcPr>
            <w:tcW w:w="1152"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34,000.00</w:t>
            </w:r>
          </w:p>
        </w:tc>
        <w:tc>
          <w:tcPr>
            <w:tcW w:w="150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34,000.00</w:t>
            </w:r>
          </w:p>
        </w:tc>
      </w:tr>
      <w:tr w:rsidR="00597370">
        <w:tc>
          <w:tcPr>
            <w:tcW w:w="1196"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应付项目</w:t>
            </w:r>
          </w:p>
        </w:tc>
        <w:tc>
          <w:tcPr>
            <w:tcW w:w="115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重庆圣耀电力工程有限责任公司</w:t>
            </w:r>
          </w:p>
        </w:tc>
        <w:tc>
          <w:tcPr>
            <w:tcW w:w="1152"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524,083.30</w:t>
            </w:r>
          </w:p>
        </w:tc>
        <w:tc>
          <w:tcPr>
            <w:tcW w:w="150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606,271.83</w:t>
            </w:r>
          </w:p>
        </w:tc>
      </w:tr>
      <w:tr w:rsidR="00597370">
        <w:tc>
          <w:tcPr>
            <w:tcW w:w="1196"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rPr>
                <w:rFonts w:hint="eastAsia"/>
              </w:rPr>
              <w:t>其他应付项目</w:t>
            </w:r>
          </w:p>
        </w:tc>
        <w:tc>
          <w:tcPr>
            <w:tcW w:w="115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both"/>
            </w:pPr>
            <w:r>
              <w:t>重庆圣耀电力工程有限责任公司</w:t>
            </w:r>
          </w:p>
        </w:tc>
        <w:tc>
          <w:tcPr>
            <w:tcW w:w="1152" w:type="pct"/>
            <w:tcBorders>
              <w:top w:val="single" w:sz="4" w:space="0" w:color="auto"/>
              <w:left w:val="single" w:sz="4" w:space="0" w:color="auto"/>
              <w:bottom w:val="single" w:sz="4" w:space="0" w:color="auto"/>
              <w:right w:val="single" w:sz="4" w:space="0" w:color="auto"/>
            </w:tcBorders>
            <w:vAlign w:val="center"/>
          </w:tcPr>
          <w:p w:rsidR="00597370" w:rsidRDefault="00597370">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100,000.00</w:t>
            </w:r>
          </w:p>
        </w:tc>
      </w:tr>
      <w:tr w:rsidR="00597370">
        <w:tc>
          <w:tcPr>
            <w:tcW w:w="1196" w:type="pct"/>
            <w:tcBorders>
              <w:top w:val="single" w:sz="4" w:space="0" w:color="auto"/>
              <w:left w:val="single" w:sz="4" w:space="0" w:color="auto"/>
              <w:bottom w:val="single" w:sz="4" w:space="0" w:color="auto"/>
              <w:right w:val="single" w:sz="4" w:space="0" w:color="auto"/>
            </w:tcBorders>
          </w:tcPr>
          <w:p w:rsidR="00597370" w:rsidRDefault="003C2EEE">
            <w:pPr>
              <w:autoSpaceDE w:val="0"/>
              <w:autoSpaceDN w:val="0"/>
              <w:adjustRightInd w:val="0"/>
            </w:pPr>
            <w:r>
              <w:rPr>
                <w:rFonts w:hint="eastAsia"/>
              </w:rPr>
              <w:t>合计</w:t>
            </w:r>
          </w:p>
        </w:tc>
        <w:tc>
          <w:tcPr>
            <w:tcW w:w="1151" w:type="pct"/>
            <w:tcBorders>
              <w:top w:val="single" w:sz="4" w:space="0" w:color="auto"/>
              <w:left w:val="single" w:sz="4" w:space="0" w:color="auto"/>
              <w:bottom w:val="single" w:sz="4" w:space="0" w:color="auto"/>
              <w:right w:val="single" w:sz="4" w:space="0" w:color="auto"/>
            </w:tcBorders>
          </w:tcPr>
          <w:p w:rsidR="00597370" w:rsidRDefault="00597370">
            <w:pPr>
              <w:autoSpaceDE w:val="0"/>
              <w:autoSpaceDN w:val="0"/>
              <w:adjustRightInd w:val="0"/>
            </w:pPr>
          </w:p>
        </w:tc>
        <w:tc>
          <w:tcPr>
            <w:tcW w:w="1152"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5,455,771.17</w:t>
            </w:r>
          </w:p>
        </w:tc>
        <w:tc>
          <w:tcPr>
            <w:tcW w:w="1501"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right"/>
            </w:pPr>
            <w:r>
              <w:t>9,426,143.09</w:t>
            </w:r>
          </w:p>
        </w:tc>
      </w:tr>
    </w:tbl>
    <w:p w:rsidR="00597370" w:rsidRDefault="00597370"/>
    <w:p w:rsidR="00597370" w:rsidRDefault="003C2EEE">
      <w:pPr>
        <w:pStyle w:val="Style110"/>
        <w:numPr>
          <w:ilvl w:val="0"/>
          <w:numId w:val="105"/>
        </w:numPr>
        <w:tabs>
          <w:tab w:val="left" w:pos="616"/>
        </w:tabs>
        <w:rPr>
          <w:rFonts w:ascii="宋体" w:hAnsi="宋体"/>
          <w:color w:val="000000" w:themeColor="text1"/>
        </w:rPr>
      </w:pPr>
      <w:r>
        <w:rPr>
          <w:rFonts w:ascii="宋体" w:hAnsi="宋体" w:hint="eastAsia"/>
          <w:color w:val="000000" w:themeColor="text1"/>
        </w:rPr>
        <w:t>其他项目</w:t>
      </w:r>
    </w:p>
    <w:sdt>
      <w:sdtPr>
        <w:rPr>
          <w:color w:val="000000" w:themeColor="text1"/>
        </w:rPr>
        <w:alias w:val="是否适用：关联方其他未结算项目情况[双击切换]"/>
        <w:tag w:val="_GBC_459b27789b354473a02699da087a3b51"/>
        <w:id w:val="71236961"/>
        <w:placeholder>
          <w:docPart w:val="GBC22222222222222222222222222222"/>
        </w:placeholder>
      </w:sdtPr>
      <w:sdtEndPr/>
      <w:sdtContent>
        <w:p w:rsidR="00597370" w:rsidRDefault="003C2EEE">
          <w:pPr>
            <w:rPr>
              <w:rFonts w:ascii="仿宋_GB2312" w:eastAsia="仿宋_GB2312"/>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387"/>
    <w:p w:rsidR="00597370" w:rsidRDefault="003C2EEE">
      <w:pPr>
        <w:pStyle w:val="Style109"/>
        <w:numPr>
          <w:ilvl w:val="0"/>
          <w:numId w:val="103"/>
        </w:numPr>
        <w:rPr>
          <w:rFonts w:ascii="宋体" w:hAnsi="宋体"/>
          <w:color w:val="000000" w:themeColor="text1"/>
        </w:rPr>
      </w:pPr>
      <w:r>
        <w:rPr>
          <w:rFonts w:ascii="宋体" w:hAnsi="宋体" w:hint="eastAsia"/>
          <w:color w:val="000000" w:themeColor="text1"/>
        </w:rPr>
        <w:t>关联方承诺</w:t>
      </w:r>
    </w:p>
    <w:sdt>
      <w:sdtPr>
        <w:rPr>
          <w:color w:val="000000" w:themeColor="text1"/>
        </w:rPr>
        <w:alias w:val="是否适用：关联方承诺[双击切换]"/>
        <w:tag w:val="_GBC_b906cacab2e94825966fa70e345656b5"/>
        <w:id w:val="-24287956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3"/>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关联方及关联情况的其他说明[双击切换]"/>
        <w:tag w:val="_GBC_87161343db8b4a0b9e041c62c0df5e87"/>
        <w:id w:val="46092868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股份支付</w:t>
      </w:r>
    </w:p>
    <w:p w:rsidR="00597370" w:rsidRDefault="003C2EEE">
      <w:pPr>
        <w:pStyle w:val="Style109"/>
        <w:numPr>
          <w:ilvl w:val="0"/>
          <w:numId w:val="106"/>
        </w:numPr>
        <w:ind w:left="450" w:hanging="450"/>
        <w:rPr>
          <w:color w:val="000000" w:themeColor="text1"/>
        </w:rPr>
      </w:pPr>
      <w:r>
        <w:rPr>
          <w:rFonts w:hint="eastAsia"/>
          <w:color w:val="000000" w:themeColor="text1"/>
        </w:rPr>
        <w:t>各项权益工具</w:t>
      </w:r>
    </w:p>
    <w:bookmarkStart w:id="388" w:name="_Hlk168492989" w:displacedByCustomXml="next"/>
    <w:sdt>
      <w:sdtPr>
        <w:rPr>
          <w:color w:val="000000" w:themeColor="text1"/>
        </w:rPr>
        <w:alias w:val="是否适用：各项权益工具[双击切换]"/>
        <w:tag w:val="_GBC_65abee0b78064363a3f4a058a40176bf"/>
        <w:id w:val="1590117867"/>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jc w:val="right"/>
        <w:rPr>
          <w:color w:val="000000" w:themeColor="text1"/>
          <w:szCs w:val="24"/>
        </w:rPr>
      </w:pPr>
      <w:bookmarkStart w:id="389" w:name="_Hlk40787153"/>
      <w:bookmarkStart w:id="390" w:name="_Hlk167977283"/>
      <w:bookmarkStart w:id="391" w:name="_Hlk168478628"/>
      <w:bookmarkEnd w:id="388"/>
    </w:p>
    <w:p w:rsidR="00597370" w:rsidRDefault="003C2EEE">
      <w:pPr>
        <w:jc w:val="right"/>
        <w:rPr>
          <w:color w:val="000000" w:themeColor="text1"/>
        </w:rPr>
      </w:pPr>
      <w:r>
        <w:rPr>
          <w:rFonts w:hint="eastAsia"/>
          <w:color w:val="000000" w:themeColor="text1"/>
          <w:szCs w:val="24"/>
        </w:rPr>
        <w:lastRenderedPageBreak/>
        <w:t>数</w:t>
      </w:r>
      <w:r>
        <w:rPr>
          <w:rFonts w:hint="eastAsia"/>
          <w:color w:val="000000" w:themeColor="text1"/>
        </w:rPr>
        <w:t>量单位：</w:t>
      </w:r>
      <w:sdt>
        <w:sdtPr>
          <w:rPr>
            <w:rFonts w:hint="eastAsia"/>
            <w:color w:val="000000" w:themeColor="text1"/>
          </w:rPr>
          <w:alias w:val="单位：各项权益工具"/>
          <w:tag w:val="_GBC_1f0530192b884c7499a9b51d89645b86"/>
          <w:id w:val="-1766607655"/>
          <w:placeholder>
            <w:docPart w:val="5A1066504B77472DB592146EE03D66DD"/>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color w:val="000000" w:themeColor="text1"/>
            </w:rPr>
            <w:t>万股</w:t>
          </w:r>
        </w:sdtContent>
      </w:sdt>
      <w:r>
        <w:rPr>
          <w:rFonts w:hint="eastAsia"/>
          <w:color w:val="000000" w:themeColor="text1"/>
        </w:rPr>
        <w:t xml:space="preserve">  金额单位：</w:t>
      </w:r>
      <w:sdt>
        <w:sdtPr>
          <w:rPr>
            <w:rFonts w:hint="eastAsia"/>
            <w:color w:val="000000" w:themeColor="text1"/>
          </w:rPr>
          <w:alias w:val="单位2：各项权益工具"/>
          <w:tag w:val="_GBC_6ff5340154884b6e951952897269ffdd"/>
          <w:id w:val="1031149976"/>
          <w:placeholder>
            <w:docPart w:val="5A1066504B77472DB592146EE03D66DD"/>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各项权益工具"/>
          <w:tag w:val="_GBC_57a111a205b749b2b5ae46bdf679c674"/>
          <w:id w:val="821775920"/>
          <w:placeholder>
            <w:docPart w:val="5A1066504B77472DB592146EE03D66DD"/>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color w:val="000000" w:themeColor="text1"/>
            </w:rPr>
            <w:t>人民币</w:t>
          </w:r>
        </w:sdtContent>
      </w:sdt>
      <w:r>
        <w:rPr>
          <w:color w:val="000000" w:themeColor="text1"/>
        </w:rPr>
        <w:t xml:space="preserve"> </w:t>
      </w:r>
    </w:p>
    <w:tbl>
      <w:tblPr>
        <w:tblStyle w:val="aff2"/>
        <w:tblW w:w="9039" w:type="dxa"/>
        <w:tblLook w:val="04A0" w:firstRow="1" w:lastRow="0" w:firstColumn="1" w:lastColumn="0" w:noHBand="0" w:noVBand="1"/>
      </w:tblPr>
      <w:tblGrid>
        <w:gridCol w:w="1101"/>
        <w:gridCol w:w="992"/>
        <w:gridCol w:w="992"/>
        <w:gridCol w:w="992"/>
        <w:gridCol w:w="993"/>
        <w:gridCol w:w="992"/>
        <w:gridCol w:w="992"/>
        <w:gridCol w:w="992"/>
        <w:gridCol w:w="993"/>
      </w:tblGrid>
      <w:tr w:rsidR="00597370">
        <w:trPr>
          <w:trHeight w:val="135"/>
        </w:trPr>
        <w:sdt>
          <w:sdtPr>
            <w:rPr>
              <w:rFonts w:ascii="Times New Roman" w:hAnsi="Times New Roman" w:hint="eastAsia"/>
              <w:color w:val="000000" w:themeColor="text1"/>
            </w:rPr>
            <w:tag w:val="_PLD_02c6691faceb4df3b522695f577f1b02"/>
            <w:id w:val="-698080156"/>
          </w:sdtPr>
          <w:sdtEndPr/>
          <w:sdtContent>
            <w:tc>
              <w:tcPr>
                <w:tcW w:w="1101" w:type="dxa"/>
                <w:vMerge w:val="restart"/>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授予对象类别</w:t>
                </w:r>
              </w:p>
            </w:tc>
          </w:sdtContent>
        </w:sdt>
        <w:sdt>
          <w:sdtPr>
            <w:rPr>
              <w:rFonts w:ascii="Times New Roman" w:hAnsi="Times New Roman" w:hint="eastAsia"/>
              <w:color w:val="000000" w:themeColor="text1"/>
            </w:rPr>
            <w:tag w:val="_PLD_973bc2aab0d14572a2465d9a06def676"/>
            <w:id w:val="1732342832"/>
          </w:sdtPr>
          <w:sdtEndPr/>
          <w:sdtContent>
            <w:tc>
              <w:tcPr>
                <w:tcW w:w="1984" w:type="dxa"/>
                <w:gridSpan w:val="2"/>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本期授予</w:t>
                </w:r>
              </w:p>
            </w:tc>
          </w:sdtContent>
        </w:sdt>
        <w:sdt>
          <w:sdtPr>
            <w:rPr>
              <w:rFonts w:ascii="Times New Roman" w:hAnsi="Times New Roman" w:hint="eastAsia"/>
              <w:color w:val="000000" w:themeColor="text1"/>
            </w:rPr>
            <w:tag w:val="_PLD_7f84045de9bb42428d3a829d2d9c0578"/>
            <w:id w:val="-1489932299"/>
          </w:sdtPr>
          <w:sdtEndPr/>
          <w:sdtContent>
            <w:tc>
              <w:tcPr>
                <w:tcW w:w="1985" w:type="dxa"/>
                <w:gridSpan w:val="2"/>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本期行权</w:t>
                </w:r>
              </w:p>
            </w:tc>
          </w:sdtContent>
        </w:sdt>
        <w:sdt>
          <w:sdtPr>
            <w:rPr>
              <w:rFonts w:ascii="Times New Roman" w:hAnsi="Times New Roman" w:hint="eastAsia"/>
              <w:color w:val="000000" w:themeColor="text1"/>
            </w:rPr>
            <w:tag w:val="_PLD_5f89e1bae55c4ec4bec35ed157106a90"/>
            <w:id w:val="1672611753"/>
          </w:sdtPr>
          <w:sdtEndPr/>
          <w:sdtContent>
            <w:tc>
              <w:tcPr>
                <w:tcW w:w="1984" w:type="dxa"/>
                <w:gridSpan w:val="2"/>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本期解锁</w:t>
                </w:r>
              </w:p>
            </w:tc>
          </w:sdtContent>
        </w:sdt>
        <w:sdt>
          <w:sdtPr>
            <w:rPr>
              <w:rFonts w:ascii="Times New Roman" w:hAnsi="Times New Roman" w:hint="eastAsia"/>
              <w:color w:val="000000" w:themeColor="text1"/>
            </w:rPr>
            <w:tag w:val="_PLD_b1ddc35c51a445d78429be34b7c014b9"/>
            <w:id w:val="741300142"/>
          </w:sdtPr>
          <w:sdtEndPr/>
          <w:sdtContent>
            <w:tc>
              <w:tcPr>
                <w:tcW w:w="1985" w:type="dxa"/>
                <w:gridSpan w:val="2"/>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本期失效</w:t>
                </w:r>
              </w:p>
            </w:tc>
          </w:sdtContent>
        </w:sdt>
      </w:tr>
      <w:tr w:rsidR="00597370">
        <w:trPr>
          <w:trHeight w:val="135"/>
        </w:trPr>
        <w:tc>
          <w:tcPr>
            <w:tcW w:w="1101" w:type="dxa"/>
            <w:vMerge/>
            <w:vAlign w:val="center"/>
          </w:tcPr>
          <w:p w:rsidR="00597370" w:rsidRDefault="00597370">
            <w:pPr>
              <w:jc w:val="center"/>
              <w:rPr>
                <w:rFonts w:ascii="Times New Roman" w:hAnsi="Times New Roman"/>
                <w:color w:val="000000" w:themeColor="text1"/>
              </w:rPr>
            </w:pPr>
          </w:p>
        </w:tc>
        <w:sdt>
          <w:sdtPr>
            <w:rPr>
              <w:rFonts w:ascii="Times New Roman" w:hAnsi="Times New Roman" w:hint="eastAsia"/>
              <w:color w:val="000000" w:themeColor="text1"/>
            </w:rPr>
            <w:tag w:val="_PLD_f29f7d96f35742149b65d762c421c640"/>
            <w:id w:val="241917124"/>
          </w:sdtPr>
          <w:sdtEndPr/>
          <w:sdtContent>
            <w:tc>
              <w:tcPr>
                <w:tcW w:w="992"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数量</w:t>
                </w:r>
              </w:p>
            </w:tc>
          </w:sdtContent>
        </w:sdt>
        <w:sdt>
          <w:sdtPr>
            <w:rPr>
              <w:rFonts w:ascii="Times New Roman" w:hAnsi="Times New Roman" w:hint="eastAsia"/>
              <w:color w:val="000000" w:themeColor="text1"/>
            </w:rPr>
            <w:tag w:val="_PLD_442b324aea5749129ad2ab06d1ac94cc"/>
            <w:id w:val="261040441"/>
          </w:sdtPr>
          <w:sdtEndPr/>
          <w:sdtContent>
            <w:tc>
              <w:tcPr>
                <w:tcW w:w="992"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金额</w:t>
                </w:r>
              </w:p>
            </w:tc>
          </w:sdtContent>
        </w:sdt>
        <w:sdt>
          <w:sdtPr>
            <w:rPr>
              <w:rFonts w:ascii="Times New Roman" w:hAnsi="Times New Roman" w:hint="eastAsia"/>
              <w:color w:val="000000" w:themeColor="text1"/>
            </w:rPr>
            <w:tag w:val="_PLD_2e839355a32d40c785b5c2b8447b9503"/>
            <w:id w:val="-1029720163"/>
          </w:sdtPr>
          <w:sdtEndPr/>
          <w:sdtContent>
            <w:tc>
              <w:tcPr>
                <w:tcW w:w="992"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数量</w:t>
                </w:r>
              </w:p>
            </w:tc>
          </w:sdtContent>
        </w:sdt>
        <w:sdt>
          <w:sdtPr>
            <w:rPr>
              <w:rFonts w:ascii="Times New Roman" w:hAnsi="Times New Roman" w:hint="eastAsia"/>
              <w:color w:val="000000" w:themeColor="text1"/>
            </w:rPr>
            <w:tag w:val="_PLD_d3dc19ec48bf4fdeb9654c3087b8c5a4"/>
            <w:id w:val="1557045544"/>
          </w:sdtPr>
          <w:sdtEndPr/>
          <w:sdtContent>
            <w:tc>
              <w:tcPr>
                <w:tcW w:w="993"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金额</w:t>
                </w:r>
              </w:p>
            </w:tc>
          </w:sdtContent>
        </w:sdt>
        <w:sdt>
          <w:sdtPr>
            <w:rPr>
              <w:rFonts w:ascii="Times New Roman" w:hAnsi="Times New Roman" w:hint="eastAsia"/>
              <w:color w:val="000000" w:themeColor="text1"/>
            </w:rPr>
            <w:tag w:val="_PLD_004f32c3f99242bdb0d1ff6cd9dbd462"/>
            <w:id w:val="-440836467"/>
          </w:sdtPr>
          <w:sdtEndPr/>
          <w:sdtContent>
            <w:tc>
              <w:tcPr>
                <w:tcW w:w="992"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数量</w:t>
                </w:r>
              </w:p>
            </w:tc>
          </w:sdtContent>
        </w:sdt>
        <w:sdt>
          <w:sdtPr>
            <w:rPr>
              <w:rFonts w:ascii="Times New Roman" w:hAnsi="Times New Roman" w:hint="eastAsia"/>
              <w:color w:val="000000" w:themeColor="text1"/>
            </w:rPr>
            <w:tag w:val="_PLD_ef2133ae92924b19926bd42eed64bfda"/>
            <w:id w:val="-1370062908"/>
          </w:sdtPr>
          <w:sdtEndPr/>
          <w:sdtContent>
            <w:tc>
              <w:tcPr>
                <w:tcW w:w="992"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金额</w:t>
                </w:r>
              </w:p>
            </w:tc>
          </w:sdtContent>
        </w:sdt>
        <w:sdt>
          <w:sdtPr>
            <w:rPr>
              <w:rFonts w:ascii="Times New Roman" w:hAnsi="Times New Roman" w:hint="eastAsia"/>
              <w:color w:val="000000" w:themeColor="text1"/>
            </w:rPr>
            <w:tag w:val="_PLD_f1f9981a8fd841649bc4422870782e28"/>
            <w:id w:val="-569657987"/>
          </w:sdtPr>
          <w:sdtEndPr/>
          <w:sdtContent>
            <w:tc>
              <w:tcPr>
                <w:tcW w:w="992"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数量</w:t>
                </w:r>
              </w:p>
            </w:tc>
          </w:sdtContent>
        </w:sdt>
        <w:sdt>
          <w:sdtPr>
            <w:rPr>
              <w:rFonts w:ascii="Times New Roman" w:hAnsi="Times New Roman" w:hint="eastAsia"/>
              <w:color w:val="000000" w:themeColor="text1"/>
            </w:rPr>
            <w:tag w:val="_PLD_641001b623a34db6833d2329e80aad19"/>
            <w:id w:val="-287896284"/>
          </w:sdtPr>
          <w:sdtEndPr/>
          <w:sdtContent>
            <w:tc>
              <w:tcPr>
                <w:tcW w:w="993" w:type="dxa"/>
                <w:vAlign w:val="center"/>
              </w:tcPr>
              <w:p w:rsidR="00597370" w:rsidRDefault="003C2EEE">
                <w:pPr>
                  <w:jc w:val="center"/>
                  <w:rPr>
                    <w:rFonts w:ascii="Times New Roman" w:hAnsi="Times New Roman"/>
                    <w:color w:val="000000" w:themeColor="text1"/>
                  </w:rPr>
                </w:pPr>
                <w:r>
                  <w:rPr>
                    <w:rFonts w:ascii="Times New Roman" w:hAnsi="Times New Roman" w:hint="eastAsia"/>
                    <w:color w:val="000000" w:themeColor="text1"/>
                  </w:rPr>
                  <w:t>金额</w:t>
                </w:r>
              </w:p>
            </w:tc>
          </w:sdtContent>
        </w:sdt>
      </w:tr>
      <w:tr w:rsidR="00597370">
        <w:tc>
          <w:tcPr>
            <w:tcW w:w="1101" w:type="dxa"/>
          </w:tcPr>
          <w:p w:rsidR="00597370" w:rsidRDefault="003C2EEE">
            <w:pPr>
              <w:rPr>
                <w:rFonts w:asciiTheme="minorEastAsia" w:eastAsiaTheme="minorEastAsia" w:hAnsiTheme="minorEastAsia"/>
              </w:rPr>
            </w:pPr>
            <w:r>
              <w:rPr>
                <w:rFonts w:asciiTheme="minorEastAsia" w:eastAsiaTheme="minorEastAsia" w:hAnsiTheme="minorEastAsia" w:hint="eastAsia"/>
              </w:rPr>
              <w:t>限制性股票激励</w:t>
            </w:r>
          </w:p>
        </w:tc>
        <w:tc>
          <w:tcPr>
            <w:tcW w:w="992"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55</w:t>
            </w:r>
          </w:p>
        </w:tc>
        <w:tc>
          <w:tcPr>
            <w:tcW w:w="992"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1,978.8</w:t>
            </w:r>
          </w:p>
        </w:tc>
        <w:tc>
          <w:tcPr>
            <w:tcW w:w="992" w:type="dxa"/>
          </w:tcPr>
          <w:p w:rsidR="00597370" w:rsidRDefault="00597370">
            <w:pPr>
              <w:jc w:val="right"/>
              <w:rPr>
                <w:rFonts w:asciiTheme="minorEastAsia" w:eastAsiaTheme="minorEastAsia" w:hAnsiTheme="minorEastAsia"/>
              </w:rPr>
            </w:pPr>
          </w:p>
        </w:tc>
        <w:tc>
          <w:tcPr>
            <w:tcW w:w="993" w:type="dxa"/>
          </w:tcPr>
          <w:p w:rsidR="00597370" w:rsidRDefault="00597370">
            <w:pPr>
              <w:jc w:val="right"/>
              <w:rPr>
                <w:rFonts w:asciiTheme="minorEastAsia" w:eastAsiaTheme="minorEastAsia" w:hAnsiTheme="minorEastAsia"/>
              </w:rPr>
            </w:pPr>
          </w:p>
        </w:tc>
        <w:tc>
          <w:tcPr>
            <w:tcW w:w="992" w:type="dxa"/>
          </w:tcPr>
          <w:p w:rsidR="00597370" w:rsidRDefault="00597370">
            <w:pPr>
              <w:jc w:val="right"/>
              <w:rPr>
                <w:rFonts w:asciiTheme="minorEastAsia" w:eastAsiaTheme="minorEastAsia" w:hAnsiTheme="minorEastAsia"/>
              </w:rPr>
            </w:pPr>
          </w:p>
        </w:tc>
        <w:tc>
          <w:tcPr>
            <w:tcW w:w="992" w:type="dxa"/>
          </w:tcPr>
          <w:p w:rsidR="00597370" w:rsidRDefault="00597370">
            <w:pPr>
              <w:jc w:val="right"/>
              <w:rPr>
                <w:rFonts w:asciiTheme="minorEastAsia" w:eastAsiaTheme="minorEastAsia" w:hAnsiTheme="minorEastAsia"/>
              </w:rPr>
            </w:pPr>
          </w:p>
        </w:tc>
        <w:tc>
          <w:tcPr>
            <w:tcW w:w="992" w:type="dxa"/>
          </w:tcPr>
          <w:p w:rsidR="00597370" w:rsidRDefault="00597370">
            <w:pPr>
              <w:jc w:val="right"/>
              <w:rPr>
                <w:rFonts w:asciiTheme="minorEastAsia" w:eastAsiaTheme="minorEastAsia" w:hAnsiTheme="minorEastAsia"/>
              </w:rPr>
            </w:pPr>
          </w:p>
        </w:tc>
        <w:tc>
          <w:tcPr>
            <w:tcW w:w="993" w:type="dxa"/>
          </w:tcPr>
          <w:p w:rsidR="00597370" w:rsidRDefault="00597370">
            <w:pPr>
              <w:jc w:val="right"/>
              <w:rPr>
                <w:rFonts w:asciiTheme="minorEastAsia" w:eastAsiaTheme="minorEastAsia" w:hAnsiTheme="minorEastAsia"/>
              </w:rPr>
            </w:pPr>
          </w:p>
        </w:tc>
      </w:tr>
      <w:tr w:rsidR="00597370">
        <w:tc>
          <w:tcPr>
            <w:tcW w:w="1101" w:type="dxa"/>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tc>
          <w:tcPr>
            <w:tcW w:w="992"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55</w:t>
            </w:r>
          </w:p>
        </w:tc>
        <w:tc>
          <w:tcPr>
            <w:tcW w:w="992" w:type="dxa"/>
            <w:vAlign w:val="center"/>
          </w:tcPr>
          <w:p w:rsidR="00597370" w:rsidRDefault="003C2EEE">
            <w:pPr>
              <w:jc w:val="right"/>
              <w:rPr>
                <w:rFonts w:asciiTheme="minorEastAsia" w:eastAsiaTheme="minorEastAsia" w:hAnsiTheme="minorEastAsia"/>
              </w:rPr>
            </w:pPr>
            <w:r>
              <w:rPr>
                <w:rFonts w:asciiTheme="minorEastAsia" w:eastAsiaTheme="minorEastAsia" w:hAnsiTheme="minorEastAsia"/>
              </w:rPr>
              <w:t>1,978.8</w:t>
            </w:r>
          </w:p>
        </w:tc>
        <w:tc>
          <w:tcPr>
            <w:tcW w:w="992" w:type="dxa"/>
          </w:tcPr>
          <w:p w:rsidR="00597370" w:rsidRDefault="00597370">
            <w:pPr>
              <w:jc w:val="right"/>
              <w:rPr>
                <w:rFonts w:asciiTheme="minorEastAsia" w:eastAsiaTheme="minorEastAsia" w:hAnsiTheme="minorEastAsia"/>
              </w:rPr>
            </w:pPr>
          </w:p>
        </w:tc>
        <w:tc>
          <w:tcPr>
            <w:tcW w:w="993" w:type="dxa"/>
          </w:tcPr>
          <w:p w:rsidR="00597370" w:rsidRDefault="00597370">
            <w:pPr>
              <w:jc w:val="right"/>
              <w:rPr>
                <w:rFonts w:asciiTheme="minorEastAsia" w:eastAsiaTheme="minorEastAsia" w:hAnsiTheme="minorEastAsia"/>
              </w:rPr>
            </w:pPr>
          </w:p>
        </w:tc>
        <w:tc>
          <w:tcPr>
            <w:tcW w:w="992" w:type="dxa"/>
          </w:tcPr>
          <w:p w:rsidR="00597370" w:rsidRDefault="00597370">
            <w:pPr>
              <w:jc w:val="right"/>
              <w:rPr>
                <w:rFonts w:asciiTheme="minorEastAsia" w:eastAsiaTheme="minorEastAsia" w:hAnsiTheme="minorEastAsia"/>
              </w:rPr>
            </w:pPr>
          </w:p>
        </w:tc>
        <w:tc>
          <w:tcPr>
            <w:tcW w:w="992" w:type="dxa"/>
          </w:tcPr>
          <w:p w:rsidR="00597370" w:rsidRDefault="00597370">
            <w:pPr>
              <w:jc w:val="right"/>
              <w:rPr>
                <w:rFonts w:asciiTheme="minorEastAsia" w:eastAsiaTheme="minorEastAsia" w:hAnsiTheme="minorEastAsia"/>
              </w:rPr>
            </w:pPr>
          </w:p>
        </w:tc>
        <w:tc>
          <w:tcPr>
            <w:tcW w:w="992" w:type="dxa"/>
          </w:tcPr>
          <w:p w:rsidR="00597370" w:rsidRDefault="00597370">
            <w:pPr>
              <w:jc w:val="right"/>
              <w:rPr>
                <w:rFonts w:asciiTheme="minorEastAsia" w:eastAsiaTheme="minorEastAsia" w:hAnsiTheme="minorEastAsia"/>
              </w:rPr>
            </w:pPr>
          </w:p>
        </w:tc>
        <w:tc>
          <w:tcPr>
            <w:tcW w:w="993" w:type="dxa"/>
          </w:tcPr>
          <w:p w:rsidR="00597370" w:rsidRDefault="00597370">
            <w:pPr>
              <w:jc w:val="right"/>
              <w:rPr>
                <w:rFonts w:asciiTheme="minorEastAsia" w:eastAsiaTheme="minorEastAsia" w:hAnsiTheme="minorEastAsia"/>
              </w:rPr>
            </w:pP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期末发行在外的股票期权或其他权益工具</w:t>
      </w:r>
    </w:p>
    <w:bookmarkStart w:id="392" w:name="_Hlk168493917" w:displacedByCustomXml="next"/>
    <w:bookmarkStart w:id="393" w:name="_Hlk168493896" w:displacedByCustomXml="next"/>
    <w:sdt>
      <w:sdtPr>
        <w:rPr>
          <w:color w:val="000000" w:themeColor="text1"/>
        </w:rPr>
        <w:alias w:val="是否适用：期末发行在外的股票期权或其他权益工具[双击切换]"/>
        <w:tag w:val="_GBC_f17c034d860345b98ee280169a254e4a"/>
        <w:id w:val="197841259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6"/>
        </w:numPr>
        <w:ind w:left="450" w:hanging="450"/>
        <w:rPr>
          <w:color w:val="000000" w:themeColor="text1"/>
        </w:rPr>
      </w:pPr>
      <w:bookmarkStart w:id="394" w:name="_Hlk40787255"/>
      <w:bookmarkStart w:id="395" w:name="_Hlk40787204"/>
      <w:bookmarkStart w:id="396" w:name="_Hlk167977424"/>
      <w:bookmarkEnd w:id="389"/>
      <w:bookmarkEnd w:id="390"/>
      <w:bookmarkEnd w:id="391"/>
      <w:bookmarkEnd w:id="393"/>
      <w:bookmarkEnd w:id="392"/>
      <w:r>
        <w:rPr>
          <w:rFonts w:hint="eastAsia"/>
          <w:color w:val="000000" w:themeColor="text1"/>
        </w:rPr>
        <w:t>以权益结算的股份支付情况</w:t>
      </w:r>
    </w:p>
    <w:sdt>
      <w:sdtPr>
        <w:rPr>
          <w:color w:val="000000" w:themeColor="text1"/>
        </w:rPr>
        <w:alias w:val="是否适用：以权益结算的股份支付情况[双击切换]"/>
        <w:tag w:val="_GBC_0f681034da4f4a658951f755e647b514"/>
        <w:id w:val="14142848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wordWrap w:val="0"/>
        <w:jc w:val="right"/>
        <w:rPr>
          <w:color w:val="000000" w:themeColor="text1"/>
        </w:rPr>
      </w:pPr>
      <w:bookmarkStart w:id="397" w:name="_Hlk40787299"/>
      <w:bookmarkStart w:id="398" w:name="_Hlk167977563"/>
      <w:bookmarkEnd w:id="394"/>
      <w:bookmarkEnd w:id="395"/>
      <w:bookmarkEnd w:id="396"/>
      <w:bookmarkEnd w:id="397"/>
      <w:r>
        <w:rPr>
          <w:rFonts w:hint="eastAsia"/>
          <w:color w:val="000000" w:themeColor="text1"/>
        </w:rPr>
        <w:t>单位：</w:t>
      </w:r>
      <w:sdt>
        <w:sdtPr>
          <w:rPr>
            <w:rFonts w:hint="eastAsia"/>
            <w:color w:val="000000" w:themeColor="text1"/>
          </w:rPr>
          <w:alias w:val="单位：以权益结算的股份支付情况"/>
          <w:tag w:val="_GBC_6f963fb120f44f2ea2e3f79a76bc658f"/>
          <w:id w:val="-487706259"/>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以权益结算的股份支付情况"/>
          <w:tag w:val="_GBC_3a28db0198e646dbbf9baf7bb992f37c"/>
          <w:id w:val="-209146385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295"/>
      </w:tblGrid>
      <w:tr w:rsidR="00597370">
        <w:sdt>
          <w:sdtPr>
            <w:rPr>
              <w:color w:val="000000" w:themeColor="text1"/>
            </w:rPr>
            <w:tag w:val="_PLD_1a127d7a214a4d28b48c6883e8ed2c64"/>
            <w:id w:val="475272934"/>
          </w:sdtPr>
          <w:sdtEndPr/>
          <w:sdtContent>
            <w:tc>
              <w:tcPr>
                <w:tcW w:w="2566" w:type="pct"/>
                <w:tcBorders>
                  <w:top w:val="single" w:sz="4" w:space="0" w:color="auto"/>
                  <w:left w:val="single" w:sz="4" w:space="0" w:color="auto"/>
                  <w:bottom w:val="single" w:sz="4" w:space="0" w:color="auto"/>
                  <w:right w:val="single" w:sz="4" w:space="0" w:color="auto"/>
                </w:tcBorders>
                <w:vAlign w:val="center"/>
              </w:tcPr>
              <w:p w:rsidR="00597370" w:rsidRDefault="003C2EEE">
                <w:pPr>
                  <w:jc w:val="both"/>
                  <w:rPr>
                    <w:color w:val="000000" w:themeColor="text1"/>
                  </w:rPr>
                </w:pPr>
                <w:r>
                  <w:rPr>
                    <w:rFonts w:hint="eastAsia"/>
                    <w:color w:val="000000" w:themeColor="text1"/>
                  </w:rPr>
                  <w:t>授予日权益工具公允价值的确定方法</w:t>
                </w:r>
              </w:p>
            </w:tc>
          </w:sdtContent>
        </w:sdt>
        <w:tc>
          <w:tcPr>
            <w:tcW w:w="2434" w:type="pct"/>
            <w:tcBorders>
              <w:top w:val="single" w:sz="4" w:space="0" w:color="auto"/>
              <w:left w:val="single" w:sz="4" w:space="0" w:color="auto"/>
              <w:bottom w:val="single" w:sz="4" w:space="0" w:color="auto"/>
              <w:right w:val="single" w:sz="4" w:space="0" w:color="auto"/>
            </w:tcBorders>
            <w:vAlign w:val="center"/>
          </w:tcPr>
          <w:p w:rsidR="00597370" w:rsidRDefault="003C2EEE">
            <w:pPr>
              <w:jc w:val="both"/>
              <w:rPr>
                <w:color w:val="000000" w:themeColor="text1"/>
              </w:rPr>
            </w:pPr>
            <w:r>
              <w:rPr>
                <w:rFonts w:hint="eastAsia"/>
                <w:color w:val="000000" w:themeColor="text1"/>
              </w:rPr>
              <w:t>董事会决议公布前</w:t>
            </w:r>
            <w:r>
              <w:rPr>
                <w:color w:val="000000" w:themeColor="text1"/>
              </w:rPr>
              <w:t>20个交易日、前60个交易日或者120个交易日公司股票交易均价</w:t>
            </w:r>
            <w:r>
              <w:rPr>
                <w:rFonts w:hint="eastAsia"/>
                <w:color w:val="000000" w:themeColor="text1"/>
              </w:rPr>
              <w:t>中较高者</w:t>
            </w:r>
            <w:r>
              <w:rPr>
                <w:color w:val="000000" w:themeColor="text1"/>
              </w:rPr>
              <w:t>的50%</w:t>
            </w:r>
          </w:p>
        </w:tc>
      </w:tr>
      <w:tr w:rsidR="00597370">
        <w:tc>
          <w:tcPr>
            <w:tcW w:w="2566" w:type="pct"/>
            <w:tcBorders>
              <w:top w:val="single" w:sz="4" w:space="0" w:color="auto"/>
              <w:left w:val="single" w:sz="4" w:space="0" w:color="auto"/>
              <w:bottom w:val="single" w:sz="4" w:space="0" w:color="auto"/>
              <w:right w:val="single" w:sz="4" w:space="0" w:color="auto"/>
            </w:tcBorders>
            <w:vAlign w:val="center"/>
          </w:tcPr>
          <w:p w:rsidR="00597370" w:rsidRDefault="003C2EEE">
            <w:pPr>
              <w:jc w:val="both"/>
              <w:rPr>
                <w:color w:val="000000" w:themeColor="text1"/>
              </w:rPr>
            </w:pPr>
            <w:r>
              <w:rPr>
                <w:rFonts w:hint="eastAsia"/>
                <w:color w:val="000000" w:themeColor="text1"/>
              </w:rPr>
              <w:t>授予日权益工具公允价值的重要参数</w:t>
            </w:r>
          </w:p>
        </w:tc>
        <w:tc>
          <w:tcPr>
            <w:tcW w:w="2434" w:type="pct"/>
            <w:tcBorders>
              <w:top w:val="single" w:sz="4" w:space="0" w:color="auto"/>
              <w:left w:val="single" w:sz="4" w:space="0" w:color="auto"/>
              <w:bottom w:val="single" w:sz="4" w:space="0" w:color="auto"/>
              <w:right w:val="single" w:sz="4" w:space="0" w:color="auto"/>
            </w:tcBorders>
            <w:vAlign w:val="center"/>
          </w:tcPr>
          <w:p w:rsidR="00597370" w:rsidRDefault="00597370">
            <w:pPr>
              <w:pStyle w:val="Style106"/>
              <w:jc w:val="both"/>
            </w:pPr>
          </w:p>
        </w:tc>
      </w:tr>
      <w:tr w:rsidR="00597370">
        <w:tc>
          <w:tcPr>
            <w:tcW w:w="2566" w:type="pct"/>
            <w:tcBorders>
              <w:top w:val="single" w:sz="4" w:space="0" w:color="auto"/>
              <w:left w:val="single" w:sz="4" w:space="0" w:color="auto"/>
              <w:bottom w:val="single" w:sz="4" w:space="0" w:color="auto"/>
              <w:right w:val="single" w:sz="4" w:space="0" w:color="auto"/>
            </w:tcBorders>
            <w:vAlign w:val="center"/>
          </w:tcPr>
          <w:p w:rsidR="00597370" w:rsidRDefault="003C2EEE">
            <w:pPr>
              <w:jc w:val="both"/>
              <w:rPr>
                <w:color w:val="000000" w:themeColor="text1"/>
              </w:rPr>
            </w:pPr>
            <w:r>
              <w:rPr>
                <w:rFonts w:hint="eastAsia"/>
                <w:color w:val="000000" w:themeColor="text1"/>
              </w:rPr>
              <w:t>可行权权益工具数量的确定依据</w:t>
            </w:r>
          </w:p>
        </w:tc>
        <w:tc>
          <w:tcPr>
            <w:tcW w:w="2434" w:type="pct"/>
            <w:tcBorders>
              <w:top w:val="single" w:sz="4" w:space="0" w:color="auto"/>
              <w:left w:val="single" w:sz="4" w:space="0" w:color="auto"/>
              <w:bottom w:val="single" w:sz="4" w:space="0" w:color="auto"/>
              <w:right w:val="single" w:sz="4" w:space="0" w:color="auto"/>
            </w:tcBorders>
            <w:vAlign w:val="center"/>
          </w:tcPr>
          <w:p w:rsidR="00597370" w:rsidRDefault="003C2EEE">
            <w:pPr>
              <w:pStyle w:val="Style106"/>
              <w:jc w:val="both"/>
            </w:pPr>
            <w:r>
              <w:rPr>
                <w:rFonts w:hint="eastAsia"/>
              </w:rPr>
              <w:t>根据最新取得的可行</w:t>
            </w:r>
            <w:proofErr w:type="gramStart"/>
            <w:r>
              <w:rPr>
                <w:rFonts w:hint="eastAsia"/>
              </w:rPr>
              <w:t>权职工</w:t>
            </w:r>
            <w:proofErr w:type="gramEnd"/>
            <w:r>
              <w:rPr>
                <w:rFonts w:hint="eastAsia"/>
              </w:rPr>
              <w:t>数、职工考核变动等后续信息进行估计</w:t>
            </w:r>
          </w:p>
        </w:tc>
      </w:tr>
      <w:tr w:rsidR="00597370">
        <w:tc>
          <w:tcPr>
            <w:tcW w:w="2566" w:type="pct"/>
            <w:tcBorders>
              <w:top w:val="single" w:sz="4" w:space="0" w:color="auto"/>
              <w:left w:val="single" w:sz="4" w:space="0" w:color="auto"/>
              <w:bottom w:val="single" w:sz="4" w:space="0" w:color="auto"/>
              <w:right w:val="single" w:sz="4" w:space="0" w:color="auto"/>
            </w:tcBorders>
            <w:vAlign w:val="center"/>
          </w:tcPr>
          <w:p w:rsidR="00597370" w:rsidRDefault="003C2EEE">
            <w:pPr>
              <w:jc w:val="both"/>
              <w:rPr>
                <w:color w:val="000000" w:themeColor="text1"/>
              </w:rPr>
            </w:pPr>
            <w:r>
              <w:rPr>
                <w:rFonts w:hint="eastAsia"/>
                <w:color w:val="000000" w:themeColor="text1"/>
              </w:rPr>
              <w:t>本期估计与上期估计有重大差异的原因</w:t>
            </w:r>
          </w:p>
        </w:tc>
        <w:tc>
          <w:tcPr>
            <w:tcW w:w="2434" w:type="pct"/>
            <w:tcBorders>
              <w:top w:val="single" w:sz="4" w:space="0" w:color="auto"/>
              <w:left w:val="single" w:sz="4" w:space="0" w:color="auto"/>
              <w:bottom w:val="single" w:sz="4" w:space="0" w:color="auto"/>
              <w:right w:val="single" w:sz="4" w:space="0" w:color="auto"/>
            </w:tcBorders>
            <w:vAlign w:val="center"/>
          </w:tcPr>
          <w:p w:rsidR="00597370" w:rsidRDefault="00597370">
            <w:pPr>
              <w:pStyle w:val="Style106"/>
              <w:jc w:val="both"/>
            </w:pPr>
          </w:p>
        </w:tc>
      </w:tr>
      <w:tr w:rsidR="00597370">
        <w:tc>
          <w:tcPr>
            <w:tcW w:w="2566" w:type="pct"/>
            <w:tcBorders>
              <w:top w:val="single" w:sz="4" w:space="0" w:color="auto"/>
              <w:left w:val="single" w:sz="4" w:space="0" w:color="auto"/>
              <w:bottom w:val="single" w:sz="4" w:space="0" w:color="auto"/>
              <w:right w:val="single" w:sz="4" w:space="0" w:color="auto"/>
            </w:tcBorders>
            <w:vAlign w:val="center"/>
          </w:tcPr>
          <w:p w:rsidR="00597370" w:rsidRDefault="003C2EEE">
            <w:pPr>
              <w:jc w:val="both"/>
              <w:rPr>
                <w:color w:val="000000" w:themeColor="text1"/>
              </w:rPr>
            </w:pPr>
            <w:r>
              <w:rPr>
                <w:rFonts w:hint="eastAsia"/>
                <w:color w:val="000000" w:themeColor="text1"/>
              </w:rPr>
              <w:t>以权益结算的股份支付计入资本公积的累计金额</w:t>
            </w:r>
          </w:p>
        </w:tc>
        <w:tc>
          <w:tcPr>
            <w:tcW w:w="2434"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pPr>
            <w:r>
              <w:t>3,847,666.44</w:t>
            </w:r>
          </w:p>
        </w:tc>
      </w:tr>
    </w:tbl>
    <w:p w:rsidR="00597370" w:rsidRDefault="003C2EEE">
      <w:pPr>
        <w:rPr>
          <w:color w:val="000000" w:themeColor="text1"/>
        </w:rPr>
      </w:pPr>
      <w:r>
        <w:rPr>
          <w:rFonts w:hint="eastAsia"/>
          <w:color w:val="000000" w:themeColor="text1"/>
        </w:rPr>
        <w:t>其他说明</w:t>
      </w:r>
    </w:p>
    <w:sdt>
      <w:sdtPr>
        <w:rPr>
          <w:color w:val="000000" w:themeColor="text1"/>
        </w:rPr>
        <w:alias w:val="以权益结算的股份支付的说明"/>
        <w:tag w:val="_GBC_bde26230d1d2458abcd9465ebdafc44c"/>
        <w:id w:val="-1324359198"/>
      </w:sdtPr>
      <w:sdtEndPr/>
      <w:sdtContent>
        <w:p w:rsidR="00597370" w:rsidRDefault="003C2EEE">
          <w:pPr>
            <w:rPr>
              <w:rFonts w:cstheme="minorBidi"/>
              <w:color w:val="000000" w:themeColor="text1"/>
            </w:rPr>
          </w:pPr>
          <w:r>
            <w:rPr>
              <w:rFonts w:hint="eastAsia"/>
              <w:color w:val="000000" w:themeColor="text1"/>
            </w:rPr>
            <w:t>无</w:t>
          </w:r>
        </w:p>
      </w:sdtContent>
    </w:sdt>
    <w:p w:rsidR="00597370" w:rsidRDefault="003C2EEE">
      <w:pPr>
        <w:pStyle w:val="Style109"/>
        <w:numPr>
          <w:ilvl w:val="0"/>
          <w:numId w:val="106"/>
        </w:numPr>
        <w:ind w:left="450" w:hanging="450"/>
        <w:rPr>
          <w:color w:val="000000" w:themeColor="text1"/>
        </w:rPr>
      </w:pPr>
      <w:r>
        <w:rPr>
          <w:rFonts w:hint="eastAsia"/>
          <w:color w:val="000000" w:themeColor="text1"/>
        </w:rPr>
        <w:t>以现金结算的股份支付情况</w:t>
      </w:r>
    </w:p>
    <w:sdt>
      <w:sdtPr>
        <w:rPr>
          <w:color w:val="000000" w:themeColor="text1"/>
        </w:rPr>
        <w:alias w:val="是否适用：以现金结算的股份支付情况[双击切换]"/>
        <w:tag w:val="_GBC_2a6bb5b9d8a04286865cd607e7260a60"/>
        <w:id w:val="35045557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6"/>
        </w:numPr>
        <w:ind w:left="450" w:hanging="450"/>
        <w:rPr>
          <w:color w:val="000000" w:themeColor="text1"/>
        </w:rPr>
      </w:pPr>
      <w:r>
        <w:rPr>
          <w:rFonts w:hint="eastAsia"/>
          <w:color w:val="000000" w:themeColor="text1"/>
        </w:rPr>
        <w:t>本期股份支付费用</w:t>
      </w:r>
    </w:p>
    <w:bookmarkStart w:id="399" w:name="_Hlk168494235" w:displacedByCustomXml="next"/>
    <w:sdt>
      <w:sdtPr>
        <w:rPr>
          <w:color w:val="000000" w:themeColor="text1"/>
        </w:rPr>
        <w:alias w:val="是否适用：股份支付费用[双击切换]"/>
        <w:tag w:val="_GBC_5b0304a006c7437ca2961c2d2bdf142a"/>
        <w:id w:val="-12700728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6"/>
        </w:numPr>
        <w:ind w:left="450" w:hanging="450"/>
        <w:rPr>
          <w:color w:val="000000" w:themeColor="text1"/>
        </w:rPr>
      </w:pPr>
      <w:bookmarkStart w:id="400" w:name="_Hlk168494436"/>
      <w:bookmarkEnd w:id="398"/>
      <w:bookmarkEnd w:id="400"/>
      <w:bookmarkEnd w:id="399"/>
      <w:r>
        <w:rPr>
          <w:rFonts w:hint="eastAsia"/>
          <w:color w:val="000000" w:themeColor="text1"/>
        </w:rPr>
        <w:t>股份支付的修改、终止情况</w:t>
      </w:r>
    </w:p>
    <w:sdt>
      <w:sdtPr>
        <w:rPr>
          <w:color w:val="000000" w:themeColor="text1"/>
        </w:rPr>
        <w:alias w:val="是否适用：股份支付的修改、终止情况[双击切换]"/>
        <w:tag w:val="_GBC_794cdee9be3b4b478fa83b914d22ea66"/>
        <w:id w:val="288178469"/>
        <w:placeholder>
          <w:docPart w:val="GBC22222222222222222222222222222"/>
        </w:placeholder>
      </w:sdtPr>
      <w:sdtEndPr/>
      <w:sdtContent>
        <w:p w:rsidR="00597370" w:rsidRDefault="003C2EEE">
          <w:pPr>
            <w:rPr>
              <w:rFonts w:cstheme="minorBidi"/>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6"/>
        </w:numPr>
        <w:ind w:left="450" w:hanging="450"/>
        <w:rPr>
          <w:color w:val="000000" w:themeColor="text1"/>
        </w:rPr>
      </w:pPr>
      <w:r>
        <w:rPr>
          <w:rFonts w:hint="eastAsia"/>
          <w:color w:val="000000" w:themeColor="text1"/>
        </w:rPr>
        <w:t>其他</w:t>
      </w:r>
    </w:p>
    <w:sdt>
      <w:sdtPr>
        <w:rPr>
          <w:color w:val="000000" w:themeColor="text1"/>
        </w:rPr>
        <w:alias w:val="是否适用：股份支付的其他情况说明[双击切换]"/>
        <w:tag w:val="_GBC_b8be1a19715949cab94dc673580d61a2"/>
        <w:id w:val="-212822684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承诺及或有事项</w:t>
      </w:r>
    </w:p>
    <w:p w:rsidR="00597370" w:rsidRDefault="003C2EEE">
      <w:pPr>
        <w:pStyle w:val="Style109"/>
        <w:numPr>
          <w:ilvl w:val="0"/>
          <w:numId w:val="107"/>
        </w:numPr>
        <w:rPr>
          <w:rFonts w:ascii="宋体" w:hAnsi="宋体"/>
          <w:color w:val="000000" w:themeColor="text1"/>
        </w:rPr>
      </w:pPr>
      <w:r>
        <w:rPr>
          <w:rFonts w:ascii="宋体" w:hAnsi="宋体" w:hint="eastAsia"/>
          <w:color w:val="000000" w:themeColor="text1"/>
        </w:rPr>
        <w:t>重要承诺事项</w:t>
      </w:r>
    </w:p>
    <w:sdt>
      <w:sdtPr>
        <w:rPr>
          <w:color w:val="000000" w:themeColor="text1"/>
        </w:rPr>
        <w:alias w:val="是否适用：重要承诺事项[双击切换]"/>
        <w:tag w:val="_GBC_3ee02d2bff5e4dd69f75cc6148bdda8f"/>
        <w:id w:val="-643036091"/>
        <w:placeholder>
          <w:docPart w:val="GBC22222222222222222222222222222"/>
        </w:placeholder>
      </w:sdtPr>
      <w:sdtEndPr/>
      <w:sdtContent>
        <w:p w:rsidR="00597370" w:rsidRDefault="003C2EEE">
          <w:pPr>
            <w:rPr>
              <w:rFonts w:cs="Cambria"/>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7"/>
        </w:numPr>
        <w:rPr>
          <w:rFonts w:ascii="宋体" w:hAnsi="宋体"/>
          <w:color w:val="000000" w:themeColor="text1"/>
        </w:rPr>
      </w:pPr>
      <w:r>
        <w:rPr>
          <w:rFonts w:ascii="宋体" w:hAnsi="宋体" w:hint="eastAsia"/>
          <w:color w:val="000000" w:themeColor="text1"/>
        </w:rPr>
        <w:t>或有事项</w:t>
      </w:r>
    </w:p>
    <w:p w:rsidR="00597370" w:rsidRDefault="003C2EEE">
      <w:pPr>
        <w:pStyle w:val="Style110"/>
        <w:numPr>
          <w:ilvl w:val="0"/>
          <w:numId w:val="108"/>
        </w:numPr>
        <w:tabs>
          <w:tab w:val="left" w:pos="616"/>
        </w:tabs>
        <w:rPr>
          <w:rFonts w:ascii="宋体" w:hAnsi="宋体"/>
          <w:color w:val="000000" w:themeColor="text1"/>
        </w:rPr>
      </w:pPr>
      <w:r>
        <w:rPr>
          <w:rFonts w:ascii="宋体" w:hAnsi="宋体" w:hint="eastAsia"/>
          <w:color w:val="000000" w:themeColor="text1"/>
        </w:rPr>
        <w:t>资产负债表</w:t>
      </w:r>
      <w:proofErr w:type="gramStart"/>
      <w:r>
        <w:rPr>
          <w:rFonts w:ascii="宋体" w:hAnsi="宋体" w:hint="eastAsia"/>
          <w:color w:val="000000" w:themeColor="text1"/>
        </w:rPr>
        <w:t>日存在</w:t>
      </w:r>
      <w:proofErr w:type="gramEnd"/>
      <w:r>
        <w:rPr>
          <w:rFonts w:ascii="宋体" w:hAnsi="宋体" w:hint="eastAsia"/>
          <w:color w:val="000000" w:themeColor="text1"/>
        </w:rPr>
        <w:t>的重要或有事项</w:t>
      </w:r>
    </w:p>
    <w:sdt>
      <w:sdtPr>
        <w:rPr>
          <w:color w:val="000000" w:themeColor="text1"/>
        </w:rPr>
        <w:alias w:val="是否适用：资产负债表日存在的重要或有事项[双击切换]"/>
        <w:tag w:val="_GBC_dea854a30b4642f6b78351afe6791c32"/>
        <w:id w:val="-23046756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资产负债表日存在的重要或有事项"/>
        <w:tag w:val="_GBC_9aacda4c45eb44bcb0d1f17e53741a1f"/>
        <w:id w:val="-490255902"/>
        <w:placeholder>
          <w:docPart w:val="8F964BE149FA46998D947970396091A6"/>
        </w:placeholder>
      </w:sdtPr>
      <w:sdtEndPr/>
      <w:sdtContent>
        <w:p w:rsidR="00597370" w:rsidRDefault="003C2EEE">
          <w:pPr>
            <w:ind w:firstLineChars="200" w:firstLine="420"/>
            <w:rPr>
              <w:color w:val="000000" w:themeColor="text1"/>
            </w:rPr>
          </w:pPr>
          <w:r>
            <w:rPr>
              <w:rFonts w:hint="eastAsia"/>
              <w:color w:val="000000" w:themeColor="text1"/>
            </w:rPr>
            <w:t>截至</w:t>
          </w:r>
          <w:r>
            <w:rPr>
              <w:color w:val="000000" w:themeColor="text1"/>
            </w:rPr>
            <w:t>2024年6月30日，未到期人民币保函16,107.67</w:t>
          </w:r>
          <w:r>
            <w:rPr>
              <w:rFonts w:hint="eastAsia"/>
              <w:color w:val="000000" w:themeColor="text1"/>
            </w:rPr>
            <w:t>万</w:t>
          </w:r>
          <w:r>
            <w:rPr>
              <w:color w:val="000000" w:themeColor="text1"/>
            </w:rPr>
            <w:t>元</w:t>
          </w:r>
          <w:r>
            <w:rPr>
              <w:rFonts w:hint="eastAsia"/>
              <w:color w:val="000000" w:themeColor="text1"/>
            </w:rPr>
            <w:t>；未到期信用证欧元</w:t>
          </w:r>
          <w:r>
            <w:rPr>
              <w:color w:val="000000" w:themeColor="text1"/>
            </w:rPr>
            <w:t>55</w:t>
          </w:r>
          <w:r>
            <w:rPr>
              <w:rFonts w:hint="eastAsia"/>
              <w:color w:val="000000" w:themeColor="text1"/>
            </w:rPr>
            <w:t>.</w:t>
          </w:r>
          <w:r>
            <w:rPr>
              <w:color w:val="000000" w:themeColor="text1"/>
            </w:rPr>
            <w:t>28</w:t>
          </w:r>
          <w:r>
            <w:rPr>
              <w:rFonts w:hint="eastAsia"/>
              <w:color w:val="000000" w:themeColor="text1"/>
            </w:rPr>
            <w:t>万元，</w:t>
          </w:r>
          <w:r>
            <w:rPr>
              <w:color w:val="000000" w:themeColor="text1"/>
            </w:rPr>
            <w:t>未到期人民币信用证为4,750.75</w:t>
          </w:r>
          <w:r>
            <w:rPr>
              <w:rFonts w:hint="eastAsia"/>
              <w:color w:val="000000" w:themeColor="text1"/>
            </w:rPr>
            <w:t>万</w:t>
          </w:r>
          <w:r>
            <w:rPr>
              <w:color w:val="000000" w:themeColor="text1"/>
            </w:rPr>
            <w:t>元。</w:t>
          </w:r>
        </w:p>
        <w:p w:rsidR="00597370" w:rsidRDefault="003C2EEE">
          <w:pPr>
            <w:ind w:firstLineChars="200" w:firstLine="420"/>
          </w:pPr>
          <w:r>
            <w:rPr>
              <w:rFonts w:hint="eastAsia"/>
              <w:color w:val="000000" w:themeColor="text1"/>
            </w:rPr>
            <w:t>除存在上述或有事项外，截止</w:t>
          </w:r>
          <w:r>
            <w:rPr>
              <w:color w:val="000000" w:themeColor="text1"/>
            </w:rPr>
            <w:t>2024年6月30日，本公司无其他应披露未披露的重要或有事项。</w:t>
          </w:r>
        </w:p>
      </w:sdtContent>
    </w:sdt>
    <w:p w:rsidR="00597370" w:rsidRDefault="003C2EEE">
      <w:pPr>
        <w:pStyle w:val="Style110"/>
        <w:numPr>
          <w:ilvl w:val="0"/>
          <w:numId w:val="108"/>
        </w:numPr>
        <w:tabs>
          <w:tab w:val="left" w:pos="616"/>
        </w:tabs>
        <w:rPr>
          <w:rFonts w:ascii="宋体" w:hAnsi="宋体"/>
          <w:color w:val="000000" w:themeColor="text1"/>
        </w:rPr>
      </w:pPr>
      <w:r>
        <w:rPr>
          <w:rFonts w:ascii="宋体" w:hAnsi="宋体" w:hint="eastAsia"/>
          <w:color w:val="000000" w:themeColor="text1"/>
        </w:rPr>
        <w:t>公司没有需要披露的重要或有事项，也应予以说明：</w:t>
      </w:r>
    </w:p>
    <w:sdt>
      <w:sdtPr>
        <w:rPr>
          <w:color w:val="000000" w:themeColor="text1"/>
        </w:rPr>
        <w:alias w:val="是否适用：公司没有需要披露的重要或有事项，也应予以说明[双击切换]"/>
        <w:tag w:val="_GBC_a0545390a9694adcaaee8509e290303c"/>
        <w:id w:val="-151245326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7"/>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承诺及或有事项的其他情况说明[双击切换]"/>
        <w:tag w:val="_GBC_ff33b21a56eb4d3291f2b4875be5a2b2"/>
        <w:id w:val="-62077198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lastRenderedPageBreak/>
        <w:t>资产负债表日后事项</w:t>
      </w:r>
    </w:p>
    <w:p w:rsidR="00597370" w:rsidRDefault="003C2EEE">
      <w:pPr>
        <w:pStyle w:val="Style109"/>
        <w:numPr>
          <w:ilvl w:val="0"/>
          <w:numId w:val="109"/>
        </w:numPr>
        <w:rPr>
          <w:rFonts w:ascii="宋体" w:hAnsi="宋体"/>
          <w:color w:val="000000" w:themeColor="text1"/>
        </w:rPr>
      </w:pPr>
      <w:r>
        <w:rPr>
          <w:rFonts w:ascii="宋体" w:hAnsi="宋体" w:hint="eastAsia"/>
          <w:color w:val="000000" w:themeColor="text1"/>
        </w:rPr>
        <w:t>重要的非调整事项</w:t>
      </w:r>
    </w:p>
    <w:sdt>
      <w:sdtPr>
        <w:rPr>
          <w:color w:val="000000" w:themeColor="text1"/>
        </w:rPr>
        <w:alias w:val="是否适用：重要的非调整事项[双击切换]"/>
        <w:tag w:val="_GBC_ab366a8fb12748d6aa2a8401b360857c"/>
        <w:id w:val="179686144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9"/>
        </w:numPr>
        <w:rPr>
          <w:rFonts w:ascii="宋体" w:hAnsi="宋体"/>
          <w:color w:val="000000" w:themeColor="text1"/>
        </w:rPr>
      </w:pPr>
      <w:r>
        <w:rPr>
          <w:rFonts w:ascii="宋体" w:hAnsi="宋体" w:hint="eastAsia"/>
          <w:color w:val="000000" w:themeColor="text1"/>
        </w:rPr>
        <w:t>利润分配情况</w:t>
      </w:r>
    </w:p>
    <w:sdt>
      <w:sdtPr>
        <w:rPr>
          <w:color w:val="000000" w:themeColor="text1"/>
        </w:rPr>
        <w:alias w:val="是否适用：利润分配情况[双击切换]"/>
        <w:tag w:val="_GBC_a2ea8cd0604f474db0e7e62eb7fc0435"/>
        <w:id w:val="20715367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9"/>
        </w:numPr>
        <w:rPr>
          <w:rFonts w:ascii="宋体" w:hAnsi="宋体"/>
          <w:color w:val="000000" w:themeColor="text1"/>
        </w:rPr>
      </w:pPr>
      <w:bookmarkStart w:id="401" w:name="_Toc241636515"/>
      <w:r>
        <w:rPr>
          <w:rFonts w:ascii="宋体" w:hAnsi="宋体" w:hint="eastAsia"/>
          <w:color w:val="000000" w:themeColor="text1"/>
        </w:rPr>
        <w:t>销售退回</w:t>
      </w:r>
    </w:p>
    <w:sdt>
      <w:sdtPr>
        <w:rPr>
          <w:color w:val="000000" w:themeColor="text1"/>
        </w:rPr>
        <w:alias w:val="是否适用：销售退回[双击切换]"/>
        <w:tag w:val="_GBC_4175c0e820fa43cd98dd2d05c0dea8a8"/>
        <w:id w:val="-109578249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09"/>
        </w:numPr>
        <w:rPr>
          <w:rFonts w:ascii="宋体" w:hAnsi="宋体"/>
          <w:color w:val="000000" w:themeColor="text1"/>
        </w:rPr>
      </w:pPr>
      <w:r>
        <w:rPr>
          <w:rFonts w:ascii="宋体" w:hAnsi="宋体" w:hint="eastAsia"/>
          <w:color w:val="000000" w:themeColor="text1"/>
        </w:rPr>
        <w:t>其他资产负债表日后事项说明</w:t>
      </w:r>
      <w:bookmarkEnd w:id="401"/>
    </w:p>
    <w:sdt>
      <w:sdtPr>
        <w:rPr>
          <w:color w:val="000000" w:themeColor="text1"/>
        </w:rPr>
        <w:alias w:val="是否适用：其他资产负债表日后事项说明[双击切换]"/>
        <w:tag w:val="_GBC_3da0e7092a0048ed9e147e2e860785f5"/>
        <w:id w:val="-145741170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其他重要事项</w:t>
      </w:r>
    </w:p>
    <w:p w:rsidR="00597370" w:rsidRDefault="003C2EEE">
      <w:pPr>
        <w:pStyle w:val="Style109"/>
        <w:numPr>
          <w:ilvl w:val="0"/>
          <w:numId w:val="110"/>
        </w:numPr>
        <w:rPr>
          <w:rFonts w:ascii="宋体" w:hAnsi="宋体"/>
          <w:color w:val="000000" w:themeColor="text1"/>
        </w:rPr>
      </w:pPr>
      <w:r>
        <w:rPr>
          <w:rFonts w:ascii="宋体" w:hAnsi="宋体" w:hint="eastAsia"/>
          <w:color w:val="000000" w:themeColor="text1"/>
        </w:rPr>
        <w:t>前期会计差错更正</w:t>
      </w:r>
    </w:p>
    <w:p w:rsidR="00597370" w:rsidRDefault="003C2EEE">
      <w:pPr>
        <w:pStyle w:val="Style110"/>
        <w:numPr>
          <w:ilvl w:val="0"/>
          <w:numId w:val="111"/>
        </w:numPr>
        <w:tabs>
          <w:tab w:val="left" w:pos="602"/>
        </w:tabs>
        <w:rPr>
          <w:rFonts w:ascii="宋体" w:hAnsi="宋体"/>
          <w:color w:val="000000" w:themeColor="text1"/>
        </w:rPr>
      </w:pPr>
      <w:r>
        <w:rPr>
          <w:rFonts w:ascii="宋体" w:hAnsi="宋体" w:hint="eastAsia"/>
          <w:color w:val="000000" w:themeColor="text1"/>
        </w:rPr>
        <w:t>追溯重述法</w:t>
      </w:r>
    </w:p>
    <w:sdt>
      <w:sdtPr>
        <w:rPr>
          <w:rFonts w:hint="eastAsia"/>
          <w:color w:val="000000" w:themeColor="text1"/>
        </w:rPr>
        <w:alias w:val="是否适用：追溯重述法[双击切换]"/>
        <w:tag w:val="_GBC_9d59987ec8f64e568cc0874cd76bb5ce"/>
        <w:id w:val="170582548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11"/>
        </w:numPr>
        <w:tabs>
          <w:tab w:val="left" w:pos="602"/>
        </w:tabs>
        <w:rPr>
          <w:rFonts w:ascii="宋体" w:hAnsi="宋体"/>
          <w:color w:val="000000" w:themeColor="text1"/>
        </w:rPr>
      </w:pPr>
      <w:r>
        <w:rPr>
          <w:rFonts w:ascii="宋体" w:hAnsi="宋体" w:hint="eastAsia"/>
          <w:color w:val="000000" w:themeColor="text1"/>
        </w:rPr>
        <w:t>未来适用法</w:t>
      </w:r>
    </w:p>
    <w:sdt>
      <w:sdtPr>
        <w:rPr>
          <w:color w:val="000000" w:themeColor="text1"/>
        </w:rPr>
        <w:alias w:val="是否适用：未来适用法[双击切换]"/>
        <w:tag w:val="_GBC_add0977272ee43e7938e3e96c6aaa92d"/>
        <w:id w:val="39616434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0"/>
        </w:numPr>
        <w:rPr>
          <w:rFonts w:ascii="宋体" w:hAnsi="宋体"/>
          <w:color w:val="000000" w:themeColor="text1"/>
        </w:rPr>
      </w:pPr>
      <w:bookmarkStart w:id="402" w:name="_Hlk167977672"/>
      <w:r>
        <w:rPr>
          <w:rFonts w:ascii="宋体" w:hAnsi="宋体" w:hint="eastAsia"/>
          <w:color w:val="000000" w:themeColor="text1"/>
        </w:rPr>
        <w:t>重要债务重组</w:t>
      </w:r>
    </w:p>
    <w:sdt>
      <w:sdtPr>
        <w:rPr>
          <w:color w:val="000000" w:themeColor="text1"/>
        </w:rPr>
        <w:alias w:val="是否适用：重要债务重组[双击切换]"/>
        <w:tag w:val="_GBC_14f62373def24b6b994f6cfe645fabcb"/>
        <w:id w:val="-244581196"/>
        <w:placeholder>
          <w:docPart w:val="GBC22222222222222222222222222222"/>
        </w:placeholder>
      </w:sdtPr>
      <w:sdtEndPr/>
      <w:sdtContent>
        <w:p w:rsidR="00597370" w:rsidRDefault="003C2EEE">
          <w:pPr>
            <w:rPr>
              <w:rFonts w:asciiTheme="minorHAnsi" w:eastAsiaTheme="minorEastAsia" w:hAnsiTheme="minorHAnsi" w:cstheme="minorBidi"/>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02"/>
    <w:p w:rsidR="00597370" w:rsidRDefault="003C2EEE">
      <w:pPr>
        <w:pStyle w:val="Style109"/>
        <w:numPr>
          <w:ilvl w:val="0"/>
          <w:numId w:val="110"/>
        </w:numPr>
        <w:rPr>
          <w:rFonts w:ascii="宋体" w:hAnsi="宋体"/>
          <w:color w:val="000000" w:themeColor="text1"/>
        </w:rPr>
      </w:pPr>
      <w:r>
        <w:rPr>
          <w:rFonts w:ascii="宋体" w:hAnsi="宋体" w:hint="eastAsia"/>
          <w:color w:val="000000" w:themeColor="text1"/>
        </w:rPr>
        <w:t>资产置换</w:t>
      </w:r>
    </w:p>
    <w:p w:rsidR="00597370" w:rsidRDefault="003C2EEE">
      <w:pPr>
        <w:pStyle w:val="Style110"/>
        <w:numPr>
          <w:ilvl w:val="0"/>
          <w:numId w:val="112"/>
        </w:numPr>
        <w:tabs>
          <w:tab w:val="left" w:pos="644"/>
        </w:tabs>
        <w:rPr>
          <w:rFonts w:ascii="宋体" w:hAnsi="宋体"/>
          <w:color w:val="000000" w:themeColor="text1"/>
        </w:rPr>
      </w:pPr>
      <w:bookmarkStart w:id="403" w:name="_Toc161412438"/>
      <w:bookmarkStart w:id="404" w:name="_Toc241636517"/>
      <w:r>
        <w:rPr>
          <w:rFonts w:ascii="宋体" w:hAnsi="宋体" w:hint="eastAsia"/>
          <w:color w:val="000000" w:themeColor="text1"/>
        </w:rPr>
        <w:t>非货币性资产交换</w:t>
      </w:r>
      <w:bookmarkEnd w:id="403"/>
      <w:bookmarkEnd w:id="404"/>
    </w:p>
    <w:sdt>
      <w:sdtPr>
        <w:rPr>
          <w:color w:val="000000" w:themeColor="text1"/>
        </w:rPr>
        <w:alias w:val="是否适用：非货币性资产交换[双击切换]"/>
        <w:tag w:val="_GBC_1e8378570c9a4db08ad001118944af2e"/>
        <w:id w:val="-31372889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12"/>
        </w:numPr>
        <w:tabs>
          <w:tab w:val="left" w:pos="644"/>
        </w:tabs>
        <w:rPr>
          <w:rFonts w:ascii="宋体" w:hAnsi="宋体"/>
          <w:color w:val="000000" w:themeColor="text1"/>
        </w:rPr>
      </w:pPr>
      <w:r>
        <w:rPr>
          <w:rFonts w:ascii="宋体" w:hAnsi="宋体" w:hint="eastAsia"/>
          <w:color w:val="000000" w:themeColor="text1"/>
        </w:rPr>
        <w:t>其他资产置换</w:t>
      </w:r>
    </w:p>
    <w:sdt>
      <w:sdtPr>
        <w:rPr>
          <w:color w:val="000000" w:themeColor="text1"/>
        </w:rPr>
        <w:alias w:val="是否适用：其他资产置换[双击切换]"/>
        <w:tag w:val="_GBC_e20be5fc12b94f43a4090c14cc3aec63"/>
        <w:id w:val="75771175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0"/>
        </w:numPr>
        <w:rPr>
          <w:rFonts w:ascii="宋体" w:hAnsi="宋体"/>
          <w:color w:val="000000" w:themeColor="text1"/>
        </w:rPr>
      </w:pPr>
      <w:bookmarkStart w:id="405" w:name="_Toc247371936"/>
      <w:r>
        <w:rPr>
          <w:rFonts w:ascii="宋体" w:hAnsi="宋体" w:hint="eastAsia"/>
          <w:color w:val="000000" w:themeColor="text1"/>
        </w:rPr>
        <w:t>年金计划</w:t>
      </w:r>
      <w:bookmarkEnd w:id="405"/>
    </w:p>
    <w:sdt>
      <w:sdtPr>
        <w:rPr>
          <w:color w:val="000000" w:themeColor="text1"/>
        </w:rPr>
        <w:alias w:val="是否适用：年金计划[双击切换]"/>
        <w:tag w:val="_GBC_f69a163f78f74a54a6443aaa7388f0dd"/>
        <w:id w:val="-1919238593"/>
        <w:placeholder>
          <w:docPart w:val="GBC22222222222222222222222222222"/>
        </w:placeholder>
      </w:sdtPr>
      <w:sdtEndPr/>
      <w:sdtContent>
        <w:p w:rsidR="00597370" w:rsidRDefault="003C2EEE">
          <w:pPr>
            <w:rPr>
              <w:rFonts w:cstheme="minorBidi"/>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0"/>
        </w:numPr>
        <w:rPr>
          <w:rFonts w:ascii="宋体" w:hAnsi="宋体"/>
          <w:color w:val="000000" w:themeColor="text1"/>
        </w:rPr>
      </w:pPr>
      <w:r>
        <w:rPr>
          <w:rFonts w:ascii="宋体" w:hAnsi="宋体" w:hint="eastAsia"/>
          <w:color w:val="000000" w:themeColor="text1"/>
        </w:rPr>
        <w:t>终止经营</w:t>
      </w:r>
    </w:p>
    <w:sdt>
      <w:sdtPr>
        <w:rPr>
          <w:color w:val="000000" w:themeColor="text1"/>
        </w:rPr>
        <w:alias w:val="是否适用：终止经营[双击切换]"/>
        <w:tag w:val="_GBC_8e88002e405543f593111633f63e4d8b"/>
        <w:id w:val="-820267179"/>
        <w:placeholder>
          <w:docPart w:val="GBC22222222222222222222222222222"/>
        </w:placeholder>
      </w:sdtPr>
      <w:sdtEndPr/>
      <w:sdtContent>
        <w:p w:rsidR="00597370" w:rsidRDefault="003C2EEE">
          <w:pPr>
            <w:rPr>
              <w:rFonts w:cstheme="minorBidi"/>
              <w:color w:val="000000" w:themeColor="text1"/>
              <w:kern w:val="2"/>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0"/>
        </w:numPr>
        <w:rPr>
          <w:rFonts w:ascii="宋体" w:hAnsi="宋体"/>
          <w:color w:val="000000" w:themeColor="text1"/>
        </w:rPr>
      </w:pPr>
      <w:r>
        <w:rPr>
          <w:rFonts w:ascii="宋体" w:hAnsi="宋体" w:hint="eastAsia"/>
          <w:color w:val="000000" w:themeColor="text1"/>
        </w:rPr>
        <w:t>分部信息</w:t>
      </w:r>
    </w:p>
    <w:p w:rsidR="00597370" w:rsidRDefault="003C2EEE">
      <w:pPr>
        <w:pStyle w:val="Style110"/>
        <w:numPr>
          <w:ilvl w:val="1"/>
          <w:numId w:val="113"/>
        </w:numPr>
        <w:tabs>
          <w:tab w:val="left" w:pos="644"/>
        </w:tabs>
        <w:ind w:left="420"/>
        <w:rPr>
          <w:rFonts w:ascii="宋体" w:hAnsi="宋体"/>
          <w:color w:val="000000" w:themeColor="text1"/>
          <w:szCs w:val="21"/>
        </w:rPr>
      </w:pPr>
      <w:r>
        <w:rPr>
          <w:rFonts w:ascii="宋体" w:hAnsi="宋体" w:hint="eastAsia"/>
          <w:color w:val="000000" w:themeColor="text1"/>
          <w:szCs w:val="21"/>
        </w:rPr>
        <w:t>报告分部的确定依据与会计政策</w:t>
      </w:r>
    </w:p>
    <w:sdt>
      <w:sdtPr>
        <w:rPr>
          <w:color w:val="000000" w:themeColor="text1"/>
        </w:rPr>
        <w:alias w:val="是否适用：报告分部的确定依据与会计政策[双击切换]"/>
        <w:tag w:val="_GBC_3684a11ce06644529eba619783a75583"/>
        <w:id w:val="-171348621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bCs/>
          <w:color w:val="000000" w:themeColor="text1"/>
          <w:sz w:val="21"/>
          <w:szCs w:val="21"/>
        </w:rPr>
        <w:alias w:val="报告分部的确定依据与会计政策"/>
        <w:tag w:val="_GBC_025e15951a494fa2845d296cf8db1fdb"/>
        <w:id w:val="608628377"/>
        <w:placeholder>
          <w:docPart w:val="GBC22222222222222222222222222222"/>
        </w:placeholder>
      </w:sdtPr>
      <w:sdtEndPr>
        <w:rPr>
          <w:bCs w:val="0"/>
          <w:sz w:val="24"/>
          <w:szCs w:val="24"/>
        </w:rPr>
      </w:sdtEndPr>
      <w:sdtContent>
        <w:p w:rsidR="00597370" w:rsidRDefault="003C2EEE">
          <w:pPr>
            <w:pStyle w:val="Style180"/>
            <w:spacing w:before="120"/>
            <w:ind w:firstLine="420"/>
            <w:rPr>
              <w:rStyle w:val="Char10"/>
            </w:rPr>
          </w:pPr>
          <w:r>
            <w:rPr>
              <w:rStyle w:val="Char10"/>
              <w:rFonts w:hint="eastAsia"/>
            </w:rPr>
            <w:t>本公司以内部组织结构、管理要求、内部报告制度为依据确定经营分部。本公司的经营分部是指同时满足下列条件的组成部分：</w:t>
          </w:r>
        </w:p>
        <w:p w:rsidR="00597370" w:rsidRDefault="003C2EEE">
          <w:pPr>
            <w:pStyle w:val="Style180"/>
            <w:spacing w:before="120"/>
            <w:ind w:firstLine="420"/>
            <w:rPr>
              <w:rStyle w:val="Char10"/>
            </w:rPr>
          </w:pPr>
          <w:r>
            <w:rPr>
              <w:rStyle w:val="Char10"/>
            </w:rPr>
            <w:t>1</w:t>
          </w:r>
          <w:r>
            <w:rPr>
              <w:rStyle w:val="Char10"/>
              <w:rFonts w:hint="eastAsia"/>
            </w:rPr>
            <w:t>）该组成部分能够在日常活动中产生收入、发生费用；</w:t>
          </w:r>
        </w:p>
        <w:p w:rsidR="00597370" w:rsidRDefault="003C2EEE">
          <w:pPr>
            <w:pStyle w:val="Style180"/>
            <w:spacing w:before="120"/>
            <w:ind w:firstLine="420"/>
            <w:rPr>
              <w:rStyle w:val="Char10"/>
            </w:rPr>
          </w:pPr>
          <w:r>
            <w:rPr>
              <w:rStyle w:val="Char10"/>
            </w:rPr>
            <w:t>2</w:t>
          </w:r>
          <w:r>
            <w:rPr>
              <w:rStyle w:val="Char10"/>
              <w:rFonts w:hint="eastAsia"/>
            </w:rPr>
            <w:t>）管理层能够定期评价该组成部分的经营成果，以决定向其配置资源、评价其业绩；</w:t>
          </w:r>
        </w:p>
        <w:p w:rsidR="00597370" w:rsidRDefault="003C2EEE">
          <w:pPr>
            <w:pStyle w:val="Style180"/>
            <w:spacing w:before="120"/>
            <w:ind w:firstLine="420"/>
            <w:rPr>
              <w:rStyle w:val="Char10"/>
            </w:rPr>
          </w:pPr>
          <w:r>
            <w:rPr>
              <w:rStyle w:val="Char10"/>
            </w:rPr>
            <w:t>3</w:t>
          </w:r>
          <w:r>
            <w:rPr>
              <w:rStyle w:val="Char10"/>
              <w:rFonts w:hint="eastAsia"/>
            </w:rPr>
            <w:t>）能够取得该组成部分的财务状况、经营成果和现金流量等有关会计信息。</w:t>
          </w:r>
        </w:p>
        <w:p w:rsidR="00597370" w:rsidRDefault="003C2EEE">
          <w:pPr>
            <w:pStyle w:val="Style180"/>
            <w:spacing w:before="120"/>
            <w:ind w:firstLine="420"/>
            <w:rPr>
              <w:rStyle w:val="Char10"/>
            </w:rPr>
          </w:pPr>
          <w:r>
            <w:rPr>
              <w:rStyle w:val="Char10"/>
              <w:rFonts w:hint="eastAsia"/>
            </w:rPr>
            <w:t>本公司以经营分部为基础确定报告分部，满足下列条件之一的经营分部确定为报告分部：</w:t>
          </w:r>
        </w:p>
        <w:p w:rsidR="00597370" w:rsidRDefault="003C2EEE">
          <w:pPr>
            <w:pStyle w:val="Style180"/>
            <w:spacing w:before="120"/>
            <w:ind w:firstLine="420"/>
            <w:rPr>
              <w:rStyle w:val="Char10"/>
            </w:rPr>
          </w:pPr>
          <w:r>
            <w:rPr>
              <w:rStyle w:val="Char10"/>
            </w:rPr>
            <w:t>1</w:t>
          </w:r>
          <w:r>
            <w:rPr>
              <w:rStyle w:val="Char10"/>
              <w:rFonts w:hint="eastAsia"/>
            </w:rPr>
            <w:t>）该经营分部的分部收入占所有分部收入合计的</w:t>
          </w:r>
          <w:r>
            <w:rPr>
              <w:rStyle w:val="Char10"/>
            </w:rPr>
            <w:t>10%</w:t>
          </w:r>
          <w:r>
            <w:rPr>
              <w:rStyle w:val="Char10"/>
              <w:rFonts w:hint="eastAsia"/>
            </w:rPr>
            <w:t>或者以上；</w:t>
          </w:r>
        </w:p>
        <w:p w:rsidR="00597370" w:rsidRDefault="003C2EEE">
          <w:pPr>
            <w:pStyle w:val="Style180"/>
            <w:spacing w:before="120"/>
            <w:ind w:firstLine="420"/>
            <w:rPr>
              <w:rStyle w:val="Char10"/>
            </w:rPr>
          </w:pPr>
          <w:r>
            <w:rPr>
              <w:rStyle w:val="Char10"/>
            </w:rPr>
            <w:t>2</w:t>
          </w:r>
          <w:r>
            <w:rPr>
              <w:rStyle w:val="Char10"/>
              <w:rFonts w:hint="eastAsia"/>
            </w:rPr>
            <w:t>）该分部的分部利润（亏损）的绝对额，占所有盈利分部利润合计额或者所有亏损分部亏损</w:t>
          </w:r>
          <w:r>
            <w:rPr>
              <w:rStyle w:val="Char10"/>
              <w:rFonts w:hint="eastAsia"/>
            </w:rPr>
            <w:lastRenderedPageBreak/>
            <w:t>合计额的绝对额两者中较大者的</w:t>
          </w:r>
          <w:r>
            <w:rPr>
              <w:rStyle w:val="Char10"/>
            </w:rPr>
            <w:t>10%</w:t>
          </w:r>
          <w:r>
            <w:rPr>
              <w:rStyle w:val="Char10"/>
              <w:rFonts w:hint="eastAsia"/>
            </w:rPr>
            <w:t>或者以上。</w:t>
          </w:r>
        </w:p>
        <w:p w:rsidR="00597370" w:rsidRDefault="003C2EEE">
          <w:pPr>
            <w:pStyle w:val="Style180"/>
            <w:spacing w:before="120"/>
            <w:ind w:firstLine="420"/>
            <w:rPr>
              <w:rFonts w:ascii="Times New Roman" w:hAnsi="Times New Roman"/>
              <w:kern w:val="2"/>
              <w:sz w:val="21"/>
              <w:szCs w:val="21"/>
            </w:rPr>
          </w:pPr>
          <w:r>
            <w:rPr>
              <w:rStyle w:val="Char10"/>
              <w:rFonts w:hint="eastAsia"/>
            </w:rPr>
            <w:t>本公司主要为生产销售输配电及控制设备和取向硅钢，同时，公司领用自产的取向硅钢用于生产输配电及控制设备，取向硅钢业务未能取得独立的财务状况、经营成果和现金流量，管理层将两项业务视作为一个整体实施管理、评估经营成果，因此，本财务报表不呈报分部信息。</w:t>
          </w:r>
        </w:p>
      </w:sdtContent>
    </w:sdt>
    <w:p w:rsidR="00597370" w:rsidRDefault="003C2EEE">
      <w:pPr>
        <w:pStyle w:val="Style110"/>
        <w:numPr>
          <w:ilvl w:val="1"/>
          <w:numId w:val="113"/>
        </w:numPr>
        <w:tabs>
          <w:tab w:val="left" w:pos="644"/>
        </w:tabs>
        <w:ind w:left="420"/>
        <w:rPr>
          <w:rFonts w:ascii="宋体" w:hAnsi="宋体"/>
          <w:color w:val="000000" w:themeColor="text1"/>
          <w:szCs w:val="21"/>
        </w:rPr>
      </w:pPr>
      <w:r>
        <w:rPr>
          <w:rFonts w:ascii="宋体" w:hAnsi="宋体" w:hint="eastAsia"/>
          <w:color w:val="000000" w:themeColor="text1"/>
          <w:szCs w:val="21"/>
        </w:rPr>
        <w:t>报告分部的财务信息</w:t>
      </w:r>
    </w:p>
    <w:sdt>
      <w:sdtPr>
        <w:rPr>
          <w:color w:val="000000" w:themeColor="text1"/>
        </w:rPr>
        <w:alias w:val="是否适用：报告分部的财务信息[双击切换]"/>
        <w:tag w:val="_GBC_25e6ee3686524d959ae273bb5aaa9cfb"/>
        <w:id w:val="-111352297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1"/>
          <w:numId w:val="113"/>
        </w:numPr>
        <w:tabs>
          <w:tab w:val="left" w:pos="644"/>
        </w:tabs>
        <w:ind w:left="420"/>
        <w:rPr>
          <w:rFonts w:ascii="宋体" w:hAnsi="宋体"/>
          <w:color w:val="000000" w:themeColor="text1"/>
          <w:szCs w:val="21"/>
        </w:rPr>
      </w:pPr>
      <w:r>
        <w:rPr>
          <w:rFonts w:ascii="宋体" w:hAnsi="宋体" w:hint="eastAsia"/>
          <w:color w:val="000000" w:themeColor="text1"/>
          <w:szCs w:val="21"/>
        </w:rPr>
        <w:t>公司</w:t>
      </w:r>
      <w:proofErr w:type="gramStart"/>
      <w:r>
        <w:rPr>
          <w:rFonts w:ascii="宋体" w:hAnsi="宋体" w:hint="eastAsia"/>
          <w:color w:val="000000" w:themeColor="text1"/>
          <w:szCs w:val="21"/>
        </w:rPr>
        <w:t>无报告</w:t>
      </w:r>
      <w:proofErr w:type="gramEnd"/>
      <w:r>
        <w:rPr>
          <w:rFonts w:ascii="宋体" w:hAnsi="宋体" w:hint="eastAsia"/>
          <w:color w:val="000000" w:themeColor="text1"/>
          <w:szCs w:val="21"/>
        </w:rPr>
        <w:t>分部的，或者不能披露各报告分部的资产总额和负债总额的，应说明原因</w:t>
      </w:r>
    </w:p>
    <w:sdt>
      <w:sdtPr>
        <w:rPr>
          <w:rFonts w:hint="eastAsia"/>
          <w:color w:val="000000" w:themeColor="text1"/>
        </w:rPr>
        <w:alias w:val="是否适用：公司无报告分部的，或者不能披露各报告分部的资产总额和负债总额的，应说明原因[双击切换]"/>
        <w:tag w:val="_GBC_de327191b263431db97d3ba75838aba8"/>
        <w:id w:val="-161381109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1"/>
          <w:numId w:val="113"/>
        </w:numPr>
        <w:tabs>
          <w:tab w:val="left" w:pos="644"/>
        </w:tabs>
        <w:ind w:left="420"/>
        <w:rPr>
          <w:rFonts w:ascii="宋体" w:hAnsi="宋体"/>
          <w:color w:val="000000" w:themeColor="text1"/>
          <w:szCs w:val="21"/>
        </w:rPr>
      </w:pPr>
      <w:r>
        <w:rPr>
          <w:rFonts w:ascii="宋体" w:hAnsi="宋体" w:hint="eastAsia"/>
          <w:color w:val="000000" w:themeColor="text1"/>
          <w:szCs w:val="21"/>
        </w:rPr>
        <w:t>其他说明</w:t>
      </w:r>
    </w:p>
    <w:sdt>
      <w:sdtPr>
        <w:rPr>
          <w:color w:val="000000" w:themeColor="text1"/>
        </w:rPr>
        <w:alias w:val="是否适用：分部信息的其他说明[双击切换]"/>
        <w:tag w:val="_GBC_d4186588d0fd49e5b2642a9422c2353f"/>
        <w:id w:val="-116192840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0"/>
        </w:numPr>
        <w:rPr>
          <w:rFonts w:ascii="宋体" w:hAnsi="宋体"/>
          <w:color w:val="000000" w:themeColor="text1"/>
        </w:rPr>
      </w:pPr>
      <w:bookmarkStart w:id="406" w:name="_Toc241636520"/>
      <w:bookmarkEnd w:id="406"/>
      <w:r>
        <w:rPr>
          <w:rFonts w:ascii="宋体" w:hAnsi="宋体" w:hint="eastAsia"/>
          <w:color w:val="000000" w:themeColor="text1"/>
        </w:rPr>
        <w:t>其他对投资者决策有影响的重要交易和事项</w:t>
      </w:r>
    </w:p>
    <w:sdt>
      <w:sdtPr>
        <w:rPr>
          <w:color w:val="000000" w:themeColor="text1"/>
        </w:rPr>
        <w:alias w:val="是否适用：其他对投资者决策有影响的重要交易和事项[双击切换]"/>
        <w:tag w:val="_GBC_6bb0ea1e73f644b99b2bccc9d2ea19e9"/>
        <w:id w:val="165140785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0"/>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其他重要事项的说明[双击切换]"/>
        <w:tag w:val="_GBC_518cb9b615c44ff597f57c3bba95c7fa"/>
        <w:id w:val="-34462911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t>母公司财务报表主要项目注释</w:t>
      </w:r>
    </w:p>
    <w:p w:rsidR="00597370" w:rsidRDefault="003C2EEE">
      <w:pPr>
        <w:pStyle w:val="Style109"/>
        <w:numPr>
          <w:ilvl w:val="0"/>
          <w:numId w:val="114"/>
        </w:numPr>
        <w:rPr>
          <w:rFonts w:ascii="宋体" w:hAnsi="宋体"/>
          <w:color w:val="000000" w:themeColor="text1"/>
          <w:szCs w:val="21"/>
        </w:rPr>
      </w:pPr>
      <w:r>
        <w:rPr>
          <w:rFonts w:ascii="宋体" w:hAnsi="宋体" w:hint="eastAsia"/>
          <w:color w:val="000000" w:themeColor="text1"/>
          <w:szCs w:val="21"/>
        </w:rPr>
        <w:t>应收账款</w:t>
      </w:r>
    </w:p>
    <w:p w:rsidR="00597370" w:rsidRDefault="003C2EEE">
      <w:pPr>
        <w:pStyle w:val="Style110"/>
        <w:numPr>
          <w:ilvl w:val="3"/>
          <w:numId w:val="115"/>
        </w:numPr>
        <w:ind w:left="426" w:hangingChars="202" w:hanging="426"/>
        <w:rPr>
          <w:color w:val="000000" w:themeColor="text1"/>
        </w:rPr>
      </w:pPr>
      <w:bookmarkStart w:id="407" w:name="_Hlk533796665"/>
      <w:bookmarkStart w:id="408" w:name="_Hlk167980323"/>
      <w:proofErr w:type="gramStart"/>
      <w:r>
        <w:rPr>
          <w:rFonts w:hint="eastAsia"/>
          <w:color w:val="000000" w:themeColor="text1"/>
        </w:rPr>
        <w:t>按账龄</w:t>
      </w:r>
      <w:proofErr w:type="gramEnd"/>
      <w:r>
        <w:rPr>
          <w:rFonts w:hint="eastAsia"/>
          <w:color w:val="000000" w:themeColor="text1"/>
        </w:rPr>
        <w:t>披露</w:t>
      </w:r>
    </w:p>
    <w:sdt>
      <w:sdtPr>
        <w:rPr>
          <w:color w:val="000000" w:themeColor="text1"/>
        </w:rPr>
        <w:alias w:val="是否适用：母公司应收账款按账龄披露[双击切换]"/>
        <w:tag w:val="_GBC_801584c2698f4c75b9eab05c08a26afd"/>
        <w:id w:val="163490819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6387276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应收账款按账龄披露"/>
          <w:tag w:val="_GBC_777a884d0a3b4955b2e9309a1049a937"/>
          <w:id w:val="-5477610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2975"/>
        <w:gridCol w:w="2975"/>
      </w:tblGrid>
      <w:tr w:rsidR="00597370">
        <w:trPr>
          <w:cantSplit/>
        </w:trPr>
        <w:sdt>
          <w:sdtPr>
            <w:rPr>
              <w:color w:val="000000" w:themeColor="text1"/>
            </w:rPr>
            <w:tag w:val="_PLD_cce686fc6c1f4a00a0687060595ff873"/>
            <w:id w:val="-744574432"/>
          </w:sdtPr>
          <w:sdtEndPr/>
          <w:sdtContent>
            <w:tc>
              <w:tcPr>
                <w:tcW w:w="1628"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账龄</w:t>
                </w:r>
              </w:p>
            </w:tc>
          </w:sdtContent>
        </w:sdt>
        <w:sdt>
          <w:sdtPr>
            <w:rPr>
              <w:color w:val="000000" w:themeColor="text1"/>
            </w:rPr>
            <w:tag w:val="_PLD_9fa8767136b3432ba1d3bea327b3af33"/>
            <w:id w:val="-645050491"/>
          </w:sdtPr>
          <w:sdtEndPr/>
          <w:sdtContent>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期末账面余额</w:t>
                </w:r>
              </w:p>
            </w:tc>
          </w:sdtContent>
        </w:sdt>
        <w:sdt>
          <w:sdtPr>
            <w:rPr>
              <w:rFonts w:hint="eastAsia"/>
              <w:color w:val="000000" w:themeColor="text1"/>
            </w:rPr>
            <w:tag w:val="_PLD_4053bba84d8a45f8a51648bc15113d5d"/>
            <w:id w:val="-364822786"/>
          </w:sdtPr>
          <w:sdtEndPr/>
          <w:sdtContent>
            <w:tc>
              <w:tcPr>
                <w:tcW w:w="1686" w:type="pct"/>
                <w:tcBorders>
                  <w:top w:val="single" w:sz="4" w:space="0" w:color="auto"/>
                  <w:left w:val="single" w:sz="4" w:space="0" w:color="auto"/>
                  <w:bottom w:val="single" w:sz="4" w:space="0" w:color="auto"/>
                  <w:right w:val="single" w:sz="4" w:space="0" w:color="auto"/>
                </w:tcBorders>
              </w:tcPr>
              <w:p w:rsidR="00597370" w:rsidRDefault="003C2EEE">
                <w:pPr>
                  <w:jc w:val="center"/>
                  <w:rPr>
                    <w:color w:val="000000" w:themeColor="text1"/>
                  </w:rPr>
                </w:pPr>
                <w:r>
                  <w:rPr>
                    <w:rFonts w:hint="eastAsia"/>
                    <w:color w:val="000000" w:themeColor="text1"/>
                  </w:rPr>
                  <w:t>期初账面余额</w:t>
                </w:r>
              </w:p>
            </w:tc>
          </w:sdtContent>
        </w:sdt>
      </w:tr>
      <w:tr w:rsidR="00597370">
        <w:trPr>
          <w:cantSplit/>
        </w:trPr>
        <w:sdt>
          <w:sdtPr>
            <w:rPr>
              <w:color w:val="000000" w:themeColor="text1"/>
            </w:rPr>
            <w:tag w:val="_PLD_4114a0654a6a488abf020e15edd74380"/>
            <w:id w:val="-107123841"/>
          </w:sdtPr>
          <w:sdtEndPr/>
          <w:sdtContent>
            <w:tc>
              <w:tcPr>
                <w:tcW w:w="5000" w:type="pct"/>
                <w:gridSpan w:val="3"/>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proofErr w:type="gramStart"/>
                <w:r>
                  <w:rPr>
                    <w:rFonts w:hint="eastAsia"/>
                    <w:color w:val="000000" w:themeColor="text1"/>
                  </w:rPr>
                  <w:t>1年以内</w:t>
                </w:r>
                <w:proofErr w:type="gramEnd"/>
              </w:p>
            </w:tc>
          </w:sdtContent>
        </w:sdt>
      </w:tr>
      <w:tr w:rsidR="00597370">
        <w:trPr>
          <w:cantSplit/>
        </w:trPr>
        <w:sdt>
          <w:sdtPr>
            <w:rPr>
              <w:color w:val="000000" w:themeColor="text1"/>
            </w:rPr>
            <w:tag w:val="_PLD_5ad6691a38c74e09b4f2ffc472a1655b"/>
            <w:id w:val="1065451027"/>
          </w:sdtPr>
          <w:sdtEndPr/>
          <w:sdtContent>
            <w:tc>
              <w:tcPr>
                <w:tcW w:w="5000" w:type="pct"/>
                <w:gridSpan w:val="3"/>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其中：1年以内分项</w:t>
                </w:r>
              </w:p>
            </w:tc>
          </w:sdtContent>
        </w:sdt>
      </w:tr>
      <w:tr w:rsidR="00597370">
        <w:trPr>
          <w:cantSplit/>
        </w:trPr>
        <w:tc>
          <w:tcPr>
            <w:tcW w:w="1628" w:type="pct"/>
            <w:tcBorders>
              <w:top w:val="single" w:sz="4" w:space="0" w:color="auto"/>
              <w:left w:val="single" w:sz="4" w:space="0" w:color="auto"/>
              <w:bottom w:val="single" w:sz="4" w:space="0" w:color="auto"/>
              <w:right w:val="single" w:sz="4" w:space="0" w:color="auto"/>
            </w:tcBorders>
          </w:tcPr>
          <w:p w:rsidR="00597370" w:rsidRDefault="003C2EEE">
            <w:pPr>
              <w:pStyle w:val="Style106"/>
            </w:pPr>
            <w:r>
              <w:rPr>
                <w:rFonts w:hint="eastAsia"/>
              </w:rPr>
              <w:t>1年</w:t>
            </w:r>
            <w:r>
              <w:t>以内</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804,374,364.21</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767,226,828.89</w:t>
            </w:r>
          </w:p>
        </w:tc>
      </w:tr>
      <w:tr w:rsidR="00597370">
        <w:trPr>
          <w:cantSplit/>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1年以内小计</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804,374,364.21</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767,226,828.89</w:t>
            </w:r>
          </w:p>
        </w:tc>
      </w:tr>
      <w:tr w:rsidR="00597370">
        <w:trPr>
          <w:cantSplit/>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1至2年</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 xml:space="preserve">173,898,896.35 </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128,442,919.02</w:t>
            </w:r>
          </w:p>
        </w:tc>
      </w:tr>
      <w:tr w:rsidR="00597370">
        <w:trPr>
          <w:cantSplit/>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2至3年</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 xml:space="preserve">47,131,231.20 </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47,482,614.55</w:t>
            </w:r>
          </w:p>
        </w:tc>
      </w:tr>
      <w:tr w:rsidR="00597370">
        <w:trPr>
          <w:cantSplit/>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3年以上</w:t>
            </w:r>
          </w:p>
        </w:tc>
        <w:tc>
          <w:tcPr>
            <w:tcW w:w="1686"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686"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3至4年</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 xml:space="preserve">33,709,571.97 </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37,897,493.24</w:t>
            </w:r>
          </w:p>
        </w:tc>
      </w:tr>
      <w:tr w:rsidR="00597370">
        <w:trPr>
          <w:cantSplit/>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4至5年</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 xml:space="preserve">12,853,428.73 </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12,987,423.60</w:t>
            </w:r>
          </w:p>
        </w:tc>
      </w:tr>
      <w:tr w:rsidR="00597370">
        <w:trPr>
          <w:cantSplit/>
        </w:trPr>
        <w:tc>
          <w:tcPr>
            <w:tcW w:w="1628"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5年以上</w:t>
            </w:r>
          </w:p>
        </w:tc>
        <w:tc>
          <w:tcPr>
            <w:tcW w:w="16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 xml:space="preserve">20,918,949.19 </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19,573,907.16</w:t>
            </w:r>
          </w:p>
        </w:tc>
      </w:tr>
      <w:tr w:rsidR="00597370">
        <w:trPr>
          <w:cantSplit/>
        </w:trPr>
        <w:tc>
          <w:tcPr>
            <w:tcW w:w="1628"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合计</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1,092,886,441.64</w:t>
            </w:r>
          </w:p>
        </w:tc>
        <w:tc>
          <w:tcPr>
            <w:tcW w:w="1686" w:type="pct"/>
            <w:tcBorders>
              <w:top w:val="single" w:sz="4" w:space="0" w:color="auto"/>
              <w:left w:val="single" w:sz="4" w:space="0" w:color="auto"/>
              <w:bottom w:val="single" w:sz="4" w:space="0" w:color="auto"/>
              <w:right w:val="single" w:sz="4" w:space="0" w:color="auto"/>
            </w:tcBorders>
          </w:tcPr>
          <w:p w:rsidR="00597370" w:rsidRDefault="003C2EEE">
            <w:pPr>
              <w:jc w:val="right"/>
            </w:pPr>
            <w:r>
              <w:t>1,013,611,186.46</w:t>
            </w:r>
          </w:p>
        </w:tc>
      </w:tr>
    </w:tbl>
    <w:p w:rsidR="00597370" w:rsidRDefault="00597370">
      <w:pPr>
        <w:rPr>
          <w:color w:val="000000" w:themeColor="text1"/>
        </w:rPr>
      </w:pPr>
    </w:p>
    <w:p w:rsidR="00597370" w:rsidRDefault="003C2EEE">
      <w:pPr>
        <w:pStyle w:val="Style110"/>
        <w:numPr>
          <w:ilvl w:val="3"/>
          <w:numId w:val="115"/>
        </w:numPr>
        <w:ind w:left="426" w:hangingChars="202" w:hanging="426"/>
        <w:rPr>
          <w:color w:val="000000" w:themeColor="text1"/>
        </w:rPr>
      </w:pPr>
      <w:bookmarkStart w:id="409" w:name="_Hlk10540024"/>
      <w:bookmarkEnd w:id="407"/>
      <w:bookmarkEnd w:id="408"/>
      <w:r>
        <w:rPr>
          <w:rFonts w:hint="eastAsia"/>
          <w:color w:val="000000" w:themeColor="text1"/>
        </w:rPr>
        <w:t>按坏账计提方法分类披露</w:t>
      </w:r>
    </w:p>
    <w:sdt>
      <w:sdtPr>
        <w:rPr>
          <w:color w:val="000000" w:themeColor="text1"/>
        </w:rPr>
        <w:alias w:val="是否适用：母公司应收账款按坏账计提方法分类披露[双击切换]"/>
        <w:tag w:val="_GBC_bd7fb52eb7f647d5aa6c10677b261ee1"/>
        <w:id w:val="-32808854"/>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母公司应收账款按坏账计提方法分类披露"/>
          <w:tag w:val="_GBC_03786e76a9b246d5a93eac5a8936de3a"/>
          <w:id w:val="2719830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母公司应收账款按坏账计提方法分类披露"/>
          <w:tag w:val="_GBC_1360c31492654a38991cae4cf45e7b4a"/>
          <w:id w:val="6438624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04"/>
        <w:gridCol w:w="1225"/>
        <w:gridCol w:w="425"/>
        <w:gridCol w:w="1008"/>
        <w:gridCol w:w="425"/>
        <w:gridCol w:w="1225"/>
        <w:gridCol w:w="1225"/>
        <w:gridCol w:w="498"/>
        <w:gridCol w:w="1080"/>
        <w:gridCol w:w="425"/>
        <w:gridCol w:w="1083"/>
      </w:tblGrid>
      <w:tr w:rsidR="00597370">
        <w:trPr>
          <w:cantSplit/>
          <w:trHeight w:val="397"/>
          <w:jc w:val="center"/>
        </w:trPr>
        <w:sdt>
          <w:sdtPr>
            <w:rPr>
              <w:rFonts w:asciiTheme="minorEastAsia" w:eastAsiaTheme="minorEastAsia" w:hAnsiTheme="minorEastAsia"/>
              <w:color w:val="000000" w:themeColor="text1"/>
              <w:sz w:val="18"/>
              <w:szCs w:val="18"/>
            </w:rPr>
            <w:tag w:val="_PLD_2f021e03341f49af95f8857da6272a92"/>
            <w:id w:val="1999921831"/>
          </w:sdtPr>
          <w:sdtEndPr/>
          <w:sdtContent>
            <w:tc>
              <w:tcPr>
                <w:tcW w:w="116" w:type="pct"/>
                <w:vMerge w:val="restart"/>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类别</w:t>
                </w:r>
              </w:p>
            </w:tc>
          </w:sdtContent>
        </w:sdt>
        <w:sdt>
          <w:sdtPr>
            <w:rPr>
              <w:rFonts w:asciiTheme="minorEastAsia" w:eastAsiaTheme="minorEastAsia" w:hAnsiTheme="minorEastAsia"/>
              <w:color w:val="000000" w:themeColor="text1"/>
              <w:sz w:val="18"/>
              <w:szCs w:val="18"/>
            </w:rPr>
            <w:tag w:val="_PLD_468e18ccdf48449f8e43799e7c3f622e"/>
            <w:id w:val="-133105399"/>
          </w:sdtPr>
          <w:sdtEndPr/>
          <w:sdtContent>
            <w:tc>
              <w:tcPr>
                <w:tcW w:w="2441" w:type="pct"/>
                <w:gridSpan w:val="5"/>
                <w:tcBorders>
                  <w:top w:val="single" w:sz="4" w:space="0" w:color="auto"/>
                  <w:left w:val="single" w:sz="4" w:space="0" w:color="auto"/>
                  <w:right w:val="single" w:sz="4" w:space="0" w:color="auto"/>
                </w:tcBorders>
                <w:vAlign w:val="center"/>
              </w:tcPr>
              <w:p w:rsidR="00597370" w:rsidRDefault="003C2EEE">
                <w:pPr>
                  <w:autoSpaceDE w:val="0"/>
                  <w:autoSpaceDN w:val="0"/>
                  <w:adjustRightInd w:val="0"/>
                  <w:snapToGrid w:val="0"/>
                  <w:spacing w:line="24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期末余额</w:t>
                </w:r>
              </w:p>
            </w:tc>
          </w:sdtContent>
        </w:sdt>
        <w:sdt>
          <w:sdtPr>
            <w:rPr>
              <w:rFonts w:asciiTheme="minorEastAsia" w:eastAsiaTheme="minorEastAsia" w:hAnsiTheme="minorEastAsia"/>
              <w:color w:val="000000" w:themeColor="text1"/>
              <w:sz w:val="18"/>
              <w:szCs w:val="18"/>
            </w:rPr>
            <w:tag w:val="_PLD_e387c0f70bd6484cafb1ada234d075bd"/>
            <w:id w:val="1333258472"/>
          </w:sdtPr>
          <w:sdtEndPr/>
          <w:sdtContent>
            <w:tc>
              <w:tcPr>
                <w:tcW w:w="2442" w:type="pct"/>
                <w:gridSpan w:val="5"/>
                <w:tcBorders>
                  <w:top w:val="single" w:sz="4" w:space="0" w:color="auto"/>
                  <w:left w:val="single" w:sz="4" w:space="0" w:color="auto"/>
                  <w:right w:val="single" w:sz="4" w:space="0" w:color="auto"/>
                </w:tcBorders>
                <w:vAlign w:val="center"/>
              </w:tcPr>
              <w:p w:rsidR="00597370" w:rsidRDefault="003C2EEE">
                <w:pPr>
                  <w:autoSpaceDE w:val="0"/>
                  <w:autoSpaceDN w:val="0"/>
                  <w:adjustRightInd w:val="0"/>
                  <w:snapToGrid w:val="0"/>
                  <w:spacing w:line="24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期初余额</w:t>
                </w:r>
              </w:p>
            </w:tc>
          </w:sdtContent>
        </w:sdt>
      </w:tr>
      <w:tr w:rsidR="00597370">
        <w:trPr>
          <w:cantSplit/>
          <w:trHeight w:val="397"/>
          <w:jc w:val="center"/>
        </w:trPr>
        <w:tc>
          <w:tcPr>
            <w:tcW w:w="116" w:type="pct"/>
            <w:vMerge/>
            <w:tcBorders>
              <w:left w:val="single" w:sz="4" w:space="0" w:color="auto"/>
              <w:right w:val="single" w:sz="4" w:space="0" w:color="auto"/>
            </w:tcBorders>
            <w:vAlign w:val="center"/>
          </w:tcPr>
          <w:p w:rsidR="00597370" w:rsidRDefault="00597370">
            <w:pPr>
              <w:rPr>
                <w:rFonts w:asciiTheme="minorEastAsia" w:eastAsiaTheme="minorEastAsia" w:hAnsiTheme="minorEastAsia"/>
                <w:color w:val="000000" w:themeColor="text1"/>
                <w:sz w:val="18"/>
                <w:szCs w:val="18"/>
              </w:rPr>
            </w:pPr>
          </w:p>
        </w:tc>
        <w:sdt>
          <w:sdtPr>
            <w:rPr>
              <w:rFonts w:asciiTheme="minorEastAsia" w:eastAsiaTheme="minorEastAsia" w:hAnsiTheme="minorEastAsia"/>
              <w:color w:val="000000" w:themeColor="text1"/>
              <w:sz w:val="18"/>
              <w:szCs w:val="18"/>
            </w:rPr>
            <w:tag w:val="_PLD_73365edbfe354cb683cc42de4c1c9f49"/>
            <w:id w:val="-2037733682"/>
          </w:sdtPr>
          <w:sdtEndPr/>
          <w:sdtContent>
            <w:tc>
              <w:tcPr>
                <w:tcW w:w="935"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账面余额</w:t>
                </w:r>
              </w:p>
            </w:tc>
          </w:sdtContent>
        </w:sdt>
        <w:sdt>
          <w:sdtPr>
            <w:rPr>
              <w:rFonts w:asciiTheme="minorEastAsia" w:eastAsiaTheme="minorEastAsia" w:hAnsiTheme="minorEastAsia"/>
              <w:color w:val="000000" w:themeColor="text1"/>
              <w:sz w:val="18"/>
              <w:szCs w:val="18"/>
            </w:rPr>
            <w:tag w:val="_PLD_11f34c9ee2d5429280d0d85b2c50756a"/>
            <w:id w:val="-1743710511"/>
          </w:sdtPr>
          <w:sdtEndPr/>
          <w:sdtContent>
            <w:tc>
              <w:tcPr>
                <w:tcW w:w="812"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坏账准备</w:t>
                </w:r>
              </w:p>
            </w:tc>
          </w:sdtContent>
        </w:sdt>
        <w:sdt>
          <w:sdtPr>
            <w:rPr>
              <w:rFonts w:asciiTheme="minorEastAsia" w:eastAsiaTheme="minorEastAsia" w:hAnsiTheme="minorEastAsia"/>
              <w:color w:val="000000" w:themeColor="text1"/>
              <w:sz w:val="18"/>
              <w:szCs w:val="18"/>
            </w:rPr>
            <w:tag w:val="_PLD_6ade046afd0c47c0aae9506cc9d47486"/>
            <w:id w:val="-1448235441"/>
          </w:sdtPr>
          <w:sdtEndPr/>
          <w:sdtContent>
            <w:tc>
              <w:tcPr>
                <w:tcW w:w="694" w:type="pct"/>
                <w:vMerge w:val="restart"/>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账面</w:t>
                </w:r>
              </w:p>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价值</w:t>
                </w:r>
              </w:p>
            </w:tc>
          </w:sdtContent>
        </w:sdt>
        <w:sdt>
          <w:sdtPr>
            <w:rPr>
              <w:rFonts w:asciiTheme="minorEastAsia" w:eastAsiaTheme="minorEastAsia" w:hAnsiTheme="minorEastAsia"/>
              <w:color w:val="000000" w:themeColor="text1"/>
              <w:sz w:val="18"/>
              <w:szCs w:val="18"/>
            </w:rPr>
            <w:tag w:val="_PLD_abd9bd4831b9473aabae7411a299a204"/>
            <w:id w:val="1646309512"/>
          </w:sdtPr>
          <w:sdtEndPr/>
          <w:sdtContent>
            <w:tc>
              <w:tcPr>
                <w:tcW w:w="976" w:type="pct"/>
                <w:gridSpan w:val="2"/>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账面余额</w:t>
                </w:r>
              </w:p>
            </w:tc>
          </w:sdtContent>
        </w:sdt>
        <w:sdt>
          <w:sdtPr>
            <w:rPr>
              <w:rFonts w:asciiTheme="minorEastAsia" w:eastAsiaTheme="minorEastAsia" w:hAnsiTheme="minorEastAsia"/>
              <w:color w:val="000000" w:themeColor="text1"/>
              <w:sz w:val="18"/>
              <w:szCs w:val="18"/>
            </w:rPr>
            <w:tag w:val="_PLD_76d8f3a48cba41949b5870f6cbb124af"/>
            <w:id w:val="-1517460466"/>
          </w:sdtPr>
          <w:sdtEndPr/>
          <w:sdtContent>
            <w:tc>
              <w:tcPr>
                <w:tcW w:w="853" w:type="pct"/>
                <w:gridSpan w:val="2"/>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坏账准备</w:t>
                </w:r>
              </w:p>
            </w:tc>
          </w:sdtContent>
        </w:sdt>
        <w:sdt>
          <w:sdtPr>
            <w:rPr>
              <w:rFonts w:asciiTheme="minorEastAsia" w:eastAsiaTheme="minorEastAsia" w:hAnsiTheme="minorEastAsia"/>
              <w:color w:val="000000" w:themeColor="text1"/>
              <w:sz w:val="18"/>
              <w:szCs w:val="18"/>
            </w:rPr>
            <w:tag w:val="_PLD_5062ab8e678b49c0bba488dc029ff27b"/>
            <w:id w:val="-850487145"/>
          </w:sdtPr>
          <w:sdtEndPr/>
          <w:sdtContent>
            <w:tc>
              <w:tcPr>
                <w:tcW w:w="613" w:type="pct"/>
                <w:vMerge w:val="restart"/>
                <w:tcBorders>
                  <w:top w:val="single" w:sz="4" w:space="0" w:color="auto"/>
                  <w:left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账面</w:t>
                </w:r>
              </w:p>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价值</w:t>
                </w:r>
              </w:p>
            </w:tc>
          </w:sdtContent>
        </w:sdt>
      </w:tr>
      <w:tr w:rsidR="00597370">
        <w:trPr>
          <w:cantSplit/>
          <w:trHeight w:val="397"/>
          <w:jc w:val="center"/>
        </w:trPr>
        <w:tc>
          <w:tcPr>
            <w:tcW w:w="116" w:type="pct"/>
            <w:vMerge/>
            <w:tcBorders>
              <w:left w:val="single" w:sz="4" w:space="0" w:color="auto"/>
              <w:bottom w:val="single" w:sz="4" w:space="0" w:color="auto"/>
              <w:right w:val="single" w:sz="4" w:space="0" w:color="auto"/>
            </w:tcBorders>
            <w:vAlign w:val="center"/>
          </w:tcPr>
          <w:p w:rsidR="00597370" w:rsidRDefault="00597370">
            <w:pPr>
              <w:rPr>
                <w:rFonts w:asciiTheme="minorEastAsia" w:eastAsiaTheme="minorEastAsia" w:hAnsiTheme="minorEastAsia"/>
                <w:color w:val="000000" w:themeColor="text1"/>
                <w:sz w:val="18"/>
                <w:szCs w:val="18"/>
              </w:rPr>
            </w:pPr>
          </w:p>
        </w:tc>
        <w:sdt>
          <w:sdtPr>
            <w:rPr>
              <w:rFonts w:asciiTheme="minorEastAsia" w:eastAsiaTheme="minorEastAsia" w:hAnsiTheme="minorEastAsia"/>
              <w:color w:val="000000" w:themeColor="text1"/>
              <w:sz w:val="18"/>
              <w:szCs w:val="18"/>
            </w:rPr>
            <w:tag w:val="_PLD_f6bdd572740240b5a7a2e643c29db5eb"/>
            <w:id w:val="1037931405"/>
          </w:sdtPr>
          <w:sdtEndPr/>
          <w:sdtContent>
            <w:tc>
              <w:tcPr>
                <w:tcW w:w="694"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金额</w:t>
                </w:r>
              </w:p>
            </w:tc>
          </w:sdtContent>
        </w:sdt>
        <w:sdt>
          <w:sdtPr>
            <w:rPr>
              <w:rFonts w:asciiTheme="minorEastAsia" w:eastAsiaTheme="minorEastAsia" w:hAnsiTheme="minorEastAsia"/>
              <w:color w:val="000000" w:themeColor="text1"/>
              <w:sz w:val="18"/>
              <w:szCs w:val="18"/>
            </w:rPr>
            <w:tag w:val="_PLD_0a09779b6e354e32b6df9b1e891e1509"/>
            <w:id w:val="-312412300"/>
          </w:sdtPr>
          <w:sdtEndPr/>
          <w:sdtContent>
            <w:tc>
              <w:tcPr>
                <w:tcW w:w="241"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比例</w:t>
                </w:r>
                <w:r>
                  <w:rPr>
                    <w:rFonts w:asciiTheme="minorEastAsia" w:eastAsiaTheme="minorEastAsia" w:hAnsiTheme="minorEastAsia"/>
                    <w:color w:val="000000" w:themeColor="text1"/>
                    <w:sz w:val="18"/>
                    <w:szCs w:val="18"/>
                  </w:rPr>
                  <w:t>(%)</w:t>
                </w:r>
              </w:p>
            </w:tc>
          </w:sdtContent>
        </w:sdt>
        <w:sdt>
          <w:sdtPr>
            <w:rPr>
              <w:rFonts w:asciiTheme="minorEastAsia" w:eastAsiaTheme="minorEastAsia" w:hAnsiTheme="minorEastAsia"/>
              <w:color w:val="000000" w:themeColor="text1"/>
              <w:sz w:val="18"/>
              <w:szCs w:val="18"/>
            </w:rPr>
            <w:tag w:val="_PLD_dd9c9061f11b453c8775ca1a11382d92"/>
            <w:id w:val="-1781023651"/>
          </w:sdtPr>
          <w:sdtEndPr/>
          <w:sdtContent>
            <w:tc>
              <w:tcPr>
                <w:tcW w:w="571"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金额</w:t>
                </w:r>
              </w:p>
            </w:tc>
          </w:sdtContent>
        </w:sdt>
        <w:sdt>
          <w:sdtPr>
            <w:rPr>
              <w:rFonts w:asciiTheme="minorEastAsia" w:eastAsiaTheme="minorEastAsia" w:hAnsiTheme="minorEastAsia"/>
              <w:color w:val="000000" w:themeColor="text1"/>
              <w:sz w:val="18"/>
              <w:szCs w:val="18"/>
            </w:rPr>
            <w:tag w:val="_PLD_988b69362ac14c0e94c26191e76b1e3a"/>
            <w:id w:val="-1611663881"/>
          </w:sdtPr>
          <w:sdtEndPr/>
          <w:sdtContent>
            <w:tc>
              <w:tcPr>
                <w:tcW w:w="241"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计提比例</w:t>
                </w:r>
                <w:r>
                  <w:rPr>
                    <w:rFonts w:asciiTheme="minorEastAsia" w:eastAsiaTheme="minorEastAsia" w:hAnsiTheme="minorEastAsia"/>
                    <w:color w:val="000000" w:themeColor="text1"/>
                    <w:sz w:val="18"/>
                    <w:szCs w:val="18"/>
                  </w:rPr>
                  <w:t>(%)</w:t>
                </w:r>
              </w:p>
            </w:tc>
          </w:sdtContent>
        </w:sdt>
        <w:tc>
          <w:tcPr>
            <w:tcW w:w="694" w:type="pct"/>
            <w:vMerge/>
            <w:tcBorders>
              <w:left w:val="single" w:sz="4" w:space="0" w:color="auto"/>
              <w:bottom w:val="single" w:sz="4" w:space="0" w:color="auto"/>
              <w:right w:val="single" w:sz="4" w:space="0" w:color="auto"/>
            </w:tcBorders>
            <w:vAlign w:val="center"/>
          </w:tcPr>
          <w:p w:rsidR="00597370" w:rsidRDefault="00597370">
            <w:pPr>
              <w:jc w:val="center"/>
              <w:rPr>
                <w:rFonts w:asciiTheme="minorEastAsia" w:eastAsiaTheme="minorEastAsia" w:hAnsiTheme="minorEastAsia"/>
                <w:color w:val="000000" w:themeColor="text1"/>
                <w:sz w:val="18"/>
                <w:szCs w:val="18"/>
              </w:rPr>
            </w:pPr>
          </w:p>
        </w:tc>
        <w:sdt>
          <w:sdtPr>
            <w:rPr>
              <w:rFonts w:asciiTheme="minorEastAsia" w:eastAsiaTheme="minorEastAsia" w:hAnsiTheme="minorEastAsia"/>
              <w:color w:val="000000" w:themeColor="text1"/>
              <w:sz w:val="18"/>
              <w:szCs w:val="18"/>
            </w:rPr>
            <w:tag w:val="_PLD_a5c1af5c86d545b993971c3da029159d"/>
            <w:id w:val="1605845055"/>
          </w:sdtPr>
          <w:sdtEndPr/>
          <w:sdtContent>
            <w:tc>
              <w:tcPr>
                <w:tcW w:w="694"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金额</w:t>
                </w:r>
              </w:p>
            </w:tc>
          </w:sdtContent>
        </w:sdt>
        <w:sdt>
          <w:sdtPr>
            <w:rPr>
              <w:rFonts w:asciiTheme="minorEastAsia" w:eastAsiaTheme="minorEastAsia" w:hAnsiTheme="minorEastAsia"/>
              <w:color w:val="000000" w:themeColor="text1"/>
              <w:sz w:val="18"/>
              <w:szCs w:val="18"/>
            </w:rPr>
            <w:tag w:val="_PLD_fd80073c74724a799d0de2171d95f241"/>
            <w:id w:val="-143278027"/>
          </w:sdtPr>
          <w:sdtEndPr/>
          <w:sdtContent>
            <w:tc>
              <w:tcPr>
                <w:tcW w:w="282"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比例</w:t>
                </w:r>
                <w:r>
                  <w:rPr>
                    <w:rFonts w:asciiTheme="minorEastAsia" w:eastAsiaTheme="minorEastAsia" w:hAnsiTheme="minorEastAsia"/>
                    <w:color w:val="000000" w:themeColor="text1"/>
                    <w:sz w:val="18"/>
                    <w:szCs w:val="18"/>
                  </w:rPr>
                  <w:t>(%)</w:t>
                </w:r>
              </w:p>
            </w:tc>
          </w:sdtContent>
        </w:sdt>
        <w:sdt>
          <w:sdtPr>
            <w:rPr>
              <w:rFonts w:asciiTheme="minorEastAsia" w:eastAsiaTheme="minorEastAsia" w:hAnsiTheme="minorEastAsia"/>
              <w:color w:val="000000" w:themeColor="text1"/>
              <w:sz w:val="18"/>
              <w:szCs w:val="18"/>
            </w:rPr>
            <w:tag w:val="_PLD_917059b3ee7f4b52afe8c3fa58f3e369"/>
            <w:id w:val="553816766"/>
          </w:sdtPr>
          <w:sdtEndPr/>
          <w:sdtContent>
            <w:tc>
              <w:tcPr>
                <w:tcW w:w="612"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金额</w:t>
                </w:r>
              </w:p>
            </w:tc>
          </w:sdtContent>
        </w:sdt>
        <w:sdt>
          <w:sdtPr>
            <w:rPr>
              <w:rFonts w:asciiTheme="minorEastAsia" w:eastAsiaTheme="minorEastAsia" w:hAnsiTheme="minorEastAsia"/>
              <w:color w:val="000000" w:themeColor="text1"/>
              <w:sz w:val="18"/>
              <w:szCs w:val="18"/>
            </w:rPr>
            <w:tag w:val="_PLD_ea90ccc029834397956c79bbe869d343"/>
            <w:id w:val="-603573282"/>
          </w:sdtPr>
          <w:sdtEndPr/>
          <w:sdtContent>
            <w:tc>
              <w:tcPr>
                <w:tcW w:w="241" w:type="pct"/>
                <w:tcBorders>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计提比例</w:t>
                </w:r>
                <w:r>
                  <w:rPr>
                    <w:rFonts w:asciiTheme="minorEastAsia" w:eastAsiaTheme="minorEastAsia" w:hAnsiTheme="minorEastAsia"/>
                    <w:color w:val="000000" w:themeColor="text1"/>
                    <w:sz w:val="18"/>
                    <w:szCs w:val="18"/>
                  </w:rPr>
                  <w:t>(%)</w:t>
                </w:r>
              </w:p>
            </w:tc>
          </w:sdtContent>
        </w:sdt>
        <w:tc>
          <w:tcPr>
            <w:tcW w:w="613" w:type="pct"/>
            <w:vMerge/>
            <w:tcBorders>
              <w:left w:val="single" w:sz="4" w:space="0" w:color="auto"/>
              <w:bottom w:val="single" w:sz="4" w:space="0" w:color="auto"/>
              <w:right w:val="single" w:sz="4" w:space="0" w:color="auto"/>
            </w:tcBorders>
          </w:tcPr>
          <w:p w:rsidR="00597370" w:rsidRDefault="00597370">
            <w:pPr>
              <w:jc w:val="center"/>
              <w:rPr>
                <w:rFonts w:asciiTheme="minorEastAsia" w:eastAsiaTheme="minorEastAsia" w:hAnsiTheme="minorEastAsia"/>
                <w:color w:val="000000" w:themeColor="text1"/>
                <w:sz w:val="18"/>
                <w:szCs w:val="18"/>
              </w:rPr>
            </w:pPr>
          </w:p>
        </w:tc>
      </w:tr>
      <w:tr w:rsidR="00597370">
        <w:trPr>
          <w:cantSplit/>
          <w:trHeight w:val="397"/>
          <w:jc w:val="center"/>
        </w:trPr>
        <w:tc>
          <w:tcPr>
            <w:tcW w:w="116" w:type="pct"/>
            <w:tcBorders>
              <w:top w:val="single" w:sz="4" w:space="0" w:color="auto"/>
              <w:left w:val="single" w:sz="4" w:space="0" w:color="auto"/>
              <w:bottom w:val="single" w:sz="4" w:space="0" w:color="auto"/>
              <w:right w:val="single" w:sz="4" w:space="0" w:color="auto"/>
            </w:tcBorders>
          </w:tcPr>
          <w:p w:rsidR="00597370" w:rsidRDefault="003C2EEE">
            <w:pPr>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lastRenderedPageBreak/>
              <w:t>按单项计提坏账准备</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35,716,579.88 </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3.27 </w:t>
            </w:r>
          </w:p>
        </w:tc>
        <w:tc>
          <w:tcPr>
            <w:tcW w:w="57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27,015,375.76 </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75.64 </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8,701,204.12 </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35,292,679.88</w:t>
            </w:r>
          </w:p>
        </w:tc>
        <w:tc>
          <w:tcPr>
            <w:tcW w:w="2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3.48</w:t>
            </w:r>
          </w:p>
        </w:tc>
        <w:tc>
          <w:tcPr>
            <w:tcW w:w="61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26,430,652.88</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74.89</w:t>
            </w:r>
          </w:p>
        </w:tc>
        <w:tc>
          <w:tcPr>
            <w:tcW w:w="613"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8,862,027.00</w:t>
            </w:r>
          </w:p>
        </w:tc>
      </w:tr>
      <w:tr w:rsidR="00597370">
        <w:trPr>
          <w:cantSplit/>
          <w:trHeight w:val="397"/>
          <w:jc w:val="center"/>
        </w:trPr>
        <w:sdt>
          <w:sdtPr>
            <w:rPr>
              <w:rFonts w:asciiTheme="minorEastAsia" w:eastAsiaTheme="minorEastAsia" w:hAnsiTheme="minorEastAsia"/>
              <w:color w:val="000000" w:themeColor="text1"/>
              <w:sz w:val="18"/>
              <w:szCs w:val="18"/>
            </w:rPr>
            <w:tag w:val="_PLD_8ec8b92b0ab24a78ae82ff991696133e"/>
            <w:id w:val="172687294"/>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597370" w:rsidRDefault="003C2EEE">
                <w:pP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其中：</w:t>
                </w:r>
              </w:p>
            </w:tc>
          </w:sdtContent>
        </w:sdt>
      </w:tr>
      <w:tr w:rsidR="00597370">
        <w:trPr>
          <w:cantSplit/>
          <w:trHeight w:val="397"/>
          <w:jc w:val="center"/>
        </w:trPr>
        <w:sdt>
          <w:sdtPr>
            <w:rPr>
              <w:rFonts w:asciiTheme="minorEastAsia" w:eastAsiaTheme="minorEastAsia" w:hAnsiTheme="minorEastAsia"/>
              <w:color w:val="000000" w:themeColor="text1"/>
              <w:sz w:val="18"/>
              <w:szCs w:val="18"/>
            </w:rPr>
            <w:alias w:val="按单项计提坏账准备的应收账款明细-类别"/>
            <w:tag w:val="_GBC_d2aff18c0a9246d69b8b1f262666166e"/>
            <w:id w:val="-1986613859"/>
            <w:showingPlcHdr/>
          </w:sdtPr>
          <w:sdtEndPr/>
          <w:sdtContent>
            <w:tc>
              <w:tcPr>
                <w:tcW w:w="116" w:type="pct"/>
                <w:tcBorders>
                  <w:top w:val="single" w:sz="4" w:space="0" w:color="auto"/>
                  <w:left w:val="single" w:sz="4" w:space="0" w:color="auto"/>
                  <w:bottom w:val="single" w:sz="4" w:space="0" w:color="auto"/>
                  <w:right w:val="single" w:sz="4" w:space="0" w:color="auto"/>
                </w:tcBorders>
              </w:tcPr>
              <w:p w:rsidR="00597370" w:rsidRDefault="003C2EEE">
                <w:pPr>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w:t>
                </w:r>
              </w:p>
            </w:tc>
          </w:sdtContent>
        </w:sdt>
        <w:tc>
          <w:tcPr>
            <w:tcW w:w="694"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571"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694"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694"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282"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612"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c>
          <w:tcPr>
            <w:tcW w:w="613"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sz w:val="18"/>
                <w:szCs w:val="18"/>
              </w:rPr>
            </w:pPr>
          </w:p>
        </w:tc>
      </w:tr>
      <w:tr w:rsidR="00597370">
        <w:trPr>
          <w:cantSplit/>
          <w:trHeight w:val="397"/>
          <w:jc w:val="center"/>
        </w:trPr>
        <w:tc>
          <w:tcPr>
            <w:tcW w:w="116" w:type="pct"/>
            <w:tcBorders>
              <w:top w:val="single" w:sz="4" w:space="0" w:color="auto"/>
              <w:left w:val="single" w:sz="4" w:space="0" w:color="auto"/>
              <w:bottom w:val="single" w:sz="4" w:space="0" w:color="auto"/>
              <w:right w:val="single" w:sz="4" w:space="0" w:color="auto"/>
            </w:tcBorders>
            <w:vAlign w:val="center"/>
          </w:tcPr>
          <w:p w:rsidR="00597370" w:rsidRDefault="003C2EEE">
            <w:pPr>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按组合计提坏账准备</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1,057,169,861.76 </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96.73 </w:t>
            </w:r>
          </w:p>
        </w:tc>
        <w:tc>
          <w:tcPr>
            <w:tcW w:w="57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83,328,260.39 </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7.88 </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olor w:val="000000"/>
                <w:sz w:val="18"/>
                <w:szCs w:val="18"/>
              </w:rPr>
              <w:t>973,841,601.37</w:t>
            </w:r>
            <w:r>
              <w:rPr>
                <w:rFonts w:asciiTheme="minorEastAsia" w:eastAsiaTheme="minorEastAsia" w:hAnsiTheme="minorEastAsia" w:hint="eastAsia"/>
                <w:color w:val="000000"/>
                <w:sz w:val="18"/>
                <w:szCs w:val="18"/>
              </w:rPr>
              <w:t xml:space="preserve"> </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978,318,506.58</w:t>
            </w:r>
          </w:p>
        </w:tc>
        <w:tc>
          <w:tcPr>
            <w:tcW w:w="2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96.52</w:t>
            </w:r>
          </w:p>
        </w:tc>
        <w:tc>
          <w:tcPr>
            <w:tcW w:w="61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80,304,988.69</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8.21</w:t>
            </w:r>
          </w:p>
        </w:tc>
        <w:tc>
          <w:tcPr>
            <w:tcW w:w="613"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898,013,517.90</w:t>
            </w:r>
          </w:p>
        </w:tc>
      </w:tr>
      <w:tr w:rsidR="00597370">
        <w:trPr>
          <w:cantSplit/>
          <w:trHeight w:val="397"/>
          <w:jc w:val="center"/>
        </w:trPr>
        <w:sdt>
          <w:sdtPr>
            <w:rPr>
              <w:rFonts w:asciiTheme="minorEastAsia" w:eastAsiaTheme="minorEastAsia" w:hAnsiTheme="minorEastAsia"/>
              <w:color w:val="000000" w:themeColor="text1"/>
              <w:sz w:val="18"/>
              <w:szCs w:val="18"/>
            </w:rPr>
            <w:tag w:val="_PLD_bd68cdc38a0e426ea1ec99be844140b3"/>
            <w:id w:val="-795132508"/>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597370" w:rsidRDefault="003C2EEE">
                <w:pP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其中：</w:t>
                </w:r>
              </w:p>
            </w:tc>
          </w:sdtContent>
        </w:sdt>
      </w:tr>
      <w:tr w:rsidR="00597370">
        <w:trPr>
          <w:cantSplit/>
          <w:trHeight w:val="397"/>
          <w:jc w:val="center"/>
        </w:trPr>
        <w:sdt>
          <w:sdtPr>
            <w:rPr>
              <w:rFonts w:asciiTheme="minorEastAsia" w:eastAsiaTheme="minorEastAsia" w:hAnsiTheme="minorEastAsia"/>
              <w:color w:val="000000" w:themeColor="text1"/>
              <w:sz w:val="18"/>
              <w:szCs w:val="18"/>
            </w:rPr>
            <w:alias w:val="按组合计提坏账准备的应收账款明细-组合名称"/>
            <w:tag w:val="_GBC_1d1150cff5254d829cba03da56c2e941"/>
            <w:id w:val="113175146"/>
          </w:sdtPr>
          <w:sdtEndPr/>
          <w:sdtContent>
            <w:tc>
              <w:tcPr>
                <w:tcW w:w="116" w:type="pct"/>
                <w:tcBorders>
                  <w:top w:val="single" w:sz="4" w:space="0" w:color="auto"/>
                  <w:left w:val="single" w:sz="4" w:space="0" w:color="auto"/>
                  <w:bottom w:val="single" w:sz="4" w:space="0" w:color="auto"/>
                  <w:right w:val="single" w:sz="4" w:space="0" w:color="auto"/>
                </w:tcBorders>
              </w:tcPr>
              <w:p w:rsidR="00597370" w:rsidRDefault="003C2EEE">
                <w:pPr>
                  <w:jc w:val="both"/>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组合账龄</w:t>
                </w:r>
              </w:p>
            </w:tc>
          </w:sdtContent>
        </w:sdt>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1,057,169,861.76 </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96.73 </w:t>
            </w:r>
          </w:p>
        </w:tc>
        <w:tc>
          <w:tcPr>
            <w:tcW w:w="57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83,328,260.39 </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7.88 </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olor w:val="000000"/>
                <w:sz w:val="18"/>
                <w:szCs w:val="18"/>
              </w:rPr>
              <w:t>973,841,601.37</w:t>
            </w:r>
            <w:r>
              <w:rPr>
                <w:rFonts w:asciiTheme="minorEastAsia" w:eastAsiaTheme="minorEastAsia" w:hAnsiTheme="minorEastAsia" w:hint="eastAsia"/>
                <w:color w:val="000000"/>
                <w:sz w:val="18"/>
                <w:szCs w:val="18"/>
              </w:rPr>
              <w:t xml:space="preserve"> </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978,318,506.58</w:t>
            </w:r>
          </w:p>
        </w:tc>
        <w:tc>
          <w:tcPr>
            <w:tcW w:w="28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96.52</w:t>
            </w:r>
          </w:p>
        </w:tc>
        <w:tc>
          <w:tcPr>
            <w:tcW w:w="61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80,304,988.69</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8.21</w:t>
            </w:r>
          </w:p>
        </w:tc>
        <w:tc>
          <w:tcPr>
            <w:tcW w:w="613" w:type="pct"/>
            <w:tcBorders>
              <w:top w:val="single" w:sz="4" w:space="0" w:color="auto"/>
              <w:left w:val="single" w:sz="4" w:space="0" w:color="auto"/>
              <w:bottom w:val="single" w:sz="4" w:space="0" w:color="auto"/>
              <w:right w:val="single" w:sz="4" w:space="0" w:color="auto"/>
            </w:tcBorders>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898,013,517.90</w:t>
            </w:r>
          </w:p>
        </w:tc>
      </w:tr>
      <w:tr w:rsidR="00597370">
        <w:trPr>
          <w:cantSplit/>
          <w:trHeight w:val="397"/>
          <w:jc w:val="center"/>
        </w:trPr>
        <w:tc>
          <w:tcPr>
            <w:tcW w:w="116" w:type="pct"/>
            <w:tcBorders>
              <w:top w:val="single" w:sz="4" w:space="0" w:color="auto"/>
              <w:left w:val="single" w:sz="4" w:space="0" w:color="auto"/>
              <w:bottom w:val="single" w:sz="4" w:space="0" w:color="auto"/>
              <w:right w:val="single" w:sz="4" w:space="0" w:color="auto"/>
            </w:tcBorders>
            <w:vAlign w:val="center"/>
          </w:tcPr>
          <w:p w:rsidR="00597370" w:rsidRDefault="003C2EEE">
            <w:pPr>
              <w:autoSpaceDE w:val="0"/>
              <w:autoSpaceDN w:val="0"/>
              <w:adjustRightInd w:val="0"/>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合计</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1,092,886,441.64 </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sz w:val="18"/>
                <w:szCs w:val="18"/>
              </w:rPr>
              <w:t xml:space="preserve">100.00 </w:t>
            </w:r>
          </w:p>
        </w:tc>
        <w:tc>
          <w:tcPr>
            <w:tcW w:w="571"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 xml:space="preserve">110,343,636.15 </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sz w:val="18"/>
                <w:szCs w:val="18"/>
              </w:rPr>
              <w:t xml:space="preserve">10.10 </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olor w:val="000000"/>
                <w:sz w:val="18"/>
                <w:szCs w:val="18"/>
              </w:rPr>
              <w:t>982,542,805.49</w:t>
            </w:r>
            <w:r>
              <w:rPr>
                <w:rFonts w:asciiTheme="minorEastAsia" w:eastAsiaTheme="minorEastAsia" w:hAnsiTheme="minorEastAsia" w:hint="eastAsia"/>
                <w:color w:val="000000"/>
                <w:sz w:val="18"/>
                <w:szCs w:val="18"/>
              </w:rPr>
              <w:t xml:space="preserve"> </w:t>
            </w:r>
          </w:p>
        </w:tc>
        <w:tc>
          <w:tcPr>
            <w:tcW w:w="694"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1,013,611,186.46</w:t>
            </w:r>
          </w:p>
        </w:tc>
        <w:tc>
          <w:tcPr>
            <w:tcW w:w="282"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sz w:val="18"/>
                <w:szCs w:val="18"/>
              </w:rPr>
              <w:t>100.00</w:t>
            </w:r>
          </w:p>
        </w:tc>
        <w:tc>
          <w:tcPr>
            <w:tcW w:w="61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106,735,641.56</w:t>
            </w:r>
          </w:p>
        </w:tc>
        <w:tc>
          <w:tcPr>
            <w:tcW w:w="241"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sz w:val="18"/>
                <w:szCs w:val="18"/>
              </w:rPr>
              <w:t>10.53</w:t>
            </w:r>
          </w:p>
        </w:tc>
        <w:tc>
          <w:tcPr>
            <w:tcW w:w="613"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sz w:val="18"/>
                <w:szCs w:val="18"/>
              </w:rPr>
              <w:t>906,875,544.90</w:t>
            </w:r>
          </w:p>
        </w:tc>
      </w:tr>
    </w:tbl>
    <w:p w:rsidR="00597370" w:rsidRDefault="00597370">
      <w:pPr>
        <w:rPr>
          <w:color w:val="000000" w:themeColor="text1"/>
        </w:rPr>
      </w:pPr>
    </w:p>
    <w:p w:rsidR="00597370" w:rsidRDefault="003C2EEE">
      <w:pPr>
        <w:rPr>
          <w:color w:val="000000" w:themeColor="text1"/>
        </w:rPr>
      </w:pPr>
      <w:bookmarkStart w:id="410" w:name="_Hlk10540045"/>
      <w:bookmarkStart w:id="411" w:name="_Hlk10540056"/>
      <w:bookmarkEnd w:id="409"/>
      <w:r>
        <w:rPr>
          <w:rFonts w:hint="eastAsia"/>
          <w:color w:val="000000" w:themeColor="text1"/>
        </w:rPr>
        <w:t>按单项计提坏账准备：</w:t>
      </w:r>
      <w:bookmarkEnd w:id="410"/>
    </w:p>
    <w:sdt>
      <w:sdtPr>
        <w:rPr>
          <w:color w:val="000000" w:themeColor="text1"/>
        </w:rPr>
        <w:alias w:val="是否适用：母公司应收账款按单项计提坏账准备[双击切换]"/>
        <w:tag w:val="_GBC_6aa7698e624f4481b0cf894058a63961"/>
        <w:id w:val="119673479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母公司应收账款按单项计提坏账准备"/>
          <w:tag w:val="_GBC_78b604bf7ffb4c31ab3ee677554e3137"/>
          <w:id w:val="17087518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应收账款按单项计提坏账准备"/>
          <w:tag w:val="_GBC_4b1174efa36f426fad7996f19b12a196"/>
          <w:id w:val="10056357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657"/>
        <w:gridCol w:w="1659"/>
        <w:gridCol w:w="1657"/>
        <w:gridCol w:w="1803"/>
      </w:tblGrid>
      <w:tr w:rsidR="00597370">
        <w:sdt>
          <w:sdtPr>
            <w:rPr>
              <w:rFonts w:asciiTheme="minorEastAsia" w:eastAsiaTheme="minorEastAsia" w:hAnsiTheme="minorEastAsia"/>
              <w:color w:val="000000" w:themeColor="text1"/>
            </w:rPr>
            <w:tag w:val="_PLD_c9f375faf7b545a188ebedb1a01654f0"/>
            <w:id w:val="730741662"/>
          </w:sdtPr>
          <w:sdtEndPr/>
          <w:sdtContent>
            <w:tc>
              <w:tcPr>
                <w:tcW w:w="1160" w:type="pct"/>
                <w:vMerge w:val="restar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名称</w:t>
                </w:r>
              </w:p>
            </w:tc>
          </w:sdtContent>
        </w:sdt>
        <w:sdt>
          <w:sdtPr>
            <w:rPr>
              <w:rFonts w:asciiTheme="minorEastAsia" w:eastAsiaTheme="minorEastAsia" w:hAnsiTheme="minorEastAsia"/>
              <w:color w:val="000000" w:themeColor="text1"/>
            </w:rPr>
            <w:tag w:val="_PLD_c86d7b0ec7994bbf9c32d3c6e0d2adda"/>
            <w:id w:val="1608616810"/>
          </w:sdtPr>
          <w:sdtEndPr/>
          <w:sdtContent>
            <w:tc>
              <w:tcPr>
                <w:tcW w:w="3840" w:type="pct"/>
                <w:gridSpan w:val="4"/>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期末余额</w:t>
                </w:r>
              </w:p>
            </w:tc>
          </w:sdtContent>
        </w:sdt>
      </w:tr>
      <w:tr w:rsidR="00597370">
        <w:tc>
          <w:tcPr>
            <w:tcW w:w="1160" w:type="pct"/>
            <w:vMerge/>
          </w:tcPr>
          <w:p w:rsidR="00597370" w:rsidRDefault="00597370">
            <w:pPr>
              <w:jc w:val="center"/>
              <w:rPr>
                <w:rFonts w:asciiTheme="minorEastAsia" w:eastAsiaTheme="minorEastAsia" w:hAnsiTheme="minorEastAsia"/>
                <w:color w:val="000000" w:themeColor="text1"/>
              </w:rPr>
            </w:pPr>
          </w:p>
        </w:tc>
        <w:sdt>
          <w:sdtPr>
            <w:rPr>
              <w:rFonts w:asciiTheme="minorEastAsia" w:eastAsiaTheme="minorEastAsia" w:hAnsiTheme="minorEastAsia"/>
              <w:color w:val="000000" w:themeColor="text1"/>
            </w:rPr>
            <w:tag w:val="_PLD_7bbf6380a8804f6c8a717a338f6be3fd"/>
            <w:id w:val="-949468623"/>
          </w:sdtPr>
          <w:sdtEndPr/>
          <w:sdtContent>
            <w:tc>
              <w:tcPr>
                <w:tcW w:w="939"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账面余额</w:t>
                </w:r>
              </w:p>
            </w:tc>
          </w:sdtContent>
        </w:sdt>
        <w:sdt>
          <w:sdtPr>
            <w:rPr>
              <w:rFonts w:asciiTheme="minorEastAsia" w:eastAsiaTheme="minorEastAsia" w:hAnsiTheme="minorEastAsia"/>
              <w:color w:val="000000" w:themeColor="text1"/>
            </w:rPr>
            <w:tag w:val="_PLD_c15d611dc2404462bf82049172a2f8e5"/>
            <w:id w:val="-1211486584"/>
          </w:sdtPr>
          <w:sdtEndPr/>
          <w:sdtContent>
            <w:tc>
              <w:tcPr>
                <w:tcW w:w="940"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坏账准备</w:t>
                </w:r>
              </w:p>
            </w:tc>
          </w:sdtContent>
        </w:sdt>
        <w:sdt>
          <w:sdtPr>
            <w:rPr>
              <w:rFonts w:asciiTheme="minorEastAsia" w:eastAsiaTheme="minorEastAsia" w:hAnsiTheme="minorEastAsia"/>
              <w:color w:val="000000" w:themeColor="text1"/>
            </w:rPr>
            <w:tag w:val="_PLD_54a8956eb15646cfa69cc0c723b11525"/>
            <w:id w:val="1607694141"/>
          </w:sdtPr>
          <w:sdtEndPr/>
          <w:sdtContent>
            <w:tc>
              <w:tcPr>
                <w:tcW w:w="939"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color w:val="000000" w:themeColor="text1"/>
                  </w:rPr>
                  <w:t>计提比例</w:t>
                </w:r>
                <w:r>
                  <w:rPr>
                    <w:rFonts w:asciiTheme="minorEastAsia" w:eastAsiaTheme="minorEastAsia" w:hAnsiTheme="minorEastAsia" w:hint="eastAsia"/>
                    <w:color w:val="000000" w:themeColor="text1"/>
                  </w:rPr>
                  <w:t>（%）</w:t>
                </w:r>
              </w:p>
            </w:tc>
          </w:sdtContent>
        </w:sdt>
        <w:sdt>
          <w:sdtPr>
            <w:rPr>
              <w:rFonts w:asciiTheme="minorEastAsia" w:eastAsiaTheme="minorEastAsia" w:hAnsiTheme="minorEastAsia"/>
              <w:color w:val="000000" w:themeColor="text1"/>
            </w:rPr>
            <w:tag w:val="_PLD_b9a45c0c48a240cba3863633ee15a99c"/>
            <w:id w:val="-1232763930"/>
          </w:sdtPr>
          <w:sdtEndPr/>
          <w:sdtContent>
            <w:tc>
              <w:tcPr>
                <w:tcW w:w="1022"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计提理由</w:t>
                </w:r>
              </w:p>
            </w:tc>
          </w:sdtContent>
        </w:sdt>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1</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4,978,410.00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4,978,410.00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100.00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2</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4,621,530.09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2,772,918.05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60.00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3</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4,200,000.00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4,200,000.00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100.00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4</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4,170,310.42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2,502,186.25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60.00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5</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1,993,200.00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1,195,920.00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60.00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6</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1,524,746.20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914,847.72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60.00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lastRenderedPageBreak/>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7</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1,437,350.00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1,437,350.00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100.00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8</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1,349,680.00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809,808.00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60.00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color w:val="000000"/>
              </w:rPr>
              <w:t>应收账款单项计</w:t>
            </w:r>
            <w:proofErr w:type="gramStart"/>
            <w:r>
              <w:rPr>
                <w:rFonts w:asciiTheme="minorEastAsia" w:eastAsiaTheme="minorEastAsia" w:hAnsiTheme="minorEastAsia" w:hint="eastAsia"/>
                <w:color w:val="000000"/>
              </w:rPr>
              <w:t>提单位</w:t>
            </w:r>
            <w:proofErr w:type="gramEnd"/>
            <w:r>
              <w:rPr>
                <w:rFonts w:asciiTheme="minorEastAsia" w:eastAsiaTheme="minorEastAsia" w:hAnsiTheme="minorEastAsia" w:hint="eastAsia"/>
                <w:color w:val="000000"/>
              </w:rPr>
              <w:t>9</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1,290,764.00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774,458.40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60.00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应收账款单项计</w:t>
            </w:r>
            <w:proofErr w:type="gramStart"/>
            <w:r>
              <w:rPr>
                <w:rFonts w:asciiTheme="minorEastAsia" w:eastAsiaTheme="minorEastAsia" w:hAnsiTheme="minorEastAsia" w:hint="eastAsia"/>
              </w:rPr>
              <w:t>提单位</w:t>
            </w:r>
            <w:proofErr w:type="gramEnd"/>
            <w:r>
              <w:rPr>
                <w:rFonts w:asciiTheme="minorEastAsia" w:eastAsiaTheme="minorEastAsia" w:hAnsiTheme="minorEastAsia"/>
              </w:rPr>
              <w:t>10</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1,190,933.00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714,559.80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60.00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其他低于</w:t>
            </w:r>
            <w:r>
              <w:rPr>
                <w:rFonts w:asciiTheme="minorEastAsia" w:eastAsiaTheme="minorEastAsia" w:hAnsiTheme="minorEastAsia"/>
              </w:rPr>
              <w:t>100万单项计提的单位</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8,959,656.17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6,714,917.54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74.95 </w:t>
            </w:r>
          </w:p>
        </w:tc>
        <w:tc>
          <w:tcPr>
            <w:tcW w:w="1022" w:type="pct"/>
          </w:tcPr>
          <w:p w:rsidR="00597370" w:rsidRDefault="003C2EEE">
            <w:pPr>
              <w:pStyle w:val="Style106"/>
              <w:rPr>
                <w:rFonts w:asciiTheme="minorEastAsia" w:eastAsiaTheme="minorEastAsia" w:hAnsiTheme="minorEastAsia"/>
              </w:rPr>
            </w:pPr>
            <w:r>
              <w:rPr>
                <w:rFonts w:asciiTheme="minorEastAsia" w:eastAsiaTheme="minorEastAsia" w:hAnsiTheme="minorEastAsia" w:hint="eastAsia"/>
              </w:rPr>
              <w:t>对方资金困难，预计款项无法收回</w:t>
            </w:r>
          </w:p>
        </w:tc>
      </w:tr>
      <w:tr w:rsidR="00597370">
        <w:tc>
          <w:tcPr>
            <w:tcW w:w="1160"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35,716,579.88 </w:t>
            </w:r>
          </w:p>
        </w:tc>
        <w:tc>
          <w:tcPr>
            <w:tcW w:w="940"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27,015,375.76 </w:t>
            </w:r>
          </w:p>
        </w:tc>
        <w:tc>
          <w:tcPr>
            <w:tcW w:w="939" w:type="pct"/>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hint="eastAsia"/>
                <w:color w:val="000000"/>
              </w:rPr>
              <w:t xml:space="preserve">75.64 </w:t>
            </w:r>
          </w:p>
        </w:tc>
        <w:tc>
          <w:tcPr>
            <w:tcW w:w="1022" w:type="pct"/>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p>
        </w:tc>
      </w:tr>
    </w:tbl>
    <w:p w:rsidR="00597370" w:rsidRDefault="003C2EEE">
      <w:pPr>
        <w:rPr>
          <w:color w:val="000000" w:themeColor="text1"/>
        </w:rPr>
      </w:pPr>
      <w:r>
        <w:rPr>
          <w:rFonts w:hint="eastAsia"/>
          <w:color w:val="000000" w:themeColor="text1"/>
        </w:rPr>
        <w:t>按单项计提坏账准备的说明：</w:t>
      </w:r>
    </w:p>
    <w:sdt>
      <w:sdtPr>
        <w:rPr>
          <w:color w:val="000000" w:themeColor="text1"/>
        </w:rPr>
        <w:alias w:val="是否适用：母公司应收账款按单项计提坏账准备的说明[双击切换]"/>
        <w:tag w:val="_GBC_4623c8695a494e53b6a615e5a9c7e0ea"/>
        <w:id w:val="173465503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412" w:name="_Hlk10540079"/>
      <w:bookmarkEnd w:id="411"/>
      <w:r>
        <w:rPr>
          <w:rFonts w:hint="eastAsia"/>
          <w:color w:val="000000" w:themeColor="text1"/>
        </w:rPr>
        <w:t>按组合计提坏账准备：</w:t>
      </w:r>
    </w:p>
    <w:sdt>
      <w:sdtPr>
        <w:rPr>
          <w:color w:val="000000" w:themeColor="text1"/>
        </w:rPr>
        <w:alias w:val="是否适用：母公司应收账款按组合计提坏账准备[双击切换]"/>
        <w:tag w:val="_GBC_bf96e631f2cf4f6a876dff49863ee9d3"/>
        <w:id w:val="772055074"/>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组合计提项目：</w:t>
      </w:r>
      <w:sdt>
        <w:sdtPr>
          <w:rPr>
            <w:rFonts w:hint="eastAsia"/>
            <w:color w:val="000000" w:themeColor="text1"/>
          </w:rPr>
          <w:alias w:val="按组合计提坏账准备的应收账款明细-组合名称"/>
          <w:tag w:val="_GBC_c2c49e08c13c49f5b854cd65f748bccc"/>
          <w:id w:val="-1628000752"/>
          <w:placeholder>
            <w:docPart w:val="GBC22222222222222222222222222222"/>
          </w:placeholder>
          <w:comboBox>
            <w:listItem w:displayText="组合账龄" w:value="组合账龄"/>
          </w:comboBox>
        </w:sdtPr>
        <w:sdtEndPr/>
        <w:sdtContent>
          <w:r>
            <w:rPr>
              <w:rFonts w:hint="eastAsia"/>
              <w:color w:val="000000" w:themeColor="text1"/>
            </w:rPr>
            <w:t>组合账龄</w:t>
          </w:r>
        </w:sdtContent>
      </w:sdt>
    </w:p>
    <w:p w:rsidR="00597370" w:rsidRDefault="003C2EEE">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母公司应收账款按组合计提坏账准备"/>
          <w:tag w:val="_GBC_eddb8416e4854df0b69f43851a8eba2b"/>
          <w:id w:val="-3229728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应收账款按组合计提坏账准备"/>
          <w:tag w:val="_GBC_326d8b8532c4476aa9c90eaa469806e2"/>
          <w:id w:val="5261432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252"/>
        <w:gridCol w:w="2292"/>
        <w:gridCol w:w="2236"/>
      </w:tblGrid>
      <w:tr w:rsidR="00597370">
        <w:sdt>
          <w:sdtPr>
            <w:rPr>
              <w:color w:val="000000" w:themeColor="text1"/>
            </w:rPr>
            <w:tag w:val="_PLD_017679ab9c8247c6b2e334fd90bf61e9"/>
            <w:id w:val="472721514"/>
          </w:sdtPr>
          <w:sdtEndPr/>
          <w:sdtContent>
            <w:tc>
              <w:tcPr>
                <w:tcW w:w="1158" w:type="pct"/>
                <w:vMerge w:val="restart"/>
                <w:vAlign w:val="center"/>
              </w:tcPr>
              <w:p w:rsidR="00597370" w:rsidRDefault="003C2EEE">
                <w:pPr>
                  <w:jc w:val="center"/>
                  <w:rPr>
                    <w:color w:val="000000" w:themeColor="text1"/>
                  </w:rPr>
                </w:pPr>
                <w:r>
                  <w:rPr>
                    <w:rFonts w:hint="eastAsia"/>
                    <w:color w:val="000000" w:themeColor="text1"/>
                  </w:rPr>
                  <w:t>名称</w:t>
                </w:r>
              </w:p>
            </w:tc>
          </w:sdtContent>
        </w:sdt>
        <w:sdt>
          <w:sdtPr>
            <w:rPr>
              <w:color w:val="000000" w:themeColor="text1"/>
            </w:rPr>
            <w:tag w:val="_PLD_5135cd56467d4853affa6d0ae484f326"/>
            <w:id w:val="-1377541347"/>
          </w:sdtPr>
          <w:sdtEndPr/>
          <w:sdtContent>
            <w:tc>
              <w:tcPr>
                <w:tcW w:w="3842" w:type="pct"/>
                <w:gridSpan w:val="3"/>
                <w:vAlign w:val="center"/>
              </w:tcPr>
              <w:p w:rsidR="00597370" w:rsidRDefault="003C2EEE">
                <w:pPr>
                  <w:jc w:val="center"/>
                  <w:rPr>
                    <w:color w:val="000000" w:themeColor="text1"/>
                  </w:rPr>
                </w:pPr>
                <w:r>
                  <w:rPr>
                    <w:rFonts w:hint="eastAsia"/>
                    <w:color w:val="000000" w:themeColor="text1"/>
                  </w:rPr>
                  <w:t>期末余额</w:t>
                </w:r>
              </w:p>
            </w:tc>
          </w:sdtContent>
        </w:sdt>
      </w:tr>
      <w:tr w:rsidR="00597370">
        <w:tc>
          <w:tcPr>
            <w:tcW w:w="1158" w:type="pct"/>
            <w:vMerge/>
          </w:tcPr>
          <w:p w:rsidR="00597370" w:rsidRDefault="00597370">
            <w:pPr>
              <w:jc w:val="center"/>
              <w:rPr>
                <w:color w:val="000000" w:themeColor="text1"/>
              </w:rPr>
            </w:pPr>
          </w:p>
        </w:tc>
        <w:sdt>
          <w:sdtPr>
            <w:rPr>
              <w:color w:val="000000" w:themeColor="text1"/>
            </w:rPr>
            <w:tag w:val="_PLD_6853d362c1364938aec50c34a4c1b2be"/>
            <w:id w:val="-1416691595"/>
          </w:sdtPr>
          <w:sdtEndPr/>
          <w:sdtContent>
            <w:tc>
              <w:tcPr>
                <w:tcW w:w="1276" w:type="pct"/>
                <w:vAlign w:val="center"/>
              </w:tcPr>
              <w:p w:rsidR="00597370" w:rsidRDefault="003C2EEE">
                <w:pPr>
                  <w:jc w:val="center"/>
                  <w:rPr>
                    <w:color w:val="000000" w:themeColor="text1"/>
                  </w:rPr>
                </w:pPr>
                <w:r>
                  <w:rPr>
                    <w:rFonts w:hint="eastAsia"/>
                    <w:color w:val="000000" w:themeColor="text1"/>
                  </w:rPr>
                  <w:t>应收账款</w:t>
                </w:r>
              </w:p>
            </w:tc>
          </w:sdtContent>
        </w:sdt>
        <w:sdt>
          <w:sdtPr>
            <w:rPr>
              <w:color w:val="000000" w:themeColor="text1"/>
            </w:rPr>
            <w:tag w:val="_PLD_497956cded5b48c4b4741462475810da"/>
            <w:id w:val="-453329304"/>
          </w:sdtPr>
          <w:sdtEndPr/>
          <w:sdtContent>
            <w:tc>
              <w:tcPr>
                <w:tcW w:w="1299" w:type="pct"/>
                <w:vAlign w:val="center"/>
              </w:tcPr>
              <w:p w:rsidR="00597370" w:rsidRDefault="003C2EEE">
                <w:pPr>
                  <w:jc w:val="center"/>
                  <w:rPr>
                    <w:color w:val="000000" w:themeColor="text1"/>
                  </w:rPr>
                </w:pPr>
                <w:r>
                  <w:rPr>
                    <w:rFonts w:hint="eastAsia"/>
                    <w:color w:val="000000" w:themeColor="text1"/>
                  </w:rPr>
                  <w:t>坏账准备</w:t>
                </w:r>
              </w:p>
            </w:tc>
          </w:sdtContent>
        </w:sdt>
        <w:sdt>
          <w:sdtPr>
            <w:rPr>
              <w:color w:val="000000" w:themeColor="text1"/>
            </w:rPr>
            <w:tag w:val="_PLD_abeb28def5684beab5ea48273044d861"/>
            <w:id w:val="-125394087"/>
          </w:sdtPr>
          <w:sdtEndPr/>
          <w:sdtContent>
            <w:tc>
              <w:tcPr>
                <w:tcW w:w="1267" w:type="pct"/>
                <w:vAlign w:val="center"/>
              </w:tcPr>
              <w:p w:rsidR="00597370" w:rsidRDefault="003C2EEE">
                <w:pPr>
                  <w:jc w:val="center"/>
                  <w:rPr>
                    <w:color w:val="000000" w:themeColor="text1"/>
                  </w:rPr>
                </w:pPr>
                <w:r>
                  <w:rPr>
                    <w:color w:val="000000" w:themeColor="text1"/>
                  </w:rPr>
                  <w:t>计提比例</w:t>
                </w:r>
                <w:r>
                  <w:rPr>
                    <w:rFonts w:hint="eastAsia"/>
                    <w:color w:val="000000" w:themeColor="text1"/>
                  </w:rPr>
                  <w:t>（%）</w:t>
                </w:r>
              </w:p>
            </w:tc>
          </w:sdtContent>
        </w:sdt>
      </w:tr>
      <w:tr w:rsidR="00597370">
        <w:tc>
          <w:tcPr>
            <w:tcW w:w="1158" w:type="pct"/>
            <w:vAlign w:val="center"/>
          </w:tcPr>
          <w:p w:rsidR="00597370" w:rsidRDefault="003C2EEE">
            <w:pPr>
              <w:pStyle w:val="Style106"/>
            </w:pPr>
            <w:r>
              <w:rPr>
                <w:rFonts w:hint="eastAsia"/>
                <w:color w:val="000000"/>
              </w:rPr>
              <w:t>1年以内</w:t>
            </w:r>
          </w:p>
        </w:tc>
        <w:tc>
          <w:tcPr>
            <w:tcW w:w="1276" w:type="pct"/>
            <w:vAlign w:val="center"/>
          </w:tcPr>
          <w:p w:rsidR="00597370" w:rsidRDefault="003C2EEE">
            <w:pPr>
              <w:jc w:val="right"/>
            </w:pPr>
            <w:r>
              <w:rPr>
                <w:color w:val="000000"/>
              </w:rPr>
              <w:t>802,721,746.21</w:t>
            </w:r>
          </w:p>
        </w:tc>
        <w:tc>
          <w:tcPr>
            <w:tcW w:w="1299" w:type="pct"/>
            <w:vAlign w:val="center"/>
          </w:tcPr>
          <w:p w:rsidR="00597370" w:rsidRDefault="003C2EEE">
            <w:pPr>
              <w:jc w:val="right"/>
            </w:pPr>
            <w:r>
              <w:rPr>
                <w:rFonts w:hint="eastAsia"/>
                <w:color w:val="000000"/>
              </w:rPr>
              <w:t xml:space="preserve">38,395,461.14 </w:t>
            </w:r>
          </w:p>
        </w:tc>
        <w:tc>
          <w:tcPr>
            <w:tcW w:w="1267" w:type="pct"/>
            <w:vAlign w:val="center"/>
          </w:tcPr>
          <w:p w:rsidR="00597370" w:rsidRDefault="003C2EEE">
            <w:pPr>
              <w:jc w:val="right"/>
            </w:pPr>
            <w:r>
              <w:rPr>
                <w:rFonts w:hint="eastAsia"/>
                <w:color w:val="000000"/>
              </w:rPr>
              <w:t xml:space="preserve">5.00 </w:t>
            </w:r>
          </w:p>
        </w:tc>
      </w:tr>
      <w:tr w:rsidR="00597370">
        <w:tc>
          <w:tcPr>
            <w:tcW w:w="1158" w:type="pct"/>
            <w:vAlign w:val="center"/>
          </w:tcPr>
          <w:p w:rsidR="00597370" w:rsidRDefault="003C2EEE">
            <w:pPr>
              <w:pStyle w:val="Style106"/>
            </w:pPr>
            <w:r>
              <w:rPr>
                <w:rFonts w:hint="eastAsia"/>
                <w:color w:val="000000"/>
              </w:rPr>
              <w:t>1－2年</w:t>
            </w:r>
          </w:p>
        </w:tc>
        <w:tc>
          <w:tcPr>
            <w:tcW w:w="1276" w:type="pct"/>
            <w:vAlign w:val="center"/>
          </w:tcPr>
          <w:p w:rsidR="00597370" w:rsidRDefault="003C2EEE">
            <w:pPr>
              <w:jc w:val="right"/>
            </w:pPr>
            <w:r>
              <w:rPr>
                <w:rFonts w:hint="eastAsia"/>
                <w:color w:val="000000"/>
              </w:rPr>
              <w:t xml:space="preserve">170,888,286.35 </w:t>
            </w:r>
          </w:p>
        </w:tc>
        <w:tc>
          <w:tcPr>
            <w:tcW w:w="1299" w:type="pct"/>
            <w:vAlign w:val="center"/>
          </w:tcPr>
          <w:p w:rsidR="00597370" w:rsidRDefault="003C2EEE">
            <w:pPr>
              <w:jc w:val="right"/>
            </w:pPr>
            <w:r>
              <w:rPr>
                <w:rFonts w:hint="eastAsia"/>
                <w:color w:val="000000"/>
              </w:rPr>
              <w:t xml:space="preserve">17,088,828.64 </w:t>
            </w:r>
          </w:p>
        </w:tc>
        <w:tc>
          <w:tcPr>
            <w:tcW w:w="1267" w:type="pct"/>
            <w:vAlign w:val="center"/>
          </w:tcPr>
          <w:p w:rsidR="00597370" w:rsidRDefault="003C2EEE">
            <w:pPr>
              <w:jc w:val="right"/>
            </w:pPr>
            <w:r>
              <w:rPr>
                <w:rFonts w:hint="eastAsia"/>
                <w:color w:val="000000"/>
              </w:rPr>
              <w:t xml:space="preserve">10.00 </w:t>
            </w:r>
          </w:p>
        </w:tc>
      </w:tr>
      <w:tr w:rsidR="00597370">
        <w:tc>
          <w:tcPr>
            <w:tcW w:w="1158" w:type="pct"/>
            <w:vAlign w:val="center"/>
          </w:tcPr>
          <w:p w:rsidR="00597370" w:rsidRDefault="003C2EEE">
            <w:pPr>
              <w:pStyle w:val="Style106"/>
            </w:pPr>
            <w:r>
              <w:rPr>
                <w:rFonts w:hint="eastAsia"/>
                <w:color w:val="000000"/>
              </w:rPr>
              <w:t>2－3年</w:t>
            </w:r>
          </w:p>
        </w:tc>
        <w:tc>
          <w:tcPr>
            <w:tcW w:w="1276" w:type="pct"/>
            <w:vAlign w:val="center"/>
          </w:tcPr>
          <w:p w:rsidR="00597370" w:rsidRDefault="003C2EEE">
            <w:pPr>
              <w:jc w:val="right"/>
            </w:pPr>
            <w:r>
              <w:rPr>
                <w:rFonts w:hint="eastAsia"/>
                <w:color w:val="000000"/>
              </w:rPr>
              <w:t xml:space="preserve">42,480,780.41 </w:t>
            </w:r>
          </w:p>
        </w:tc>
        <w:tc>
          <w:tcPr>
            <w:tcW w:w="1299" w:type="pct"/>
            <w:vAlign w:val="center"/>
          </w:tcPr>
          <w:p w:rsidR="00597370" w:rsidRDefault="003C2EEE">
            <w:pPr>
              <w:jc w:val="right"/>
            </w:pPr>
            <w:r>
              <w:rPr>
                <w:rFonts w:hint="eastAsia"/>
                <w:color w:val="000000"/>
              </w:rPr>
              <w:t xml:space="preserve">8,496,156.08 </w:t>
            </w:r>
          </w:p>
        </w:tc>
        <w:tc>
          <w:tcPr>
            <w:tcW w:w="1267" w:type="pct"/>
            <w:vAlign w:val="center"/>
          </w:tcPr>
          <w:p w:rsidR="00597370" w:rsidRDefault="003C2EEE">
            <w:pPr>
              <w:jc w:val="right"/>
            </w:pPr>
            <w:r>
              <w:rPr>
                <w:rFonts w:hint="eastAsia"/>
                <w:color w:val="000000"/>
              </w:rPr>
              <w:t xml:space="preserve">20.00 </w:t>
            </w:r>
          </w:p>
        </w:tc>
      </w:tr>
      <w:tr w:rsidR="00597370">
        <w:tc>
          <w:tcPr>
            <w:tcW w:w="1158" w:type="pct"/>
            <w:vAlign w:val="center"/>
          </w:tcPr>
          <w:p w:rsidR="00597370" w:rsidRDefault="003C2EEE">
            <w:pPr>
              <w:pStyle w:val="Style106"/>
            </w:pPr>
            <w:r>
              <w:rPr>
                <w:rFonts w:hint="eastAsia"/>
                <w:color w:val="000000"/>
              </w:rPr>
              <w:t>3－4年</w:t>
            </w:r>
          </w:p>
        </w:tc>
        <w:tc>
          <w:tcPr>
            <w:tcW w:w="1276" w:type="pct"/>
            <w:vAlign w:val="center"/>
          </w:tcPr>
          <w:p w:rsidR="00597370" w:rsidRDefault="003C2EEE">
            <w:pPr>
              <w:jc w:val="right"/>
            </w:pPr>
            <w:r>
              <w:rPr>
                <w:rFonts w:hint="eastAsia"/>
                <w:color w:val="000000"/>
              </w:rPr>
              <w:t xml:space="preserve">25,191,971.29 </w:t>
            </w:r>
          </w:p>
        </w:tc>
        <w:tc>
          <w:tcPr>
            <w:tcW w:w="1299" w:type="pct"/>
            <w:vAlign w:val="center"/>
          </w:tcPr>
          <w:p w:rsidR="00597370" w:rsidRDefault="003C2EEE">
            <w:pPr>
              <w:jc w:val="right"/>
            </w:pPr>
            <w:r>
              <w:rPr>
                <w:rFonts w:hint="eastAsia"/>
                <w:color w:val="000000"/>
              </w:rPr>
              <w:t xml:space="preserve">7,557,591.39 </w:t>
            </w:r>
          </w:p>
        </w:tc>
        <w:tc>
          <w:tcPr>
            <w:tcW w:w="1267" w:type="pct"/>
            <w:vAlign w:val="center"/>
          </w:tcPr>
          <w:p w:rsidR="00597370" w:rsidRDefault="003C2EEE">
            <w:pPr>
              <w:jc w:val="right"/>
            </w:pPr>
            <w:r>
              <w:rPr>
                <w:rFonts w:hint="eastAsia"/>
                <w:color w:val="000000"/>
              </w:rPr>
              <w:t xml:space="preserve">30.00 </w:t>
            </w:r>
          </w:p>
        </w:tc>
      </w:tr>
      <w:tr w:rsidR="00597370">
        <w:tc>
          <w:tcPr>
            <w:tcW w:w="1158" w:type="pct"/>
            <w:vAlign w:val="center"/>
          </w:tcPr>
          <w:p w:rsidR="00597370" w:rsidRDefault="003C2EEE">
            <w:pPr>
              <w:pStyle w:val="Style106"/>
            </w:pPr>
            <w:r>
              <w:rPr>
                <w:rFonts w:hint="eastAsia"/>
                <w:color w:val="000000"/>
              </w:rPr>
              <w:t>4－5年</w:t>
            </w:r>
          </w:p>
        </w:tc>
        <w:tc>
          <w:tcPr>
            <w:tcW w:w="1276" w:type="pct"/>
            <w:vAlign w:val="center"/>
          </w:tcPr>
          <w:p w:rsidR="00597370" w:rsidRDefault="003C2EEE">
            <w:pPr>
              <w:jc w:val="right"/>
            </w:pPr>
            <w:r>
              <w:rPr>
                <w:rFonts w:hint="eastAsia"/>
                <w:color w:val="000000"/>
              </w:rPr>
              <w:t xml:space="preserve">8,193,708.73 </w:t>
            </w:r>
          </w:p>
        </w:tc>
        <w:tc>
          <w:tcPr>
            <w:tcW w:w="1299" w:type="pct"/>
            <w:vAlign w:val="center"/>
          </w:tcPr>
          <w:p w:rsidR="00597370" w:rsidRDefault="003C2EEE">
            <w:pPr>
              <w:jc w:val="right"/>
            </w:pPr>
            <w:r>
              <w:rPr>
                <w:rFonts w:hint="eastAsia"/>
                <w:color w:val="000000"/>
              </w:rPr>
              <w:t xml:space="preserve">4,096,854.37 </w:t>
            </w:r>
          </w:p>
        </w:tc>
        <w:tc>
          <w:tcPr>
            <w:tcW w:w="1267" w:type="pct"/>
            <w:vAlign w:val="center"/>
          </w:tcPr>
          <w:p w:rsidR="00597370" w:rsidRDefault="003C2EEE">
            <w:pPr>
              <w:jc w:val="right"/>
            </w:pPr>
            <w:r>
              <w:rPr>
                <w:rFonts w:hint="eastAsia"/>
                <w:color w:val="000000"/>
              </w:rPr>
              <w:t xml:space="preserve">50.00 </w:t>
            </w:r>
          </w:p>
        </w:tc>
      </w:tr>
      <w:tr w:rsidR="00597370">
        <w:tc>
          <w:tcPr>
            <w:tcW w:w="1158" w:type="pct"/>
            <w:vAlign w:val="center"/>
          </w:tcPr>
          <w:p w:rsidR="00597370" w:rsidRDefault="003C2EEE">
            <w:pPr>
              <w:pStyle w:val="Style106"/>
            </w:pPr>
            <w:r>
              <w:rPr>
                <w:rFonts w:hint="eastAsia"/>
                <w:color w:val="000000"/>
              </w:rPr>
              <w:t>5年以上</w:t>
            </w:r>
          </w:p>
        </w:tc>
        <w:tc>
          <w:tcPr>
            <w:tcW w:w="1276" w:type="pct"/>
            <w:vAlign w:val="center"/>
          </w:tcPr>
          <w:p w:rsidR="00597370" w:rsidRDefault="003C2EEE">
            <w:pPr>
              <w:jc w:val="right"/>
            </w:pPr>
            <w:r>
              <w:rPr>
                <w:rFonts w:hint="eastAsia"/>
                <w:color w:val="000000"/>
              </w:rPr>
              <w:t xml:space="preserve">7,693,368.77 </w:t>
            </w:r>
          </w:p>
        </w:tc>
        <w:tc>
          <w:tcPr>
            <w:tcW w:w="1299" w:type="pct"/>
            <w:vAlign w:val="center"/>
          </w:tcPr>
          <w:p w:rsidR="00597370" w:rsidRDefault="003C2EEE">
            <w:pPr>
              <w:jc w:val="right"/>
            </w:pPr>
            <w:r>
              <w:rPr>
                <w:rFonts w:hint="eastAsia"/>
                <w:color w:val="000000"/>
              </w:rPr>
              <w:t xml:space="preserve">7,693,368.77 </w:t>
            </w:r>
          </w:p>
        </w:tc>
        <w:tc>
          <w:tcPr>
            <w:tcW w:w="1267" w:type="pct"/>
            <w:vAlign w:val="center"/>
          </w:tcPr>
          <w:p w:rsidR="00597370" w:rsidRDefault="003C2EEE">
            <w:pPr>
              <w:jc w:val="right"/>
            </w:pPr>
            <w:r>
              <w:rPr>
                <w:rFonts w:hint="eastAsia"/>
                <w:color w:val="000000"/>
              </w:rPr>
              <w:t xml:space="preserve">100.00 </w:t>
            </w:r>
          </w:p>
        </w:tc>
      </w:tr>
      <w:tr w:rsidR="00597370">
        <w:tc>
          <w:tcPr>
            <w:tcW w:w="1158" w:type="pct"/>
            <w:vAlign w:val="center"/>
          </w:tcPr>
          <w:p w:rsidR="00597370" w:rsidRDefault="00597370">
            <w:pPr>
              <w:pStyle w:val="Style106"/>
            </w:pPr>
          </w:p>
        </w:tc>
        <w:tc>
          <w:tcPr>
            <w:tcW w:w="1276" w:type="pct"/>
            <w:vAlign w:val="center"/>
          </w:tcPr>
          <w:p w:rsidR="00597370" w:rsidRDefault="00597370">
            <w:pPr>
              <w:jc w:val="right"/>
            </w:pPr>
          </w:p>
        </w:tc>
        <w:tc>
          <w:tcPr>
            <w:tcW w:w="1299" w:type="pct"/>
            <w:vAlign w:val="center"/>
          </w:tcPr>
          <w:p w:rsidR="00597370" w:rsidRDefault="00597370">
            <w:pPr>
              <w:jc w:val="right"/>
            </w:pPr>
          </w:p>
        </w:tc>
        <w:tc>
          <w:tcPr>
            <w:tcW w:w="1267" w:type="pct"/>
            <w:vAlign w:val="center"/>
          </w:tcPr>
          <w:p w:rsidR="00597370" w:rsidRDefault="00597370">
            <w:pPr>
              <w:jc w:val="right"/>
            </w:pPr>
          </w:p>
        </w:tc>
      </w:tr>
      <w:tr w:rsidR="00597370">
        <w:tc>
          <w:tcPr>
            <w:tcW w:w="1158" w:type="pct"/>
            <w:vAlign w:val="center"/>
          </w:tcPr>
          <w:p w:rsidR="00597370" w:rsidRDefault="003C2EEE">
            <w:pPr>
              <w:jc w:val="center"/>
              <w:rPr>
                <w:color w:val="000000" w:themeColor="text1"/>
              </w:rPr>
            </w:pPr>
            <w:r>
              <w:rPr>
                <w:rFonts w:hint="eastAsia"/>
                <w:color w:val="000000" w:themeColor="text1"/>
              </w:rPr>
              <w:t>合计</w:t>
            </w:r>
          </w:p>
        </w:tc>
        <w:tc>
          <w:tcPr>
            <w:tcW w:w="1276" w:type="pct"/>
            <w:vAlign w:val="center"/>
          </w:tcPr>
          <w:p w:rsidR="00597370" w:rsidRDefault="003C2EEE">
            <w:pPr>
              <w:jc w:val="right"/>
            </w:pPr>
            <w:r>
              <w:rPr>
                <w:rFonts w:hint="eastAsia"/>
                <w:color w:val="000000"/>
              </w:rPr>
              <w:t xml:space="preserve">1,057,169,861.76 </w:t>
            </w:r>
          </w:p>
        </w:tc>
        <w:tc>
          <w:tcPr>
            <w:tcW w:w="1299" w:type="pct"/>
            <w:vAlign w:val="center"/>
          </w:tcPr>
          <w:p w:rsidR="00597370" w:rsidRDefault="003C2EEE">
            <w:pPr>
              <w:jc w:val="right"/>
            </w:pPr>
            <w:r>
              <w:rPr>
                <w:rFonts w:hint="eastAsia"/>
                <w:color w:val="000000"/>
              </w:rPr>
              <w:t xml:space="preserve">83,328,260.39 </w:t>
            </w:r>
          </w:p>
        </w:tc>
        <w:tc>
          <w:tcPr>
            <w:tcW w:w="1267" w:type="pct"/>
            <w:vAlign w:val="center"/>
          </w:tcPr>
          <w:p w:rsidR="00597370" w:rsidRDefault="003C2EEE">
            <w:pPr>
              <w:jc w:val="right"/>
            </w:pPr>
            <w:r>
              <w:rPr>
                <w:rFonts w:hint="eastAsia"/>
                <w:color w:val="000000"/>
              </w:rPr>
              <w:t xml:space="preserve">8.05 </w:t>
            </w:r>
          </w:p>
        </w:tc>
      </w:tr>
    </w:tbl>
    <w:p w:rsidR="00597370" w:rsidRDefault="003C2EEE">
      <w:pPr>
        <w:rPr>
          <w:color w:val="000000" w:themeColor="text1"/>
        </w:rPr>
      </w:pPr>
      <w:r>
        <w:rPr>
          <w:rFonts w:hint="eastAsia"/>
          <w:color w:val="000000" w:themeColor="text1"/>
        </w:rPr>
        <w:t>按组合计提坏账准备的说明：</w:t>
      </w:r>
    </w:p>
    <w:sdt>
      <w:sdtPr>
        <w:rPr>
          <w:color w:val="000000" w:themeColor="text1"/>
        </w:rPr>
        <w:alias w:val="是否适用：母公司应收账款按组合计提坏账的确认标准及说明[双击切换]"/>
        <w:tag w:val="_GBC_186c78f5430148f29cc239ac6b530e5e"/>
        <w:id w:val="-19561454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413" w:name="_Hlk167980591"/>
      <w:bookmarkStart w:id="414" w:name="_Hlk534616017"/>
      <w:bookmarkEnd w:id="412"/>
      <w:r>
        <w:rPr>
          <w:rFonts w:hint="eastAsia"/>
          <w:color w:val="000000" w:themeColor="text1"/>
        </w:rPr>
        <w:t>按预期信用损失一般模型计提坏账准备</w:t>
      </w:r>
    </w:p>
    <w:sdt>
      <w:sdtPr>
        <w:rPr>
          <w:color w:val="000000" w:themeColor="text1"/>
        </w:rPr>
        <w:alias w:val="是否适用：母公司应收账款按一般预计信用损失模型计提坏账[双击切换]"/>
        <w:tag w:val="_GBC_f0abda0ef94e4c708c624cb545c56aeb"/>
        <w:id w:val="-7916679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各阶段划分依据和坏账准备计提比例"/>
        <w:tag w:val="_GBC_0489be1e98c542ca9f393e48f8ce8d06"/>
        <w:id w:val="564919505"/>
        <w:placeholder>
          <w:docPart w:val="GBC22222222222222222222222222222"/>
        </w:placeholder>
      </w:sdtPr>
      <w:sdtEndPr/>
      <w:sdtContent>
        <w:p w:rsidR="00597370" w:rsidRDefault="003C2EEE">
          <w:pPr>
            <w:rPr>
              <w:rFonts w:cs="Times New Roman"/>
              <w:color w:val="000000" w:themeColor="text1"/>
              <w:szCs w:val="22"/>
            </w:rPr>
          </w:pPr>
          <w:r>
            <w:rPr>
              <w:rFonts w:cs="Times New Roman" w:hint="eastAsia"/>
              <w:color w:val="000000" w:themeColor="text1"/>
              <w:szCs w:val="22"/>
            </w:rPr>
            <w:t>无</w:t>
          </w:r>
        </w:p>
      </w:sdtContent>
    </w:sdt>
    <w:p w:rsidR="00597370" w:rsidRDefault="003C2EEE">
      <w:pPr>
        <w:pStyle w:val="Style151"/>
        <w:rPr>
          <w:color w:val="000000" w:themeColor="text1"/>
        </w:rPr>
      </w:pPr>
      <w:r>
        <w:rPr>
          <w:rFonts w:hint="eastAsia"/>
          <w:color w:val="000000" w:themeColor="text1"/>
        </w:rPr>
        <w:t>对本期发生损失准备变动的应收账款账面余额显著变动的情况说明：</w:t>
      </w:r>
    </w:p>
    <w:sdt>
      <w:sdtPr>
        <w:rPr>
          <w:color w:val="000000" w:themeColor="text1"/>
        </w:rPr>
        <w:alias w:val="是否适用：母公司对本期发生损失准备变动的账面余额显著变动的情况说明[双击切换]"/>
        <w:tag w:val="_GBC_c77cf591dcd24f7788bd4150e02a7f8f"/>
        <w:id w:val="1524890498"/>
        <w:placeholder>
          <w:docPart w:val="GBC22222222222222222222222222222"/>
        </w:placeholder>
      </w:sdtPr>
      <w:sdtEndPr/>
      <w:sdtContent>
        <w:p w:rsidR="00597370" w:rsidRDefault="003C2EEE">
          <w:pPr>
            <w:autoSpaceDE w:val="0"/>
            <w:autoSpaceDN w:val="0"/>
            <w:adjustRightInd w:val="0"/>
            <w:ind w:rightChars="50" w:right="105"/>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115"/>
        </w:numPr>
        <w:ind w:left="426" w:hangingChars="202" w:hanging="426"/>
        <w:rPr>
          <w:color w:val="000000" w:themeColor="text1"/>
        </w:rPr>
      </w:pPr>
      <w:bookmarkStart w:id="415" w:name="_Hlk10540190"/>
      <w:bookmarkStart w:id="416" w:name="_Hlk10540207"/>
      <w:bookmarkEnd w:id="413"/>
      <w:bookmarkEnd w:id="414"/>
      <w:r>
        <w:rPr>
          <w:rFonts w:hint="eastAsia"/>
          <w:color w:val="000000" w:themeColor="text1"/>
        </w:rPr>
        <w:t>坏账准备的情况</w:t>
      </w:r>
      <w:bookmarkEnd w:id="415"/>
    </w:p>
    <w:sdt>
      <w:sdtPr>
        <w:rPr>
          <w:color w:val="000000" w:themeColor="text1"/>
        </w:rPr>
        <w:alias w:val="是否适用：母公司应收账款坏账准备情况[双击切换]"/>
        <w:tag w:val="_GBC_f73789de2ecf49c4bad380c8767c93cf"/>
        <w:id w:val="111565377"/>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snapToGrid w:val="0"/>
        <w:spacing w:line="240" w:lineRule="atLeast"/>
        <w:ind w:left="425" w:firstLineChars="0" w:firstLine="0"/>
        <w:jc w:val="right"/>
        <w:rPr>
          <w:rFonts w:ascii="宋体" w:hAnsi="宋体"/>
          <w:color w:val="000000" w:themeColor="text1"/>
          <w:szCs w:val="21"/>
        </w:rPr>
      </w:pPr>
      <w:bookmarkStart w:id="417" w:name="_Hlk41553597"/>
      <w:r>
        <w:rPr>
          <w:rFonts w:ascii="宋体" w:hAnsi="宋体" w:hint="eastAsia"/>
          <w:color w:val="000000" w:themeColor="text1"/>
          <w:szCs w:val="21"/>
        </w:rPr>
        <w:t>单位：</w:t>
      </w:r>
      <w:sdt>
        <w:sdtPr>
          <w:rPr>
            <w:rFonts w:ascii="宋体" w:hAnsi="宋体" w:hint="eastAsia"/>
            <w:color w:val="000000" w:themeColor="text1"/>
            <w:szCs w:val="21"/>
          </w:rPr>
          <w:alias w:val="单位：母公司应收账款坏账准备情况"/>
          <w:tag w:val="_GBC_b1cb6a2ed32f4cbba0ff71c0724458cf"/>
          <w:id w:val="-12058731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母公司应收账款坏账准备情况"/>
          <w:tag w:val="_GBC_d354bf362fbe459f823a08ebfd7e3967"/>
          <w:id w:val="7722929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204"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55"/>
        <w:gridCol w:w="1452"/>
        <w:gridCol w:w="1437"/>
        <w:gridCol w:w="1316"/>
        <w:gridCol w:w="1322"/>
        <w:gridCol w:w="1006"/>
        <w:gridCol w:w="1295"/>
      </w:tblGrid>
      <w:tr w:rsidR="00597370">
        <w:trPr>
          <w:trHeight w:val="397"/>
          <w:jc w:val="center"/>
        </w:trPr>
        <w:bookmarkEnd w:id="416" w:displacedByCustomXml="next"/>
        <w:bookmarkEnd w:id="417" w:displacedByCustomXml="next"/>
        <w:bookmarkStart w:id="418" w:name="_Hlk167981805" w:displacedByCustomXml="next"/>
        <w:bookmarkStart w:id="419" w:name="_Hlk153789356" w:displacedByCustomXml="next"/>
        <w:sdt>
          <w:sdtPr>
            <w:rPr>
              <w:color w:val="000000" w:themeColor="text1"/>
              <w:sz w:val="18"/>
              <w:szCs w:val="18"/>
            </w:rPr>
            <w:tag w:val="_PLD_f6bf13992bdc4b06bd6f364458e0df47"/>
            <w:id w:val="-924260937"/>
          </w:sdtPr>
          <w:sdtEndPr/>
          <w:sdtContent>
            <w:tc>
              <w:tcPr>
                <w:tcW w:w="737" w:type="pct"/>
                <w:vMerge w:val="restart"/>
                <w:shd w:val="clear" w:color="auto" w:fill="FFFFFF"/>
                <w:vAlign w:val="center"/>
              </w:tcPr>
              <w:p w:rsidR="00597370" w:rsidRDefault="003C2EEE">
                <w:pPr>
                  <w:jc w:val="center"/>
                  <w:rPr>
                    <w:color w:val="000000" w:themeColor="text1"/>
                    <w:sz w:val="18"/>
                    <w:szCs w:val="18"/>
                  </w:rPr>
                </w:pPr>
                <w:r>
                  <w:rPr>
                    <w:color w:val="000000" w:themeColor="text1"/>
                    <w:sz w:val="18"/>
                    <w:szCs w:val="18"/>
                  </w:rPr>
                  <w:t>类别</w:t>
                </w:r>
              </w:p>
            </w:tc>
          </w:sdtContent>
        </w:sdt>
        <w:sdt>
          <w:sdtPr>
            <w:rPr>
              <w:color w:val="000000" w:themeColor="text1"/>
              <w:sz w:val="18"/>
              <w:szCs w:val="18"/>
            </w:rPr>
            <w:tag w:val="_PLD_579b33cd0d7e490d998a64c9f202ccfb"/>
            <w:id w:val="137387526"/>
          </w:sdtPr>
          <w:sdtEndPr/>
          <w:sdtContent>
            <w:tc>
              <w:tcPr>
                <w:tcW w:w="790" w:type="pct"/>
                <w:vMerge w:val="restart"/>
                <w:shd w:val="clear" w:color="auto" w:fill="FFFFFF"/>
                <w:vAlign w:val="center"/>
              </w:tcPr>
              <w:p w:rsidR="00597370" w:rsidRDefault="003C2EEE">
                <w:pPr>
                  <w:jc w:val="center"/>
                  <w:rPr>
                    <w:color w:val="000000" w:themeColor="text1"/>
                    <w:sz w:val="18"/>
                    <w:szCs w:val="18"/>
                  </w:rPr>
                </w:pPr>
                <w:r>
                  <w:rPr>
                    <w:color w:val="000000" w:themeColor="text1"/>
                    <w:sz w:val="18"/>
                    <w:szCs w:val="18"/>
                  </w:rPr>
                  <w:t>期初余额</w:t>
                </w:r>
              </w:p>
            </w:tc>
          </w:sdtContent>
        </w:sdt>
        <w:sdt>
          <w:sdtPr>
            <w:rPr>
              <w:color w:val="000000" w:themeColor="text1"/>
              <w:sz w:val="18"/>
              <w:szCs w:val="18"/>
            </w:rPr>
            <w:tag w:val="_PLD_2cbc55bce2ef44bbb40e4050dfe846f1"/>
            <w:id w:val="1977641863"/>
          </w:sdtPr>
          <w:sdtEndPr/>
          <w:sdtContent>
            <w:tc>
              <w:tcPr>
                <w:tcW w:w="2766" w:type="pct"/>
                <w:gridSpan w:val="4"/>
                <w:shd w:val="clear" w:color="auto" w:fill="FFFFFF"/>
                <w:vAlign w:val="center"/>
              </w:tcPr>
              <w:p w:rsidR="00597370" w:rsidRDefault="003C2EEE">
                <w:pPr>
                  <w:jc w:val="center"/>
                  <w:rPr>
                    <w:color w:val="000000" w:themeColor="text1"/>
                    <w:sz w:val="18"/>
                    <w:szCs w:val="18"/>
                  </w:rPr>
                </w:pPr>
                <w:r>
                  <w:rPr>
                    <w:rFonts w:hint="eastAsia"/>
                    <w:color w:val="000000" w:themeColor="text1"/>
                    <w:sz w:val="18"/>
                    <w:szCs w:val="18"/>
                  </w:rPr>
                  <w:t>本期变动</w:t>
                </w:r>
                <w:r>
                  <w:rPr>
                    <w:color w:val="000000" w:themeColor="text1"/>
                    <w:sz w:val="18"/>
                    <w:szCs w:val="18"/>
                  </w:rPr>
                  <w:t>金额</w:t>
                </w:r>
              </w:p>
            </w:tc>
          </w:sdtContent>
        </w:sdt>
        <w:sdt>
          <w:sdtPr>
            <w:rPr>
              <w:color w:val="000000" w:themeColor="text1"/>
              <w:sz w:val="18"/>
              <w:szCs w:val="18"/>
            </w:rPr>
            <w:tag w:val="_PLD_dcc9f714adf8465eb1a49da61466de1f"/>
            <w:id w:val="1957670788"/>
          </w:sdtPr>
          <w:sdtEndPr/>
          <w:sdtContent>
            <w:tc>
              <w:tcPr>
                <w:tcW w:w="705" w:type="pct"/>
                <w:vMerge w:val="restart"/>
                <w:shd w:val="clear" w:color="auto" w:fill="FFFFFF"/>
                <w:vAlign w:val="center"/>
              </w:tcPr>
              <w:p w:rsidR="00597370" w:rsidRDefault="003C2EEE">
                <w:pPr>
                  <w:jc w:val="center"/>
                  <w:rPr>
                    <w:color w:val="000000" w:themeColor="text1"/>
                    <w:sz w:val="18"/>
                    <w:szCs w:val="18"/>
                  </w:rPr>
                </w:pPr>
                <w:r>
                  <w:rPr>
                    <w:color w:val="000000" w:themeColor="text1"/>
                    <w:sz w:val="18"/>
                    <w:szCs w:val="18"/>
                  </w:rPr>
                  <w:t>期末余额</w:t>
                </w:r>
              </w:p>
            </w:tc>
          </w:sdtContent>
        </w:sdt>
      </w:tr>
      <w:tr w:rsidR="00597370">
        <w:trPr>
          <w:trHeight w:val="397"/>
          <w:jc w:val="center"/>
        </w:trPr>
        <w:tc>
          <w:tcPr>
            <w:tcW w:w="737" w:type="pct"/>
            <w:vMerge/>
            <w:shd w:val="clear" w:color="auto" w:fill="FFFFFF"/>
          </w:tcPr>
          <w:p w:rsidR="00597370" w:rsidRDefault="00597370">
            <w:pPr>
              <w:jc w:val="center"/>
              <w:rPr>
                <w:color w:val="000000" w:themeColor="text1"/>
                <w:sz w:val="18"/>
                <w:szCs w:val="18"/>
              </w:rPr>
            </w:pPr>
          </w:p>
        </w:tc>
        <w:tc>
          <w:tcPr>
            <w:tcW w:w="790" w:type="pct"/>
            <w:vMerge/>
            <w:shd w:val="clear" w:color="auto" w:fill="FFFFFF"/>
          </w:tcPr>
          <w:p w:rsidR="00597370" w:rsidRDefault="00597370">
            <w:pPr>
              <w:jc w:val="center"/>
              <w:rPr>
                <w:color w:val="000000" w:themeColor="text1"/>
                <w:sz w:val="18"/>
                <w:szCs w:val="18"/>
              </w:rPr>
            </w:pPr>
          </w:p>
        </w:tc>
        <w:sdt>
          <w:sdtPr>
            <w:rPr>
              <w:color w:val="000000" w:themeColor="text1"/>
              <w:sz w:val="18"/>
              <w:szCs w:val="18"/>
            </w:rPr>
            <w:tag w:val="_PLD_e4e43f7257b14faaaaf4b09b161bf7b7"/>
            <w:id w:val="-1370303926"/>
          </w:sdtPr>
          <w:sdtEndPr/>
          <w:sdtContent>
            <w:tc>
              <w:tcPr>
                <w:tcW w:w="782" w:type="pct"/>
                <w:shd w:val="clear" w:color="auto" w:fill="FFFFFF"/>
                <w:vAlign w:val="center"/>
              </w:tcPr>
              <w:p w:rsidR="00597370" w:rsidRDefault="003C2EEE">
                <w:pPr>
                  <w:jc w:val="center"/>
                  <w:rPr>
                    <w:color w:val="000000" w:themeColor="text1"/>
                    <w:sz w:val="18"/>
                    <w:szCs w:val="18"/>
                  </w:rPr>
                </w:pPr>
                <w:r>
                  <w:rPr>
                    <w:color w:val="000000" w:themeColor="text1"/>
                    <w:sz w:val="18"/>
                    <w:szCs w:val="18"/>
                  </w:rPr>
                  <w:t>计提</w:t>
                </w:r>
              </w:p>
            </w:tc>
          </w:sdtContent>
        </w:sdt>
        <w:sdt>
          <w:sdtPr>
            <w:rPr>
              <w:color w:val="000000" w:themeColor="text1"/>
              <w:sz w:val="18"/>
              <w:szCs w:val="18"/>
            </w:rPr>
            <w:tag w:val="_PLD_bf7fb55a6c2a4d18926896fd921fc857"/>
            <w:id w:val="-1091856475"/>
          </w:sdtPr>
          <w:sdtEndPr/>
          <w:sdtContent>
            <w:tc>
              <w:tcPr>
                <w:tcW w:w="716" w:type="pct"/>
                <w:shd w:val="clear" w:color="auto" w:fill="FFFFFF"/>
                <w:vAlign w:val="center"/>
              </w:tcPr>
              <w:p w:rsidR="00597370" w:rsidRDefault="003C2EEE">
                <w:pPr>
                  <w:jc w:val="center"/>
                  <w:rPr>
                    <w:color w:val="000000" w:themeColor="text1"/>
                    <w:sz w:val="18"/>
                    <w:szCs w:val="18"/>
                  </w:rPr>
                </w:pPr>
                <w:r>
                  <w:rPr>
                    <w:rFonts w:hint="eastAsia"/>
                    <w:color w:val="000000" w:themeColor="text1"/>
                    <w:sz w:val="18"/>
                    <w:szCs w:val="18"/>
                  </w:rPr>
                  <w:t>收回或转回</w:t>
                </w:r>
              </w:p>
            </w:tc>
          </w:sdtContent>
        </w:sdt>
        <w:tc>
          <w:tcPr>
            <w:tcW w:w="720" w:type="pct"/>
            <w:shd w:val="clear" w:color="auto" w:fill="FFFFFF"/>
            <w:vAlign w:val="center"/>
          </w:tcPr>
          <w:sdt>
            <w:sdtPr>
              <w:rPr>
                <w:rFonts w:hint="eastAsia"/>
                <w:color w:val="000000" w:themeColor="text1"/>
                <w:sz w:val="18"/>
                <w:szCs w:val="18"/>
              </w:rPr>
              <w:tag w:val="_PLD_536d31c824d74db3baaa7f5b6cd0a9ec"/>
              <w:id w:val="75647170"/>
            </w:sdtPr>
            <w:sdtEndPr/>
            <w:sdtContent>
              <w:p w:rsidR="00597370" w:rsidRDefault="003C2EEE">
                <w:pPr>
                  <w:jc w:val="center"/>
                  <w:rPr>
                    <w:color w:val="000000" w:themeColor="text1"/>
                    <w:sz w:val="18"/>
                    <w:szCs w:val="18"/>
                  </w:rPr>
                </w:pPr>
                <w:r>
                  <w:rPr>
                    <w:rFonts w:hint="eastAsia"/>
                    <w:color w:val="000000" w:themeColor="text1"/>
                    <w:sz w:val="18"/>
                    <w:szCs w:val="18"/>
                  </w:rPr>
                  <w:t>转销或核销</w:t>
                </w:r>
              </w:p>
            </w:sdtContent>
          </w:sdt>
        </w:tc>
        <w:tc>
          <w:tcPr>
            <w:tcW w:w="547" w:type="pct"/>
            <w:shd w:val="clear" w:color="auto" w:fill="FFFFFF"/>
            <w:vAlign w:val="center"/>
          </w:tcPr>
          <w:sdt>
            <w:sdtPr>
              <w:rPr>
                <w:rFonts w:hint="eastAsia"/>
                <w:color w:val="000000" w:themeColor="text1"/>
                <w:sz w:val="18"/>
                <w:szCs w:val="18"/>
              </w:rPr>
              <w:tag w:val="_PLD_32a7ce101f6b48d68c39e1edb6e78b82"/>
              <w:id w:val="-1914156160"/>
            </w:sdtPr>
            <w:sdtEndPr/>
            <w:sdtContent>
              <w:p w:rsidR="00597370" w:rsidRDefault="003C2EEE">
                <w:pPr>
                  <w:jc w:val="center"/>
                  <w:rPr>
                    <w:color w:val="000000" w:themeColor="text1"/>
                    <w:sz w:val="18"/>
                    <w:szCs w:val="18"/>
                  </w:rPr>
                </w:pPr>
                <w:r>
                  <w:rPr>
                    <w:rFonts w:hint="eastAsia"/>
                    <w:color w:val="000000" w:themeColor="text1"/>
                    <w:sz w:val="18"/>
                    <w:szCs w:val="18"/>
                  </w:rPr>
                  <w:t>其他</w:t>
                </w:r>
              </w:p>
            </w:sdtContent>
          </w:sdt>
        </w:tc>
        <w:tc>
          <w:tcPr>
            <w:tcW w:w="705" w:type="pct"/>
            <w:vMerge/>
            <w:shd w:val="clear" w:color="auto" w:fill="FFFFFF"/>
          </w:tcPr>
          <w:p w:rsidR="00597370" w:rsidRDefault="00597370">
            <w:pPr>
              <w:jc w:val="right"/>
              <w:rPr>
                <w:color w:val="000000" w:themeColor="text1"/>
                <w:sz w:val="18"/>
                <w:szCs w:val="18"/>
              </w:rPr>
            </w:pPr>
          </w:p>
        </w:tc>
      </w:tr>
      <w:tr w:rsidR="00597370">
        <w:trPr>
          <w:trHeight w:val="397"/>
          <w:jc w:val="center"/>
        </w:trPr>
        <w:tc>
          <w:tcPr>
            <w:tcW w:w="737" w:type="pct"/>
            <w:shd w:val="clear" w:color="auto" w:fill="auto"/>
          </w:tcPr>
          <w:p w:rsidR="00597370" w:rsidRDefault="003C2EEE">
            <w:pPr>
              <w:pStyle w:val="Style106"/>
              <w:rPr>
                <w:sz w:val="18"/>
                <w:szCs w:val="18"/>
              </w:rPr>
            </w:pPr>
            <w:r>
              <w:rPr>
                <w:sz w:val="18"/>
                <w:szCs w:val="18"/>
              </w:rPr>
              <w:t>按单项计提坏账准备</w:t>
            </w:r>
          </w:p>
        </w:tc>
        <w:tc>
          <w:tcPr>
            <w:tcW w:w="790"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26,430,652.88 </w:t>
            </w:r>
          </w:p>
        </w:tc>
        <w:tc>
          <w:tcPr>
            <w:tcW w:w="782"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1,009,442.89 </w:t>
            </w:r>
          </w:p>
        </w:tc>
        <w:tc>
          <w:tcPr>
            <w:tcW w:w="716"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424,720.00 </w:t>
            </w:r>
          </w:p>
        </w:tc>
        <w:tc>
          <w:tcPr>
            <w:tcW w:w="720" w:type="pct"/>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85,711.00 </w:t>
            </w:r>
          </w:p>
        </w:tc>
        <w:tc>
          <w:tcPr>
            <w:tcW w:w="547" w:type="pct"/>
            <w:vAlign w:val="center"/>
          </w:tcPr>
          <w:p w:rsidR="00597370" w:rsidRDefault="00597370">
            <w:pPr>
              <w:jc w:val="right"/>
              <w:rPr>
                <w:rFonts w:asciiTheme="minorEastAsia" w:eastAsiaTheme="minorEastAsia" w:hAnsiTheme="minorEastAsia"/>
                <w:sz w:val="18"/>
                <w:szCs w:val="18"/>
              </w:rPr>
            </w:pPr>
          </w:p>
        </w:tc>
        <w:tc>
          <w:tcPr>
            <w:tcW w:w="705"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26,929,664.77 </w:t>
            </w:r>
          </w:p>
        </w:tc>
      </w:tr>
      <w:tr w:rsidR="00597370">
        <w:trPr>
          <w:trHeight w:val="397"/>
          <w:jc w:val="center"/>
        </w:trPr>
        <w:tc>
          <w:tcPr>
            <w:tcW w:w="737" w:type="pct"/>
            <w:shd w:val="clear" w:color="auto" w:fill="auto"/>
          </w:tcPr>
          <w:p w:rsidR="00597370" w:rsidRDefault="003C2EEE">
            <w:pPr>
              <w:pStyle w:val="Style106"/>
              <w:rPr>
                <w:sz w:val="18"/>
                <w:szCs w:val="18"/>
              </w:rPr>
            </w:pPr>
            <w:r>
              <w:rPr>
                <w:sz w:val="18"/>
                <w:szCs w:val="18"/>
              </w:rPr>
              <w:t>按组合计提坏账准备</w:t>
            </w:r>
          </w:p>
        </w:tc>
        <w:tc>
          <w:tcPr>
            <w:tcW w:w="790"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80,304,988.69 </w:t>
            </w:r>
          </w:p>
        </w:tc>
        <w:tc>
          <w:tcPr>
            <w:tcW w:w="782"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3,108,982.69 </w:t>
            </w:r>
          </w:p>
        </w:tc>
        <w:tc>
          <w:tcPr>
            <w:tcW w:w="716" w:type="pct"/>
            <w:shd w:val="clear" w:color="auto" w:fill="auto"/>
            <w:vAlign w:val="center"/>
          </w:tcPr>
          <w:p w:rsidR="00597370" w:rsidRDefault="00597370">
            <w:pPr>
              <w:jc w:val="right"/>
              <w:rPr>
                <w:rFonts w:asciiTheme="minorEastAsia" w:eastAsiaTheme="minorEastAsia" w:hAnsiTheme="minorEastAsia"/>
                <w:sz w:val="18"/>
                <w:szCs w:val="18"/>
              </w:rPr>
            </w:pPr>
          </w:p>
        </w:tc>
        <w:tc>
          <w:tcPr>
            <w:tcW w:w="720" w:type="pct"/>
            <w:vAlign w:val="center"/>
          </w:tcPr>
          <w:p w:rsidR="00597370" w:rsidRDefault="00597370">
            <w:pPr>
              <w:jc w:val="right"/>
              <w:rPr>
                <w:rFonts w:asciiTheme="minorEastAsia" w:eastAsiaTheme="minorEastAsia" w:hAnsiTheme="minorEastAsia"/>
                <w:sz w:val="18"/>
                <w:szCs w:val="18"/>
              </w:rPr>
            </w:pPr>
          </w:p>
        </w:tc>
        <w:tc>
          <w:tcPr>
            <w:tcW w:w="547" w:type="pct"/>
            <w:vAlign w:val="center"/>
          </w:tcPr>
          <w:p w:rsidR="00597370" w:rsidRDefault="00597370">
            <w:pPr>
              <w:jc w:val="right"/>
              <w:rPr>
                <w:rFonts w:asciiTheme="minorEastAsia" w:eastAsiaTheme="minorEastAsia" w:hAnsiTheme="minorEastAsia"/>
                <w:sz w:val="18"/>
                <w:szCs w:val="18"/>
              </w:rPr>
            </w:pPr>
          </w:p>
        </w:tc>
        <w:tc>
          <w:tcPr>
            <w:tcW w:w="705"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83,413,971.38 </w:t>
            </w:r>
          </w:p>
        </w:tc>
      </w:tr>
      <w:tr w:rsidR="00597370">
        <w:trPr>
          <w:trHeight w:val="397"/>
          <w:jc w:val="center"/>
        </w:trPr>
        <w:tc>
          <w:tcPr>
            <w:tcW w:w="737" w:type="pct"/>
            <w:shd w:val="clear" w:color="auto" w:fill="auto"/>
          </w:tcPr>
          <w:p w:rsidR="00597370" w:rsidRDefault="003C2EEE">
            <w:pPr>
              <w:jc w:val="center"/>
              <w:rPr>
                <w:color w:val="000000" w:themeColor="text1"/>
                <w:sz w:val="18"/>
                <w:szCs w:val="18"/>
              </w:rPr>
            </w:pPr>
            <w:r>
              <w:rPr>
                <w:rFonts w:hint="eastAsia"/>
                <w:color w:val="000000" w:themeColor="text1"/>
                <w:sz w:val="18"/>
                <w:szCs w:val="18"/>
              </w:rPr>
              <w:lastRenderedPageBreak/>
              <w:t>合计</w:t>
            </w:r>
          </w:p>
        </w:tc>
        <w:tc>
          <w:tcPr>
            <w:tcW w:w="790"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106,735,641.56 </w:t>
            </w:r>
          </w:p>
        </w:tc>
        <w:tc>
          <w:tcPr>
            <w:tcW w:w="782"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4,118,425.5</w:t>
            </w:r>
            <w:r>
              <w:rPr>
                <w:rFonts w:asciiTheme="minorEastAsia" w:eastAsiaTheme="minorEastAsia" w:hAnsiTheme="minorEastAsia" w:cs="Arial" w:hint="eastAsia"/>
                <w:color w:val="000000"/>
                <w:sz w:val="18"/>
                <w:szCs w:val="18"/>
              </w:rPr>
              <w:t>9</w:t>
            </w:r>
            <w:r>
              <w:rPr>
                <w:rFonts w:asciiTheme="minorEastAsia" w:eastAsiaTheme="minorEastAsia" w:hAnsiTheme="minorEastAsia" w:cs="Arial"/>
                <w:color w:val="000000"/>
                <w:sz w:val="18"/>
                <w:szCs w:val="18"/>
              </w:rPr>
              <w:t xml:space="preserve"> </w:t>
            </w:r>
          </w:p>
        </w:tc>
        <w:tc>
          <w:tcPr>
            <w:tcW w:w="716"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424,720.00 </w:t>
            </w:r>
          </w:p>
        </w:tc>
        <w:tc>
          <w:tcPr>
            <w:tcW w:w="720" w:type="pct"/>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85,711.00 </w:t>
            </w:r>
          </w:p>
        </w:tc>
        <w:tc>
          <w:tcPr>
            <w:tcW w:w="547" w:type="pct"/>
            <w:vAlign w:val="center"/>
          </w:tcPr>
          <w:p w:rsidR="00597370" w:rsidRDefault="00597370">
            <w:pPr>
              <w:jc w:val="right"/>
              <w:rPr>
                <w:rFonts w:asciiTheme="minorEastAsia" w:eastAsiaTheme="minorEastAsia" w:hAnsiTheme="minorEastAsia"/>
                <w:sz w:val="18"/>
                <w:szCs w:val="18"/>
              </w:rPr>
            </w:pPr>
          </w:p>
        </w:tc>
        <w:tc>
          <w:tcPr>
            <w:tcW w:w="705" w:type="pct"/>
            <w:shd w:val="clear" w:color="auto" w:fill="auto"/>
            <w:vAlign w:val="center"/>
          </w:tcPr>
          <w:p w:rsidR="00597370" w:rsidRDefault="003C2EEE">
            <w:pPr>
              <w:jc w:val="right"/>
              <w:rPr>
                <w:rFonts w:asciiTheme="minorEastAsia" w:eastAsiaTheme="minorEastAsia" w:hAnsiTheme="minorEastAsia"/>
                <w:sz w:val="18"/>
                <w:szCs w:val="18"/>
              </w:rPr>
            </w:pPr>
            <w:r>
              <w:rPr>
                <w:rFonts w:asciiTheme="minorEastAsia" w:eastAsiaTheme="minorEastAsia" w:hAnsiTheme="minorEastAsia" w:cs="Arial"/>
                <w:color w:val="000000"/>
                <w:sz w:val="18"/>
                <w:szCs w:val="18"/>
              </w:rPr>
              <w:t xml:space="preserve">110,343,636.15 </w:t>
            </w:r>
          </w:p>
        </w:tc>
      </w:tr>
    </w:tbl>
    <w:p w:rsidR="00597370" w:rsidRDefault="00597370">
      <w:pPr>
        <w:pStyle w:val="Style106"/>
      </w:pPr>
    </w:p>
    <w:p w:rsidR="00597370" w:rsidRDefault="003C2EEE">
      <w:pPr>
        <w:rPr>
          <w:color w:val="000000" w:themeColor="text1"/>
        </w:rPr>
      </w:pPr>
      <w:r>
        <w:rPr>
          <w:rFonts w:hint="eastAsia"/>
          <w:color w:val="000000" w:themeColor="text1"/>
        </w:rPr>
        <w:t>其中本期坏账准备收回或转回金额重要的：</w:t>
      </w:r>
    </w:p>
    <w:sdt>
      <w:sdtPr>
        <w:rPr>
          <w:color w:val="000000" w:themeColor="text1"/>
        </w:rPr>
        <w:alias w:val="是否适用：母公司其中本期坏账准备收回或转回金额重要的[双击切换]"/>
        <w:tag w:val="_GBC_29cbd6f1a56c4bc9843a0a61bcf42c88"/>
        <w:id w:val="-135872610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应收账款坏账准备情况的说明"/>
        <w:tag w:val="_GBC_0ab588d220454a20ba505c5d15821534"/>
        <w:id w:val="-1044134320"/>
        <w:placeholder>
          <w:docPart w:val="GBC22222222222222222222222222222"/>
        </w:placeholder>
      </w:sdtPr>
      <w:sdtEndPr/>
      <w:sdtContent>
        <w:p w:rsidR="00597370" w:rsidRDefault="003C2EEE">
          <w:pPr>
            <w:ind w:rightChars="-759" w:right="-1594"/>
            <w:rPr>
              <w:color w:val="000000" w:themeColor="text1"/>
            </w:rPr>
          </w:pPr>
          <w:r>
            <w:rPr>
              <w:rFonts w:hint="eastAsia"/>
              <w:color w:val="000000" w:themeColor="text1"/>
            </w:rPr>
            <w:t>无</w:t>
          </w:r>
        </w:p>
      </w:sdtContent>
    </w:sdt>
    <w:bookmarkEnd w:id="419"/>
    <w:bookmarkEnd w:id="418"/>
    <w:p w:rsidR="00597370" w:rsidRDefault="003C2EEE">
      <w:pPr>
        <w:pStyle w:val="Style110"/>
        <w:numPr>
          <w:ilvl w:val="3"/>
          <w:numId w:val="115"/>
        </w:numPr>
        <w:ind w:left="426" w:hangingChars="202" w:hanging="426"/>
        <w:rPr>
          <w:color w:val="000000" w:themeColor="text1"/>
        </w:rPr>
      </w:pPr>
      <w:r>
        <w:rPr>
          <w:rFonts w:hint="eastAsia"/>
          <w:color w:val="000000" w:themeColor="text1"/>
        </w:rPr>
        <w:t>本期实际核销的应收账款情况</w:t>
      </w:r>
    </w:p>
    <w:sdt>
      <w:sdtPr>
        <w:rPr>
          <w:color w:val="000000" w:themeColor="text1"/>
        </w:rPr>
        <w:alias w:val="是否适用：母公司本期实际核销的应收账款情况[双击切换]"/>
        <w:tag w:val="_GBC_a8b9861b74fa43bdb4a98d13449f8f5e"/>
        <w:id w:val="144865500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母公司财务附注：本报告期实际核销的应收款项情况"/>
          <w:tag w:val="_GBC_a5c3b5e8c8bf477abc83c1766768abf2"/>
          <w:id w:val="-68334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财务附注：本报告期实际核销的应收款项情况"/>
          <w:tag w:val="_GBC_c46c6c481aca4428892d83e0d45ec77c"/>
          <w:id w:val="-19655707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4956"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4658"/>
      </w:tblGrid>
      <w:tr w:rsidR="00597370">
        <w:sdt>
          <w:sdtPr>
            <w:rPr>
              <w:color w:val="000000" w:themeColor="text1"/>
            </w:rPr>
            <w:tag w:val="_PLD_06977e71d2fd4a558bb710c9c93c8d7e"/>
            <w:id w:val="1521203195"/>
          </w:sdtPr>
          <w:sdtEndPr/>
          <w:sdtContent>
            <w:tc>
              <w:tcPr>
                <w:tcW w:w="2337" w:type="pct"/>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d549a895a6504e78a6d7b9940814436d"/>
            <w:id w:val="2096201870"/>
          </w:sdtPr>
          <w:sdtEndPr/>
          <w:sdtContent>
            <w:tc>
              <w:tcPr>
                <w:tcW w:w="2663" w:type="pct"/>
              </w:tcPr>
              <w:p w:rsidR="00597370" w:rsidRDefault="003C2EEE">
                <w:pPr>
                  <w:jc w:val="center"/>
                  <w:rPr>
                    <w:color w:val="000000" w:themeColor="text1"/>
                  </w:rPr>
                </w:pPr>
                <w:r>
                  <w:rPr>
                    <w:rFonts w:hint="eastAsia"/>
                    <w:color w:val="000000" w:themeColor="text1"/>
                  </w:rPr>
                  <w:t>核销金额</w:t>
                </w:r>
              </w:p>
            </w:tc>
          </w:sdtContent>
        </w:sdt>
      </w:tr>
      <w:tr w:rsidR="00597370">
        <w:tc>
          <w:tcPr>
            <w:tcW w:w="2337" w:type="pct"/>
          </w:tcPr>
          <w:p w:rsidR="00597370" w:rsidRDefault="003C2EEE">
            <w:pPr>
              <w:rPr>
                <w:color w:val="000000" w:themeColor="text1"/>
              </w:rPr>
            </w:pPr>
            <w:r>
              <w:rPr>
                <w:rFonts w:hint="eastAsia"/>
                <w:color w:val="000000" w:themeColor="text1"/>
              </w:rPr>
              <w:t>实际核销的应收账款</w:t>
            </w:r>
          </w:p>
        </w:tc>
        <w:tc>
          <w:tcPr>
            <w:tcW w:w="2663" w:type="pct"/>
            <w:vAlign w:val="center"/>
          </w:tcPr>
          <w:p w:rsidR="00597370" w:rsidRDefault="003C2EEE">
            <w:pPr>
              <w:jc w:val="center"/>
            </w:pPr>
            <w:r>
              <w:t>85,711.00</w:t>
            </w:r>
          </w:p>
        </w:tc>
      </w:tr>
    </w:tbl>
    <w:p w:rsidR="00597370" w:rsidRDefault="00597370">
      <w:pPr>
        <w:rPr>
          <w:color w:val="000000" w:themeColor="text1"/>
        </w:rPr>
      </w:pPr>
    </w:p>
    <w:p w:rsidR="00597370" w:rsidRDefault="003C2EEE">
      <w:pPr>
        <w:rPr>
          <w:color w:val="000000" w:themeColor="text1"/>
        </w:rPr>
      </w:pPr>
      <w:r>
        <w:rPr>
          <w:rFonts w:hint="eastAsia"/>
          <w:color w:val="000000" w:themeColor="text1"/>
        </w:rPr>
        <w:t>其中重要的应收账款核销情况</w:t>
      </w:r>
    </w:p>
    <w:sdt>
      <w:sdtPr>
        <w:rPr>
          <w:color w:val="000000" w:themeColor="text1"/>
        </w:rPr>
        <w:alias w:val="是否适用：母公司其中重要的应收账款核销情况[双击切换]"/>
        <w:tag w:val="_GBC_827c9c10930747bc8ba843d89c64f1fb"/>
        <w:id w:val="89902802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应收账款核销说明：</w:t>
      </w:r>
    </w:p>
    <w:sdt>
      <w:sdtPr>
        <w:rPr>
          <w:color w:val="000000" w:themeColor="text1"/>
        </w:rPr>
        <w:alias w:val="是否适用：母公司应收账款核销说明[双击切换]"/>
        <w:tag w:val="_GBC_36d2cef3128f4b3389b38ed29442e2b3"/>
        <w:id w:val="1270581405"/>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115"/>
        </w:numPr>
        <w:ind w:left="426" w:hangingChars="202" w:hanging="426"/>
        <w:rPr>
          <w:color w:val="000000" w:themeColor="text1"/>
        </w:rPr>
      </w:pPr>
      <w:bookmarkStart w:id="420" w:name="_Hlk153789714"/>
      <w:bookmarkStart w:id="421" w:name="_Hlk90023019"/>
      <w:bookmarkStart w:id="422" w:name="_Hlk167981941"/>
      <w:r>
        <w:rPr>
          <w:rFonts w:hint="eastAsia"/>
          <w:color w:val="000000" w:themeColor="text1"/>
        </w:rPr>
        <w:t>按欠款方归集的期末余额前五名的应收账款和合同资产情况</w:t>
      </w:r>
    </w:p>
    <w:sdt>
      <w:sdtPr>
        <w:rPr>
          <w:rFonts w:hint="eastAsia"/>
          <w:color w:val="000000" w:themeColor="text1"/>
        </w:rPr>
        <w:alias w:val="是否适用：按欠款方归集的期末余额前五名的应收账款情况[双击切换]"/>
        <w:tag w:val="_GBC_9395e3af825547b4abf8734a6459492f"/>
        <w:id w:val="1442189328"/>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√适用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jc w:val="right"/>
        <w:rPr>
          <w:color w:val="000000" w:themeColor="text1"/>
        </w:rPr>
      </w:pPr>
      <w:r>
        <w:rPr>
          <w:rFonts w:hint="eastAsia"/>
          <w:color w:val="000000" w:themeColor="text1"/>
        </w:rPr>
        <w:t>单位：</w:t>
      </w:r>
      <w:sdt>
        <w:sdtPr>
          <w:rPr>
            <w:color w:val="000000" w:themeColor="text1"/>
          </w:rPr>
          <w:alias w:val="单位：财务附注：应收账款前五名欠款情况"/>
          <w:tag w:val="_GBC_d6261cbe3c904089bd795ccb3093ee73"/>
          <w:id w:val="198349830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应收账款前五名欠款情况"/>
          <w:tag w:val="_GBC_e64ffa6f9fba457f8f4da7574e1bd056"/>
          <w:id w:val="18307148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758"/>
        <w:gridCol w:w="1301"/>
        <w:gridCol w:w="1686"/>
        <w:gridCol w:w="1302"/>
        <w:gridCol w:w="1476"/>
      </w:tblGrid>
      <w:tr w:rsidR="00597370">
        <w:trPr>
          <w:cantSplit/>
        </w:trPr>
        <w:sdt>
          <w:sdtPr>
            <w:rPr>
              <w:rFonts w:hint="eastAsia"/>
              <w:color w:val="000000" w:themeColor="text1"/>
            </w:rPr>
            <w:tag w:val="_PLD_66e33a7e6be44d5eb2d50643e6237cc4"/>
            <w:id w:val="-2074805619"/>
          </w:sdtPr>
          <w:sdtEndPr/>
          <w:sdtContent>
            <w:tc>
              <w:tcPr>
                <w:tcW w:w="737" w:type="pct"/>
                <w:vAlign w:val="center"/>
              </w:tcPr>
              <w:p w:rsidR="00597370" w:rsidRDefault="003C2EEE">
                <w:pPr>
                  <w:ind w:right="105"/>
                  <w:jc w:val="center"/>
                  <w:rPr>
                    <w:color w:val="000000" w:themeColor="text1"/>
                  </w:rPr>
                </w:pPr>
                <w:r>
                  <w:rPr>
                    <w:rFonts w:hint="eastAsia"/>
                    <w:color w:val="000000" w:themeColor="text1"/>
                  </w:rPr>
                  <w:t>单位名称</w:t>
                </w:r>
              </w:p>
            </w:tc>
          </w:sdtContent>
        </w:sdt>
        <w:sdt>
          <w:sdtPr>
            <w:rPr>
              <w:rFonts w:hint="eastAsia"/>
              <w:color w:val="000000" w:themeColor="text1"/>
            </w:rPr>
            <w:tag w:val="_PLD_e60db498c5ba4a96a970a6ce918e5153"/>
            <w:id w:val="1580098008"/>
          </w:sdtPr>
          <w:sdtEndPr/>
          <w:sdtContent>
            <w:tc>
              <w:tcPr>
                <w:tcW w:w="996" w:type="pct"/>
                <w:vAlign w:val="center"/>
              </w:tcPr>
              <w:p w:rsidR="00597370" w:rsidRDefault="003C2EEE">
                <w:pPr>
                  <w:ind w:right="73"/>
                  <w:jc w:val="center"/>
                  <w:rPr>
                    <w:color w:val="000000" w:themeColor="text1"/>
                  </w:rPr>
                </w:pPr>
                <w:r>
                  <w:rPr>
                    <w:rFonts w:hint="eastAsia"/>
                    <w:color w:val="000000" w:themeColor="text1"/>
                  </w:rPr>
                  <w:t>应收账款期末余额</w:t>
                </w:r>
              </w:p>
            </w:tc>
          </w:sdtContent>
        </w:sdt>
        <w:sdt>
          <w:sdtPr>
            <w:rPr>
              <w:rFonts w:hint="eastAsia"/>
              <w:color w:val="000000" w:themeColor="text1"/>
            </w:rPr>
            <w:tag w:val="_PLD_944b59d1898d47a2b9811200fe8238cc"/>
            <w:id w:val="-265699808"/>
          </w:sdtPr>
          <w:sdtEndPr/>
          <w:sdtContent>
            <w:tc>
              <w:tcPr>
                <w:tcW w:w="737" w:type="pct"/>
                <w:vAlign w:val="center"/>
              </w:tcPr>
              <w:p w:rsidR="00597370" w:rsidRDefault="003C2EEE">
                <w:pPr>
                  <w:jc w:val="center"/>
                  <w:rPr>
                    <w:color w:val="000000" w:themeColor="text1"/>
                  </w:rPr>
                </w:pPr>
                <w:r>
                  <w:rPr>
                    <w:rFonts w:hint="eastAsia"/>
                    <w:color w:val="000000" w:themeColor="text1"/>
                  </w:rPr>
                  <w:t>合同资产期末余额</w:t>
                </w:r>
              </w:p>
            </w:tc>
          </w:sdtContent>
        </w:sdt>
        <w:sdt>
          <w:sdtPr>
            <w:rPr>
              <w:rFonts w:hint="eastAsia"/>
              <w:color w:val="000000" w:themeColor="text1"/>
            </w:rPr>
            <w:tag w:val="_PLD_301be10e795242c58ee556a8cd07660a"/>
            <w:id w:val="1034533881"/>
          </w:sdtPr>
          <w:sdtEndPr/>
          <w:sdtContent>
            <w:tc>
              <w:tcPr>
                <w:tcW w:w="954" w:type="pct"/>
                <w:vAlign w:val="center"/>
              </w:tcPr>
              <w:p w:rsidR="00597370" w:rsidRDefault="003C2EEE">
                <w:pPr>
                  <w:jc w:val="center"/>
                  <w:rPr>
                    <w:color w:val="000000" w:themeColor="text1"/>
                  </w:rPr>
                </w:pPr>
                <w:r>
                  <w:rPr>
                    <w:rFonts w:hint="eastAsia"/>
                    <w:color w:val="000000" w:themeColor="text1"/>
                  </w:rPr>
                  <w:t>应收账款和合同资产期末余额</w:t>
                </w:r>
              </w:p>
            </w:tc>
          </w:sdtContent>
        </w:sdt>
        <w:sdt>
          <w:sdtPr>
            <w:rPr>
              <w:rFonts w:hint="eastAsia"/>
              <w:color w:val="000000" w:themeColor="text1"/>
            </w:rPr>
            <w:tag w:val="_PLD_9d7daec6d6fe4a5d9c133a5c71d1c062"/>
            <w:id w:val="-1690744326"/>
          </w:sdtPr>
          <w:sdtEndPr/>
          <w:sdtContent>
            <w:tc>
              <w:tcPr>
                <w:tcW w:w="738" w:type="pct"/>
                <w:vAlign w:val="center"/>
              </w:tcPr>
              <w:p w:rsidR="00597370" w:rsidRDefault="003C2EEE">
                <w:pPr>
                  <w:jc w:val="center"/>
                  <w:rPr>
                    <w:color w:val="000000" w:themeColor="text1"/>
                  </w:rPr>
                </w:pPr>
                <w:r>
                  <w:rPr>
                    <w:rFonts w:hint="eastAsia"/>
                    <w:color w:val="000000" w:themeColor="text1"/>
                  </w:rPr>
                  <w:t>占应收账款和合同资产期末余额合计数的比例（%）</w:t>
                </w:r>
              </w:p>
            </w:tc>
          </w:sdtContent>
        </w:sdt>
        <w:sdt>
          <w:sdtPr>
            <w:rPr>
              <w:rFonts w:hint="eastAsia"/>
              <w:color w:val="000000" w:themeColor="text1"/>
            </w:rPr>
            <w:tag w:val="_PLD_50b08561bfef4171ad4e74488b9eb0c0"/>
            <w:id w:val="1520892947"/>
          </w:sdtPr>
          <w:sdtEndPr/>
          <w:sdtContent>
            <w:tc>
              <w:tcPr>
                <w:tcW w:w="836" w:type="pct"/>
                <w:vAlign w:val="center"/>
              </w:tcPr>
              <w:p w:rsidR="00597370" w:rsidRDefault="003C2EEE">
                <w:pPr>
                  <w:jc w:val="center"/>
                  <w:rPr>
                    <w:color w:val="000000" w:themeColor="text1"/>
                  </w:rPr>
                </w:pPr>
                <w:r>
                  <w:rPr>
                    <w:rFonts w:hint="eastAsia"/>
                    <w:color w:val="000000" w:themeColor="text1"/>
                  </w:rPr>
                  <w:t>坏账准备期末余额</w:t>
                </w:r>
              </w:p>
            </w:tc>
          </w:sdtContent>
        </w:sdt>
      </w:tr>
      <w:tr w:rsidR="00597370">
        <w:trPr>
          <w:cantSplit/>
        </w:trPr>
        <w:tc>
          <w:tcPr>
            <w:tcW w:w="737" w:type="pct"/>
            <w:vAlign w:val="center"/>
          </w:tcPr>
          <w:p w:rsidR="00597370" w:rsidRDefault="003C2EEE">
            <w:pPr>
              <w:ind w:right="105"/>
            </w:pPr>
            <w:r>
              <w:rPr>
                <w:rFonts w:hint="eastAsia"/>
                <w:color w:val="000000"/>
                <w:sz w:val="22"/>
                <w:szCs w:val="22"/>
              </w:rPr>
              <w:t>母公司前五应收账款单位1</w:t>
            </w:r>
          </w:p>
        </w:tc>
        <w:tc>
          <w:tcPr>
            <w:tcW w:w="996" w:type="pct"/>
            <w:vAlign w:val="bottom"/>
          </w:tcPr>
          <w:p w:rsidR="00597370" w:rsidRDefault="003C2EEE">
            <w:pPr>
              <w:jc w:val="right"/>
              <w:textAlignment w:val="center"/>
            </w:pPr>
            <w:r>
              <w:rPr>
                <w:rFonts w:hint="eastAsia"/>
                <w:color w:val="000000"/>
                <w:sz w:val="22"/>
                <w:szCs w:val="22"/>
                <w:lang w:bidi="ar"/>
              </w:rPr>
              <w:t xml:space="preserve"> 34,812,523.30 </w:t>
            </w:r>
          </w:p>
        </w:tc>
        <w:tc>
          <w:tcPr>
            <w:tcW w:w="737" w:type="pct"/>
            <w:vAlign w:val="bottom"/>
          </w:tcPr>
          <w:p w:rsidR="00597370" w:rsidRDefault="00597370">
            <w:pPr>
              <w:jc w:val="right"/>
            </w:pPr>
          </w:p>
        </w:tc>
        <w:tc>
          <w:tcPr>
            <w:tcW w:w="1728" w:type="dxa"/>
            <w:vAlign w:val="bottom"/>
          </w:tcPr>
          <w:p w:rsidR="00597370" w:rsidRDefault="003C2EEE">
            <w:pPr>
              <w:jc w:val="right"/>
              <w:textAlignment w:val="center"/>
            </w:pPr>
            <w:r>
              <w:rPr>
                <w:rFonts w:hint="eastAsia"/>
                <w:color w:val="000000"/>
                <w:sz w:val="22"/>
                <w:szCs w:val="22"/>
                <w:lang w:bidi="ar"/>
              </w:rPr>
              <w:t xml:space="preserve">34,812,523.30 </w:t>
            </w:r>
          </w:p>
        </w:tc>
        <w:tc>
          <w:tcPr>
            <w:tcW w:w="1336" w:type="dxa"/>
            <w:vAlign w:val="bottom"/>
          </w:tcPr>
          <w:p w:rsidR="00597370" w:rsidRDefault="003C2EEE">
            <w:pPr>
              <w:jc w:val="right"/>
              <w:textAlignment w:val="center"/>
            </w:pPr>
            <w:r>
              <w:rPr>
                <w:rFonts w:hint="eastAsia"/>
                <w:color w:val="000000"/>
                <w:sz w:val="22"/>
                <w:szCs w:val="22"/>
                <w:lang w:bidi="ar"/>
              </w:rPr>
              <w:t xml:space="preserve"> 3.19 </w:t>
            </w:r>
          </w:p>
        </w:tc>
        <w:tc>
          <w:tcPr>
            <w:tcW w:w="836" w:type="pct"/>
            <w:vAlign w:val="bottom"/>
          </w:tcPr>
          <w:p w:rsidR="00597370" w:rsidRDefault="00597370">
            <w:pPr>
              <w:jc w:val="right"/>
            </w:pPr>
          </w:p>
        </w:tc>
      </w:tr>
      <w:tr w:rsidR="00597370">
        <w:trPr>
          <w:cantSplit/>
        </w:trPr>
        <w:tc>
          <w:tcPr>
            <w:tcW w:w="737" w:type="pct"/>
            <w:vAlign w:val="center"/>
          </w:tcPr>
          <w:p w:rsidR="00597370" w:rsidRDefault="003C2EEE">
            <w:pPr>
              <w:ind w:right="105"/>
            </w:pPr>
            <w:r>
              <w:rPr>
                <w:rFonts w:hint="eastAsia"/>
                <w:color w:val="000000"/>
                <w:sz w:val="22"/>
                <w:szCs w:val="22"/>
              </w:rPr>
              <w:t>母公司前五应收账款单位2</w:t>
            </w:r>
          </w:p>
        </w:tc>
        <w:tc>
          <w:tcPr>
            <w:tcW w:w="996" w:type="pct"/>
            <w:vAlign w:val="bottom"/>
          </w:tcPr>
          <w:p w:rsidR="00597370" w:rsidRDefault="003C2EEE">
            <w:pPr>
              <w:jc w:val="right"/>
              <w:textAlignment w:val="center"/>
            </w:pPr>
            <w:r>
              <w:rPr>
                <w:rFonts w:hint="eastAsia"/>
                <w:color w:val="000000"/>
                <w:sz w:val="22"/>
                <w:szCs w:val="22"/>
                <w:lang w:bidi="ar"/>
              </w:rPr>
              <w:t xml:space="preserve"> 25,999,543.24 </w:t>
            </w:r>
          </w:p>
        </w:tc>
        <w:tc>
          <w:tcPr>
            <w:tcW w:w="737" w:type="pct"/>
            <w:vAlign w:val="bottom"/>
          </w:tcPr>
          <w:p w:rsidR="00597370" w:rsidRDefault="00597370">
            <w:pPr>
              <w:jc w:val="right"/>
            </w:pPr>
          </w:p>
        </w:tc>
        <w:tc>
          <w:tcPr>
            <w:tcW w:w="1728" w:type="dxa"/>
            <w:vAlign w:val="bottom"/>
          </w:tcPr>
          <w:p w:rsidR="00597370" w:rsidRDefault="003C2EEE">
            <w:pPr>
              <w:jc w:val="right"/>
              <w:textAlignment w:val="center"/>
            </w:pPr>
            <w:r>
              <w:rPr>
                <w:rFonts w:hint="eastAsia"/>
                <w:color w:val="000000"/>
                <w:sz w:val="22"/>
                <w:szCs w:val="22"/>
                <w:lang w:bidi="ar"/>
              </w:rPr>
              <w:t xml:space="preserve">25,999,543.24 </w:t>
            </w:r>
          </w:p>
        </w:tc>
        <w:tc>
          <w:tcPr>
            <w:tcW w:w="1336" w:type="dxa"/>
            <w:vAlign w:val="bottom"/>
          </w:tcPr>
          <w:p w:rsidR="00597370" w:rsidRDefault="003C2EEE">
            <w:pPr>
              <w:jc w:val="right"/>
              <w:textAlignment w:val="center"/>
            </w:pPr>
            <w:r>
              <w:rPr>
                <w:rFonts w:hint="eastAsia"/>
                <w:color w:val="000000"/>
                <w:sz w:val="22"/>
                <w:szCs w:val="22"/>
                <w:lang w:bidi="ar"/>
              </w:rPr>
              <w:t xml:space="preserve"> 2.38 </w:t>
            </w:r>
          </w:p>
        </w:tc>
        <w:tc>
          <w:tcPr>
            <w:tcW w:w="1513" w:type="dxa"/>
            <w:vAlign w:val="bottom"/>
          </w:tcPr>
          <w:p w:rsidR="00597370" w:rsidRDefault="003C2EEE">
            <w:pPr>
              <w:jc w:val="center"/>
              <w:textAlignment w:val="center"/>
            </w:pPr>
            <w:r>
              <w:rPr>
                <w:rFonts w:hint="eastAsia"/>
                <w:color w:val="000000"/>
                <w:lang w:bidi="ar"/>
              </w:rPr>
              <w:t xml:space="preserve">1,718,187.92 </w:t>
            </w:r>
          </w:p>
        </w:tc>
      </w:tr>
      <w:tr w:rsidR="00597370">
        <w:trPr>
          <w:cantSplit/>
        </w:trPr>
        <w:tc>
          <w:tcPr>
            <w:tcW w:w="737" w:type="pct"/>
            <w:vAlign w:val="center"/>
          </w:tcPr>
          <w:p w:rsidR="00597370" w:rsidRDefault="003C2EEE">
            <w:pPr>
              <w:ind w:right="105"/>
            </w:pPr>
            <w:r>
              <w:rPr>
                <w:rFonts w:hint="eastAsia"/>
                <w:color w:val="000000"/>
                <w:sz w:val="22"/>
                <w:szCs w:val="22"/>
              </w:rPr>
              <w:t>母公司前五应收账款单位3</w:t>
            </w:r>
          </w:p>
        </w:tc>
        <w:tc>
          <w:tcPr>
            <w:tcW w:w="996" w:type="pct"/>
            <w:vAlign w:val="bottom"/>
          </w:tcPr>
          <w:p w:rsidR="00597370" w:rsidRDefault="003C2EEE">
            <w:pPr>
              <w:jc w:val="right"/>
              <w:textAlignment w:val="center"/>
            </w:pPr>
            <w:r>
              <w:rPr>
                <w:rFonts w:hint="eastAsia"/>
                <w:color w:val="000000"/>
                <w:sz w:val="22"/>
                <w:szCs w:val="22"/>
                <w:lang w:bidi="ar"/>
              </w:rPr>
              <w:t xml:space="preserve"> 24,600,213.00 </w:t>
            </w:r>
          </w:p>
        </w:tc>
        <w:tc>
          <w:tcPr>
            <w:tcW w:w="737" w:type="pct"/>
            <w:vAlign w:val="bottom"/>
          </w:tcPr>
          <w:p w:rsidR="00597370" w:rsidRDefault="00597370">
            <w:pPr>
              <w:jc w:val="right"/>
            </w:pPr>
          </w:p>
        </w:tc>
        <w:tc>
          <w:tcPr>
            <w:tcW w:w="1728" w:type="dxa"/>
            <w:vAlign w:val="bottom"/>
          </w:tcPr>
          <w:p w:rsidR="00597370" w:rsidRDefault="003C2EEE">
            <w:pPr>
              <w:jc w:val="right"/>
              <w:textAlignment w:val="center"/>
            </w:pPr>
            <w:r>
              <w:rPr>
                <w:rFonts w:hint="eastAsia"/>
                <w:color w:val="000000"/>
                <w:sz w:val="22"/>
                <w:szCs w:val="22"/>
                <w:lang w:bidi="ar"/>
              </w:rPr>
              <w:t xml:space="preserve">24,600,213.00 </w:t>
            </w:r>
          </w:p>
        </w:tc>
        <w:tc>
          <w:tcPr>
            <w:tcW w:w="1336" w:type="dxa"/>
            <w:vAlign w:val="bottom"/>
          </w:tcPr>
          <w:p w:rsidR="00597370" w:rsidRDefault="003C2EEE">
            <w:pPr>
              <w:jc w:val="right"/>
              <w:textAlignment w:val="center"/>
            </w:pPr>
            <w:r>
              <w:rPr>
                <w:rFonts w:hint="eastAsia"/>
                <w:color w:val="000000"/>
                <w:sz w:val="22"/>
                <w:szCs w:val="22"/>
                <w:lang w:bidi="ar"/>
              </w:rPr>
              <w:t xml:space="preserve"> 2.25 </w:t>
            </w:r>
          </w:p>
        </w:tc>
        <w:tc>
          <w:tcPr>
            <w:tcW w:w="1513" w:type="dxa"/>
            <w:vAlign w:val="bottom"/>
          </w:tcPr>
          <w:p w:rsidR="00597370" w:rsidRDefault="003C2EEE">
            <w:pPr>
              <w:jc w:val="right"/>
              <w:textAlignment w:val="center"/>
            </w:pPr>
            <w:r>
              <w:rPr>
                <w:rFonts w:hint="eastAsia"/>
                <w:color w:val="000000"/>
                <w:lang w:bidi="ar"/>
              </w:rPr>
              <w:t xml:space="preserve">1,230,010.65 </w:t>
            </w:r>
          </w:p>
        </w:tc>
      </w:tr>
      <w:tr w:rsidR="00597370">
        <w:trPr>
          <w:cantSplit/>
        </w:trPr>
        <w:tc>
          <w:tcPr>
            <w:tcW w:w="737" w:type="pct"/>
            <w:vAlign w:val="center"/>
          </w:tcPr>
          <w:p w:rsidR="00597370" w:rsidRDefault="003C2EEE">
            <w:pPr>
              <w:ind w:right="105"/>
            </w:pPr>
            <w:r>
              <w:rPr>
                <w:rFonts w:hint="eastAsia"/>
                <w:color w:val="000000"/>
                <w:sz w:val="22"/>
                <w:szCs w:val="22"/>
              </w:rPr>
              <w:t>母公司前五应收账款单位4</w:t>
            </w:r>
          </w:p>
        </w:tc>
        <w:tc>
          <w:tcPr>
            <w:tcW w:w="996" w:type="pct"/>
            <w:vAlign w:val="bottom"/>
          </w:tcPr>
          <w:p w:rsidR="00597370" w:rsidRDefault="003C2EEE">
            <w:pPr>
              <w:jc w:val="right"/>
              <w:textAlignment w:val="center"/>
            </w:pPr>
            <w:r>
              <w:rPr>
                <w:rFonts w:hint="eastAsia"/>
                <w:color w:val="000000"/>
                <w:sz w:val="22"/>
                <w:szCs w:val="22"/>
                <w:lang w:bidi="ar"/>
              </w:rPr>
              <w:t xml:space="preserve"> 20,236,474.30 </w:t>
            </w:r>
          </w:p>
        </w:tc>
        <w:tc>
          <w:tcPr>
            <w:tcW w:w="737" w:type="pct"/>
            <w:vAlign w:val="bottom"/>
          </w:tcPr>
          <w:p w:rsidR="00597370" w:rsidRDefault="00597370">
            <w:pPr>
              <w:jc w:val="right"/>
            </w:pPr>
          </w:p>
        </w:tc>
        <w:tc>
          <w:tcPr>
            <w:tcW w:w="1728" w:type="dxa"/>
            <w:vAlign w:val="bottom"/>
          </w:tcPr>
          <w:p w:rsidR="00597370" w:rsidRDefault="003C2EEE">
            <w:pPr>
              <w:jc w:val="right"/>
              <w:textAlignment w:val="center"/>
            </w:pPr>
            <w:r>
              <w:rPr>
                <w:rFonts w:hint="eastAsia"/>
                <w:color w:val="000000"/>
                <w:sz w:val="22"/>
                <w:szCs w:val="22"/>
                <w:lang w:bidi="ar"/>
              </w:rPr>
              <w:t xml:space="preserve">20,236,474.30 </w:t>
            </w:r>
          </w:p>
        </w:tc>
        <w:tc>
          <w:tcPr>
            <w:tcW w:w="1336" w:type="dxa"/>
            <w:vAlign w:val="bottom"/>
          </w:tcPr>
          <w:p w:rsidR="00597370" w:rsidRDefault="003C2EEE">
            <w:pPr>
              <w:jc w:val="right"/>
              <w:textAlignment w:val="center"/>
            </w:pPr>
            <w:r>
              <w:rPr>
                <w:rFonts w:hint="eastAsia"/>
                <w:color w:val="000000"/>
                <w:sz w:val="22"/>
                <w:szCs w:val="22"/>
                <w:lang w:bidi="ar"/>
              </w:rPr>
              <w:t xml:space="preserve"> 1.85 </w:t>
            </w:r>
          </w:p>
        </w:tc>
        <w:tc>
          <w:tcPr>
            <w:tcW w:w="1513" w:type="dxa"/>
            <w:vAlign w:val="bottom"/>
          </w:tcPr>
          <w:p w:rsidR="00597370" w:rsidRDefault="003C2EEE">
            <w:pPr>
              <w:jc w:val="right"/>
              <w:textAlignment w:val="center"/>
            </w:pPr>
            <w:r>
              <w:rPr>
                <w:rFonts w:hint="eastAsia"/>
                <w:color w:val="000000"/>
                <w:lang w:bidi="ar"/>
              </w:rPr>
              <w:t xml:space="preserve">1,011,823.72 </w:t>
            </w:r>
          </w:p>
        </w:tc>
      </w:tr>
      <w:tr w:rsidR="00597370">
        <w:trPr>
          <w:cantSplit/>
        </w:trPr>
        <w:tc>
          <w:tcPr>
            <w:tcW w:w="737" w:type="pct"/>
            <w:vAlign w:val="center"/>
          </w:tcPr>
          <w:p w:rsidR="00597370" w:rsidRDefault="003C2EEE">
            <w:pPr>
              <w:ind w:right="105"/>
            </w:pPr>
            <w:r>
              <w:rPr>
                <w:rFonts w:hint="eastAsia"/>
                <w:color w:val="000000"/>
                <w:sz w:val="22"/>
                <w:szCs w:val="22"/>
              </w:rPr>
              <w:t>母公司前五应收账款单位5</w:t>
            </w:r>
          </w:p>
        </w:tc>
        <w:tc>
          <w:tcPr>
            <w:tcW w:w="996" w:type="pct"/>
            <w:vAlign w:val="bottom"/>
          </w:tcPr>
          <w:p w:rsidR="00597370" w:rsidRDefault="003C2EEE">
            <w:pPr>
              <w:jc w:val="right"/>
              <w:textAlignment w:val="center"/>
            </w:pPr>
            <w:r>
              <w:rPr>
                <w:rFonts w:hint="eastAsia"/>
                <w:color w:val="000000"/>
                <w:sz w:val="22"/>
                <w:szCs w:val="22"/>
                <w:lang w:bidi="ar"/>
              </w:rPr>
              <w:t xml:space="preserve"> 16,997,324.69 </w:t>
            </w:r>
          </w:p>
        </w:tc>
        <w:tc>
          <w:tcPr>
            <w:tcW w:w="737" w:type="pct"/>
            <w:vAlign w:val="bottom"/>
          </w:tcPr>
          <w:p w:rsidR="00597370" w:rsidRDefault="00597370">
            <w:pPr>
              <w:jc w:val="right"/>
            </w:pPr>
          </w:p>
        </w:tc>
        <w:tc>
          <w:tcPr>
            <w:tcW w:w="1728" w:type="dxa"/>
            <w:vAlign w:val="bottom"/>
          </w:tcPr>
          <w:p w:rsidR="00597370" w:rsidRDefault="003C2EEE">
            <w:pPr>
              <w:jc w:val="right"/>
              <w:textAlignment w:val="center"/>
            </w:pPr>
            <w:r>
              <w:rPr>
                <w:rFonts w:hint="eastAsia"/>
                <w:color w:val="000000"/>
                <w:sz w:val="22"/>
                <w:szCs w:val="22"/>
                <w:lang w:bidi="ar"/>
              </w:rPr>
              <w:t xml:space="preserve">16,997,324.69 </w:t>
            </w:r>
          </w:p>
        </w:tc>
        <w:tc>
          <w:tcPr>
            <w:tcW w:w="1336" w:type="dxa"/>
            <w:vAlign w:val="bottom"/>
          </w:tcPr>
          <w:p w:rsidR="00597370" w:rsidRDefault="003C2EEE">
            <w:pPr>
              <w:jc w:val="right"/>
              <w:textAlignment w:val="center"/>
            </w:pPr>
            <w:r>
              <w:rPr>
                <w:rFonts w:hint="eastAsia"/>
                <w:color w:val="000000"/>
                <w:sz w:val="22"/>
                <w:szCs w:val="22"/>
                <w:lang w:bidi="ar"/>
              </w:rPr>
              <w:t xml:space="preserve"> 1.56 </w:t>
            </w:r>
          </w:p>
        </w:tc>
        <w:tc>
          <w:tcPr>
            <w:tcW w:w="1513" w:type="dxa"/>
            <w:vAlign w:val="bottom"/>
          </w:tcPr>
          <w:p w:rsidR="00597370" w:rsidRDefault="003C2EEE">
            <w:pPr>
              <w:jc w:val="right"/>
              <w:textAlignment w:val="center"/>
            </w:pPr>
            <w:r>
              <w:rPr>
                <w:rFonts w:hint="eastAsia"/>
                <w:color w:val="000000"/>
                <w:lang w:bidi="ar"/>
              </w:rPr>
              <w:t xml:space="preserve">1,016,986.62 </w:t>
            </w:r>
          </w:p>
        </w:tc>
      </w:tr>
      <w:tr w:rsidR="00597370">
        <w:trPr>
          <w:cantSplit/>
        </w:trPr>
        <w:tc>
          <w:tcPr>
            <w:tcW w:w="737" w:type="pct"/>
          </w:tcPr>
          <w:p w:rsidR="00597370" w:rsidRDefault="003C2EEE">
            <w:pPr>
              <w:ind w:right="105"/>
              <w:jc w:val="center"/>
              <w:rPr>
                <w:color w:val="000000" w:themeColor="text1"/>
              </w:rPr>
            </w:pPr>
            <w:r>
              <w:rPr>
                <w:rFonts w:hint="eastAsia"/>
                <w:color w:val="000000" w:themeColor="text1"/>
              </w:rPr>
              <w:t>合计</w:t>
            </w:r>
          </w:p>
        </w:tc>
        <w:tc>
          <w:tcPr>
            <w:tcW w:w="996" w:type="pct"/>
            <w:shd w:val="clear" w:color="auto" w:fill="auto"/>
            <w:vAlign w:val="bottom"/>
          </w:tcPr>
          <w:p w:rsidR="00597370" w:rsidRDefault="003C2EEE">
            <w:pPr>
              <w:jc w:val="right"/>
              <w:textAlignment w:val="center"/>
              <w:rPr>
                <w:color w:val="000000"/>
              </w:rPr>
            </w:pPr>
            <w:r>
              <w:rPr>
                <w:rFonts w:hint="eastAsia"/>
                <w:color w:val="000000"/>
                <w:lang w:bidi="ar"/>
              </w:rPr>
              <w:t>122,646,078.53</w:t>
            </w:r>
          </w:p>
        </w:tc>
        <w:tc>
          <w:tcPr>
            <w:tcW w:w="737" w:type="pct"/>
            <w:vAlign w:val="bottom"/>
          </w:tcPr>
          <w:p w:rsidR="00597370" w:rsidRDefault="00597370">
            <w:pPr>
              <w:jc w:val="right"/>
            </w:pPr>
          </w:p>
        </w:tc>
        <w:tc>
          <w:tcPr>
            <w:tcW w:w="1728" w:type="dxa"/>
            <w:vAlign w:val="bottom"/>
          </w:tcPr>
          <w:p w:rsidR="00597370" w:rsidRDefault="003C2EEE">
            <w:pPr>
              <w:jc w:val="right"/>
              <w:textAlignment w:val="center"/>
            </w:pPr>
            <w:r>
              <w:rPr>
                <w:rFonts w:hint="eastAsia"/>
                <w:color w:val="000000"/>
                <w:lang w:bidi="ar"/>
              </w:rPr>
              <w:t>122,646,078.53</w:t>
            </w:r>
          </w:p>
        </w:tc>
        <w:tc>
          <w:tcPr>
            <w:tcW w:w="1336" w:type="dxa"/>
            <w:vAlign w:val="bottom"/>
          </w:tcPr>
          <w:p w:rsidR="00597370" w:rsidRDefault="003C2EEE">
            <w:pPr>
              <w:jc w:val="right"/>
              <w:textAlignment w:val="center"/>
            </w:pPr>
            <w:r>
              <w:rPr>
                <w:rFonts w:hint="eastAsia"/>
                <w:color w:val="000000"/>
                <w:sz w:val="22"/>
                <w:szCs w:val="22"/>
                <w:lang w:bidi="ar"/>
              </w:rPr>
              <w:t xml:space="preserve"> 11.22 </w:t>
            </w:r>
          </w:p>
        </w:tc>
        <w:tc>
          <w:tcPr>
            <w:tcW w:w="1513" w:type="dxa"/>
            <w:vAlign w:val="bottom"/>
          </w:tcPr>
          <w:p w:rsidR="00597370" w:rsidRDefault="003C2EEE">
            <w:pPr>
              <w:jc w:val="right"/>
              <w:textAlignment w:val="center"/>
            </w:pPr>
            <w:r>
              <w:rPr>
                <w:rFonts w:hint="eastAsia"/>
                <w:color w:val="000000"/>
                <w:lang w:bidi="ar"/>
              </w:rPr>
              <w:t xml:space="preserve">4,977,008.91 </w:t>
            </w:r>
          </w:p>
        </w:tc>
      </w:tr>
    </w:tbl>
    <w:p w:rsidR="00597370" w:rsidRDefault="003C2EEE">
      <w:pPr>
        <w:snapToGrid w:val="0"/>
        <w:spacing w:line="240" w:lineRule="atLeast"/>
        <w:rPr>
          <w:color w:val="000000" w:themeColor="text1"/>
        </w:rPr>
      </w:pPr>
      <w:r>
        <w:rPr>
          <w:rFonts w:hint="eastAsia"/>
          <w:color w:val="000000" w:themeColor="text1"/>
        </w:rPr>
        <w:t>其他说明</w:t>
      </w:r>
    </w:p>
    <w:sdt>
      <w:sdtPr>
        <w:rPr>
          <w:color w:val="000000" w:themeColor="text1"/>
        </w:rPr>
        <w:alias w:val="按欠款方归集的期末余额前五名的应收账款情况的说明"/>
        <w:tag w:val="_GBC_60ef1597b00c4872bb998837689ad316"/>
        <w:id w:val="-617218764"/>
        <w:placeholder>
          <w:docPart w:val="GBC22222222222222222222222222222"/>
        </w:placeholder>
      </w:sdtPr>
      <w:sdtEndPr/>
      <w:sdtContent>
        <w:p w:rsidR="00597370" w:rsidRDefault="003C2EEE">
          <w:pPr>
            <w:snapToGrid w:val="0"/>
            <w:spacing w:line="240" w:lineRule="atLeast"/>
            <w:rPr>
              <w:color w:val="000000" w:themeColor="text1"/>
            </w:rPr>
          </w:pPr>
          <w:r>
            <w:rPr>
              <w:rFonts w:hint="eastAsia"/>
              <w:color w:val="000000" w:themeColor="text1"/>
            </w:rPr>
            <w:t>无</w:t>
          </w:r>
        </w:p>
      </w:sdtContent>
    </w:sdt>
    <w:bookmarkEnd w:id="420"/>
    <w:bookmarkEnd w:id="421"/>
    <w:bookmarkEnd w:id="422"/>
    <w:p w:rsidR="00597370" w:rsidRDefault="003C2EEE">
      <w:pPr>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母公司应收账款其他说明[双击切换]"/>
        <w:tag w:val="_GBC_22a2c0a255e04aacadf1c076323bc980"/>
        <w:id w:val="325708769"/>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4"/>
        </w:numPr>
        <w:rPr>
          <w:rFonts w:ascii="宋体" w:hAnsi="宋体"/>
          <w:color w:val="000000" w:themeColor="text1"/>
          <w:szCs w:val="21"/>
        </w:rPr>
      </w:pPr>
      <w:r>
        <w:rPr>
          <w:rFonts w:ascii="宋体" w:hAnsi="宋体" w:hint="eastAsia"/>
          <w:color w:val="000000" w:themeColor="text1"/>
          <w:szCs w:val="21"/>
        </w:rPr>
        <w:t>其他应收款</w:t>
      </w:r>
    </w:p>
    <w:p w:rsidR="00597370" w:rsidRDefault="003C2EEE">
      <w:pPr>
        <w:pStyle w:val="Style110"/>
        <w:rPr>
          <w:rFonts w:ascii="宋体" w:hAnsi="宋体"/>
          <w:color w:val="000000" w:themeColor="text1"/>
        </w:rPr>
      </w:pPr>
      <w:bookmarkStart w:id="423" w:name="_Hlk10546944"/>
      <w:r>
        <w:rPr>
          <w:rFonts w:ascii="宋体" w:hAnsi="宋体" w:hint="eastAsia"/>
          <w:color w:val="000000" w:themeColor="text1"/>
        </w:rPr>
        <w:t>项目列示</w:t>
      </w:r>
    </w:p>
    <w:sdt>
      <w:sdtPr>
        <w:rPr>
          <w:color w:val="000000" w:themeColor="text1"/>
        </w:rPr>
        <w:alias w:val="是否适用：母公司其他应收款分类列示[双击切换]"/>
        <w:tag w:val="_GBC_529e259f053b47d993fd4e3216204522"/>
        <w:id w:val="203545414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lastRenderedPageBreak/>
        <w:t>单位：</w:t>
      </w:r>
      <w:sdt>
        <w:sdtPr>
          <w:rPr>
            <w:rFonts w:hint="eastAsia"/>
            <w:color w:val="000000" w:themeColor="text1"/>
          </w:rPr>
          <w:alias w:val="单位：母公司其他应收款分类列示"/>
          <w:tag w:val="_GBC_306e86db57e64b00a9602dc7cbf81457"/>
          <w:id w:val="7188576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其他应收款分类列示"/>
          <w:tag w:val="_GBC_cd5866350ae3491e87e9f82a7ed2a7c3"/>
          <w:id w:val="20218909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113"/>
        <w:gridCol w:w="2862"/>
        <w:gridCol w:w="2848"/>
      </w:tblGrid>
      <w:tr w:rsidR="00597370">
        <w:trPr>
          <w:cantSplit/>
        </w:trPr>
        <w:sdt>
          <w:sdtPr>
            <w:rPr>
              <w:color w:val="000000" w:themeColor="text1"/>
            </w:rPr>
            <w:tag w:val="_PLD_9b14d51b79194bdea749a527966a0a2e"/>
            <w:id w:val="2084255310"/>
          </w:sdtPr>
          <w:sdtEndPr/>
          <w:sdtContent>
            <w:tc>
              <w:tcPr>
                <w:tcW w:w="1764" w:type="pct"/>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1dd12447c07a4bf5b8eef82f2f9f5577"/>
            <w:id w:val="-1763441924"/>
          </w:sdtPr>
          <w:sdtEndPr/>
          <w:sdtContent>
            <w:tc>
              <w:tcPr>
                <w:tcW w:w="1622" w:type="pct"/>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2701e42352ac4ea1ae4d64adf5d28e89"/>
            <w:id w:val="-797222189"/>
          </w:sdtPr>
          <w:sdtEndPr/>
          <w:sdtContent>
            <w:tc>
              <w:tcPr>
                <w:tcW w:w="1614" w:type="pct"/>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cantSplit/>
        </w:trPr>
        <w:tc>
          <w:tcPr>
            <w:tcW w:w="1764" w:type="pct"/>
          </w:tcPr>
          <w:p w:rsidR="00597370" w:rsidRDefault="003C2EEE">
            <w:pPr>
              <w:ind w:right="5"/>
              <w:rPr>
                <w:color w:val="000000" w:themeColor="text1"/>
              </w:rPr>
            </w:pPr>
            <w:r>
              <w:rPr>
                <w:rFonts w:hint="eastAsia"/>
                <w:color w:val="000000" w:themeColor="text1"/>
              </w:rPr>
              <w:t>其他应收款</w:t>
            </w:r>
          </w:p>
        </w:tc>
        <w:tc>
          <w:tcPr>
            <w:tcW w:w="1622" w:type="pct"/>
          </w:tcPr>
          <w:p w:rsidR="00597370" w:rsidRDefault="003C2EEE">
            <w:pPr>
              <w:ind w:right="5"/>
              <w:jc w:val="right"/>
            </w:pPr>
            <w:r>
              <w:rPr>
                <w:rFonts w:hint="eastAsia"/>
                <w:color w:val="000000"/>
              </w:rPr>
              <w:t>743,433,406.56</w:t>
            </w:r>
          </w:p>
        </w:tc>
        <w:tc>
          <w:tcPr>
            <w:tcW w:w="1614" w:type="pct"/>
          </w:tcPr>
          <w:p w:rsidR="00597370" w:rsidRDefault="003C2EEE">
            <w:pPr>
              <w:ind w:right="5"/>
              <w:jc w:val="right"/>
            </w:pPr>
            <w:r>
              <w:t>60,395,553.44</w:t>
            </w:r>
          </w:p>
        </w:tc>
      </w:tr>
      <w:tr w:rsidR="00597370">
        <w:trPr>
          <w:cantSplit/>
        </w:trPr>
        <w:tc>
          <w:tcPr>
            <w:tcW w:w="1764" w:type="pct"/>
            <w:vAlign w:val="center"/>
          </w:tcPr>
          <w:p w:rsidR="00597370" w:rsidRDefault="003C2EEE">
            <w:pPr>
              <w:autoSpaceDE w:val="0"/>
              <w:autoSpaceDN w:val="0"/>
              <w:adjustRightInd w:val="0"/>
              <w:rPr>
                <w:color w:val="000000" w:themeColor="text1"/>
              </w:rPr>
            </w:pPr>
            <w:r>
              <w:rPr>
                <w:rFonts w:hint="eastAsia"/>
                <w:color w:val="000000" w:themeColor="text1"/>
              </w:rPr>
              <w:t>合计</w:t>
            </w:r>
          </w:p>
        </w:tc>
        <w:tc>
          <w:tcPr>
            <w:tcW w:w="1622" w:type="pct"/>
          </w:tcPr>
          <w:p w:rsidR="00597370" w:rsidRDefault="003C2EEE">
            <w:pPr>
              <w:jc w:val="right"/>
            </w:pPr>
            <w:r>
              <w:rPr>
                <w:rFonts w:hint="eastAsia"/>
                <w:color w:val="000000"/>
              </w:rPr>
              <w:t>743,433,406.56</w:t>
            </w:r>
          </w:p>
        </w:tc>
        <w:tc>
          <w:tcPr>
            <w:tcW w:w="1614" w:type="pct"/>
          </w:tcPr>
          <w:p w:rsidR="00597370" w:rsidRDefault="003C2EEE">
            <w:pPr>
              <w:jc w:val="right"/>
            </w:pPr>
            <w:r>
              <w:t>60,395,553.44</w:t>
            </w:r>
          </w:p>
        </w:tc>
      </w:tr>
    </w:tbl>
    <w:p w:rsidR="00597370" w:rsidRDefault="00597370">
      <w:pPr>
        <w:rPr>
          <w:color w:val="000000" w:themeColor="text1"/>
        </w:rPr>
      </w:pPr>
    </w:p>
    <w:p w:rsidR="00597370" w:rsidRDefault="003C2EEE">
      <w:pPr>
        <w:rPr>
          <w:color w:val="000000" w:themeColor="text1"/>
        </w:rPr>
      </w:pPr>
      <w:bookmarkStart w:id="424" w:name="_Hlk533797002"/>
      <w:r>
        <w:rPr>
          <w:rFonts w:hint="eastAsia"/>
          <w:color w:val="000000" w:themeColor="text1"/>
        </w:rPr>
        <w:t>其他说明：</w:t>
      </w:r>
    </w:p>
    <w:sdt>
      <w:sdtPr>
        <w:rPr>
          <w:color w:val="000000" w:themeColor="text1"/>
        </w:rPr>
        <w:alias w:val="是否适用：母公司其他应收款分类列示其他说明[双击切换]"/>
        <w:tag w:val="_GBC_87c9afe4c5c54a4b93c9b78663bd8bf3"/>
        <w:id w:val="-126653331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23" w:displacedByCustomXml="next"/>
    <w:bookmarkEnd w:id="424" w:displacedByCustomXml="next"/>
    <w:sdt>
      <w:sdtPr>
        <w:rPr>
          <w:color w:val="000000" w:themeColor="text1"/>
        </w:rPr>
        <w:alias w:val="其他应收款分类列示其他说明"/>
        <w:tag w:val="_GBC_a49fda555b9b4c9682e3ad5b3045d642"/>
        <w:id w:val="894235653"/>
        <w:placeholder>
          <w:docPart w:val="B84EFCA9D3744B398EA9C8207952BF6E"/>
        </w:placeholder>
      </w:sdtPr>
      <w:sdtEndPr/>
      <w:sdtContent>
        <w:p w:rsidR="00597370" w:rsidRDefault="003C2EEE">
          <w:pPr>
            <w:rPr>
              <w:color w:val="000000" w:themeColor="text1"/>
            </w:rPr>
          </w:pPr>
          <w:r>
            <w:rPr>
              <w:rFonts w:hint="eastAsia"/>
              <w:color w:val="000000" w:themeColor="text1"/>
            </w:rPr>
            <w:t>其他应收款期末余额中包含存入全资子公司惠泽电器银行账户</w:t>
          </w:r>
          <w:r>
            <w:rPr>
              <w:color w:val="000000" w:themeColor="text1"/>
            </w:rPr>
            <w:t>49,943.53</w:t>
          </w:r>
          <w:r>
            <w:rPr>
              <w:rFonts w:hint="eastAsia"/>
              <w:color w:val="000000" w:themeColor="text1"/>
            </w:rPr>
            <w:t>万元的现金管理资金。</w:t>
          </w:r>
        </w:p>
      </w:sdtContent>
    </w:sdt>
    <w:p w:rsidR="00597370" w:rsidRDefault="003C2EEE">
      <w:pPr>
        <w:pStyle w:val="Style110"/>
        <w:rPr>
          <w:rFonts w:ascii="宋体" w:hAnsi="宋体"/>
          <w:color w:val="000000" w:themeColor="text1"/>
        </w:rPr>
      </w:pPr>
      <w:r>
        <w:rPr>
          <w:rFonts w:ascii="宋体" w:hAnsi="宋体" w:hint="eastAsia"/>
          <w:color w:val="000000" w:themeColor="text1"/>
        </w:rPr>
        <w:t>应收利息</w:t>
      </w:r>
    </w:p>
    <w:p w:rsidR="00597370" w:rsidRDefault="003C2EEE">
      <w:pPr>
        <w:pStyle w:val="Style110"/>
        <w:numPr>
          <w:ilvl w:val="3"/>
          <w:numId w:val="116"/>
        </w:numPr>
        <w:ind w:left="426" w:hanging="426"/>
        <w:rPr>
          <w:rFonts w:ascii="宋体" w:hAnsi="宋体"/>
          <w:color w:val="000000" w:themeColor="text1"/>
        </w:rPr>
      </w:pPr>
      <w:bookmarkStart w:id="425" w:name="_Hlk10547023"/>
      <w:bookmarkStart w:id="426" w:name="_Hlk10547033"/>
      <w:r>
        <w:rPr>
          <w:rFonts w:ascii="宋体" w:hAnsi="宋体" w:hint="eastAsia"/>
          <w:color w:val="000000" w:themeColor="text1"/>
        </w:rPr>
        <w:t>应收利息分类</w:t>
      </w:r>
      <w:bookmarkEnd w:id="425"/>
    </w:p>
    <w:sdt>
      <w:sdtPr>
        <w:rPr>
          <w:color w:val="000000" w:themeColor="text1"/>
        </w:rPr>
        <w:alias w:val="是否适用：母公司应收利息分类[双击切换]"/>
        <w:tag w:val="_GBC_7b29d5fc39c94a909c39eedf47c8008f"/>
        <w:id w:val="-5987115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116"/>
        </w:numPr>
        <w:ind w:left="426" w:hanging="426"/>
        <w:rPr>
          <w:rFonts w:ascii="宋体" w:hAnsi="宋体"/>
          <w:color w:val="000000" w:themeColor="text1"/>
        </w:rPr>
      </w:pPr>
      <w:bookmarkStart w:id="427" w:name="_Hlk10547054"/>
      <w:bookmarkStart w:id="428" w:name="_Hlk10547064"/>
      <w:bookmarkEnd w:id="426"/>
      <w:r>
        <w:rPr>
          <w:rFonts w:ascii="宋体" w:hAnsi="宋体" w:hint="eastAsia"/>
          <w:color w:val="000000" w:themeColor="text1"/>
        </w:rPr>
        <w:t>重要逾期利息</w:t>
      </w:r>
      <w:bookmarkEnd w:id="427"/>
    </w:p>
    <w:sdt>
      <w:sdtPr>
        <w:rPr>
          <w:color w:val="000000" w:themeColor="text1"/>
        </w:rPr>
        <w:alias w:val="是否适用：母公司重要逾期利息[双击切换]"/>
        <w:tag w:val="_GBC_2527ddfc737d4b8c8fa3ca7d6387408d"/>
        <w:id w:val="-3353813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116"/>
        </w:numPr>
        <w:ind w:left="426" w:hanging="426"/>
        <w:rPr>
          <w:rFonts w:ascii="宋体" w:hAnsi="宋体"/>
          <w:color w:val="000000" w:themeColor="text1"/>
        </w:rPr>
      </w:pPr>
      <w:bookmarkStart w:id="429" w:name="_Hlk154149455"/>
      <w:bookmarkStart w:id="430" w:name="_Hlk167983171"/>
      <w:bookmarkStart w:id="431" w:name="_Hlk153789950"/>
      <w:bookmarkEnd w:id="428"/>
      <w:r>
        <w:rPr>
          <w:rFonts w:ascii="宋体" w:hAnsi="宋体" w:hint="eastAsia"/>
          <w:color w:val="000000" w:themeColor="text1"/>
        </w:rPr>
        <w:t>按坏账计提方法分类披露</w:t>
      </w:r>
    </w:p>
    <w:sdt>
      <w:sdtPr>
        <w:rPr>
          <w:color w:val="000000" w:themeColor="text1"/>
        </w:rPr>
        <w:alias w:val="是否适用：按坏账计提方法分类披露[双击切换]"/>
        <w:tag w:val="_GBC_9b6b7378a5064d4da42ce1b114ef0dd2"/>
        <w:id w:val="-214326227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w:t>
      </w:r>
    </w:p>
    <w:sdt>
      <w:sdtPr>
        <w:rPr>
          <w:color w:val="000000" w:themeColor="text1"/>
        </w:rPr>
        <w:alias w:val="是否适用：母公司按单项计提坏账准备的详细情况[双击切换]"/>
        <w:tag w:val="_GBC_9e66e9365aa445c3891c917c0b2cb0f8"/>
        <w:id w:val="-151984249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按单项计提坏账准备的说明：</w:t>
      </w:r>
    </w:p>
    <w:sdt>
      <w:sdtPr>
        <w:rPr>
          <w:color w:val="000000" w:themeColor="text1"/>
        </w:rPr>
        <w:alias w:val="是否适用：母公司按单项计提坏账准备的说明[双击切换]"/>
        <w:tag w:val="_GBC_61cf7a42166c410985a3f556c1a407d3"/>
        <w:id w:val="-123353893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ascii="Calibri" w:hAnsi="Calibri" w:cs="Times New Roman"/>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color w:val="000000" w:themeColor="text1"/>
          <w:szCs w:val="22"/>
        </w:rPr>
        <w:alias w:val="是否适用：母公司按组合计提坏账准备的详细情况[双击切换]"/>
        <w:tag w:val="_GBC_d3043e47b1544d94a13ce780dd85e9fc"/>
        <w:id w:val="-1979217756"/>
        <w:placeholder>
          <w:docPart w:val="GBC22222222222222222222222222222"/>
        </w:placeholder>
      </w:sdtPr>
      <w:sdtEndPr/>
      <w:sdtContent>
        <w:p w:rsidR="00597370" w:rsidRDefault="003C2EEE">
          <w:pPr>
            <w:rPr>
              <w:color w:val="000000" w:themeColor="text1"/>
            </w:rPr>
          </w:pPr>
          <w:r>
            <w:rPr>
              <w:rFonts w:cs="Times New Roman"/>
              <w:color w:val="000000" w:themeColor="text1"/>
              <w:szCs w:val="22"/>
            </w:rPr>
            <w:fldChar w:fldCharType="begin"/>
          </w:r>
          <w:r>
            <w:rPr>
              <w:rFonts w:cs="Times New Roman"/>
              <w:color w:val="000000" w:themeColor="text1"/>
              <w:szCs w:val="22"/>
            </w:rPr>
            <w:instrText xml:space="preserve"> MACROBUTTON  SnrToggleCheckbox □适用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√不适用 </w:instrText>
          </w:r>
          <w:r>
            <w:rPr>
              <w:rFonts w:cs="Times New Roman"/>
              <w:color w:val="000000" w:themeColor="text1"/>
              <w:szCs w:val="22"/>
            </w:rPr>
            <w:fldChar w:fldCharType="end"/>
          </w:r>
        </w:p>
      </w:sdtContent>
    </w:sdt>
    <w:p w:rsidR="00597370" w:rsidRDefault="003C2EEE">
      <w:pPr>
        <w:pStyle w:val="Style110"/>
        <w:numPr>
          <w:ilvl w:val="3"/>
          <w:numId w:val="116"/>
        </w:numPr>
        <w:ind w:left="426" w:hanging="426"/>
        <w:rPr>
          <w:rFonts w:ascii="宋体" w:hAnsi="宋体"/>
          <w:color w:val="000000" w:themeColor="text1"/>
        </w:rPr>
      </w:pPr>
      <w:bookmarkStart w:id="432" w:name="_Hlk10547083"/>
      <w:bookmarkStart w:id="433" w:name="_Hlk10547096"/>
      <w:bookmarkEnd w:id="429"/>
      <w:bookmarkEnd w:id="430"/>
      <w:bookmarkEnd w:id="431"/>
      <w:bookmarkEnd w:id="432"/>
      <w:r>
        <w:rPr>
          <w:rFonts w:ascii="宋体" w:hAnsi="宋体" w:hint="eastAsia"/>
          <w:color w:val="000000" w:themeColor="text1"/>
        </w:rPr>
        <w:t>按预期信用损失一般模型计提坏账准备</w:t>
      </w:r>
    </w:p>
    <w:sdt>
      <w:sdtPr>
        <w:rPr>
          <w:color w:val="000000" w:themeColor="text1"/>
        </w:rPr>
        <w:alias w:val="是否适用：母公司应收利息坏账准备调节表[双击切换]"/>
        <w:tag w:val="_GBC_051d1f4329834464b99226954bb8040d"/>
        <w:id w:val="137357735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116"/>
        </w:numPr>
        <w:ind w:left="426" w:hanging="426"/>
        <w:rPr>
          <w:rFonts w:ascii="宋体" w:hAnsi="宋体"/>
          <w:color w:val="000000" w:themeColor="text1"/>
        </w:rPr>
      </w:pPr>
      <w:bookmarkStart w:id="434" w:name="_Hlk154149866"/>
      <w:bookmarkStart w:id="435" w:name="_Hlk167984472"/>
      <w:bookmarkStart w:id="436" w:name="_Hlk10547119"/>
      <w:bookmarkStart w:id="437" w:name="_Hlk10547128"/>
      <w:bookmarkEnd w:id="433"/>
      <w:r>
        <w:rPr>
          <w:rFonts w:ascii="宋体" w:hAnsi="宋体" w:hint="eastAsia"/>
          <w:color w:val="000000" w:themeColor="text1"/>
        </w:rPr>
        <w:t>坏账准备的情况</w:t>
      </w:r>
    </w:p>
    <w:sdt>
      <w:sdtPr>
        <w:rPr>
          <w:color w:val="000000" w:themeColor="text1"/>
        </w:rPr>
        <w:alias w:val="是否适用：母公司坏账准备情况[双击切换]"/>
        <w:tag w:val="_GBC_4dc2b543f39042eeba6f1a6da14a23c7"/>
        <w:id w:val="-48740223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279266492b924c379c68ded1cd456b96"/>
        <w:id w:val="166335227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母公司坏账准备情况的说明"/>
        <w:tag w:val="_GBC_3ab55111e91142e6a9275bfe02be4915"/>
        <w:id w:val="1867091944"/>
        <w:placeholder>
          <w:docPart w:val="GBC22222222222222222222222222222"/>
        </w:placeholder>
      </w:sdtPr>
      <w:sdtEndPr/>
      <w:sdtContent>
        <w:p w:rsidR="00597370" w:rsidRDefault="003C2EEE">
          <w:pPr>
            <w:ind w:rightChars="20" w:right="42"/>
            <w:rPr>
              <w:color w:val="000000" w:themeColor="text1"/>
            </w:rPr>
          </w:pPr>
          <w:r>
            <w:rPr>
              <w:rFonts w:hint="eastAsia"/>
              <w:color w:val="000000" w:themeColor="text1"/>
            </w:rPr>
            <w:t>无</w:t>
          </w:r>
        </w:p>
      </w:sdtContent>
    </w:sdt>
    <w:p w:rsidR="00597370" w:rsidRDefault="003C2EEE">
      <w:pPr>
        <w:pStyle w:val="Style110"/>
        <w:numPr>
          <w:ilvl w:val="3"/>
          <w:numId w:val="116"/>
        </w:numPr>
        <w:ind w:left="426" w:hanging="426"/>
        <w:rPr>
          <w:rFonts w:ascii="宋体" w:hAnsi="宋体"/>
          <w:color w:val="000000" w:themeColor="text1"/>
        </w:rPr>
      </w:pPr>
      <w:r>
        <w:rPr>
          <w:rFonts w:ascii="宋体" w:hAnsi="宋体" w:hint="eastAsia"/>
          <w:color w:val="000000" w:themeColor="text1"/>
        </w:rPr>
        <w:t>本期实际核销的应收利息情况</w:t>
      </w:r>
    </w:p>
    <w:sdt>
      <w:sdtPr>
        <w:rPr>
          <w:color w:val="000000" w:themeColor="text1"/>
        </w:rPr>
        <w:alias w:val="是否适用：实际核销的情况[双击切换]"/>
        <w:tag w:val="_GBC_e26e6d4104e24b8ba3faa4e27a6c1045"/>
        <w:id w:val="20877283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其中重要的应收利息核销情况</w:t>
      </w:r>
    </w:p>
    <w:sdt>
      <w:sdtPr>
        <w:rPr>
          <w:rFonts w:hint="eastAsia"/>
          <w:color w:val="000000" w:themeColor="text1"/>
        </w:rPr>
        <w:alias w:val="是否适用：母公司重要的核销情况[双击切换]"/>
        <w:tag w:val="_GBC_60da80ce578f488fb72578d4541af9c0"/>
        <w:id w:val="-192340097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母公司核销说明[双击切换]"/>
        <w:tag w:val="_GBC_ae6210dfe1cb4aa880cbee38195c69fa"/>
        <w:id w:val="844281940"/>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34"/>
    <w:bookmarkEnd w:id="435"/>
    <w:p w:rsidR="00597370" w:rsidRDefault="003C2EEE">
      <w:pPr>
        <w:rPr>
          <w:color w:val="000000" w:themeColor="text1"/>
        </w:rPr>
      </w:pPr>
      <w:r>
        <w:rPr>
          <w:rFonts w:hint="eastAsia"/>
          <w:color w:val="000000" w:themeColor="text1"/>
        </w:rPr>
        <w:t>其他说明：</w:t>
      </w:r>
      <w:bookmarkEnd w:id="436"/>
    </w:p>
    <w:sdt>
      <w:sdtPr>
        <w:rPr>
          <w:color w:val="000000" w:themeColor="text1"/>
        </w:rPr>
        <w:alias w:val="是否适用：母公司应收利息其他说明[双击切换]"/>
        <w:tag w:val="_GBC_936c374258514f469f2c9bb36b889c43"/>
        <w:id w:val="-85642818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37"/>
    <w:p w:rsidR="00597370" w:rsidRDefault="003C2EEE">
      <w:pPr>
        <w:pStyle w:val="Style110"/>
        <w:rPr>
          <w:rFonts w:ascii="宋体" w:hAnsi="宋体"/>
          <w:color w:val="000000" w:themeColor="text1"/>
        </w:rPr>
      </w:pPr>
      <w:r>
        <w:rPr>
          <w:rFonts w:ascii="宋体" w:hAnsi="宋体" w:hint="eastAsia"/>
          <w:color w:val="000000" w:themeColor="text1"/>
        </w:rPr>
        <w:t>应收股利</w:t>
      </w:r>
    </w:p>
    <w:p w:rsidR="00597370" w:rsidRDefault="003C2EEE">
      <w:pPr>
        <w:pStyle w:val="Style110"/>
        <w:numPr>
          <w:ilvl w:val="3"/>
          <w:numId w:val="116"/>
        </w:numPr>
        <w:ind w:left="426" w:hanging="426"/>
        <w:rPr>
          <w:rFonts w:ascii="宋体" w:hAnsi="宋体"/>
          <w:color w:val="000000" w:themeColor="text1"/>
        </w:rPr>
      </w:pPr>
      <w:bookmarkStart w:id="438" w:name="_Hlk10547160"/>
      <w:bookmarkStart w:id="439" w:name="_Hlk10547171"/>
      <w:r>
        <w:rPr>
          <w:rFonts w:ascii="宋体" w:hAnsi="宋体" w:hint="eastAsia"/>
          <w:color w:val="000000" w:themeColor="text1"/>
        </w:rPr>
        <w:t>应收股利</w:t>
      </w:r>
      <w:bookmarkEnd w:id="438"/>
    </w:p>
    <w:sdt>
      <w:sdtPr>
        <w:rPr>
          <w:color w:val="000000" w:themeColor="text1"/>
        </w:rPr>
        <w:alias w:val="是否适用：母公司应收股利[双击切换]"/>
        <w:tag w:val="_GBC_3f36acb68ddd426b990a146c5c14da80"/>
        <w:id w:val="1773283254"/>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116"/>
        </w:numPr>
        <w:ind w:left="426" w:hanging="426"/>
        <w:rPr>
          <w:rFonts w:ascii="宋体" w:hAnsi="宋体"/>
          <w:color w:val="000000" w:themeColor="text1"/>
        </w:rPr>
      </w:pPr>
      <w:bookmarkStart w:id="440" w:name="_Hlk10547188"/>
      <w:bookmarkStart w:id="441" w:name="_Hlk10547199"/>
      <w:bookmarkEnd w:id="439"/>
      <w:r>
        <w:rPr>
          <w:rFonts w:ascii="宋体" w:hAnsi="宋体" w:hint="eastAsia"/>
          <w:color w:val="000000" w:themeColor="text1"/>
        </w:rPr>
        <w:t>重要的账龄超过1年的应收股利</w:t>
      </w:r>
      <w:bookmarkEnd w:id="440"/>
    </w:p>
    <w:sdt>
      <w:sdtPr>
        <w:rPr>
          <w:color w:val="000000" w:themeColor="text1"/>
        </w:rPr>
        <w:alias w:val="是否适用：母公司重要的账龄超过1年的应收股利[双击切换]"/>
        <w:tag w:val="_GBC_5ce593c40926400393bed620009e5006"/>
        <w:id w:val="-778260718"/>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116"/>
        </w:numPr>
        <w:ind w:left="426" w:hanging="426"/>
        <w:rPr>
          <w:rFonts w:ascii="宋体" w:hAnsi="宋体"/>
          <w:color w:val="000000" w:themeColor="text1"/>
        </w:rPr>
      </w:pPr>
      <w:bookmarkStart w:id="442" w:name="_Hlk154150045"/>
      <w:bookmarkStart w:id="443" w:name="_Hlk168041814"/>
      <w:bookmarkStart w:id="444" w:name="_Hlk153790907"/>
      <w:bookmarkEnd w:id="441"/>
      <w:r>
        <w:rPr>
          <w:rFonts w:ascii="宋体" w:hAnsi="宋体" w:hint="eastAsia"/>
          <w:color w:val="000000" w:themeColor="text1"/>
        </w:rPr>
        <w:t>按坏账计提方法分类披露</w:t>
      </w:r>
    </w:p>
    <w:sdt>
      <w:sdtPr>
        <w:rPr>
          <w:color w:val="000000" w:themeColor="text1"/>
        </w:rPr>
        <w:alias w:val="是否适用：母公司按坏账计提方法分类披露[双击切换]"/>
        <w:tag w:val="_GBC_606fd71a57c6434eaa16ce805f815d2e"/>
        <w:id w:val="-1560007229"/>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按单项计提坏账准备：</w:t>
      </w:r>
    </w:p>
    <w:sdt>
      <w:sdtPr>
        <w:rPr>
          <w:color w:val="000000" w:themeColor="text1"/>
        </w:rPr>
        <w:alias w:val="是否适用：母公司按单项计提坏账准备的详细情况[双击切换]"/>
        <w:tag w:val="_GBC_02d5c836df9842559c42aa2f751aa5ba"/>
        <w:id w:val="-825354956"/>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lastRenderedPageBreak/>
        <w:t>按单项计提坏账准备的说明：</w:t>
      </w:r>
    </w:p>
    <w:sdt>
      <w:sdtPr>
        <w:rPr>
          <w:color w:val="000000" w:themeColor="text1"/>
        </w:rPr>
        <w:alias w:val="是否适用：母公司按单项计提坏账准备的说明[双击切换]"/>
        <w:tag w:val="_GBC_4af2b30a86cf42d091fd1188b15fbce6"/>
        <w:id w:val="-93343490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rFonts w:ascii="Calibri" w:hAnsi="Calibri" w:cs="Times New Roman"/>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color w:val="000000" w:themeColor="text1"/>
          <w:szCs w:val="22"/>
        </w:rPr>
        <w:alias w:val="是否适用：母公司按组合计提坏账准备的详细情况[双击切换]"/>
        <w:tag w:val="_GBC_9f9d44f1ec164a3da4b2c14d4d129121"/>
        <w:id w:val="269352202"/>
        <w:placeholder>
          <w:docPart w:val="GBC22222222222222222222222222222"/>
        </w:placeholder>
      </w:sdtPr>
      <w:sdtEndPr/>
      <w:sdtContent>
        <w:p w:rsidR="00597370" w:rsidRDefault="003C2EEE">
          <w:pPr>
            <w:rPr>
              <w:color w:val="000000" w:themeColor="text1"/>
            </w:rPr>
          </w:pPr>
          <w:r>
            <w:rPr>
              <w:rFonts w:cs="Times New Roman"/>
              <w:color w:val="000000" w:themeColor="text1"/>
              <w:szCs w:val="22"/>
            </w:rPr>
            <w:fldChar w:fldCharType="begin"/>
          </w:r>
          <w:r>
            <w:rPr>
              <w:rFonts w:cs="Times New Roman"/>
              <w:color w:val="000000" w:themeColor="text1"/>
              <w:szCs w:val="22"/>
            </w:rPr>
            <w:instrText xml:space="preserve"> MACROBUTTON  SnrToggleCheckbox □适用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√不适用 </w:instrText>
          </w:r>
          <w:r>
            <w:rPr>
              <w:rFonts w:cs="Times New Roman"/>
              <w:color w:val="000000" w:themeColor="text1"/>
              <w:szCs w:val="22"/>
            </w:rPr>
            <w:fldChar w:fldCharType="end"/>
          </w:r>
        </w:p>
      </w:sdtContent>
    </w:sdt>
    <w:p w:rsidR="00597370" w:rsidRDefault="003C2EEE">
      <w:pPr>
        <w:pStyle w:val="Style110"/>
        <w:numPr>
          <w:ilvl w:val="3"/>
          <w:numId w:val="116"/>
        </w:numPr>
        <w:ind w:left="426" w:hanging="426"/>
        <w:rPr>
          <w:rFonts w:ascii="宋体" w:hAnsi="宋体"/>
          <w:color w:val="000000" w:themeColor="text1"/>
        </w:rPr>
      </w:pPr>
      <w:bookmarkStart w:id="445" w:name="_Hlk10547212"/>
      <w:bookmarkStart w:id="446" w:name="_Hlk10547224"/>
      <w:bookmarkEnd w:id="442"/>
      <w:bookmarkEnd w:id="443"/>
      <w:bookmarkEnd w:id="444"/>
      <w:bookmarkEnd w:id="445"/>
      <w:r>
        <w:rPr>
          <w:rFonts w:ascii="宋体" w:hAnsi="宋体" w:hint="eastAsia"/>
          <w:color w:val="000000" w:themeColor="text1"/>
        </w:rPr>
        <w:t>按预期信用损失一般模型计提坏账准备</w:t>
      </w:r>
    </w:p>
    <w:sdt>
      <w:sdtPr>
        <w:rPr>
          <w:color w:val="000000" w:themeColor="text1"/>
        </w:rPr>
        <w:alias w:val="是否适用：母公司应收股利坏账准备调节表[双击切换]"/>
        <w:tag w:val="_GBC_9d130aecb6cb4874ac083fcdce5ee739"/>
        <w:id w:val="-838152500"/>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3"/>
          <w:numId w:val="116"/>
        </w:numPr>
        <w:ind w:left="426" w:hanging="426"/>
        <w:rPr>
          <w:rFonts w:ascii="宋体" w:hAnsi="宋体"/>
          <w:color w:val="000000" w:themeColor="text1"/>
        </w:rPr>
      </w:pPr>
      <w:bookmarkStart w:id="447" w:name="_Hlk153792018"/>
      <w:bookmarkStart w:id="448" w:name="_Hlk168042003"/>
      <w:bookmarkStart w:id="449" w:name="_Hlk154150256"/>
      <w:bookmarkEnd w:id="446"/>
      <w:r>
        <w:rPr>
          <w:rFonts w:ascii="宋体" w:hAnsi="宋体" w:hint="eastAsia"/>
          <w:color w:val="000000" w:themeColor="text1"/>
        </w:rPr>
        <w:t>坏账准备的情况</w:t>
      </w:r>
    </w:p>
    <w:sdt>
      <w:sdtPr>
        <w:rPr>
          <w:color w:val="000000" w:themeColor="text1"/>
        </w:rPr>
        <w:alias w:val="是否适用：母公司坏账准备情况[双击切换]"/>
        <w:tag w:val="_GBC_4359768bbe6b4db5aaabe9fec181f50a"/>
        <w:id w:val="-574738205"/>
        <w:placeholder>
          <w:docPart w:val="GBC22222222222222222222222222222"/>
        </w:placeholder>
      </w:sdtPr>
      <w:sdtEndPr/>
      <w:sdtContent>
        <w:p w:rsidR="00597370" w:rsidRDefault="003C2EEE">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其中本期坏账准备收回或转回金额重要的：</w:t>
      </w:r>
    </w:p>
    <w:sdt>
      <w:sdtPr>
        <w:rPr>
          <w:color w:val="000000" w:themeColor="text1"/>
        </w:rPr>
        <w:alias w:val="是否适用：母公司本期坏账准备收回或转回金额重要的[双击切换]"/>
        <w:tag w:val="_GBC_15c983ff27c348dab992de66b12c1147"/>
        <w:id w:val="-121834803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其他说明：</w:t>
      </w:r>
    </w:p>
    <w:sdt>
      <w:sdtPr>
        <w:rPr>
          <w:color w:val="000000" w:themeColor="text1"/>
        </w:rPr>
        <w:alias w:val="母公司坏账准备情况的说明"/>
        <w:tag w:val="_GBC_c23d2aac5be544dab9d6cfeb3fe4c5b9"/>
        <w:id w:val="2078780922"/>
        <w:placeholder>
          <w:docPart w:val="GBC22222222222222222222222222222"/>
        </w:placeholder>
      </w:sdtPr>
      <w:sdtEndPr/>
      <w:sdtContent>
        <w:p w:rsidR="00597370" w:rsidRDefault="003C2EEE">
          <w:pPr>
            <w:ind w:rightChars="20" w:right="42"/>
            <w:rPr>
              <w:color w:val="000000" w:themeColor="text1"/>
            </w:rPr>
          </w:pPr>
          <w:r>
            <w:rPr>
              <w:rFonts w:hint="eastAsia"/>
              <w:color w:val="000000" w:themeColor="text1"/>
            </w:rPr>
            <w:t>无</w:t>
          </w:r>
        </w:p>
      </w:sdtContent>
    </w:sdt>
    <w:p w:rsidR="00597370" w:rsidRDefault="003C2EEE">
      <w:pPr>
        <w:pStyle w:val="Style110"/>
        <w:numPr>
          <w:ilvl w:val="3"/>
          <w:numId w:val="116"/>
        </w:numPr>
        <w:ind w:left="426" w:hanging="426"/>
        <w:rPr>
          <w:rFonts w:ascii="宋体" w:hAnsi="宋体"/>
          <w:color w:val="000000" w:themeColor="text1"/>
        </w:rPr>
      </w:pPr>
      <w:bookmarkStart w:id="450" w:name="_Hlk155883151"/>
      <w:r>
        <w:rPr>
          <w:rFonts w:ascii="宋体" w:hAnsi="宋体" w:hint="eastAsia"/>
          <w:color w:val="000000" w:themeColor="text1"/>
        </w:rPr>
        <w:t>本期实际核销的应收股利情况</w:t>
      </w:r>
    </w:p>
    <w:sdt>
      <w:sdtPr>
        <w:rPr>
          <w:color w:val="000000" w:themeColor="text1"/>
        </w:rPr>
        <w:alias w:val="是否适用：母公司实际核销的情况[双击切换]"/>
        <w:tag w:val="_GBC_aa389cb741114553a4e1a7aed4aa319e"/>
        <w:id w:val="-157172267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50"/>
    <w:p w:rsidR="00597370" w:rsidRDefault="003C2EEE">
      <w:pPr>
        <w:rPr>
          <w:color w:val="000000" w:themeColor="text1"/>
        </w:rPr>
      </w:pPr>
      <w:r>
        <w:rPr>
          <w:rFonts w:hint="eastAsia"/>
          <w:color w:val="000000" w:themeColor="text1"/>
        </w:rPr>
        <w:t>其中重要的应收股利核销情况</w:t>
      </w:r>
    </w:p>
    <w:sdt>
      <w:sdtPr>
        <w:rPr>
          <w:rFonts w:hint="eastAsia"/>
          <w:color w:val="000000" w:themeColor="text1"/>
        </w:rPr>
        <w:alias w:val="是否适用：母公司重要的核销情况[双击切换]"/>
        <w:tag w:val="_GBC_146148b0997846e4bafed15556419cf8"/>
        <w:id w:val="-17758109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母公司核销说明[双击切换]"/>
        <w:tag w:val="_GBC_61aa391f7973406cadb21e662d9b01ec"/>
        <w:id w:val="308756504"/>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451" w:name="_Hlk10547234"/>
      <w:bookmarkStart w:id="452" w:name="_Hlk10547244"/>
      <w:bookmarkEnd w:id="447"/>
      <w:bookmarkEnd w:id="448"/>
      <w:bookmarkEnd w:id="449"/>
      <w:r>
        <w:rPr>
          <w:rFonts w:hint="eastAsia"/>
          <w:color w:val="000000" w:themeColor="text1"/>
        </w:rPr>
        <w:t>其他说明：</w:t>
      </w:r>
      <w:bookmarkEnd w:id="451"/>
    </w:p>
    <w:sdt>
      <w:sdtPr>
        <w:rPr>
          <w:color w:val="000000" w:themeColor="text1"/>
        </w:rPr>
        <w:alias w:val="是否适用：母公司应收股利其他说明[双击切换]"/>
        <w:tag w:val="_GBC_79a2eb8844e84fe3b78bb5ffcf2a57d5"/>
        <w:id w:val="46115574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52"/>
    <w:p w:rsidR="00597370" w:rsidRDefault="003C2EEE">
      <w:pPr>
        <w:pStyle w:val="Style110"/>
        <w:rPr>
          <w:rFonts w:ascii="宋体" w:hAnsi="宋体"/>
          <w:color w:val="000000" w:themeColor="text1"/>
        </w:rPr>
      </w:pPr>
      <w:r>
        <w:rPr>
          <w:rFonts w:ascii="宋体" w:hAnsi="宋体" w:hint="eastAsia"/>
          <w:color w:val="000000" w:themeColor="text1"/>
        </w:rPr>
        <w:t>其他应收款</w:t>
      </w:r>
    </w:p>
    <w:p w:rsidR="00597370" w:rsidRDefault="003C2EEE">
      <w:pPr>
        <w:pStyle w:val="Style111"/>
        <w:numPr>
          <w:ilvl w:val="0"/>
          <w:numId w:val="117"/>
        </w:numPr>
        <w:ind w:left="425" w:hanging="425"/>
        <w:rPr>
          <w:rFonts w:asciiTheme="minorHAnsi" w:hAnsiTheme="minorHAnsi" w:cs="宋体"/>
          <w:color w:val="000000" w:themeColor="text1"/>
          <w:kern w:val="0"/>
          <w:szCs w:val="22"/>
        </w:rPr>
      </w:pPr>
      <w:bookmarkStart w:id="453" w:name="_Hlk153797719"/>
      <w:bookmarkStart w:id="454" w:name="_Hlk168042601"/>
      <w:proofErr w:type="gramStart"/>
      <w:r>
        <w:rPr>
          <w:rFonts w:asciiTheme="minorHAnsi" w:hAnsiTheme="minorHAnsi" w:cs="宋体" w:hint="eastAsia"/>
          <w:color w:val="000000" w:themeColor="text1"/>
          <w:kern w:val="0"/>
          <w:szCs w:val="22"/>
        </w:rPr>
        <w:t>按账龄</w:t>
      </w:r>
      <w:proofErr w:type="gramEnd"/>
      <w:r>
        <w:rPr>
          <w:rFonts w:asciiTheme="minorHAnsi" w:hAnsiTheme="minorHAnsi" w:cs="宋体" w:hint="eastAsia"/>
          <w:color w:val="000000" w:themeColor="text1"/>
          <w:kern w:val="0"/>
          <w:szCs w:val="22"/>
        </w:rPr>
        <w:t>披露</w:t>
      </w:r>
    </w:p>
    <w:sdt>
      <w:sdtPr>
        <w:rPr>
          <w:color w:val="000000" w:themeColor="text1"/>
        </w:rPr>
        <w:alias w:val="是否适用：母公司其他应收款按账龄披露[双击切换]"/>
        <w:tag w:val="_GBC_5b9c67da114b4f51b08890c9615bd1d4"/>
        <w:id w:val="90942942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母公司其他应收款按账龄披露"/>
          <w:tag w:val="_GBC_6ab414dc01fc4a13acb3e3755a5cc201"/>
          <w:id w:val="-17581205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其他应收款按账龄披露"/>
          <w:tag w:val="_GBC_043422dceaa24b4d9763b5cc6404b654"/>
          <w:id w:val="10512738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3"/>
        <w:gridCol w:w="2915"/>
        <w:gridCol w:w="2915"/>
      </w:tblGrid>
      <w:tr w:rsidR="00597370">
        <w:trPr>
          <w:cantSplit/>
        </w:trPr>
        <w:sdt>
          <w:sdtPr>
            <w:rPr>
              <w:color w:val="000000" w:themeColor="text1"/>
            </w:rPr>
            <w:tag w:val="_PLD_af35a4cb8d9748a7bccbc4e491ccfe60"/>
            <w:id w:val="-646059785"/>
          </w:sdtPr>
          <w:sdtEndPr/>
          <w:sdtContent>
            <w:tc>
              <w:tcPr>
                <w:tcW w:w="1696"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账龄</w:t>
                </w:r>
              </w:p>
            </w:tc>
          </w:sdtContent>
        </w:sdt>
        <w:sdt>
          <w:sdtPr>
            <w:rPr>
              <w:color w:val="000000" w:themeColor="text1"/>
            </w:rPr>
            <w:tag w:val="_PLD_21e0bb0de0cb4a07bdd466a200c90bfc"/>
            <w:id w:val="-1174804357"/>
          </w:sdtPr>
          <w:sdtEndPr/>
          <w:sdtContent>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rFonts w:hint="eastAsia"/>
                    <w:color w:val="000000" w:themeColor="text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rPr>
                <w:rFonts w:hint="eastAsia"/>
                <w:color w:val="000000" w:themeColor="text1"/>
              </w:rPr>
              <w:tag w:val="_PLD_6e9631382f39495983e2cd57b3906040"/>
              <w:id w:val="450281935"/>
            </w:sdtPr>
            <w:sdtEndPr/>
            <w:sdtContent>
              <w:p w:rsidR="00597370" w:rsidRDefault="003C2EEE">
                <w:pPr>
                  <w:jc w:val="center"/>
                  <w:rPr>
                    <w:color w:val="000000" w:themeColor="text1"/>
                  </w:rPr>
                </w:pPr>
                <w:r>
                  <w:rPr>
                    <w:rFonts w:hint="eastAsia"/>
                    <w:color w:val="000000" w:themeColor="text1"/>
                  </w:rPr>
                  <w:t>期初账面余额</w:t>
                </w:r>
              </w:p>
            </w:sdtContent>
          </w:sdt>
        </w:tc>
      </w:tr>
      <w:tr w:rsidR="00597370">
        <w:trPr>
          <w:cantSplit/>
        </w:trPr>
        <w:sdt>
          <w:sdtPr>
            <w:rPr>
              <w:color w:val="000000" w:themeColor="text1"/>
            </w:rPr>
            <w:tag w:val="_PLD_c1b84b25c84543b787d17c3c23c2bc0b"/>
            <w:id w:val="-1938444122"/>
          </w:sdtPr>
          <w:sdtEndPr/>
          <w:sdtContent>
            <w:tc>
              <w:tcPr>
                <w:tcW w:w="5000" w:type="pct"/>
                <w:gridSpan w:val="3"/>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proofErr w:type="gramStart"/>
                <w:r>
                  <w:rPr>
                    <w:rFonts w:hint="eastAsia"/>
                    <w:color w:val="000000" w:themeColor="text1"/>
                  </w:rPr>
                  <w:t>1年以内</w:t>
                </w:r>
                <w:proofErr w:type="gramEnd"/>
              </w:p>
            </w:tc>
          </w:sdtContent>
        </w:sdt>
      </w:tr>
      <w:tr w:rsidR="00597370">
        <w:trPr>
          <w:cantSplit/>
        </w:trPr>
        <w:sdt>
          <w:sdtPr>
            <w:rPr>
              <w:color w:val="000000" w:themeColor="text1"/>
            </w:rPr>
            <w:tag w:val="_PLD_e07e716b143c42788900c92cf0208509"/>
            <w:id w:val="747536907"/>
          </w:sdtPr>
          <w:sdtEndPr/>
          <w:sdtContent>
            <w:tc>
              <w:tcPr>
                <w:tcW w:w="5000" w:type="pct"/>
                <w:gridSpan w:val="3"/>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其中：1年以内分项</w:t>
                </w:r>
              </w:p>
            </w:tc>
          </w:sdtContent>
        </w:sdt>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pStyle w:val="Style106"/>
            </w:pPr>
            <w:r>
              <w:t>1年以内</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741,480,542.11</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t>57,107,249.90</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1年以内小计</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741,480,542.11</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t>57,107,249.90</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1至2年</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1,348,273.04</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t>2,361,794.36</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2至3年</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566,652.96</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t>799,363.70</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3年以上</w:t>
            </w:r>
          </w:p>
        </w:tc>
        <w:tc>
          <w:tcPr>
            <w:tcW w:w="1652" w:type="pct"/>
            <w:tcBorders>
              <w:top w:val="single" w:sz="4" w:space="0" w:color="auto"/>
              <w:left w:val="single" w:sz="4" w:space="0" w:color="auto"/>
              <w:bottom w:val="single" w:sz="4" w:space="0" w:color="auto"/>
              <w:right w:val="single" w:sz="4" w:space="0" w:color="auto"/>
            </w:tcBorders>
          </w:tcPr>
          <w:p w:rsidR="00597370" w:rsidRDefault="00597370">
            <w:pPr>
              <w:jc w:val="right"/>
            </w:pPr>
          </w:p>
        </w:tc>
        <w:tc>
          <w:tcPr>
            <w:tcW w:w="1652" w:type="pct"/>
            <w:tcBorders>
              <w:top w:val="single" w:sz="4" w:space="0" w:color="auto"/>
              <w:left w:val="single" w:sz="4" w:space="0" w:color="auto"/>
              <w:bottom w:val="single" w:sz="4" w:space="0" w:color="auto"/>
              <w:right w:val="single" w:sz="4" w:space="0" w:color="auto"/>
            </w:tcBorders>
          </w:tcPr>
          <w:p w:rsidR="00597370" w:rsidRDefault="00597370">
            <w:pPr>
              <w:jc w:val="right"/>
            </w:pP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3至4年</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737,280.12</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t>675,132.92</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4至5年</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987,785.15</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t>1,003,885.15</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rFonts w:hint="eastAsia"/>
                <w:color w:val="000000" w:themeColor="text1"/>
              </w:rPr>
              <w:t>5年以上</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60,000.00</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330,000.00</w:t>
            </w:r>
          </w:p>
        </w:tc>
      </w:tr>
      <w:tr w:rsidR="00597370">
        <w:trPr>
          <w:cantSplit/>
        </w:trPr>
        <w:tc>
          <w:tcPr>
            <w:tcW w:w="1696" w:type="pct"/>
            <w:tcBorders>
              <w:top w:val="single" w:sz="4" w:space="0" w:color="auto"/>
              <w:left w:val="single" w:sz="4" w:space="0" w:color="auto"/>
              <w:bottom w:val="single" w:sz="4" w:space="0" w:color="auto"/>
              <w:right w:val="single" w:sz="4" w:space="0" w:color="auto"/>
            </w:tcBorders>
          </w:tcPr>
          <w:p w:rsidR="00597370" w:rsidRDefault="003C2EEE">
            <w:pPr>
              <w:pStyle w:val="Style106"/>
            </w:pPr>
            <w:r>
              <w:rPr>
                <w:rFonts w:hint="eastAsia"/>
              </w:rPr>
              <w:t>合计</w:t>
            </w:r>
          </w:p>
        </w:tc>
        <w:tc>
          <w:tcPr>
            <w:tcW w:w="1652"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745,180,533.38</w:t>
            </w:r>
          </w:p>
        </w:tc>
        <w:tc>
          <w:tcPr>
            <w:tcW w:w="1652"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62,277,426.03</w:t>
            </w:r>
          </w:p>
        </w:tc>
      </w:tr>
    </w:tbl>
    <w:p w:rsidR="00597370" w:rsidRDefault="00597370">
      <w:pPr>
        <w:rPr>
          <w:color w:val="000000" w:themeColor="text1"/>
        </w:rPr>
      </w:pPr>
    </w:p>
    <w:p w:rsidR="00597370" w:rsidRDefault="003C2EEE">
      <w:pPr>
        <w:pStyle w:val="Style111"/>
        <w:numPr>
          <w:ilvl w:val="0"/>
          <w:numId w:val="117"/>
        </w:numPr>
        <w:ind w:left="425" w:hanging="425"/>
        <w:rPr>
          <w:rFonts w:asciiTheme="minorHAnsi" w:hAnsiTheme="minorHAnsi" w:cs="宋体"/>
          <w:color w:val="000000" w:themeColor="text1"/>
          <w:kern w:val="0"/>
          <w:szCs w:val="22"/>
        </w:rPr>
      </w:pPr>
      <w:bookmarkStart w:id="455" w:name="_Hlk10547648"/>
      <w:bookmarkEnd w:id="453"/>
      <w:bookmarkEnd w:id="454"/>
      <w:r>
        <w:rPr>
          <w:rFonts w:asciiTheme="minorHAnsi" w:hAnsiTheme="minorHAnsi" w:cs="宋体" w:hint="eastAsia"/>
          <w:color w:val="000000" w:themeColor="text1"/>
          <w:kern w:val="0"/>
          <w:szCs w:val="22"/>
        </w:rPr>
        <w:t>按款项性质分类</w:t>
      </w:r>
    </w:p>
    <w:sdt>
      <w:sdtPr>
        <w:rPr>
          <w:color w:val="000000" w:themeColor="text1"/>
        </w:rPr>
        <w:alias w:val="是否适用：母公司其他应收款按款项性质分类情况[双击切换]"/>
        <w:tag w:val="_GBC_101fec10ac1f41f39330610cac041192"/>
        <w:id w:val="71154173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财务附注：母公司其他应收款按款项性质分类情况"/>
          <w:tag w:val="_GBC_cdfadb9bdd864b32a99df11dec001a83"/>
          <w:id w:val="-8254402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财务附注：母公司其他应收款按款项性质分类情况"/>
          <w:tag w:val="_GBC_cac854cfb75144bc86635f44f78d6611"/>
          <w:id w:val="14675558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906"/>
        <w:gridCol w:w="2917"/>
      </w:tblGrid>
      <w:tr w:rsidR="00597370">
        <w:bookmarkEnd w:id="455" w:displacedByCustomXml="next"/>
        <w:bookmarkStart w:id="456" w:name="_Hlk10547765" w:displacedByCustomXml="next"/>
        <w:sdt>
          <w:sdtPr>
            <w:rPr>
              <w:color w:val="000000" w:themeColor="text1"/>
            </w:rPr>
            <w:tag w:val="_PLD_797d39f4d1fd488e93d36af61d0bebfd"/>
            <w:id w:val="377665443"/>
          </w:sdtPr>
          <w:sdtEndPr/>
          <w:sdtContent>
            <w:tc>
              <w:tcPr>
                <w:tcW w:w="1700" w:type="pct"/>
                <w:shd w:val="clear" w:color="auto" w:fill="auto"/>
                <w:vAlign w:val="center"/>
              </w:tcPr>
              <w:p w:rsidR="00597370" w:rsidRDefault="003C2EEE">
                <w:pPr>
                  <w:jc w:val="center"/>
                  <w:rPr>
                    <w:color w:val="000000" w:themeColor="text1"/>
                  </w:rPr>
                </w:pPr>
                <w:r>
                  <w:rPr>
                    <w:rFonts w:hint="eastAsia"/>
                    <w:color w:val="000000" w:themeColor="text1"/>
                  </w:rPr>
                  <w:t>款项性质</w:t>
                </w:r>
              </w:p>
            </w:tc>
          </w:sdtContent>
        </w:sdt>
        <w:sdt>
          <w:sdtPr>
            <w:rPr>
              <w:color w:val="000000" w:themeColor="text1"/>
            </w:rPr>
            <w:tag w:val="_PLD_7853db088d0a4b218482e741ebbac8e0"/>
            <w:id w:val="980355049"/>
          </w:sdtPr>
          <w:sdtEndPr/>
          <w:sdtContent>
            <w:tc>
              <w:tcPr>
                <w:tcW w:w="1647" w:type="pct"/>
                <w:shd w:val="clear" w:color="auto" w:fill="auto"/>
                <w:vAlign w:val="center"/>
              </w:tcPr>
              <w:p w:rsidR="00597370" w:rsidRDefault="003C2EEE">
                <w:pPr>
                  <w:jc w:val="center"/>
                  <w:rPr>
                    <w:color w:val="000000" w:themeColor="text1"/>
                  </w:rPr>
                </w:pPr>
                <w:r>
                  <w:rPr>
                    <w:rFonts w:hint="eastAsia"/>
                    <w:color w:val="000000" w:themeColor="text1"/>
                  </w:rPr>
                  <w:t>期末账面余额</w:t>
                </w:r>
              </w:p>
            </w:tc>
          </w:sdtContent>
        </w:sdt>
        <w:sdt>
          <w:sdtPr>
            <w:rPr>
              <w:color w:val="000000" w:themeColor="text1"/>
            </w:rPr>
            <w:tag w:val="_PLD_56ab744bffee4ad28664bdf9e16551e2"/>
            <w:id w:val="-1133706165"/>
          </w:sdtPr>
          <w:sdtEndPr/>
          <w:sdtContent>
            <w:tc>
              <w:tcPr>
                <w:tcW w:w="1653" w:type="pct"/>
                <w:shd w:val="clear" w:color="auto" w:fill="auto"/>
                <w:vAlign w:val="center"/>
              </w:tcPr>
              <w:p w:rsidR="00597370" w:rsidRDefault="003C2EEE">
                <w:pPr>
                  <w:jc w:val="center"/>
                  <w:rPr>
                    <w:color w:val="000000" w:themeColor="text1"/>
                  </w:rPr>
                </w:pPr>
                <w:r>
                  <w:rPr>
                    <w:rFonts w:hint="eastAsia"/>
                    <w:color w:val="000000" w:themeColor="text1"/>
                  </w:rPr>
                  <w:t>期初账面余额</w:t>
                </w:r>
              </w:p>
            </w:tc>
          </w:sdtContent>
        </w:sdt>
      </w:tr>
      <w:tr w:rsidR="00597370">
        <w:tc>
          <w:tcPr>
            <w:tcW w:w="1700" w:type="pct"/>
            <w:shd w:val="clear" w:color="auto" w:fill="auto"/>
          </w:tcPr>
          <w:p w:rsidR="00597370" w:rsidRDefault="003C2EEE">
            <w:r>
              <w:t>并表内关联方款项</w:t>
            </w:r>
          </w:p>
        </w:tc>
        <w:tc>
          <w:tcPr>
            <w:tcW w:w="1647" w:type="pct"/>
            <w:shd w:val="clear" w:color="auto" w:fill="auto"/>
            <w:vAlign w:val="center"/>
          </w:tcPr>
          <w:p w:rsidR="00597370" w:rsidRDefault="003C2EEE">
            <w:pPr>
              <w:jc w:val="right"/>
              <w:rPr>
                <w:bCs w:val="0"/>
                <w:color w:val="000000"/>
              </w:rPr>
            </w:pPr>
            <w:r>
              <w:rPr>
                <w:rFonts w:hint="eastAsia"/>
                <w:color w:val="000000"/>
              </w:rPr>
              <w:t>698,485,563.22</w:t>
            </w:r>
          </w:p>
        </w:tc>
        <w:tc>
          <w:tcPr>
            <w:tcW w:w="1653" w:type="pct"/>
            <w:shd w:val="clear" w:color="auto" w:fill="auto"/>
            <w:vAlign w:val="center"/>
          </w:tcPr>
          <w:p w:rsidR="00597370" w:rsidRDefault="003C2EEE">
            <w:pPr>
              <w:jc w:val="right"/>
            </w:pPr>
            <w:r>
              <w:t>50,248,796.79</w:t>
            </w:r>
          </w:p>
        </w:tc>
      </w:tr>
      <w:tr w:rsidR="00597370">
        <w:tc>
          <w:tcPr>
            <w:tcW w:w="1700" w:type="pct"/>
            <w:shd w:val="clear" w:color="auto" w:fill="auto"/>
          </w:tcPr>
          <w:p w:rsidR="00597370" w:rsidRDefault="003C2EEE">
            <w:r>
              <w:t>往来及其他</w:t>
            </w:r>
          </w:p>
        </w:tc>
        <w:tc>
          <w:tcPr>
            <w:tcW w:w="1647" w:type="pct"/>
            <w:shd w:val="clear" w:color="auto" w:fill="auto"/>
            <w:vAlign w:val="center"/>
          </w:tcPr>
          <w:p w:rsidR="00597370" w:rsidRDefault="003C2EEE">
            <w:pPr>
              <w:jc w:val="right"/>
              <w:rPr>
                <w:color w:val="000000"/>
              </w:rPr>
            </w:pPr>
            <w:r>
              <w:rPr>
                <w:rFonts w:hint="eastAsia"/>
                <w:color w:val="000000"/>
              </w:rPr>
              <w:t>41,208,913.82</w:t>
            </w:r>
          </w:p>
        </w:tc>
        <w:tc>
          <w:tcPr>
            <w:tcW w:w="1653" w:type="pct"/>
            <w:shd w:val="clear" w:color="auto" w:fill="auto"/>
            <w:vAlign w:val="center"/>
          </w:tcPr>
          <w:p w:rsidR="00597370" w:rsidRDefault="003C2EEE">
            <w:pPr>
              <w:jc w:val="right"/>
            </w:pPr>
            <w:r>
              <w:t>959,135.00</w:t>
            </w:r>
          </w:p>
        </w:tc>
      </w:tr>
      <w:tr w:rsidR="00597370">
        <w:tc>
          <w:tcPr>
            <w:tcW w:w="1700" w:type="pct"/>
            <w:shd w:val="clear" w:color="auto" w:fill="auto"/>
          </w:tcPr>
          <w:p w:rsidR="00597370" w:rsidRDefault="003C2EEE">
            <w:pPr>
              <w:rPr>
                <w:highlight w:val="yellow"/>
              </w:rPr>
            </w:pPr>
            <w:r>
              <w:t>保证金、押金</w:t>
            </w:r>
          </w:p>
        </w:tc>
        <w:tc>
          <w:tcPr>
            <w:tcW w:w="1647" w:type="pct"/>
            <w:shd w:val="clear" w:color="auto" w:fill="auto"/>
            <w:vAlign w:val="center"/>
          </w:tcPr>
          <w:p w:rsidR="00597370" w:rsidRDefault="003C2EEE">
            <w:pPr>
              <w:jc w:val="right"/>
              <w:rPr>
                <w:color w:val="000000"/>
              </w:rPr>
            </w:pPr>
            <w:r>
              <w:rPr>
                <w:rFonts w:hint="eastAsia"/>
                <w:color w:val="000000"/>
              </w:rPr>
              <w:t>5,486,056.34</w:t>
            </w:r>
          </w:p>
        </w:tc>
        <w:tc>
          <w:tcPr>
            <w:tcW w:w="1653" w:type="pct"/>
            <w:shd w:val="clear" w:color="auto" w:fill="auto"/>
            <w:vAlign w:val="center"/>
          </w:tcPr>
          <w:p w:rsidR="00597370" w:rsidRDefault="003C2EEE">
            <w:pPr>
              <w:jc w:val="right"/>
            </w:pPr>
            <w:r>
              <w:t>11,069,494.24</w:t>
            </w:r>
          </w:p>
        </w:tc>
      </w:tr>
      <w:tr w:rsidR="00597370">
        <w:tc>
          <w:tcPr>
            <w:tcW w:w="1700" w:type="pct"/>
            <w:shd w:val="clear" w:color="auto" w:fill="auto"/>
          </w:tcPr>
          <w:p w:rsidR="00597370" w:rsidRDefault="003C2EEE">
            <w:pPr>
              <w:jc w:val="center"/>
            </w:pPr>
            <w:r>
              <w:t>合计</w:t>
            </w:r>
          </w:p>
        </w:tc>
        <w:tc>
          <w:tcPr>
            <w:tcW w:w="1647" w:type="pct"/>
            <w:shd w:val="clear" w:color="auto" w:fill="auto"/>
          </w:tcPr>
          <w:p w:rsidR="00597370" w:rsidRDefault="003C2EEE">
            <w:pPr>
              <w:jc w:val="right"/>
              <w:textAlignment w:val="top"/>
            </w:pPr>
            <w:r>
              <w:rPr>
                <w:rFonts w:hint="eastAsia"/>
                <w:color w:val="000000"/>
                <w:lang w:bidi="ar"/>
              </w:rPr>
              <w:t>745,180,533.38</w:t>
            </w:r>
          </w:p>
        </w:tc>
        <w:tc>
          <w:tcPr>
            <w:tcW w:w="1653" w:type="pct"/>
            <w:shd w:val="clear" w:color="auto" w:fill="auto"/>
            <w:vAlign w:val="center"/>
          </w:tcPr>
          <w:p w:rsidR="00597370" w:rsidRDefault="003C2EEE">
            <w:pPr>
              <w:jc w:val="right"/>
            </w:pPr>
            <w:r>
              <w:t>62,277,426.03</w:t>
            </w:r>
          </w:p>
        </w:tc>
      </w:tr>
    </w:tbl>
    <w:p w:rsidR="00597370" w:rsidRDefault="00597370"/>
    <w:p w:rsidR="00597370" w:rsidRDefault="003C2EEE">
      <w:pPr>
        <w:pStyle w:val="Style111"/>
        <w:numPr>
          <w:ilvl w:val="0"/>
          <w:numId w:val="117"/>
        </w:numPr>
        <w:ind w:left="425" w:hanging="425"/>
        <w:rPr>
          <w:rFonts w:asciiTheme="minorHAnsi" w:hAnsiTheme="minorHAnsi" w:cs="宋体"/>
          <w:color w:val="000000" w:themeColor="text1"/>
          <w:kern w:val="0"/>
          <w:szCs w:val="22"/>
        </w:rPr>
      </w:pPr>
      <w:r>
        <w:rPr>
          <w:rFonts w:asciiTheme="minorHAnsi" w:hAnsiTheme="minorHAnsi" w:cs="宋体" w:hint="eastAsia"/>
          <w:color w:val="000000" w:themeColor="text1"/>
          <w:kern w:val="0"/>
          <w:szCs w:val="22"/>
        </w:rPr>
        <w:lastRenderedPageBreak/>
        <w:t>坏账准备计提情况</w:t>
      </w:r>
    </w:p>
    <w:sdt>
      <w:sdtPr>
        <w:rPr>
          <w:color w:val="000000" w:themeColor="text1"/>
        </w:rPr>
        <w:alias w:val="是否适用：母公司其他应收款坏账准备调节表[双击切换]"/>
        <w:tag w:val="_GBC_550996ad46c8493eb98c011d7acf7dfb"/>
        <w:id w:val="21024208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autoSpaceDE w:val="0"/>
        <w:autoSpaceDN w:val="0"/>
        <w:adjustRightInd w:val="0"/>
        <w:ind w:rightChars="50" w:right="105"/>
        <w:jc w:val="right"/>
        <w:rPr>
          <w:color w:val="000000" w:themeColor="text1"/>
        </w:rPr>
      </w:pPr>
      <w:r>
        <w:rPr>
          <w:rFonts w:hint="eastAsia"/>
          <w:color w:val="000000" w:themeColor="text1"/>
        </w:rPr>
        <w:t>单位：</w:t>
      </w:r>
      <w:sdt>
        <w:sdtPr>
          <w:rPr>
            <w:rFonts w:hint="eastAsia"/>
            <w:color w:val="000000" w:themeColor="text1"/>
          </w:rPr>
          <w:alias w:val="单位：母公司其他应收款坏账准备调节表"/>
          <w:tag w:val="_GBC_10c7491cbac54cf6a1a375367db16baf"/>
          <w:id w:val="-15258600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其他应收款坏账准备调节表"/>
          <w:tag w:val="_GBC_01762fded69841c1b87d684f3bcfb97f"/>
          <w:id w:val="-13377637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521"/>
        <w:gridCol w:w="1936"/>
        <w:gridCol w:w="1936"/>
        <w:gridCol w:w="1664"/>
      </w:tblGrid>
      <w:tr w:rsidR="00597370">
        <w:sdt>
          <w:sdtPr>
            <w:rPr>
              <w:rFonts w:ascii="宋体" w:eastAsia="宋体" w:hAnsi="宋体"/>
              <w:color w:val="000000" w:themeColor="text1"/>
            </w:rPr>
            <w:tag w:val="_PLD_a620ef8c0fe0407b955c4f58530e0b21"/>
            <w:id w:val="633450170"/>
          </w:sdtPr>
          <w:sdtEndPr/>
          <w:sdtContent>
            <w:tc>
              <w:tcPr>
                <w:tcW w:w="1001" w:type="pct"/>
                <w:vMerge w:val="restart"/>
                <w:vAlign w:val="center"/>
              </w:tcPr>
              <w:p w:rsidR="00597370" w:rsidRDefault="003C2EEE">
                <w:pPr>
                  <w:pStyle w:val="Style161"/>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坏账准备</w:t>
                </w:r>
              </w:p>
            </w:tc>
          </w:sdtContent>
        </w:sdt>
        <w:sdt>
          <w:sdtPr>
            <w:rPr>
              <w:rFonts w:ascii="宋体" w:eastAsia="宋体" w:hAnsi="宋体"/>
              <w:color w:val="000000" w:themeColor="text1"/>
            </w:rPr>
            <w:tag w:val="_PLD_8699e9827a744831bf2fdadfa1ac52e1"/>
            <w:id w:val="1856762184"/>
          </w:sdtPr>
          <w:sdtEndPr/>
          <w:sdtContent>
            <w:tc>
              <w:tcPr>
                <w:tcW w:w="862" w:type="pct"/>
                <w:vAlign w:val="center"/>
              </w:tcPr>
              <w:p w:rsidR="00597370" w:rsidRDefault="003C2EEE">
                <w:pPr>
                  <w:pStyle w:val="Style161"/>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第一阶段</w:t>
                </w:r>
              </w:p>
            </w:tc>
          </w:sdtContent>
        </w:sdt>
        <w:sdt>
          <w:sdtPr>
            <w:rPr>
              <w:rFonts w:ascii="宋体" w:eastAsia="宋体" w:hAnsi="宋体"/>
              <w:color w:val="000000" w:themeColor="text1"/>
            </w:rPr>
            <w:tag w:val="_PLD_d2f5c6d4cf0d4a86b39dc41f67fe87db"/>
            <w:id w:val="-1206637735"/>
          </w:sdtPr>
          <w:sdtEndPr/>
          <w:sdtContent>
            <w:tc>
              <w:tcPr>
                <w:tcW w:w="1097" w:type="pct"/>
              </w:tcPr>
              <w:p w:rsidR="00597370" w:rsidRDefault="003C2EEE">
                <w:pPr>
                  <w:pStyle w:val="Style161"/>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第二阶段</w:t>
                </w:r>
              </w:p>
            </w:tc>
          </w:sdtContent>
        </w:sdt>
        <w:sdt>
          <w:sdtPr>
            <w:rPr>
              <w:rFonts w:ascii="宋体" w:eastAsia="宋体" w:hAnsi="宋体"/>
              <w:color w:val="000000" w:themeColor="text1"/>
            </w:rPr>
            <w:tag w:val="_PLD_a09c7daba8c14a6498c7b83b77c97c72"/>
            <w:id w:val="1222558921"/>
          </w:sdtPr>
          <w:sdtEndPr/>
          <w:sdtContent>
            <w:tc>
              <w:tcPr>
                <w:tcW w:w="1097" w:type="pct"/>
              </w:tcPr>
              <w:p w:rsidR="00597370" w:rsidRDefault="003C2EEE">
                <w:pPr>
                  <w:pStyle w:val="Style161"/>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第三阶段</w:t>
                </w:r>
              </w:p>
            </w:tc>
          </w:sdtContent>
        </w:sdt>
        <w:sdt>
          <w:sdtPr>
            <w:rPr>
              <w:rFonts w:ascii="宋体" w:eastAsia="宋体" w:hAnsi="宋体"/>
              <w:color w:val="000000" w:themeColor="text1"/>
            </w:rPr>
            <w:tag w:val="_PLD_1ec064a14a75404dac24adc5e6ddd253"/>
            <w:id w:val="-984312813"/>
          </w:sdtPr>
          <w:sdtEndPr/>
          <w:sdtContent>
            <w:tc>
              <w:tcPr>
                <w:tcW w:w="943" w:type="pct"/>
                <w:vMerge w:val="restart"/>
                <w:vAlign w:val="center"/>
              </w:tcPr>
              <w:p w:rsidR="00597370" w:rsidRDefault="003C2EEE">
                <w:pPr>
                  <w:pStyle w:val="Style161"/>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合计</w:t>
                </w:r>
              </w:p>
            </w:tc>
          </w:sdtContent>
        </w:sdt>
      </w:tr>
      <w:tr w:rsidR="00597370">
        <w:tc>
          <w:tcPr>
            <w:tcW w:w="1001" w:type="pct"/>
            <w:vMerge/>
            <w:vAlign w:val="center"/>
          </w:tcPr>
          <w:p w:rsidR="00597370" w:rsidRDefault="00597370">
            <w:pPr>
              <w:jc w:val="center"/>
              <w:rPr>
                <w:color w:val="000000" w:themeColor="text1"/>
              </w:rPr>
            </w:pPr>
          </w:p>
        </w:tc>
        <w:sdt>
          <w:sdtPr>
            <w:rPr>
              <w:rFonts w:ascii="宋体" w:eastAsia="宋体" w:hAnsi="宋体"/>
              <w:color w:val="000000" w:themeColor="text1"/>
            </w:rPr>
            <w:tag w:val="_PLD_506da2a2f1db4ead819aa958edd702e2"/>
            <w:id w:val="-265996513"/>
          </w:sdtPr>
          <w:sdtEndPr/>
          <w:sdtContent>
            <w:tc>
              <w:tcPr>
                <w:tcW w:w="862" w:type="pct"/>
                <w:vAlign w:val="center"/>
              </w:tcPr>
              <w:p w:rsidR="00597370" w:rsidRDefault="003C2EEE">
                <w:pPr>
                  <w:pStyle w:val="Style161"/>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未来12个月预期信用损失</w:t>
                </w:r>
              </w:p>
            </w:tc>
          </w:sdtContent>
        </w:sdt>
        <w:sdt>
          <w:sdtPr>
            <w:rPr>
              <w:rFonts w:ascii="宋体" w:eastAsia="宋体" w:hAnsi="宋体"/>
              <w:color w:val="000000" w:themeColor="text1"/>
            </w:rPr>
            <w:tag w:val="_PLD_23a6590eef0649d4af75d4845c12f263"/>
            <w:id w:val="-428118245"/>
          </w:sdtPr>
          <w:sdtEndPr/>
          <w:sdtContent>
            <w:tc>
              <w:tcPr>
                <w:tcW w:w="1097" w:type="pct"/>
                <w:vAlign w:val="center"/>
              </w:tcPr>
              <w:p w:rsidR="00597370" w:rsidRDefault="003C2EEE">
                <w:pPr>
                  <w:pStyle w:val="Style161"/>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整个存续期预期信用损失(未发生信用减值)</w:t>
                </w:r>
              </w:p>
            </w:tc>
          </w:sdtContent>
        </w:sdt>
        <w:sdt>
          <w:sdtPr>
            <w:rPr>
              <w:rFonts w:ascii="宋体" w:eastAsia="宋体" w:hAnsi="宋体"/>
              <w:color w:val="000000" w:themeColor="text1"/>
            </w:rPr>
            <w:tag w:val="_PLD_44518f4265ac43078f96c79efe9dd487"/>
            <w:id w:val="-1439371023"/>
          </w:sdtPr>
          <w:sdtEndPr/>
          <w:sdtContent>
            <w:tc>
              <w:tcPr>
                <w:tcW w:w="1097" w:type="pct"/>
                <w:vAlign w:val="center"/>
              </w:tcPr>
              <w:p w:rsidR="00597370" w:rsidRDefault="003C2EEE">
                <w:pPr>
                  <w:pStyle w:val="Style161"/>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整个存续期预期信用损失(已发生信用减值)</w:t>
                </w:r>
              </w:p>
            </w:tc>
          </w:sdtContent>
        </w:sdt>
        <w:tc>
          <w:tcPr>
            <w:tcW w:w="943" w:type="pct"/>
            <w:vMerge/>
          </w:tcPr>
          <w:p w:rsidR="00597370" w:rsidRDefault="00597370">
            <w:pPr>
              <w:jc w:val="center"/>
              <w:rPr>
                <w:color w:val="000000" w:themeColor="text1"/>
              </w:rPr>
            </w:pP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2024年</w:t>
            </w:r>
            <w:r>
              <w:rPr>
                <w:rFonts w:ascii="宋体" w:eastAsia="宋体" w:hAnsi="宋体" w:cs="宋体" w:hint="eastAsia"/>
                <w:color w:val="000000" w:themeColor="text1"/>
                <w:sz w:val="21"/>
                <w:szCs w:val="21"/>
                <w:lang w:eastAsia="zh-CN"/>
              </w:rPr>
              <w:t>1月1日余额</w:t>
            </w:r>
          </w:p>
        </w:tc>
        <w:tc>
          <w:tcPr>
            <w:tcW w:w="862" w:type="pct"/>
            <w:vAlign w:val="center"/>
          </w:tcPr>
          <w:p w:rsidR="00597370" w:rsidRDefault="003C2EEE">
            <w:pPr>
              <w:jc w:val="right"/>
            </w:pPr>
            <w:r>
              <w:rPr>
                <w:rFonts w:hint="eastAsia"/>
                <w:color w:val="000000"/>
              </w:rPr>
              <w:t xml:space="preserve">953,690.14 </w:t>
            </w:r>
          </w:p>
        </w:tc>
        <w:tc>
          <w:tcPr>
            <w:tcW w:w="1097" w:type="pct"/>
            <w:vAlign w:val="center"/>
          </w:tcPr>
          <w:p w:rsidR="00597370" w:rsidRDefault="003C2EEE">
            <w:pPr>
              <w:jc w:val="right"/>
            </w:pPr>
            <w:r>
              <w:rPr>
                <w:rFonts w:hint="eastAsia"/>
                <w:color w:val="000000"/>
              </w:rPr>
              <w:t xml:space="preserve">628,182.45 </w:t>
            </w:r>
          </w:p>
        </w:tc>
        <w:tc>
          <w:tcPr>
            <w:tcW w:w="1097" w:type="pct"/>
            <w:vAlign w:val="center"/>
          </w:tcPr>
          <w:p w:rsidR="00597370" w:rsidRDefault="003C2EEE">
            <w:pPr>
              <w:jc w:val="right"/>
            </w:pPr>
            <w:r>
              <w:rPr>
                <w:rFonts w:hint="eastAsia"/>
                <w:color w:val="000000"/>
              </w:rPr>
              <w:t xml:space="preserve">300,000.00 </w:t>
            </w:r>
          </w:p>
        </w:tc>
        <w:tc>
          <w:tcPr>
            <w:tcW w:w="943" w:type="pct"/>
            <w:vAlign w:val="center"/>
          </w:tcPr>
          <w:p w:rsidR="00597370" w:rsidRDefault="003C2EEE">
            <w:pPr>
              <w:jc w:val="right"/>
            </w:pPr>
            <w:r>
              <w:rPr>
                <w:rFonts w:hint="eastAsia"/>
                <w:color w:val="000000"/>
              </w:rPr>
              <w:t xml:space="preserve">1,881,872.59 </w:t>
            </w: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2024年1月1日余额在本期</w:t>
            </w:r>
          </w:p>
        </w:tc>
        <w:tc>
          <w:tcPr>
            <w:tcW w:w="862" w:type="pct"/>
            <w:vAlign w:val="center"/>
          </w:tcPr>
          <w:p w:rsidR="00597370" w:rsidRDefault="00597370">
            <w:pPr>
              <w:jc w:val="right"/>
            </w:pPr>
          </w:p>
        </w:tc>
        <w:tc>
          <w:tcPr>
            <w:tcW w:w="1097" w:type="pct"/>
            <w:vAlign w:val="center"/>
          </w:tcPr>
          <w:p w:rsidR="00597370" w:rsidRDefault="00597370">
            <w:pPr>
              <w:jc w:val="right"/>
            </w:pPr>
          </w:p>
        </w:tc>
        <w:tc>
          <w:tcPr>
            <w:tcW w:w="1097" w:type="pct"/>
            <w:vAlign w:val="center"/>
          </w:tcPr>
          <w:p w:rsidR="00597370" w:rsidRDefault="00597370">
            <w:pPr>
              <w:jc w:val="right"/>
            </w:pPr>
          </w:p>
        </w:tc>
        <w:tc>
          <w:tcPr>
            <w:tcW w:w="943" w:type="pct"/>
            <w:vAlign w:val="center"/>
          </w:tcPr>
          <w:p w:rsidR="00597370" w:rsidRDefault="00597370">
            <w:pPr>
              <w:jc w:val="right"/>
            </w:pP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--转入第二阶段</w:t>
            </w:r>
          </w:p>
        </w:tc>
        <w:tc>
          <w:tcPr>
            <w:tcW w:w="862" w:type="pct"/>
            <w:vAlign w:val="center"/>
          </w:tcPr>
          <w:p w:rsidR="00597370" w:rsidRDefault="00597370">
            <w:pPr>
              <w:jc w:val="right"/>
            </w:pPr>
          </w:p>
        </w:tc>
        <w:tc>
          <w:tcPr>
            <w:tcW w:w="1097" w:type="pct"/>
            <w:vAlign w:val="center"/>
          </w:tcPr>
          <w:p w:rsidR="00597370" w:rsidRDefault="00597370">
            <w:pPr>
              <w:jc w:val="right"/>
            </w:pPr>
          </w:p>
        </w:tc>
        <w:tc>
          <w:tcPr>
            <w:tcW w:w="1097" w:type="pct"/>
            <w:vAlign w:val="center"/>
          </w:tcPr>
          <w:p w:rsidR="00597370" w:rsidRDefault="00597370">
            <w:pPr>
              <w:jc w:val="right"/>
            </w:pPr>
          </w:p>
        </w:tc>
        <w:tc>
          <w:tcPr>
            <w:tcW w:w="943" w:type="pct"/>
            <w:vAlign w:val="center"/>
          </w:tcPr>
          <w:p w:rsidR="00597370" w:rsidRDefault="00597370">
            <w:pPr>
              <w:jc w:val="right"/>
            </w:pP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--转入第三阶段</w:t>
            </w:r>
          </w:p>
        </w:tc>
        <w:tc>
          <w:tcPr>
            <w:tcW w:w="862" w:type="pct"/>
            <w:vAlign w:val="center"/>
          </w:tcPr>
          <w:p w:rsidR="00597370" w:rsidRDefault="00597370">
            <w:pPr>
              <w:jc w:val="right"/>
            </w:pPr>
          </w:p>
        </w:tc>
        <w:tc>
          <w:tcPr>
            <w:tcW w:w="1097" w:type="pct"/>
            <w:vAlign w:val="center"/>
          </w:tcPr>
          <w:p w:rsidR="00597370" w:rsidRDefault="00597370">
            <w:pPr>
              <w:jc w:val="right"/>
            </w:pPr>
          </w:p>
        </w:tc>
        <w:tc>
          <w:tcPr>
            <w:tcW w:w="1097" w:type="pct"/>
            <w:vAlign w:val="center"/>
          </w:tcPr>
          <w:p w:rsidR="00597370" w:rsidRDefault="00597370">
            <w:pPr>
              <w:jc w:val="right"/>
            </w:pPr>
          </w:p>
        </w:tc>
        <w:tc>
          <w:tcPr>
            <w:tcW w:w="943" w:type="pct"/>
            <w:vAlign w:val="center"/>
          </w:tcPr>
          <w:p w:rsidR="00597370" w:rsidRDefault="00597370">
            <w:pPr>
              <w:jc w:val="right"/>
            </w:pP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--转回第二阶段</w:t>
            </w:r>
          </w:p>
        </w:tc>
        <w:tc>
          <w:tcPr>
            <w:tcW w:w="862" w:type="pct"/>
            <w:vAlign w:val="center"/>
          </w:tcPr>
          <w:p w:rsidR="00597370" w:rsidRDefault="00597370">
            <w:pPr>
              <w:jc w:val="right"/>
            </w:pPr>
          </w:p>
        </w:tc>
        <w:tc>
          <w:tcPr>
            <w:tcW w:w="1097" w:type="pct"/>
            <w:vAlign w:val="center"/>
          </w:tcPr>
          <w:p w:rsidR="00597370" w:rsidRDefault="00597370">
            <w:pPr>
              <w:jc w:val="right"/>
            </w:pPr>
          </w:p>
        </w:tc>
        <w:tc>
          <w:tcPr>
            <w:tcW w:w="1097" w:type="pct"/>
            <w:vAlign w:val="center"/>
          </w:tcPr>
          <w:p w:rsidR="00597370" w:rsidRDefault="00597370">
            <w:pPr>
              <w:jc w:val="right"/>
            </w:pPr>
          </w:p>
        </w:tc>
        <w:tc>
          <w:tcPr>
            <w:tcW w:w="943" w:type="pct"/>
            <w:vAlign w:val="center"/>
          </w:tcPr>
          <w:p w:rsidR="00597370" w:rsidRDefault="00597370">
            <w:pPr>
              <w:jc w:val="right"/>
            </w:pP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--转回第一阶段</w:t>
            </w:r>
          </w:p>
        </w:tc>
        <w:tc>
          <w:tcPr>
            <w:tcW w:w="862" w:type="pct"/>
            <w:vAlign w:val="center"/>
          </w:tcPr>
          <w:p w:rsidR="00597370" w:rsidRDefault="00597370">
            <w:pPr>
              <w:jc w:val="right"/>
            </w:pPr>
          </w:p>
        </w:tc>
        <w:tc>
          <w:tcPr>
            <w:tcW w:w="1097" w:type="pct"/>
            <w:vAlign w:val="center"/>
          </w:tcPr>
          <w:p w:rsidR="00597370" w:rsidRDefault="00597370">
            <w:pPr>
              <w:jc w:val="right"/>
            </w:pPr>
          </w:p>
        </w:tc>
        <w:tc>
          <w:tcPr>
            <w:tcW w:w="1097" w:type="pct"/>
            <w:vAlign w:val="center"/>
          </w:tcPr>
          <w:p w:rsidR="00597370" w:rsidRDefault="00597370">
            <w:pPr>
              <w:jc w:val="right"/>
            </w:pPr>
          </w:p>
        </w:tc>
        <w:tc>
          <w:tcPr>
            <w:tcW w:w="943" w:type="pct"/>
            <w:vAlign w:val="center"/>
          </w:tcPr>
          <w:p w:rsidR="00597370" w:rsidRDefault="00597370">
            <w:pPr>
              <w:jc w:val="right"/>
            </w:pP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本期计提</w:t>
            </w:r>
          </w:p>
        </w:tc>
        <w:tc>
          <w:tcPr>
            <w:tcW w:w="862" w:type="pct"/>
            <w:vAlign w:val="center"/>
          </w:tcPr>
          <w:p w:rsidR="00597370" w:rsidRDefault="003C2EEE">
            <w:pPr>
              <w:jc w:val="right"/>
            </w:pPr>
            <w:r>
              <w:rPr>
                <w:rFonts w:hint="eastAsia"/>
                <w:color w:val="000000"/>
              </w:rPr>
              <w:t xml:space="preserve">457,436.68 </w:t>
            </w:r>
          </w:p>
        </w:tc>
        <w:tc>
          <w:tcPr>
            <w:tcW w:w="1097" w:type="pct"/>
            <w:vAlign w:val="center"/>
          </w:tcPr>
          <w:p w:rsidR="00597370" w:rsidRDefault="00597370">
            <w:pPr>
              <w:jc w:val="right"/>
            </w:pPr>
          </w:p>
        </w:tc>
        <w:tc>
          <w:tcPr>
            <w:tcW w:w="1097" w:type="pct"/>
            <w:vAlign w:val="center"/>
          </w:tcPr>
          <w:p w:rsidR="00597370" w:rsidRDefault="003C2EEE">
            <w:pPr>
              <w:jc w:val="right"/>
            </w:pPr>
            <w:r>
              <w:rPr>
                <w:rFonts w:hint="eastAsia"/>
                <w:color w:val="000000"/>
              </w:rPr>
              <w:t xml:space="preserve">6,000.00 </w:t>
            </w:r>
          </w:p>
        </w:tc>
        <w:tc>
          <w:tcPr>
            <w:tcW w:w="943" w:type="pct"/>
            <w:vAlign w:val="center"/>
          </w:tcPr>
          <w:p w:rsidR="00597370" w:rsidRDefault="003C2EEE">
            <w:pPr>
              <w:jc w:val="right"/>
            </w:pPr>
            <w:r>
              <w:rPr>
                <w:rFonts w:hint="eastAsia"/>
                <w:color w:val="000000"/>
              </w:rPr>
              <w:t xml:space="preserve">463,436.68 </w:t>
            </w:r>
          </w:p>
        </w:tc>
      </w:tr>
      <w:tr w:rsidR="00597370">
        <w:tc>
          <w:tcPr>
            <w:tcW w:w="1001" w:type="pct"/>
            <w:vAlign w:val="center"/>
          </w:tcPr>
          <w:p w:rsidR="00597370" w:rsidRDefault="003C2EEE">
            <w:pPr>
              <w:pStyle w:val="Style161"/>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本期转回</w:t>
            </w:r>
          </w:p>
        </w:tc>
        <w:tc>
          <w:tcPr>
            <w:tcW w:w="862" w:type="pct"/>
            <w:vAlign w:val="center"/>
          </w:tcPr>
          <w:p w:rsidR="00597370" w:rsidRDefault="00597370">
            <w:pPr>
              <w:jc w:val="right"/>
            </w:pPr>
          </w:p>
        </w:tc>
        <w:tc>
          <w:tcPr>
            <w:tcW w:w="1097" w:type="pct"/>
            <w:vAlign w:val="center"/>
          </w:tcPr>
          <w:p w:rsidR="00597370" w:rsidRDefault="003C2EEE">
            <w:pPr>
              <w:jc w:val="right"/>
            </w:pPr>
            <w:r>
              <w:rPr>
                <w:color w:val="000000"/>
              </w:rPr>
              <w:t>598,182.45</w:t>
            </w:r>
            <w:r>
              <w:rPr>
                <w:rFonts w:hint="eastAsia"/>
                <w:color w:val="000000"/>
              </w:rPr>
              <w:t xml:space="preserve"> </w:t>
            </w:r>
          </w:p>
        </w:tc>
        <w:tc>
          <w:tcPr>
            <w:tcW w:w="1097" w:type="pct"/>
            <w:vAlign w:val="center"/>
          </w:tcPr>
          <w:p w:rsidR="00597370" w:rsidRDefault="00597370">
            <w:pPr>
              <w:jc w:val="right"/>
            </w:pPr>
          </w:p>
        </w:tc>
        <w:tc>
          <w:tcPr>
            <w:tcW w:w="943" w:type="pct"/>
            <w:vAlign w:val="center"/>
          </w:tcPr>
          <w:p w:rsidR="00597370" w:rsidRDefault="003C2EEE">
            <w:pPr>
              <w:jc w:val="right"/>
            </w:pPr>
            <w:r>
              <w:rPr>
                <w:color w:val="000000"/>
              </w:rPr>
              <w:t>598,182.45</w:t>
            </w:r>
            <w:r>
              <w:rPr>
                <w:rFonts w:hint="eastAsia"/>
                <w:color w:val="000000"/>
              </w:rPr>
              <w:t xml:space="preserve"> </w:t>
            </w: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本期转销</w:t>
            </w:r>
          </w:p>
        </w:tc>
        <w:tc>
          <w:tcPr>
            <w:tcW w:w="862" w:type="pct"/>
            <w:vAlign w:val="center"/>
          </w:tcPr>
          <w:p w:rsidR="00597370" w:rsidRDefault="00597370">
            <w:pPr>
              <w:jc w:val="right"/>
            </w:pPr>
          </w:p>
        </w:tc>
        <w:tc>
          <w:tcPr>
            <w:tcW w:w="1097" w:type="pct"/>
            <w:vAlign w:val="center"/>
          </w:tcPr>
          <w:p w:rsidR="00597370" w:rsidRDefault="00597370">
            <w:pPr>
              <w:jc w:val="right"/>
            </w:pPr>
          </w:p>
        </w:tc>
        <w:tc>
          <w:tcPr>
            <w:tcW w:w="1097" w:type="pct"/>
            <w:vAlign w:val="center"/>
          </w:tcPr>
          <w:p w:rsidR="00597370" w:rsidRDefault="00597370">
            <w:pPr>
              <w:jc w:val="right"/>
            </w:pPr>
          </w:p>
        </w:tc>
        <w:tc>
          <w:tcPr>
            <w:tcW w:w="943" w:type="pct"/>
            <w:vAlign w:val="center"/>
          </w:tcPr>
          <w:p w:rsidR="00597370" w:rsidRDefault="00597370">
            <w:pPr>
              <w:jc w:val="right"/>
            </w:pPr>
          </w:p>
        </w:tc>
      </w:tr>
      <w:tr w:rsidR="00597370">
        <w:tc>
          <w:tcPr>
            <w:tcW w:w="1001" w:type="pct"/>
            <w:vAlign w:val="center"/>
          </w:tcPr>
          <w:p w:rsidR="00597370" w:rsidRDefault="003C2EEE">
            <w:pPr>
              <w:pStyle w:val="Style161"/>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本期核销</w:t>
            </w:r>
          </w:p>
        </w:tc>
        <w:tc>
          <w:tcPr>
            <w:tcW w:w="862" w:type="pct"/>
            <w:vAlign w:val="center"/>
          </w:tcPr>
          <w:p w:rsidR="00597370" w:rsidRDefault="00597370">
            <w:pPr>
              <w:jc w:val="right"/>
            </w:pPr>
          </w:p>
        </w:tc>
        <w:tc>
          <w:tcPr>
            <w:tcW w:w="1097" w:type="pct"/>
            <w:vAlign w:val="center"/>
          </w:tcPr>
          <w:p w:rsidR="00597370" w:rsidRDefault="00597370">
            <w:pPr>
              <w:jc w:val="right"/>
            </w:pPr>
          </w:p>
        </w:tc>
        <w:tc>
          <w:tcPr>
            <w:tcW w:w="1097" w:type="pct"/>
            <w:vAlign w:val="center"/>
          </w:tcPr>
          <w:p w:rsidR="00597370" w:rsidRDefault="00597370">
            <w:pPr>
              <w:jc w:val="right"/>
            </w:pPr>
          </w:p>
        </w:tc>
        <w:tc>
          <w:tcPr>
            <w:tcW w:w="943" w:type="pct"/>
            <w:vAlign w:val="center"/>
          </w:tcPr>
          <w:p w:rsidR="00597370" w:rsidRDefault="00597370">
            <w:pPr>
              <w:jc w:val="right"/>
            </w:pPr>
          </w:p>
        </w:tc>
      </w:tr>
      <w:tr w:rsidR="00597370">
        <w:tc>
          <w:tcPr>
            <w:tcW w:w="1001" w:type="pct"/>
            <w:vAlign w:val="center"/>
          </w:tcPr>
          <w:p w:rsidR="00597370" w:rsidRDefault="003C2EEE">
            <w:pPr>
              <w:pStyle w:val="Style161"/>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其他变动</w:t>
            </w:r>
          </w:p>
        </w:tc>
        <w:tc>
          <w:tcPr>
            <w:tcW w:w="862" w:type="pct"/>
            <w:vAlign w:val="center"/>
          </w:tcPr>
          <w:p w:rsidR="00597370" w:rsidRDefault="00597370">
            <w:pPr>
              <w:jc w:val="right"/>
            </w:pPr>
          </w:p>
        </w:tc>
        <w:tc>
          <w:tcPr>
            <w:tcW w:w="1097" w:type="pct"/>
            <w:vAlign w:val="center"/>
          </w:tcPr>
          <w:p w:rsidR="00597370" w:rsidRDefault="00597370">
            <w:pPr>
              <w:jc w:val="right"/>
            </w:pPr>
          </w:p>
        </w:tc>
        <w:tc>
          <w:tcPr>
            <w:tcW w:w="1097" w:type="pct"/>
            <w:vAlign w:val="center"/>
          </w:tcPr>
          <w:p w:rsidR="00597370" w:rsidRDefault="00597370">
            <w:pPr>
              <w:jc w:val="right"/>
            </w:pPr>
          </w:p>
        </w:tc>
        <w:tc>
          <w:tcPr>
            <w:tcW w:w="943" w:type="pct"/>
            <w:vAlign w:val="center"/>
          </w:tcPr>
          <w:p w:rsidR="00597370" w:rsidRDefault="00597370">
            <w:pPr>
              <w:jc w:val="right"/>
            </w:pPr>
          </w:p>
        </w:tc>
      </w:tr>
      <w:tr w:rsidR="00597370">
        <w:tc>
          <w:tcPr>
            <w:tcW w:w="1001" w:type="pct"/>
            <w:vAlign w:val="center"/>
          </w:tcPr>
          <w:p w:rsidR="00597370" w:rsidRDefault="003C2EEE">
            <w:pPr>
              <w:pStyle w:val="Style161"/>
              <w:spacing w:after="0" w:line="240" w:lineRule="auto"/>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2024年6月30日</w:t>
            </w:r>
            <w:r>
              <w:rPr>
                <w:rFonts w:ascii="宋体" w:eastAsia="宋体" w:hAnsi="宋体" w:cs="宋体" w:hint="eastAsia"/>
                <w:color w:val="000000" w:themeColor="text1"/>
                <w:sz w:val="21"/>
                <w:szCs w:val="21"/>
                <w:lang w:eastAsia="zh-CN"/>
              </w:rPr>
              <w:t>余额</w:t>
            </w:r>
          </w:p>
        </w:tc>
        <w:tc>
          <w:tcPr>
            <w:tcW w:w="862" w:type="pct"/>
            <w:vAlign w:val="center"/>
          </w:tcPr>
          <w:p w:rsidR="00597370" w:rsidRDefault="003C2EEE">
            <w:pPr>
              <w:jc w:val="right"/>
            </w:pPr>
            <w:r>
              <w:rPr>
                <w:rFonts w:hint="eastAsia"/>
                <w:color w:val="000000"/>
              </w:rPr>
              <w:t xml:space="preserve">1,411,126.82 </w:t>
            </w:r>
          </w:p>
        </w:tc>
        <w:tc>
          <w:tcPr>
            <w:tcW w:w="1097" w:type="pct"/>
            <w:vAlign w:val="center"/>
          </w:tcPr>
          <w:p w:rsidR="00597370" w:rsidRDefault="003C2EEE">
            <w:pPr>
              <w:jc w:val="right"/>
            </w:pPr>
            <w:r>
              <w:rPr>
                <w:rFonts w:hint="eastAsia"/>
                <w:color w:val="000000"/>
              </w:rPr>
              <w:t xml:space="preserve">30,000.00 </w:t>
            </w:r>
          </w:p>
        </w:tc>
        <w:tc>
          <w:tcPr>
            <w:tcW w:w="1097" w:type="pct"/>
            <w:vAlign w:val="center"/>
          </w:tcPr>
          <w:p w:rsidR="00597370" w:rsidRDefault="003C2EEE">
            <w:pPr>
              <w:jc w:val="right"/>
            </w:pPr>
            <w:r>
              <w:rPr>
                <w:rFonts w:hint="eastAsia"/>
                <w:color w:val="000000"/>
              </w:rPr>
              <w:t xml:space="preserve">306,000.00 </w:t>
            </w:r>
          </w:p>
        </w:tc>
        <w:tc>
          <w:tcPr>
            <w:tcW w:w="943" w:type="pct"/>
            <w:vAlign w:val="center"/>
          </w:tcPr>
          <w:p w:rsidR="00597370" w:rsidRDefault="003C2EEE">
            <w:pPr>
              <w:jc w:val="right"/>
            </w:pPr>
            <w:r>
              <w:rPr>
                <w:rFonts w:hint="eastAsia"/>
                <w:color w:val="000000"/>
              </w:rPr>
              <w:t xml:space="preserve">1,747,126.82 </w:t>
            </w:r>
          </w:p>
        </w:tc>
      </w:tr>
    </w:tbl>
    <w:p w:rsidR="00597370" w:rsidRDefault="00597370">
      <w:pPr>
        <w:rPr>
          <w:color w:val="000000" w:themeColor="text1"/>
        </w:rPr>
      </w:pPr>
    </w:p>
    <w:p w:rsidR="00597370" w:rsidRDefault="003C2EEE">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其他应收款各阶段划分依据和坏账准备计提比例"/>
        <w:tag w:val="_GBC_d1deab3352d44521aa56c337c4c1cf70"/>
        <w:id w:val="-954942420"/>
        <w:placeholder>
          <w:docPart w:val="GBC22222222222222222222222222222"/>
        </w:placeholder>
      </w:sdtPr>
      <w:sdtEndPr/>
      <w:sdtContent>
        <w:p w:rsidR="00597370" w:rsidRDefault="003C2EEE">
          <w:pPr>
            <w:rPr>
              <w:rFonts w:cs="Times New Roman"/>
              <w:color w:val="000000" w:themeColor="text1"/>
              <w:szCs w:val="22"/>
            </w:rPr>
          </w:pPr>
          <w:r>
            <w:rPr>
              <w:rFonts w:cs="Times New Roman" w:hint="eastAsia"/>
              <w:color w:val="000000" w:themeColor="text1"/>
              <w:szCs w:val="22"/>
            </w:rPr>
            <w:t>无</w:t>
          </w:r>
        </w:p>
      </w:sdtContent>
    </w:sdt>
    <w:p w:rsidR="00597370" w:rsidRDefault="003C2EEE">
      <w:pPr>
        <w:pStyle w:val="Style151"/>
        <w:rPr>
          <w:color w:val="000000" w:themeColor="text1"/>
        </w:rPr>
      </w:pPr>
      <w:r>
        <w:rPr>
          <w:rFonts w:hint="eastAsia"/>
          <w:color w:val="000000" w:themeColor="text1"/>
        </w:rPr>
        <w:t>对本期发生损失准备变动的其他应收款账面余额显著变动的情况说明：</w:t>
      </w:r>
    </w:p>
    <w:sdt>
      <w:sdtPr>
        <w:rPr>
          <w:color w:val="000000" w:themeColor="text1"/>
        </w:rPr>
        <w:alias w:val="是否适用：母公司其他应收款本期发生损失准备变动且账面余额显著变动的情况说明[双击切换]"/>
        <w:tag w:val="_GBC_51a7e143899e4bf4887327bb018327b9"/>
        <w:id w:val="148690013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本期坏账准备计提金额以及评估金融工具的信用风险是否显著增加的采用依据：</w:t>
      </w:r>
    </w:p>
    <w:sdt>
      <w:sdtPr>
        <w:rPr>
          <w:color w:val="000000" w:themeColor="text1"/>
        </w:rPr>
        <w:alias w:val="是否适用：母公司其他应收款坏账准备计提金额以及评估金融工具的信用风险是否显著增加的采用依据[双击切换]"/>
        <w:tag w:val="_GBC_d5682930254743bebaaf3c46f4513c04"/>
        <w:id w:val="-8047702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1"/>
        <w:numPr>
          <w:ilvl w:val="0"/>
          <w:numId w:val="117"/>
        </w:numPr>
        <w:ind w:left="425" w:hanging="425"/>
        <w:rPr>
          <w:rFonts w:asciiTheme="minorHAnsi" w:hAnsiTheme="minorHAnsi" w:cs="宋体"/>
          <w:color w:val="000000" w:themeColor="text1"/>
          <w:kern w:val="0"/>
          <w:szCs w:val="22"/>
        </w:rPr>
      </w:pPr>
      <w:bookmarkStart w:id="457" w:name="_Hlk10548122"/>
      <w:bookmarkEnd w:id="456"/>
      <w:r>
        <w:rPr>
          <w:rFonts w:asciiTheme="minorHAnsi" w:hAnsiTheme="minorHAnsi" w:cs="宋体" w:hint="eastAsia"/>
          <w:color w:val="000000" w:themeColor="text1"/>
          <w:kern w:val="0"/>
          <w:szCs w:val="22"/>
        </w:rPr>
        <w:t>坏账准备的情况</w:t>
      </w:r>
    </w:p>
    <w:sdt>
      <w:sdtPr>
        <w:rPr>
          <w:color w:val="000000" w:themeColor="text1"/>
        </w:rPr>
        <w:alias w:val="是否适用：其他应收款坏账准备[双击切换]"/>
        <w:tag w:val="_GBC_746f45a984d44f56a795e5587d8e7cf2"/>
        <w:id w:val="178855075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bookmarkStart w:id="458" w:name="_Hlk168055794"/>
      <w:bookmarkEnd w:id="457"/>
      <w:r>
        <w:rPr>
          <w:rFonts w:hint="eastAsia"/>
          <w:color w:val="000000" w:themeColor="text1"/>
        </w:rPr>
        <w:t>其中本期坏账准备转回或收回金额重要的：</w:t>
      </w:r>
    </w:p>
    <w:sdt>
      <w:sdtPr>
        <w:rPr>
          <w:color w:val="000000" w:themeColor="text1"/>
        </w:rPr>
        <w:alias w:val="是否适用：母公司其他应收款坏账准备转回或收回金额重要的[双击切换]"/>
        <w:tag w:val="_GBC_98cb10e0ff8642ad9141960d4dbb7d85"/>
        <w:id w:val="-24612041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ind w:rightChars="-759" w:right="-1594"/>
        <w:rPr>
          <w:color w:val="000000" w:themeColor="text1"/>
        </w:rPr>
      </w:pPr>
      <w:r>
        <w:rPr>
          <w:rFonts w:hint="eastAsia"/>
          <w:color w:val="000000" w:themeColor="text1"/>
        </w:rPr>
        <w:t>其他说明</w:t>
      </w:r>
    </w:p>
    <w:sdt>
      <w:sdtPr>
        <w:rPr>
          <w:color w:val="000000" w:themeColor="text1"/>
        </w:rPr>
        <w:alias w:val="其他应收款坏账准备情况的说明"/>
        <w:tag w:val="_GBC_83e986a007b44d029c897d7f19741e02"/>
        <w:id w:val="861394357"/>
        <w:placeholder>
          <w:docPart w:val="GBC22222222222222222222222222222"/>
        </w:placeholder>
      </w:sdtPr>
      <w:sdtEndPr/>
      <w:sdtContent>
        <w:p w:rsidR="00597370" w:rsidRDefault="003C2EEE">
          <w:pPr>
            <w:ind w:rightChars="-759" w:right="-1594"/>
            <w:rPr>
              <w:color w:val="000000" w:themeColor="text1"/>
            </w:rPr>
          </w:pPr>
          <w:r>
            <w:rPr>
              <w:rFonts w:hint="eastAsia"/>
              <w:color w:val="000000" w:themeColor="text1"/>
            </w:rPr>
            <w:t>无</w:t>
          </w:r>
        </w:p>
      </w:sdtContent>
    </w:sdt>
    <w:bookmarkEnd w:id="458"/>
    <w:p w:rsidR="00597370" w:rsidRDefault="003C2EEE">
      <w:pPr>
        <w:pStyle w:val="Style111"/>
        <w:numPr>
          <w:ilvl w:val="0"/>
          <w:numId w:val="117"/>
        </w:numPr>
        <w:ind w:left="425" w:hanging="425"/>
        <w:rPr>
          <w:rFonts w:asciiTheme="minorHAnsi" w:hAnsiTheme="minorHAnsi" w:cs="宋体"/>
          <w:color w:val="000000" w:themeColor="text1"/>
          <w:kern w:val="0"/>
          <w:szCs w:val="22"/>
        </w:rPr>
      </w:pPr>
      <w:r>
        <w:rPr>
          <w:rFonts w:asciiTheme="minorHAnsi" w:hAnsiTheme="minorHAnsi" w:cs="宋体" w:hint="eastAsia"/>
          <w:color w:val="000000" w:themeColor="text1"/>
          <w:kern w:val="0"/>
          <w:szCs w:val="22"/>
        </w:rPr>
        <w:t>本期实际核销的其他应收款情况</w:t>
      </w:r>
    </w:p>
    <w:sdt>
      <w:sdtPr>
        <w:rPr>
          <w:color w:val="000000" w:themeColor="text1"/>
        </w:rPr>
        <w:alias w:val="是否适用：母公司本期实际核销的其他应收款情况[双击切换]"/>
        <w:tag w:val="_GBC_dd1095756d2b471688ce5b700380fafc"/>
        <w:id w:val="-198249394"/>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rPr>
          <w:color w:val="000000" w:themeColor="text1"/>
        </w:rPr>
      </w:pPr>
      <w:r>
        <w:rPr>
          <w:rFonts w:hint="eastAsia"/>
          <w:color w:val="000000" w:themeColor="text1"/>
        </w:rPr>
        <w:t>其中重要的其他应收款核销情况：</w:t>
      </w:r>
    </w:p>
    <w:sdt>
      <w:sdtPr>
        <w:rPr>
          <w:color w:val="000000" w:themeColor="text1"/>
        </w:rPr>
        <w:alias w:val="是否适用：母公司其中重要的其他应收款核销情况[双击切换]"/>
        <w:tag w:val="_GBC_5dff1eacde3a41d6914cb7afef2e2acf"/>
        <w:id w:val="-105909264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napToGrid w:val="0"/>
        <w:spacing w:line="240" w:lineRule="atLeast"/>
        <w:rPr>
          <w:color w:val="000000" w:themeColor="text1"/>
        </w:rPr>
      </w:pPr>
      <w:r>
        <w:rPr>
          <w:rFonts w:hint="eastAsia"/>
          <w:color w:val="000000" w:themeColor="text1"/>
        </w:rPr>
        <w:t>其他应收款核销说明：</w:t>
      </w:r>
    </w:p>
    <w:sdt>
      <w:sdtPr>
        <w:rPr>
          <w:color w:val="000000" w:themeColor="text1"/>
        </w:rPr>
        <w:alias w:val="是否适用：母公司其他应收款核销说明[双击切换]"/>
        <w:tag w:val="_GBC_7e98a555990349648a39fba0c7228ab7"/>
        <w:id w:val="-1698296277"/>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1"/>
        <w:numPr>
          <w:ilvl w:val="0"/>
          <w:numId w:val="117"/>
        </w:numPr>
        <w:ind w:left="425" w:hanging="425"/>
        <w:rPr>
          <w:rFonts w:asciiTheme="minorHAnsi" w:hAnsiTheme="minorHAnsi" w:cs="宋体"/>
          <w:color w:val="000000" w:themeColor="text1"/>
          <w:kern w:val="0"/>
          <w:szCs w:val="22"/>
        </w:rPr>
      </w:pPr>
      <w:r>
        <w:rPr>
          <w:rFonts w:asciiTheme="minorHAnsi" w:hAnsiTheme="minorHAnsi" w:cs="宋体" w:hint="eastAsia"/>
          <w:color w:val="000000" w:themeColor="text1"/>
          <w:kern w:val="0"/>
          <w:szCs w:val="22"/>
        </w:rPr>
        <w:t>按欠款方归集的期末余额前五名的其他应收款情况</w:t>
      </w:r>
    </w:p>
    <w:sdt>
      <w:sdtPr>
        <w:rPr>
          <w:color w:val="000000" w:themeColor="text1"/>
        </w:rPr>
        <w:alias w:val="是否适用：母公司按欠款方归集的期末余额前五名的其他应收款情况[双击切换]"/>
        <w:tag w:val="_GBC_c31bd7806af645a4b98780e353753bee"/>
        <w:id w:val="-91562987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母公司财务附注：其他应收账款前五名欠款情况"/>
          <w:tag w:val="_GBC_5eaec4085c10422f90a7a09ee515d922"/>
          <w:id w:val="-9428342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财务附注：其他应收账款前五名欠款情况"/>
          <w:tag w:val="_GBC_76fb156b47fb495eb1748f1f6ffdfc64"/>
          <w:id w:val="20327561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4956" w:type="pct"/>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1430"/>
        <w:gridCol w:w="1602"/>
        <w:gridCol w:w="1653"/>
        <w:gridCol w:w="1252"/>
        <w:gridCol w:w="1231"/>
        <w:gridCol w:w="1571"/>
      </w:tblGrid>
      <w:tr w:rsidR="00597370">
        <w:trPr>
          <w:cantSplit/>
        </w:trPr>
        <w:sdt>
          <w:sdtPr>
            <w:rPr>
              <w:rFonts w:asciiTheme="minorEastAsia" w:eastAsiaTheme="minorEastAsia" w:hAnsiTheme="minorEastAsia"/>
              <w:color w:val="000000" w:themeColor="text1"/>
            </w:rPr>
            <w:tag w:val="_PLD_1bf4103fa73c4527ab273af4182bdac9"/>
            <w:id w:val="333571974"/>
          </w:sdtPr>
          <w:sdtEndPr/>
          <w:sdtContent>
            <w:tc>
              <w:tcPr>
                <w:tcW w:w="826" w:type="pct"/>
                <w:tcBorders>
                  <w:top w:val="single" w:sz="6" w:space="0" w:color="auto"/>
                  <w:left w:val="single" w:sz="6" w:space="0" w:color="auto"/>
                  <w:bottom w:val="single" w:sz="6" w:space="0" w:color="auto"/>
                  <w:right w:val="single" w:sz="6" w:space="0" w:color="auto"/>
                </w:tcBorders>
                <w:vAlign w:val="center"/>
              </w:tcPr>
              <w:p w:rsidR="00597370" w:rsidRDefault="003C2EEE">
                <w:pPr>
                  <w:ind w:right="105"/>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单位名称</w:t>
                </w:r>
              </w:p>
            </w:tc>
          </w:sdtContent>
        </w:sdt>
        <w:sdt>
          <w:sdtPr>
            <w:rPr>
              <w:rFonts w:asciiTheme="minorEastAsia" w:eastAsiaTheme="minorEastAsia" w:hAnsiTheme="minorEastAsia"/>
              <w:color w:val="000000" w:themeColor="text1"/>
            </w:rPr>
            <w:tag w:val="_PLD_2272ceae47e74a6489bfeb2c73aa1f4a"/>
            <w:id w:val="2093196545"/>
          </w:sdtPr>
          <w:sdtEndPr/>
          <w:sdtContent>
            <w:tc>
              <w:tcPr>
                <w:tcW w:w="877" w:type="pct"/>
                <w:tcBorders>
                  <w:top w:val="single" w:sz="6" w:space="0" w:color="auto"/>
                  <w:left w:val="single" w:sz="6" w:space="0" w:color="auto"/>
                  <w:bottom w:val="single" w:sz="6" w:space="0" w:color="auto"/>
                  <w:right w:val="single" w:sz="6" w:space="0" w:color="auto"/>
                </w:tcBorders>
                <w:vAlign w:val="center"/>
              </w:tcPr>
              <w:p w:rsidR="00597370" w:rsidRDefault="003C2EEE">
                <w:pPr>
                  <w:ind w:right="73"/>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color w:val="000000" w:themeColor="text1"/>
            </w:rPr>
            <w:tag w:val="_PLD_13e1362304be4663873f1e8f72848948"/>
            <w:id w:val="1957597572"/>
          </w:sdtPr>
          <w:sdtEndPr/>
          <w:sdtContent>
            <w:tc>
              <w:tcPr>
                <w:tcW w:w="953" w:type="pct"/>
                <w:tcBorders>
                  <w:top w:val="single" w:sz="6" w:space="0" w:color="auto"/>
                  <w:left w:val="single" w:sz="6" w:space="0" w:color="auto"/>
                  <w:bottom w:val="single" w:sz="6" w:space="0" w:color="auto"/>
                  <w:right w:val="single" w:sz="6" w:space="0" w:color="auto"/>
                </w:tcBorders>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占其他应收款期末余额合计数的比例(</w:t>
                </w:r>
                <w:r>
                  <w:rPr>
                    <w:rFonts w:asciiTheme="minorEastAsia" w:eastAsiaTheme="minorEastAsia" w:hAnsiTheme="minorEastAsia"/>
                    <w:color w:val="000000" w:themeColor="text1"/>
                  </w:rPr>
                  <w:t>%)</w:t>
                </w:r>
              </w:p>
            </w:tc>
          </w:sdtContent>
        </w:sdt>
        <w:sdt>
          <w:sdtPr>
            <w:rPr>
              <w:rFonts w:asciiTheme="minorEastAsia" w:eastAsiaTheme="minorEastAsia" w:hAnsiTheme="minorEastAsia"/>
              <w:color w:val="000000" w:themeColor="text1"/>
            </w:rPr>
            <w:tag w:val="_PLD_13e90710aaf8432b8989b8a8d1ceae0c"/>
            <w:id w:val="-1051925311"/>
          </w:sdtPr>
          <w:sdtEndPr/>
          <w:sdtContent>
            <w:tc>
              <w:tcPr>
                <w:tcW w:w="724" w:type="pct"/>
                <w:tcBorders>
                  <w:top w:val="single" w:sz="6" w:space="0" w:color="auto"/>
                  <w:left w:val="single" w:sz="6" w:space="0" w:color="auto"/>
                  <w:bottom w:val="single" w:sz="6" w:space="0" w:color="auto"/>
                  <w:right w:val="single" w:sz="6" w:space="0" w:color="auto"/>
                </w:tcBorders>
                <w:vAlign w:val="center"/>
              </w:tcPr>
              <w:p w:rsidR="00597370" w:rsidRDefault="003C2EEE">
                <w:pPr>
                  <w:ind w:right="73"/>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款项的性质</w:t>
                </w:r>
              </w:p>
            </w:tc>
          </w:sdtContent>
        </w:sdt>
        <w:sdt>
          <w:sdtPr>
            <w:rPr>
              <w:rFonts w:asciiTheme="minorEastAsia" w:eastAsiaTheme="minorEastAsia" w:hAnsiTheme="minorEastAsia"/>
              <w:color w:val="000000" w:themeColor="text1"/>
            </w:rPr>
            <w:tag w:val="_PLD_fcefa3ecef954c579974ef8beaeadf3a"/>
            <w:id w:val="535248650"/>
          </w:sdtPr>
          <w:sdtEndPr/>
          <w:sdtContent>
            <w:tc>
              <w:tcPr>
                <w:tcW w:w="712" w:type="pct"/>
                <w:tcBorders>
                  <w:top w:val="single" w:sz="6" w:space="0" w:color="auto"/>
                  <w:left w:val="single" w:sz="6" w:space="0" w:color="auto"/>
                  <w:bottom w:val="single" w:sz="6" w:space="0" w:color="auto"/>
                  <w:right w:val="single" w:sz="6" w:space="0" w:color="auto"/>
                </w:tcBorders>
                <w:vAlign w:val="center"/>
              </w:tcPr>
              <w:p w:rsidR="00597370" w:rsidRDefault="003C2EEE">
                <w:pPr>
                  <w:ind w:right="73"/>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color w:val="000000" w:themeColor="text1"/>
            </w:rPr>
            <w:tag w:val="_PLD_f2c7137b0fd6426d9d9640429eb47701"/>
            <w:id w:val="-1182669924"/>
          </w:sdtPr>
          <w:sdtEndPr/>
          <w:sdtContent>
            <w:tc>
              <w:tcPr>
                <w:tcW w:w="906" w:type="pct"/>
                <w:tcBorders>
                  <w:top w:val="single" w:sz="6" w:space="0" w:color="auto"/>
                  <w:left w:val="single" w:sz="6" w:space="0" w:color="auto"/>
                  <w:bottom w:val="single" w:sz="6" w:space="0" w:color="auto"/>
                  <w:right w:val="single" w:sz="6" w:space="0" w:color="auto"/>
                </w:tcBorders>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坏账准备</w:t>
                </w:r>
              </w:p>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期末余额</w:t>
                </w:r>
              </w:p>
            </w:tc>
          </w:sdtContent>
        </w:sdt>
      </w:tr>
      <w:tr w:rsidR="00597370">
        <w:trPr>
          <w:cantSplit/>
        </w:trPr>
        <w:tc>
          <w:tcPr>
            <w:tcW w:w="826" w:type="pct"/>
            <w:tcBorders>
              <w:top w:val="single" w:sz="6" w:space="0" w:color="auto"/>
              <w:left w:val="single" w:sz="6" w:space="0" w:color="auto"/>
              <w:bottom w:val="single" w:sz="6" w:space="0" w:color="auto"/>
              <w:right w:val="single" w:sz="6" w:space="0" w:color="auto"/>
            </w:tcBorders>
            <w:vAlign w:val="center"/>
          </w:tcPr>
          <w:p w:rsidR="00597370" w:rsidRDefault="003C2EEE">
            <w:pPr>
              <w:ind w:right="105"/>
              <w:rPr>
                <w:rFonts w:asciiTheme="minorEastAsia" w:eastAsiaTheme="minorEastAsia" w:hAnsiTheme="minorEastAsia"/>
              </w:rPr>
            </w:pPr>
            <w:r>
              <w:rPr>
                <w:rFonts w:asciiTheme="minorEastAsia" w:eastAsiaTheme="minorEastAsia" w:hAnsiTheme="minorEastAsia" w:hint="eastAsia"/>
                <w:color w:val="000000"/>
              </w:rPr>
              <w:lastRenderedPageBreak/>
              <w:t>母公司其他</w:t>
            </w:r>
            <w:proofErr w:type="gramStart"/>
            <w:r>
              <w:rPr>
                <w:rFonts w:asciiTheme="minorEastAsia" w:eastAsiaTheme="minorEastAsia" w:hAnsiTheme="minorEastAsia" w:hint="eastAsia"/>
                <w:color w:val="000000"/>
              </w:rPr>
              <w:t>应收款前五</w:t>
            </w:r>
            <w:proofErr w:type="gramEnd"/>
            <w:r>
              <w:rPr>
                <w:rFonts w:asciiTheme="minorEastAsia" w:eastAsiaTheme="minorEastAsia" w:hAnsiTheme="minorEastAsia" w:hint="eastAsia"/>
                <w:color w:val="000000"/>
              </w:rPr>
              <w:t>名单位1</w:t>
            </w:r>
          </w:p>
        </w:tc>
        <w:tc>
          <w:tcPr>
            <w:tcW w:w="877"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bottom"/>
              <w:rPr>
                <w:rFonts w:asciiTheme="minorEastAsia" w:eastAsiaTheme="minorEastAsia" w:hAnsiTheme="minorEastAsia"/>
              </w:rPr>
            </w:pPr>
            <w:r>
              <w:t>499,435,281.83</w:t>
            </w:r>
          </w:p>
        </w:tc>
        <w:tc>
          <w:tcPr>
            <w:tcW w:w="953"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bottom"/>
              <w:rPr>
                <w:rFonts w:asciiTheme="minorEastAsia" w:eastAsiaTheme="minorEastAsia" w:hAnsiTheme="minorEastAsia"/>
              </w:rPr>
            </w:pPr>
            <w:r>
              <w:rPr>
                <w:rFonts w:hint="eastAsia"/>
                <w:color w:val="000000"/>
              </w:rPr>
              <w:t xml:space="preserve"> 67.02 </w:t>
            </w:r>
          </w:p>
        </w:tc>
        <w:tc>
          <w:tcPr>
            <w:tcW w:w="724" w:type="pct"/>
            <w:tcBorders>
              <w:top w:val="single" w:sz="6" w:space="0" w:color="auto"/>
              <w:left w:val="single" w:sz="6" w:space="0" w:color="auto"/>
              <w:bottom w:val="single" w:sz="6" w:space="0" w:color="auto"/>
              <w:right w:val="single" w:sz="6" w:space="0" w:color="auto"/>
            </w:tcBorders>
            <w:vAlign w:val="center"/>
          </w:tcPr>
          <w:p w:rsidR="00597370" w:rsidRDefault="003C2EEE">
            <w:pPr>
              <w:textAlignment w:val="center"/>
              <w:rPr>
                <w:rFonts w:asciiTheme="minorEastAsia" w:eastAsiaTheme="minorEastAsia" w:hAnsiTheme="minorEastAsia"/>
              </w:rPr>
            </w:pPr>
            <w:r>
              <w:rPr>
                <w:rFonts w:hint="eastAsia"/>
                <w:color w:val="000000"/>
                <w:sz w:val="24"/>
                <w:szCs w:val="24"/>
                <w:lang w:bidi="ar"/>
              </w:rPr>
              <w:t xml:space="preserve"> 往来及其他 </w:t>
            </w:r>
          </w:p>
        </w:tc>
        <w:tc>
          <w:tcPr>
            <w:tcW w:w="712" w:type="pct"/>
            <w:tcBorders>
              <w:top w:val="single" w:sz="6" w:space="0" w:color="auto"/>
              <w:left w:val="single" w:sz="6" w:space="0" w:color="auto"/>
              <w:bottom w:val="single" w:sz="6" w:space="0" w:color="auto"/>
              <w:right w:val="single" w:sz="6" w:space="0" w:color="auto"/>
            </w:tcBorders>
            <w:vAlign w:val="center"/>
          </w:tcPr>
          <w:p w:rsidR="00597370" w:rsidRDefault="003C2EEE">
            <w:pPr>
              <w:jc w:val="center"/>
              <w:textAlignment w:val="center"/>
              <w:rPr>
                <w:rFonts w:asciiTheme="minorEastAsia" w:eastAsiaTheme="minorEastAsia" w:hAnsiTheme="minorEastAsia"/>
              </w:rPr>
            </w:pPr>
            <w:r>
              <w:rPr>
                <w:rFonts w:hint="eastAsia"/>
                <w:color w:val="000000"/>
                <w:lang w:bidi="ar"/>
              </w:rPr>
              <w:t>1年以内</w:t>
            </w:r>
          </w:p>
        </w:tc>
        <w:tc>
          <w:tcPr>
            <w:tcW w:w="906" w:type="pct"/>
            <w:tcBorders>
              <w:top w:val="single" w:sz="6" w:space="0" w:color="auto"/>
              <w:left w:val="single" w:sz="6" w:space="0" w:color="auto"/>
              <w:bottom w:val="single" w:sz="6" w:space="0" w:color="auto"/>
              <w:right w:val="single" w:sz="6" w:space="0" w:color="auto"/>
            </w:tcBorders>
            <w:vAlign w:val="bottom"/>
          </w:tcPr>
          <w:p w:rsidR="00597370" w:rsidRDefault="00597370">
            <w:pPr>
              <w:rPr>
                <w:rFonts w:asciiTheme="minorEastAsia" w:eastAsiaTheme="minorEastAsia" w:hAnsiTheme="minorEastAsia"/>
              </w:rPr>
            </w:pPr>
          </w:p>
        </w:tc>
      </w:tr>
      <w:tr w:rsidR="00597370">
        <w:trPr>
          <w:cantSplit/>
        </w:trPr>
        <w:tc>
          <w:tcPr>
            <w:tcW w:w="826" w:type="pct"/>
            <w:tcBorders>
              <w:top w:val="single" w:sz="6" w:space="0" w:color="auto"/>
              <w:left w:val="single" w:sz="6" w:space="0" w:color="auto"/>
              <w:bottom w:val="single" w:sz="6" w:space="0" w:color="auto"/>
              <w:right w:val="single" w:sz="6" w:space="0" w:color="auto"/>
            </w:tcBorders>
            <w:vAlign w:val="center"/>
          </w:tcPr>
          <w:p w:rsidR="00597370" w:rsidRDefault="003C2EEE">
            <w:pPr>
              <w:ind w:right="105"/>
              <w:rPr>
                <w:rFonts w:asciiTheme="minorEastAsia" w:eastAsiaTheme="minorEastAsia" w:hAnsiTheme="minorEastAsia"/>
              </w:rPr>
            </w:pPr>
            <w:r>
              <w:rPr>
                <w:rFonts w:asciiTheme="minorEastAsia" w:eastAsiaTheme="minorEastAsia" w:hAnsiTheme="minorEastAsia" w:hint="eastAsia"/>
                <w:color w:val="000000"/>
              </w:rPr>
              <w:t>母公司其他</w:t>
            </w:r>
            <w:proofErr w:type="gramStart"/>
            <w:r>
              <w:rPr>
                <w:rFonts w:asciiTheme="minorEastAsia" w:eastAsiaTheme="minorEastAsia" w:hAnsiTheme="minorEastAsia" w:hint="eastAsia"/>
                <w:color w:val="000000"/>
              </w:rPr>
              <w:t>应收款前五</w:t>
            </w:r>
            <w:proofErr w:type="gramEnd"/>
            <w:r>
              <w:rPr>
                <w:rFonts w:asciiTheme="minorEastAsia" w:eastAsiaTheme="minorEastAsia" w:hAnsiTheme="minorEastAsia" w:hint="eastAsia"/>
                <w:color w:val="000000"/>
              </w:rPr>
              <w:t>名单位2</w:t>
            </w:r>
          </w:p>
        </w:tc>
        <w:tc>
          <w:tcPr>
            <w:tcW w:w="877"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center"/>
              <w:rPr>
                <w:rFonts w:asciiTheme="minorEastAsia" w:eastAsiaTheme="minorEastAsia" w:hAnsiTheme="minorEastAsia"/>
              </w:rPr>
            </w:pPr>
            <w:r>
              <w:rPr>
                <w:rFonts w:hint="eastAsia"/>
                <w:color w:val="000000"/>
                <w:lang w:bidi="ar"/>
              </w:rPr>
              <w:t xml:space="preserve"> 149,212,405.67 </w:t>
            </w:r>
          </w:p>
        </w:tc>
        <w:tc>
          <w:tcPr>
            <w:tcW w:w="1682" w:type="dxa"/>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bottom"/>
              <w:rPr>
                <w:rFonts w:asciiTheme="minorEastAsia" w:eastAsiaTheme="minorEastAsia" w:hAnsiTheme="minorEastAsia"/>
              </w:rPr>
            </w:pPr>
            <w:r>
              <w:rPr>
                <w:rFonts w:hint="eastAsia"/>
                <w:color w:val="000000"/>
                <w:lang w:bidi="ar"/>
              </w:rPr>
              <w:t xml:space="preserve"> 20.02 </w:t>
            </w:r>
          </w:p>
        </w:tc>
        <w:tc>
          <w:tcPr>
            <w:tcW w:w="724" w:type="pct"/>
            <w:tcBorders>
              <w:top w:val="single" w:sz="6" w:space="0" w:color="auto"/>
              <w:left w:val="single" w:sz="6" w:space="0" w:color="auto"/>
              <w:bottom w:val="single" w:sz="6" w:space="0" w:color="auto"/>
              <w:right w:val="single" w:sz="6" w:space="0" w:color="auto"/>
            </w:tcBorders>
            <w:vAlign w:val="center"/>
          </w:tcPr>
          <w:p w:rsidR="00597370" w:rsidRDefault="003C2EEE">
            <w:pPr>
              <w:textAlignment w:val="center"/>
              <w:rPr>
                <w:rFonts w:asciiTheme="minorEastAsia" w:eastAsiaTheme="minorEastAsia" w:hAnsiTheme="minorEastAsia"/>
              </w:rPr>
            </w:pPr>
            <w:r>
              <w:rPr>
                <w:rFonts w:hint="eastAsia"/>
                <w:color w:val="000000"/>
                <w:sz w:val="24"/>
                <w:szCs w:val="24"/>
                <w:lang w:bidi="ar"/>
              </w:rPr>
              <w:t xml:space="preserve"> 往来及其他 </w:t>
            </w:r>
          </w:p>
        </w:tc>
        <w:tc>
          <w:tcPr>
            <w:tcW w:w="712" w:type="pct"/>
            <w:tcBorders>
              <w:top w:val="single" w:sz="6" w:space="0" w:color="auto"/>
              <w:left w:val="single" w:sz="6" w:space="0" w:color="auto"/>
              <w:bottom w:val="single" w:sz="6" w:space="0" w:color="auto"/>
              <w:right w:val="single" w:sz="6" w:space="0" w:color="auto"/>
            </w:tcBorders>
            <w:vAlign w:val="center"/>
          </w:tcPr>
          <w:p w:rsidR="00597370" w:rsidRDefault="003C2EEE">
            <w:pPr>
              <w:jc w:val="center"/>
              <w:textAlignment w:val="center"/>
              <w:rPr>
                <w:rFonts w:asciiTheme="minorEastAsia" w:eastAsiaTheme="minorEastAsia" w:hAnsiTheme="minorEastAsia"/>
              </w:rPr>
            </w:pPr>
            <w:r>
              <w:rPr>
                <w:rFonts w:hint="eastAsia"/>
                <w:color w:val="000000"/>
                <w:lang w:bidi="ar"/>
              </w:rPr>
              <w:t>1年以内</w:t>
            </w:r>
          </w:p>
        </w:tc>
        <w:tc>
          <w:tcPr>
            <w:tcW w:w="906" w:type="pct"/>
            <w:tcBorders>
              <w:top w:val="single" w:sz="6" w:space="0" w:color="auto"/>
              <w:left w:val="single" w:sz="6" w:space="0" w:color="auto"/>
              <w:bottom w:val="single" w:sz="6" w:space="0" w:color="auto"/>
              <w:right w:val="single" w:sz="6" w:space="0" w:color="auto"/>
            </w:tcBorders>
            <w:vAlign w:val="bottom"/>
          </w:tcPr>
          <w:p w:rsidR="00597370" w:rsidRDefault="00597370">
            <w:pPr>
              <w:jc w:val="right"/>
              <w:textAlignment w:val="bottom"/>
              <w:rPr>
                <w:rFonts w:asciiTheme="minorEastAsia" w:eastAsiaTheme="minorEastAsia" w:hAnsiTheme="minorEastAsia"/>
              </w:rPr>
            </w:pPr>
          </w:p>
        </w:tc>
      </w:tr>
      <w:tr w:rsidR="00597370">
        <w:trPr>
          <w:cantSplit/>
        </w:trPr>
        <w:tc>
          <w:tcPr>
            <w:tcW w:w="826" w:type="pct"/>
            <w:tcBorders>
              <w:top w:val="single" w:sz="6" w:space="0" w:color="auto"/>
              <w:left w:val="single" w:sz="6" w:space="0" w:color="auto"/>
              <w:bottom w:val="single" w:sz="6" w:space="0" w:color="auto"/>
              <w:right w:val="single" w:sz="6" w:space="0" w:color="auto"/>
            </w:tcBorders>
            <w:vAlign w:val="center"/>
          </w:tcPr>
          <w:p w:rsidR="00597370" w:rsidRDefault="003C2EEE">
            <w:pPr>
              <w:ind w:right="105"/>
              <w:rPr>
                <w:rFonts w:asciiTheme="minorEastAsia" w:eastAsiaTheme="minorEastAsia" w:hAnsiTheme="minorEastAsia"/>
              </w:rPr>
            </w:pPr>
            <w:r>
              <w:rPr>
                <w:rFonts w:asciiTheme="minorEastAsia" w:eastAsiaTheme="minorEastAsia" w:hAnsiTheme="minorEastAsia" w:hint="eastAsia"/>
                <w:color w:val="000000"/>
              </w:rPr>
              <w:t>母公司其他</w:t>
            </w:r>
            <w:proofErr w:type="gramStart"/>
            <w:r>
              <w:rPr>
                <w:rFonts w:asciiTheme="minorEastAsia" w:eastAsiaTheme="minorEastAsia" w:hAnsiTheme="minorEastAsia" w:hint="eastAsia"/>
                <w:color w:val="000000"/>
              </w:rPr>
              <w:t>应收款前五</w:t>
            </w:r>
            <w:proofErr w:type="gramEnd"/>
            <w:r>
              <w:rPr>
                <w:rFonts w:asciiTheme="minorEastAsia" w:eastAsiaTheme="minorEastAsia" w:hAnsiTheme="minorEastAsia" w:hint="eastAsia"/>
                <w:color w:val="000000"/>
              </w:rPr>
              <w:t>名单位3</w:t>
            </w:r>
          </w:p>
        </w:tc>
        <w:tc>
          <w:tcPr>
            <w:tcW w:w="877"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center"/>
              <w:rPr>
                <w:rFonts w:asciiTheme="minorEastAsia" w:eastAsiaTheme="minorEastAsia" w:hAnsiTheme="minorEastAsia"/>
              </w:rPr>
            </w:pPr>
            <w:r>
              <w:rPr>
                <w:rFonts w:hint="eastAsia"/>
                <w:color w:val="000000"/>
                <w:lang w:bidi="ar"/>
              </w:rPr>
              <w:t xml:space="preserve"> 49,837,875.72 </w:t>
            </w:r>
          </w:p>
        </w:tc>
        <w:tc>
          <w:tcPr>
            <w:tcW w:w="1682" w:type="dxa"/>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bottom"/>
              <w:rPr>
                <w:rFonts w:asciiTheme="minorEastAsia" w:eastAsiaTheme="minorEastAsia" w:hAnsiTheme="minorEastAsia"/>
              </w:rPr>
            </w:pPr>
            <w:r>
              <w:rPr>
                <w:rFonts w:hint="eastAsia"/>
                <w:color w:val="000000"/>
                <w:lang w:bidi="ar"/>
              </w:rPr>
              <w:t xml:space="preserve"> 6.69 </w:t>
            </w:r>
          </w:p>
        </w:tc>
        <w:tc>
          <w:tcPr>
            <w:tcW w:w="724" w:type="pct"/>
            <w:tcBorders>
              <w:top w:val="single" w:sz="6" w:space="0" w:color="auto"/>
              <w:left w:val="single" w:sz="6" w:space="0" w:color="auto"/>
              <w:bottom w:val="single" w:sz="6" w:space="0" w:color="auto"/>
              <w:right w:val="single" w:sz="6" w:space="0" w:color="auto"/>
            </w:tcBorders>
            <w:vAlign w:val="center"/>
          </w:tcPr>
          <w:p w:rsidR="00597370" w:rsidRDefault="003C2EEE">
            <w:pPr>
              <w:textAlignment w:val="center"/>
              <w:rPr>
                <w:rFonts w:asciiTheme="minorEastAsia" w:eastAsiaTheme="minorEastAsia" w:hAnsiTheme="minorEastAsia"/>
              </w:rPr>
            </w:pPr>
            <w:r>
              <w:rPr>
                <w:rFonts w:hint="eastAsia"/>
                <w:color w:val="000000"/>
                <w:sz w:val="24"/>
                <w:szCs w:val="24"/>
                <w:lang w:bidi="ar"/>
              </w:rPr>
              <w:t xml:space="preserve"> 往来及其他 </w:t>
            </w:r>
          </w:p>
        </w:tc>
        <w:tc>
          <w:tcPr>
            <w:tcW w:w="712" w:type="pct"/>
            <w:tcBorders>
              <w:top w:val="single" w:sz="6" w:space="0" w:color="auto"/>
              <w:left w:val="single" w:sz="6" w:space="0" w:color="auto"/>
              <w:bottom w:val="single" w:sz="6" w:space="0" w:color="auto"/>
              <w:right w:val="single" w:sz="6" w:space="0" w:color="auto"/>
            </w:tcBorders>
            <w:vAlign w:val="center"/>
          </w:tcPr>
          <w:p w:rsidR="00597370" w:rsidRDefault="003C2EEE">
            <w:pPr>
              <w:jc w:val="center"/>
              <w:textAlignment w:val="center"/>
              <w:rPr>
                <w:rFonts w:asciiTheme="minorEastAsia" w:eastAsiaTheme="minorEastAsia" w:hAnsiTheme="minorEastAsia"/>
              </w:rPr>
            </w:pPr>
            <w:r>
              <w:rPr>
                <w:rFonts w:hint="eastAsia"/>
                <w:color w:val="000000"/>
                <w:lang w:bidi="ar"/>
              </w:rPr>
              <w:t>1年以内</w:t>
            </w:r>
          </w:p>
        </w:tc>
        <w:tc>
          <w:tcPr>
            <w:tcW w:w="906" w:type="pct"/>
            <w:tcBorders>
              <w:top w:val="single" w:sz="6" w:space="0" w:color="auto"/>
              <w:left w:val="single" w:sz="6" w:space="0" w:color="auto"/>
              <w:bottom w:val="single" w:sz="6" w:space="0" w:color="auto"/>
              <w:right w:val="single" w:sz="6" w:space="0" w:color="auto"/>
            </w:tcBorders>
            <w:vAlign w:val="bottom"/>
          </w:tcPr>
          <w:p w:rsidR="00597370" w:rsidRDefault="00597370">
            <w:pPr>
              <w:jc w:val="right"/>
              <w:textAlignment w:val="bottom"/>
              <w:rPr>
                <w:rFonts w:asciiTheme="minorEastAsia" w:eastAsiaTheme="minorEastAsia" w:hAnsiTheme="minorEastAsia"/>
              </w:rPr>
            </w:pPr>
          </w:p>
        </w:tc>
      </w:tr>
      <w:tr w:rsidR="00597370">
        <w:trPr>
          <w:cantSplit/>
        </w:trPr>
        <w:tc>
          <w:tcPr>
            <w:tcW w:w="826" w:type="pct"/>
            <w:tcBorders>
              <w:top w:val="single" w:sz="6" w:space="0" w:color="auto"/>
              <w:left w:val="single" w:sz="6" w:space="0" w:color="auto"/>
              <w:bottom w:val="single" w:sz="6" w:space="0" w:color="auto"/>
              <w:right w:val="single" w:sz="6" w:space="0" w:color="auto"/>
            </w:tcBorders>
            <w:vAlign w:val="center"/>
          </w:tcPr>
          <w:p w:rsidR="00597370" w:rsidRDefault="003C2EEE">
            <w:pPr>
              <w:ind w:right="105"/>
              <w:rPr>
                <w:rFonts w:asciiTheme="minorEastAsia" w:eastAsiaTheme="minorEastAsia" w:hAnsiTheme="minorEastAsia"/>
              </w:rPr>
            </w:pPr>
            <w:r>
              <w:rPr>
                <w:rFonts w:asciiTheme="minorEastAsia" w:eastAsiaTheme="minorEastAsia" w:hAnsiTheme="minorEastAsia" w:hint="eastAsia"/>
                <w:color w:val="000000"/>
              </w:rPr>
              <w:t>母公司其他</w:t>
            </w:r>
            <w:proofErr w:type="gramStart"/>
            <w:r>
              <w:rPr>
                <w:rFonts w:asciiTheme="minorEastAsia" w:eastAsiaTheme="minorEastAsia" w:hAnsiTheme="minorEastAsia" w:hint="eastAsia"/>
                <w:color w:val="000000"/>
              </w:rPr>
              <w:t>应收款前五</w:t>
            </w:r>
            <w:proofErr w:type="gramEnd"/>
            <w:r>
              <w:rPr>
                <w:rFonts w:asciiTheme="minorEastAsia" w:eastAsiaTheme="minorEastAsia" w:hAnsiTheme="minorEastAsia" w:hint="eastAsia"/>
                <w:color w:val="000000"/>
              </w:rPr>
              <w:t>名单位4</w:t>
            </w:r>
          </w:p>
        </w:tc>
        <w:tc>
          <w:tcPr>
            <w:tcW w:w="877"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bottom"/>
              <w:rPr>
                <w:rFonts w:asciiTheme="minorEastAsia" w:eastAsiaTheme="minorEastAsia" w:hAnsiTheme="minorEastAsia"/>
              </w:rPr>
            </w:pPr>
            <w:r>
              <w:t>28,033,885.78</w:t>
            </w:r>
          </w:p>
        </w:tc>
        <w:tc>
          <w:tcPr>
            <w:tcW w:w="953"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bottom"/>
              <w:rPr>
                <w:rFonts w:asciiTheme="minorEastAsia" w:eastAsiaTheme="minorEastAsia" w:hAnsiTheme="minorEastAsia"/>
              </w:rPr>
            </w:pPr>
            <w:r>
              <w:rPr>
                <w:rFonts w:hint="eastAsia"/>
                <w:color w:val="000000"/>
              </w:rPr>
              <w:t xml:space="preserve"> 3.76 </w:t>
            </w:r>
          </w:p>
        </w:tc>
        <w:tc>
          <w:tcPr>
            <w:tcW w:w="724" w:type="pct"/>
            <w:tcBorders>
              <w:top w:val="single" w:sz="6" w:space="0" w:color="auto"/>
              <w:left w:val="single" w:sz="6" w:space="0" w:color="auto"/>
              <w:bottom w:val="single" w:sz="6" w:space="0" w:color="auto"/>
              <w:right w:val="single" w:sz="6" w:space="0" w:color="auto"/>
            </w:tcBorders>
            <w:vAlign w:val="center"/>
          </w:tcPr>
          <w:p w:rsidR="00597370" w:rsidRDefault="003C2EEE">
            <w:pPr>
              <w:textAlignment w:val="center"/>
              <w:rPr>
                <w:rFonts w:asciiTheme="minorEastAsia" w:eastAsiaTheme="minorEastAsia" w:hAnsiTheme="minorEastAsia"/>
              </w:rPr>
            </w:pPr>
            <w:r>
              <w:rPr>
                <w:rFonts w:hint="eastAsia"/>
                <w:color w:val="000000"/>
                <w:sz w:val="24"/>
                <w:szCs w:val="24"/>
                <w:lang w:bidi="ar"/>
              </w:rPr>
              <w:t xml:space="preserve"> 往来及其他 </w:t>
            </w:r>
          </w:p>
        </w:tc>
        <w:tc>
          <w:tcPr>
            <w:tcW w:w="712" w:type="pct"/>
            <w:tcBorders>
              <w:top w:val="single" w:sz="6" w:space="0" w:color="auto"/>
              <w:left w:val="single" w:sz="6" w:space="0" w:color="auto"/>
              <w:bottom w:val="single" w:sz="6" w:space="0" w:color="auto"/>
              <w:right w:val="single" w:sz="6" w:space="0" w:color="auto"/>
            </w:tcBorders>
            <w:vAlign w:val="center"/>
          </w:tcPr>
          <w:p w:rsidR="00597370" w:rsidRDefault="003C2EEE">
            <w:pPr>
              <w:jc w:val="center"/>
              <w:textAlignment w:val="center"/>
              <w:rPr>
                <w:rFonts w:asciiTheme="minorEastAsia" w:eastAsiaTheme="minorEastAsia" w:hAnsiTheme="minorEastAsia"/>
              </w:rPr>
            </w:pPr>
            <w:r>
              <w:rPr>
                <w:rFonts w:hint="eastAsia"/>
                <w:color w:val="000000"/>
                <w:lang w:bidi="ar"/>
              </w:rPr>
              <w:t>1年以内</w:t>
            </w:r>
          </w:p>
        </w:tc>
        <w:tc>
          <w:tcPr>
            <w:tcW w:w="906" w:type="pct"/>
            <w:tcBorders>
              <w:top w:val="single" w:sz="6" w:space="0" w:color="auto"/>
              <w:left w:val="single" w:sz="6" w:space="0" w:color="auto"/>
              <w:bottom w:val="single" w:sz="6" w:space="0" w:color="auto"/>
              <w:right w:val="single" w:sz="6" w:space="0" w:color="auto"/>
            </w:tcBorders>
            <w:vAlign w:val="bottom"/>
          </w:tcPr>
          <w:p w:rsidR="00597370" w:rsidRDefault="00597370">
            <w:pPr>
              <w:rPr>
                <w:rFonts w:asciiTheme="minorEastAsia" w:eastAsiaTheme="minorEastAsia" w:hAnsiTheme="minorEastAsia"/>
              </w:rPr>
            </w:pPr>
          </w:p>
        </w:tc>
      </w:tr>
      <w:tr w:rsidR="00597370">
        <w:trPr>
          <w:cantSplit/>
        </w:trPr>
        <w:tc>
          <w:tcPr>
            <w:tcW w:w="826" w:type="pct"/>
            <w:tcBorders>
              <w:top w:val="single" w:sz="6" w:space="0" w:color="auto"/>
              <w:left w:val="single" w:sz="6" w:space="0" w:color="auto"/>
              <w:bottom w:val="single" w:sz="6" w:space="0" w:color="auto"/>
              <w:right w:val="single" w:sz="6" w:space="0" w:color="auto"/>
            </w:tcBorders>
            <w:vAlign w:val="center"/>
          </w:tcPr>
          <w:p w:rsidR="00597370" w:rsidRDefault="003C2EEE">
            <w:pPr>
              <w:ind w:right="105"/>
              <w:rPr>
                <w:rFonts w:asciiTheme="minorEastAsia" w:eastAsiaTheme="minorEastAsia" w:hAnsiTheme="minorEastAsia"/>
              </w:rPr>
            </w:pPr>
            <w:r>
              <w:rPr>
                <w:rFonts w:asciiTheme="minorEastAsia" w:eastAsiaTheme="minorEastAsia" w:hAnsiTheme="minorEastAsia" w:hint="eastAsia"/>
                <w:color w:val="000000"/>
              </w:rPr>
              <w:t>母公司其他</w:t>
            </w:r>
            <w:proofErr w:type="gramStart"/>
            <w:r>
              <w:rPr>
                <w:rFonts w:asciiTheme="minorEastAsia" w:eastAsiaTheme="minorEastAsia" w:hAnsiTheme="minorEastAsia" w:hint="eastAsia"/>
                <w:color w:val="000000"/>
              </w:rPr>
              <w:t>应收款前五</w:t>
            </w:r>
            <w:proofErr w:type="gramEnd"/>
            <w:r>
              <w:rPr>
                <w:rFonts w:asciiTheme="minorEastAsia" w:eastAsiaTheme="minorEastAsia" w:hAnsiTheme="minorEastAsia" w:hint="eastAsia"/>
                <w:color w:val="000000"/>
              </w:rPr>
              <w:t>名单位5</w:t>
            </w:r>
          </w:p>
        </w:tc>
        <w:tc>
          <w:tcPr>
            <w:tcW w:w="877"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bottom"/>
              <w:rPr>
                <w:rFonts w:asciiTheme="minorEastAsia" w:eastAsiaTheme="minorEastAsia" w:hAnsiTheme="minorEastAsia"/>
              </w:rPr>
            </w:pPr>
            <w:r>
              <w:t>1,805,099.49</w:t>
            </w:r>
          </w:p>
        </w:tc>
        <w:tc>
          <w:tcPr>
            <w:tcW w:w="953"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bottom"/>
              <w:rPr>
                <w:rFonts w:asciiTheme="minorEastAsia" w:eastAsiaTheme="minorEastAsia" w:hAnsiTheme="minorEastAsia"/>
              </w:rPr>
            </w:pPr>
            <w:r>
              <w:rPr>
                <w:rFonts w:hint="eastAsia"/>
                <w:color w:val="000000"/>
              </w:rPr>
              <w:t xml:space="preserve"> 0.24 </w:t>
            </w:r>
          </w:p>
        </w:tc>
        <w:tc>
          <w:tcPr>
            <w:tcW w:w="724" w:type="pct"/>
            <w:tcBorders>
              <w:top w:val="single" w:sz="6" w:space="0" w:color="auto"/>
              <w:left w:val="single" w:sz="6" w:space="0" w:color="auto"/>
              <w:bottom w:val="single" w:sz="6" w:space="0" w:color="auto"/>
              <w:right w:val="single" w:sz="6" w:space="0" w:color="auto"/>
            </w:tcBorders>
            <w:vAlign w:val="center"/>
          </w:tcPr>
          <w:p w:rsidR="00597370" w:rsidRDefault="003C2EEE">
            <w:pPr>
              <w:textAlignment w:val="center"/>
              <w:rPr>
                <w:rFonts w:asciiTheme="minorEastAsia" w:eastAsiaTheme="minorEastAsia" w:hAnsiTheme="minorEastAsia"/>
              </w:rPr>
            </w:pPr>
            <w:r>
              <w:rPr>
                <w:rFonts w:hint="eastAsia"/>
                <w:color w:val="000000"/>
                <w:sz w:val="24"/>
                <w:szCs w:val="24"/>
                <w:lang w:bidi="ar"/>
              </w:rPr>
              <w:t xml:space="preserve"> 保证金、押金 </w:t>
            </w:r>
          </w:p>
        </w:tc>
        <w:tc>
          <w:tcPr>
            <w:tcW w:w="712" w:type="pct"/>
            <w:tcBorders>
              <w:top w:val="single" w:sz="6" w:space="0" w:color="auto"/>
              <w:left w:val="single" w:sz="6" w:space="0" w:color="auto"/>
              <w:bottom w:val="single" w:sz="6" w:space="0" w:color="auto"/>
              <w:right w:val="single" w:sz="6" w:space="0" w:color="auto"/>
            </w:tcBorders>
            <w:vAlign w:val="center"/>
          </w:tcPr>
          <w:p w:rsidR="00597370" w:rsidRDefault="003C2EEE">
            <w:pPr>
              <w:jc w:val="center"/>
              <w:textAlignment w:val="center"/>
              <w:rPr>
                <w:rFonts w:asciiTheme="minorEastAsia" w:eastAsiaTheme="minorEastAsia" w:hAnsiTheme="minorEastAsia"/>
              </w:rPr>
            </w:pPr>
            <w:r>
              <w:rPr>
                <w:rFonts w:hint="eastAsia"/>
                <w:color w:val="000000"/>
                <w:lang w:bidi="ar"/>
              </w:rPr>
              <w:t>1年以内</w:t>
            </w:r>
          </w:p>
        </w:tc>
        <w:tc>
          <w:tcPr>
            <w:tcW w:w="906" w:type="pct"/>
            <w:tcBorders>
              <w:top w:val="single" w:sz="6" w:space="0" w:color="auto"/>
              <w:left w:val="single" w:sz="6" w:space="0" w:color="auto"/>
              <w:bottom w:val="single" w:sz="6" w:space="0" w:color="auto"/>
              <w:right w:val="single" w:sz="6" w:space="0" w:color="auto"/>
            </w:tcBorders>
            <w:shd w:val="clear" w:color="auto" w:fill="auto"/>
            <w:vAlign w:val="center"/>
          </w:tcPr>
          <w:p w:rsidR="00597370" w:rsidRDefault="003C2EEE">
            <w:pPr>
              <w:jc w:val="right"/>
              <w:textAlignment w:val="bottom"/>
              <w:rPr>
                <w:color w:val="000000"/>
              </w:rPr>
            </w:pPr>
            <w:r>
              <w:rPr>
                <w:rFonts w:hint="eastAsia"/>
                <w:color w:val="000000"/>
                <w:lang w:bidi="ar"/>
              </w:rPr>
              <w:t>90,254.97</w:t>
            </w:r>
          </w:p>
        </w:tc>
      </w:tr>
      <w:tr w:rsidR="00597370">
        <w:trPr>
          <w:cantSplit/>
        </w:trPr>
        <w:tc>
          <w:tcPr>
            <w:tcW w:w="826" w:type="pct"/>
            <w:tcBorders>
              <w:top w:val="single" w:sz="6" w:space="0" w:color="auto"/>
              <w:left w:val="single" w:sz="6" w:space="0" w:color="auto"/>
              <w:bottom w:val="single" w:sz="6" w:space="0" w:color="auto"/>
              <w:right w:val="single" w:sz="6" w:space="0" w:color="auto"/>
            </w:tcBorders>
          </w:tcPr>
          <w:p w:rsidR="00597370" w:rsidRDefault="003C2EEE">
            <w:pPr>
              <w:ind w:right="105"/>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tc>
          <w:tcPr>
            <w:tcW w:w="877" w:type="pct"/>
            <w:tcBorders>
              <w:top w:val="single" w:sz="6" w:space="0" w:color="auto"/>
              <w:left w:val="single" w:sz="6" w:space="0" w:color="auto"/>
              <w:bottom w:val="single" w:sz="6" w:space="0" w:color="auto"/>
              <w:right w:val="single" w:sz="6" w:space="0" w:color="auto"/>
            </w:tcBorders>
            <w:shd w:val="clear" w:color="auto" w:fill="auto"/>
            <w:vAlign w:val="bottom"/>
          </w:tcPr>
          <w:p w:rsidR="00597370" w:rsidRDefault="003C2EEE">
            <w:pPr>
              <w:jc w:val="right"/>
              <w:textAlignment w:val="bottom"/>
              <w:rPr>
                <w:color w:val="000000"/>
                <w:sz w:val="22"/>
                <w:szCs w:val="22"/>
              </w:rPr>
            </w:pPr>
            <w:r>
              <w:rPr>
                <w:rFonts w:hint="eastAsia"/>
                <w:color w:val="000000"/>
                <w:sz w:val="22"/>
                <w:szCs w:val="22"/>
                <w:lang w:bidi="ar"/>
              </w:rPr>
              <w:t xml:space="preserve">728,324,548.49 </w:t>
            </w:r>
          </w:p>
        </w:tc>
        <w:tc>
          <w:tcPr>
            <w:tcW w:w="953" w:type="pct"/>
            <w:tcBorders>
              <w:top w:val="single" w:sz="6" w:space="0" w:color="auto"/>
              <w:left w:val="single" w:sz="6" w:space="0" w:color="auto"/>
              <w:bottom w:val="single" w:sz="6" w:space="0" w:color="auto"/>
              <w:right w:val="single" w:sz="6" w:space="0" w:color="auto"/>
            </w:tcBorders>
            <w:vAlign w:val="center"/>
          </w:tcPr>
          <w:p w:rsidR="00597370" w:rsidRDefault="003C2EEE">
            <w:pPr>
              <w:jc w:val="right"/>
              <w:textAlignment w:val="top"/>
              <w:rPr>
                <w:rFonts w:asciiTheme="minorEastAsia" w:eastAsiaTheme="minorEastAsia" w:hAnsiTheme="minorEastAsia"/>
              </w:rPr>
            </w:pPr>
            <w:r>
              <w:rPr>
                <w:rFonts w:hint="eastAsia"/>
                <w:color w:val="000000"/>
              </w:rPr>
              <w:t xml:space="preserve"> 97.74 </w:t>
            </w:r>
          </w:p>
        </w:tc>
        <w:tc>
          <w:tcPr>
            <w:tcW w:w="724" w:type="pct"/>
            <w:tcBorders>
              <w:top w:val="single" w:sz="6" w:space="0" w:color="auto"/>
              <w:left w:val="single" w:sz="6" w:space="0" w:color="auto"/>
              <w:bottom w:val="single" w:sz="6" w:space="0" w:color="auto"/>
              <w:right w:val="single" w:sz="6" w:space="0" w:color="auto"/>
            </w:tcBorders>
          </w:tcPr>
          <w:p w:rsidR="00597370" w:rsidRDefault="003C2EEE">
            <w:pPr>
              <w:ind w:right="73"/>
              <w:jc w:val="center"/>
              <w:rPr>
                <w:rFonts w:asciiTheme="minorEastAsia" w:eastAsiaTheme="minorEastAsia" w:hAnsiTheme="minorEastAsia"/>
                <w:color w:val="000000" w:themeColor="text1"/>
              </w:rPr>
            </w:pPr>
            <w:r>
              <w:rPr>
                <w:rFonts w:asciiTheme="minorEastAsia" w:eastAsiaTheme="minorEastAsia" w:hAnsiTheme="minorEastAsia"/>
                <w:color w:val="000000" w:themeColor="text1"/>
              </w:rPr>
              <w:t>/</w:t>
            </w:r>
          </w:p>
        </w:tc>
        <w:tc>
          <w:tcPr>
            <w:tcW w:w="712" w:type="pct"/>
            <w:tcBorders>
              <w:top w:val="single" w:sz="6" w:space="0" w:color="auto"/>
              <w:left w:val="single" w:sz="6" w:space="0" w:color="auto"/>
              <w:bottom w:val="single" w:sz="6" w:space="0" w:color="auto"/>
              <w:right w:val="single" w:sz="6" w:space="0" w:color="auto"/>
            </w:tcBorders>
            <w:vAlign w:val="center"/>
          </w:tcPr>
          <w:p w:rsidR="00597370" w:rsidRDefault="00597370">
            <w:pPr>
              <w:ind w:right="73"/>
              <w:jc w:val="center"/>
              <w:rPr>
                <w:rFonts w:asciiTheme="minorEastAsia" w:eastAsiaTheme="minorEastAsia" w:hAnsiTheme="minorEastAsia"/>
                <w:color w:val="000000" w:themeColor="text1"/>
              </w:rPr>
            </w:pPr>
          </w:p>
        </w:tc>
        <w:tc>
          <w:tcPr>
            <w:tcW w:w="906" w:type="pct"/>
            <w:tcBorders>
              <w:top w:val="single" w:sz="6" w:space="0" w:color="auto"/>
              <w:left w:val="single" w:sz="6" w:space="0" w:color="auto"/>
              <w:bottom w:val="single" w:sz="6" w:space="0" w:color="auto"/>
              <w:right w:val="single" w:sz="6" w:space="0" w:color="auto"/>
            </w:tcBorders>
            <w:shd w:val="clear" w:color="auto" w:fill="auto"/>
          </w:tcPr>
          <w:p w:rsidR="00597370" w:rsidRDefault="003C2EEE">
            <w:pPr>
              <w:jc w:val="right"/>
              <w:textAlignment w:val="top"/>
              <w:rPr>
                <w:color w:val="000000"/>
              </w:rPr>
            </w:pPr>
            <w:r>
              <w:rPr>
                <w:rFonts w:hint="eastAsia"/>
                <w:color w:val="000000"/>
                <w:lang w:bidi="ar"/>
              </w:rPr>
              <w:t>90,254.97</w:t>
            </w:r>
          </w:p>
        </w:tc>
      </w:tr>
    </w:tbl>
    <w:p w:rsidR="00597370" w:rsidRDefault="00597370">
      <w:pPr>
        <w:rPr>
          <w:color w:val="000000" w:themeColor="text1"/>
        </w:rPr>
      </w:pPr>
    </w:p>
    <w:p w:rsidR="00597370" w:rsidRDefault="003C2EEE">
      <w:pPr>
        <w:pStyle w:val="Style111"/>
        <w:numPr>
          <w:ilvl w:val="0"/>
          <w:numId w:val="117"/>
        </w:numPr>
        <w:ind w:left="425" w:hanging="425"/>
        <w:rPr>
          <w:rFonts w:asciiTheme="minorHAnsi" w:hAnsiTheme="minorHAnsi" w:cs="宋体"/>
          <w:color w:val="000000" w:themeColor="text1"/>
          <w:kern w:val="0"/>
          <w:szCs w:val="22"/>
        </w:rPr>
      </w:pPr>
      <w:bookmarkStart w:id="459" w:name="_Hlk153798113"/>
      <w:bookmarkStart w:id="460" w:name="_Hlk168057150"/>
      <w:r>
        <w:rPr>
          <w:rFonts w:asciiTheme="minorHAnsi" w:hAnsiTheme="minorHAnsi" w:cs="宋体" w:hint="eastAsia"/>
          <w:color w:val="000000" w:themeColor="text1"/>
          <w:kern w:val="0"/>
          <w:szCs w:val="22"/>
        </w:rPr>
        <w:t>因资金集中管理而列报于其他应收款</w:t>
      </w:r>
    </w:p>
    <w:sdt>
      <w:sdtPr>
        <w:rPr>
          <w:color w:val="000000" w:themeColor="text1"/>
        </w:rPr>
        <w:alias w:val="是否适用：母公司因资金集中管理而列报于其他应收款[双击切换]"/>
        <w:tag w:val="_GBC_e0997ad9657c40258adda569dcfcbb5a"/>
        <w:id w:val="1194656517"/>
        <w:placeholder>
          <w:docPart w:val="GBC22222222222222222222222222222"/>
        </w:placeholder>
      </w:sdtPr>
      <w:sdtEndPr/>
      <w:sdtContent>
        <w:p w:rsidR="00597370" w:rsidRDefault="003C2EEE">
          <w:pPr>
            <w:snapToGrid w:val="0"/>
            <w:spacing w:line="240" w:lineRule="atLeast"/>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59"/>
    <w:bookmarkEnd w:id="460"/>
    <w:p w:rsidR="00597370" w:rsidRDefault="003C2EEE">
      <w:pPr>
        <w:rPr>
          <w:color w:val="000000" w:themeColor="text1"/>
        </w:rPr>
      </w:pPr>
      <w:r>
        <w:rPr>
          <w:rFonts w:hint="eastAsia"/>
          <w:color w:val="000000" w:themeColor="text1"/>
        </w:rPr>
        <w:t>其他</w:t>
      </w:r>
      <w:r>
        <w:rPr>
          <w:color w:val="000000" w:themeColor="text1"/>
        </w:rPr>
        <w:t>说明：</w:t>
      </w:r>
    </w:p>
    <w:sdt>
      <w:sdtPr>
        <w:rPr>
          <w:color w:val="000000" w:themeColor="text1"/>
        </w:rPr>
        <w:alias w:val="是否适用：母公司其他应收款的其他说明[双击切换]"/>
        <w:tag w:val="_GBC_2e0f632cbc7d4916b89bf8824f4b71f0"/>
        <w:id w:val="80674997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4"/>
        </w:numPr>
        <w:rPr>
          <w:rFonts w:ascii="宋体" w:hAnsi="宋体"/>
          <w:color w:val="000000" w:themeColor="text1"/>
          <w:szCs w:val="21"/>
        </w:rPr>
      </w:pPr>
      <w:r>
        <w:rPr>
          <w:rFonts w:ascii="宋体" w:hAnsi="宋体" w:hint="eastAsia"/>
          <w:color w:val="000000" w:themeColor="text1"/>
          <w:szCs w:val="21"/>
        </w:rPr>
        <w:t>长期股权投资</w:t>
      </w:r>
    </w:p>
    <w:sdt>
      <w:sdtPr>
        <w:rPr>
          <w:color w:val="000000" w:themeColor="text1"/>
        </w:rPr>
        <w:alias w:val="是否适用：母公司长期股权投资[双击切换]"/>
        <w:tag w:val="_GBC_61071b9a58624e83bfc4232808751b95"/>
        <w:id w:val="92056079"/>
        <w:lock w:val="contentLocked"/>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母公司财务附注：长期股权投资"/>
          <w:tag w:val="_GBC_ee2c3454a2494dfca9c0a07bba82ed3d"/>
          <w:id w:val="19811162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财务附注：长期股权投资"/>
          <w:tag w:val="_GBC_4b4d1a2b986f475e8058a041d2f5a6f9"/>
          <w:id w:val="-2376444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1674"/>
        <w:gridCol w:w="1532"/>
        <w:gridCol w:w="501"/>
        <w:gridCol w:w="1532"/>
        <w:gridCol w:w="1532"/>
        <w:gridCol w:w="514"/>
        <w:gridCol w:w="1532"/>
      </w:tblGrid>
      <w:tr w:rsidR="00597370">
        <w:trPr>
          <w:cantSplit/>
        </w:trPr>
        <w:sdt>
          <w:sdtPr>
            <w:rPr>
              <w:color w:val="000000" w:themeColor="text1"/>
            </w:rPr>
            <w:tag w:val="_PLD_69c4a2f49545484e8b3a149f64c9d21f"/>
            <w:id w:val="-656763348"/>
          </w:sdtPr>
          <w:sdtEndPr/>
          <w:sdtContent>
            <w:tc>
              <w:tcPr>
                <w:tcW w:w="1180" w:type="pct"/>
                <w:vMerge w:val="restart"/>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f7d0566caa554c4c823029a05c5319eb"/>
            <w:id w:val="-2116590593"/>
          </w:sdtPr>
          <w:sdtEndPr/>
          <w:sdtContent>
            <w:tc>
              <w:tcPr>
                <w:tcW w:w="1560" w:type="pct"/>
                <w:gridSpan w:val="3"/>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9d2cfae2492a49c2b441d1371a5e4673"/>
            <w:id w:val="2116635643"/>
          </w:sdtPr>
          <w:sdtEndPr/>
          <w:sdtContent>
            <w:tc>
              <w:tcPr>
                <w:tcW w:w="2260" w:type="pct"/>
                <w:gridSpan w:val="3"/>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tr>
      <w:tr w:rsidR="00597370">
        <w:trPr>
          <w:cantSplit/>
        </w:trPr>
        <w:tc>
          <w:tcPr>
            <w:tcW w:w="1180" w:type="pct"/>
            <w:vMerge/>
            <w:tcBorders>
              <w:bottom w:val="single" w:sz="6" w:space="0" w:color="auto"/>
            </w:tcBorders>
            <w:shd w:val="clear" w:color="auto" w:fill="auto"/>
            <w:vAlign w:val="center"/>
          </w:tcPr>
          <w:p w:rsidR="00597370" w:rsidRDefault="00597370">
            <w:pPr>
              <w:jc w:val="center"/>
              <w:rPr>
                <w:color w:val="000000" w:themeColor="text1"/>
              </w:rPr>
            </w:pPr>
          </w:p>
        </w:tc>
        <w:sdt>
          <w:sdtPr>
            <w:rPr>
              <w:color w:val="000000" w:themeColor="text1"/>
            </w:rPr>
            <w:tag w:val="_PLD_9f664b17996c45f08a57544a9ec7e340"/>
            <w:id w:val="1052965280"/>
          </w:sdtPr>
          <w:sdtEndPr/>
          <w:sdtContent>
            <w:tc>
              <w:tcPr>
                <w:tcW w:w="529" w:type="pct"/>
                <w:tcBorders>
                  <w:bottom w:val="single" w:sz="6" w:space="0" w:color="auto"/>
                </w:tcBorders>
                <w:shd w:val="clear" w:color="auto" w:fill="auto"/>
                <w:vAlign w:val="center"/>
              </w:tcPr>
              <w:p w:rsidR="00597370" w:rsidRDefault="003C2EEE">
                <w:pPr>
                  <w:jc w:val="center"/>
                  <w:rPr>
                    <w:color w:val="000000" w:themeColor="text1"/>
                  </w:rPr>
                </w:pPr>
                <w:r>
                  <w:rPr>
                    <w:rFonts w:hint="eastAsia"/>
                    <w:color w:val="000000" w:themeColor="text1"/>
                  </w:rPr>
                  <w:t>账面余额</w:t>
                </w:r>
              </w:p>
            </w:tc>
          </w:sdtContent>
        </w:sdt>
        <w:sdt>
          <w:sdtPr>
            <w:rPr>
              <w:color w:val="000000" w:themeColor="text1"/>
            </w:rPr>
            <w:tag w:val="_PLD_5c150a7367994fc29e7f8b50d7ff2eab"/>
            <w:id w:val="-343854912"/>
          </w:sdtPr>
          <w:sdtEndPr/>
          <w:sdtContent>
            <w:tc>
              <w:tcPr>
                <w:tcW w:w="515" w:type="pct"/>
                <w:tcBorders>
                  <w:bottom w:val="single" w:sz="6" w:space="0" w:color="auto"/>
                </w:tcBorders>
                <w:shd w:val="clear" w:color="auto" w:fill="auto"/>
                <w:vAlign w:val="center"/>
              </w:tcPr>
              <w:p w:rsidR="00597370" w:rsidRDefault="003C2EEE">
                <w:pPr>
                  <w:jc w:val="center"/>
                  <w:rPr>
                    <w:color w:val="000000" w:themeColor="text1"/>
                  </w:rPr>
                </w:pPr>
                <w:r>
                  <w:rPr>
                    <w:rFonts w:hint="eastAsia"/>
                    <w:color w:val="000000" w:themeColor="text1"/>
                  </w:rPr>
                  <w:t>减值准备</w:t>
                </w:r>
              </w:p>
            </w:tc>
          </w:sdtContent>
        </w:sdt>
        <w:sdt>
          <w:sdtPr>
            <w:rPr>
              <w:color w:val="000000" w:themeColor="text1"/>
            </w:rPr>
            <w:tag w:val="_PLD_3db48da0eacd49568929884577dae51b"/>
            <w:id w:val="-1739088725"/>
          </w:sdtPr>
          <w:sdtEndPr/>
          <w:sdtContent>
            <w:tc>
              <w:tcPr>
                <w:tcW w:w="515" w:type="pct"/>
                <w:tcBorders>
                  <w:bottom w:val="single" w:sz="6" w:space="0" w:color="auto"/>
                </w:tcBorders>
                <w:shd w:val="clear" w:color="auto" w:fill="auto"/>
                <w:vAlign w:val="center"/>
              </w:tcPr>
              <w:p w:rsidR="00597370" w:rsidRDefault="003C2EEE">
                <w:pPr>
                  <w:jc w:val="center"/>
                  <w:rPr>
                    <w:color w:val="000000" w:themeColor="text1"/>
                  </w:rPr>
                </w:pPr>
                <w:r>
                  <w:rPr>
                    <w:rFonts w:hint="eastAsia"/>
                    <w:color w:val="000000" w:themeColor="text1"/>
                  </w:rPr>
                  <w:t>账面价值</w:t>
                </w:r>
              </w:p>
            </w:tc>
          </w:sdtContent>
        </w:sdt>
        <w:sdt>
          <w:sdtPr>
            <w:rPr>
              <w:color w:val="000000" w:themeColor="text1"/>
            </w:rPr>
            <w:tag w:val="_PLD_00d8a1d3b6754b52929b2c46a2e716c9"/>
            <w:id w:val="-1658368811"/>
          </w:sdtPr>
          <w:sdtEndPr/>
          <w:sdtContent>
            <w:tc>
              <w:tcPr>
                <w:tcW w:w="869" w:type="pct"/>
                <w:tcBorders>
                  <w:bottom w:val="single" w:sz="6" w:space="0" w:color="auto"/>
                </w:tcBorders>
                <w:shd w:val="clear" w:color="auto" w:fill="auto"/>
                <w:vAlign w:val="center"/>
              </w:tcPr>
              <w:p w:rsidR="00597370" w:rsidRDefault="003C2EEE">
                <w:pPr>
                  <w:jc w:val="center"/>
                  <w:rPr>
                    <w:color w:val="000000" w:themeColor="text1"/>
                  </w:rPr>
                </w:pPr>
                <w:r>
                  <w:rPr>
                    <w:rFonts w:hint="eastAsia"/>
                    <w:color w:val="000000" w:themeColor="text1"/>
                  </w:rPr>
                  <w:t>账面余额</w:t>
                </w:r>
              </w:p>
            </w:tc>
          </w:sdtContent>
        </w:sdt>
        <w:sdt>
          <w:sdtPr>
            <w:rPr>
              <w:color w:val="000000" w:themeColor="text1"/>
            </w:rPr>
            <w:tag w:val="_PLD_0f2c77fc41ea456bab34653dee178805"/>
            <w:id w:val="-598490669"/>
          </w:sdtPr>
          <w:sdtEndPr/>
          <w:sdtContent>
            <w:tc>
              <w:tcPr>
                <w:tcW w:w="522" w:type="pct"/>
                <w:tcBorders>
                  <w:bottom w:val="single" w:sz="6" w:space="0" w:color="auto"/>
                </w:tcBorders>
                <w:shd w:val="clear" w:color="auto" w:fill="auto"/>
                <w:vAlign w:val="center"/>
              </w:tcPr>
              <w:p w:rsidR="00597370" w:rsidRDefault="003C2EEE">
                <w:pPr>
                  <w:jc w:val="center"/>
                  <w:rPr>
                    <w:color w:val="000000" w:themeColor="text1"/>
                  </w:rPr>
                </w:pPr>
                <w:r>
                  <w:rPr>
                    <w:rFonts w:hint="eastAsia"/>
                    <w:color w:val="000000" w:themeColor="text1"/>
                  </w:rPr>
                  <w:t>减值准备</w:t>
                </w:r>
              </w:p>
            </w:tc>
          </w:sdtContent>
        </w:sdt>
        <w:sdt>
          <w:sdtPr>
            <w:rPr>
              <w:color w:val="000000" w:themeColor="text1"/>
            </w:rPr>
            <w:tag w:val="_PLD_9ae07ed9769c419fa280d4c5ad3f03d7"/>
            <w:id w:val="485908605"/>
          </w:sdtPr>
          <w:sdtEndPr/>
          <w:sdtContent>
            <w:tc>
              <w:tcPr>
                <w:tcW w:w="869" w:type="pct"/>
                <w:tcBorders>
                  <w:bottom w:val="single" w:sz="6" w:space="0" w:color="auto"/>
                </w:tcBorders>
                <w:shd w:val="clear" w:color="auto" w:fill="auto"/>
                <w:vAlign w:val="center"/>
              </w:tcPr>
              <w:p w:rsidR="00597370" w:rsidRDefault="003C2EEE">
                <w:pPr>
                  <w:jc w:val="center"/>
                  <w:rPr>
                    <w:color w:val="000000" w:themeColor="text1"/>
                  </w:rPr>
                </w:pPr>
                <w:r>
                  <w:rPr>
                    <w:rFonts w:hint="eastAsia"/>
                    <w:color w:val="000000" w:themeColor="text1"/>
                  </w:rPr>
                  <w:t>账面价值</w:t>
                </w:r>
              </w:p>
            </w:tc>
          </w:sdtContent>
        </w:sdt>
      </w:tr>
      <w:tr w:rsidR="00597370">
        <w:trPr>
          <w:cantSplit/>
        </w:trPr>
        <w:tc>
          <w:tcPr>
            <w:tcW w:w="1180" w:type="pct"/>
            <w:shd w:val="clear" w:color="auto" w:fill="auto"/>
          </w:tcPr>
          <w:p w:rsidR="00597370" w:rsidRDefault="003C2EEE">
            <w:pPr>
              <w:rPr>
                <w:color w:val="000000" w:themeColor="text1"/>
              </w:rPr>
            </w:pPr>
            <w:r>
              <w:rPr>
                <w:rFonts w:hint="eastAsia"/>
                <w:color w:val="000000" w:themeColor="text1"/>
              </w:rPr>
              <w:t>对子公司投资</w:t>
            </w:r>
          </w:p>
        </w:tc>
        <w:tc>
          <w:tcPr>
            <w:tcW w:w="529" w:type="pct"/>
            <w:shd w:val="clear" w:color="auto" w:fill="auto"/>
            <w:vAlign w:val="bottom"/>
          </w:tcPr>
          <w:p w:rsidR="00597370" w:rsidRDefault="003C2EEE">
            <w:pPr>
              <w:jc w:val="right"/>
            </w:pPr>
            <w:r>
              <w:rPr>
                <w:rFonts w:hint="eastAsia"/>
                <w:color w:val="000000"/>
              </w:rPr>
              <w:t xml:space="preserve"> 660,648,136.94 </w:t>
            </w:r>
          </w:p>
        </w:tc>
        <w:tc>
          <w:tcPr>
            <w:tcW w:w="515" w:type="pct"/>
            <w:shd w:val="clear" w:color="auto" w:fill="auto"/>
            <w:vAlign w:val="bottom"/>
          </w:tcPr>
          <w:p w:rsidR="00597370" w:rsidRDefault="00597370">
            <w:pPr>
              <w:jc w:val="right"/>
            </w:pPr>
          </w:p>
        </w:tc>
        <w:tc>
          <w:tcPr>
            <w:tcW w:w="515" w:type="pct"/>
            <w:shd w:val="clear" w:color="auto" w:fill="auto"/>
            <w:vAlign w:val="bottom"/>
          </w:tcPr>
          <w:p w:rsidR="00597370" w:rsidRDefault="003C2EEE">
            <w:pPr>
              <w:jc w:val="right"/>
            </w:pPr>
            <w:r>
              <w:rPr>
                <w:rFonts w:hint="eastAsia"/>
                <w:color w:val="000000"/>
              </w:rPr>
              <w:t xml:space="preserve"> 660,648,136.94 </w:t>
            </w:r>
          </w:p>
        </w:tc>
        <w:tc>
          <w:tcPr>
            <w:tcW w:w="869" w:type="pct"/>
            <w:shd w:val="clear" w:color="auto" w:fill="auto"/>
            <w:vAlign w:val="bottom"/>
          </w:tcPr>
          <w:p w:rsidR="00597370" w:rsidRDefault="003C2EEE">
            <w:pPr>
              <w:jc w:val="right"/>
            </w:pPr>
            <w:r>
              <w:t>100,608,706.9</w:t>
            </w:r>
          </w:p>
        </w:tc>
        <w:tc>
          <w:tcPr>
            <w:tcW w:w="522" w:type="pct"/>
            <w:shd w:val="clear" w:color="auto" w:fill="auto"/>
            <w:vAlign w:val="bottom"/>
          </w:tcPr>
          <w:p w:rsidR="00597370" w:rsidRDefault="00597370">
            <w:pPr>
              <w:jc w:val="right"/>
            </w:pPr>
          </w:p>
        </w:tc>
        <w:tc>
          <w:tcPr>
            <w:tcW w:w="869" w:type="pct"/>
            <w:shd w:val="clear" w:color="auto" w:fill="auto"/>
            <w:vAlign w:val="bottom"/>
          </w:tcPr>
          <w:p w:rsidR="00597370" w:rsidRDefault="003C2EEE">
            <w:pPr>
              <w:jc w:val="right"/>
            </w:pPr>
            <w:r>
              <w:t>100,608,706.9</w:t>
            </w:r>
          </w:p>
        </w:tc>
      </w:tr>
      <w:tr w:rsidR="00597370">
        <w:trPr>
          <w:cantSplit/>
        </w:trPr>
        <w:tc>
          <w:tcPr>
            <w:tcW w:w="1180" w:type="pct"/>
            <w:shd w:val="clear" w:color="auto" w:fill="auto"/>
          </w:tcPr>
          <w:p w:rsidR="00597370" w:rsidRDefault="003C2EEE">
            <w:pPr>
              <w:rPr>
                <w:color w:val="000000" w:themeColor="text1"/>
              </w:rPr>
            </w:pPr>
            <w:r>
              <w:rPr>
                <w:rFonts w:hint="eastAsia"/>
                <w:color w:val="000000" w:themeColor="text1"/>
              </w:rPr>
              <w:t>对联营、合营企业投资</w:t>
            </w:r>
          </w:p>
        </w:tc>
        <w:tc>
          <w:tcPr>
            <w:tcW w:w="529" w:type="pct"/>
            <w:shd w:val="clear" w:color="auto" w:fill="auto"/>
            <w:vAlign w:val="bottom"/>
          </w:tcPr>
          <w:p w:rsidR="00597370" w:rsidRDefault="003C2EEE">
            <w:pPr>
              <w:jc w:val="right"/>
            </w:pPr>
            <w:r>
              <w:rPr>
                <w:rFonts w:hint="eastAsia"/>
                <w:color w:val="000000"/>
              </w:rPr>
              <w:t xml:space="preserve"> 15,460,170.90 </w:t>
            </w:r>
          </w:p>
        </w:tc>
        <w:tc>
          <w:tcPr>
            <w:tcW w:w="515" w:type="pct"/>
            <w:shd w:val="clear" w:color="auto" w:fill="auto"/>
            <w:vAlign w:val="bottom"/>
          </w:tcPr>
          <w:p w:rsidR="00597370" w:rsidRDefault="00597370">
            <w:pPr>
              <w:jc w:val="right"/>
            </w:pPr>
          </w:p>
        </w:tc>
        <w:tc>
          <w:tcPr>
            <w:tcW w:w="515" w:type="pct"/>
            <w:shd w:val="clear" w:color="auto" w:fill="auto"/>
            <w:vAlign w:val="bottom"/>
          </w:tcPr>
          <w:p w:rsidR="00597370" w:rsidRDefault="003C2EEE">
            <w:pPr>
              <w:jc w:val="right"/>
            </w:pPr>
            <w:r>
              <w:rPr>
                <w:rFonts w:hint="eastAsia"/>
                <w:color w:val="000000"/>
              </w:rPr>
              <w:t xml:space="preserve"> 15,460,170.90 </w:t>
            </w:r>
          </w:p>
        </w:tc>
        <w:tc>
          <w:tcPr>
            <w:tcW w:w="869" w:type="pct"/>
            <w:shd w:val="clear" w:color="auto" w:fill="auto"/>
            <w:vAlign w:val="bottom"/>
          </w:tcPr>
          <w:p w:rsidR="00597370" w:rsidRDefault="003C2EEE">
            <w:pPr>
              <w:jc w:val="right"/>
            </w:pPr>
            <w:r>
              <w:t>15,534,673.57</w:t>
            </w:r>
          </w:p>
        </w:tc>
        <w:tc>
          <w:tcPr>
            <w:tcW w:w="522" w:type="pct"/>
            <w:shd w:val="clear" w:color="auto" w:fill="auto"/>
            <w:vAlign w:val="bottom"/>
          </w:tcPr>
          <w:p w:rsidR="00597370" w:rsidRDefault="00597370">
            <w:pPr>
              <w:jc w:val="right"/>
            </w:pPr>
          </w:p>
        </w:tc>
        <w:tc>
          <w:tcPr>
            <w:tcW w:w="869" w:type="pct"/>
            <w:shd w:val="clear" w:color="auto" w:fill="auto"/>
            <w:vAlign w:val="bottom"/>
          </w:tcPr>
          <w:p w:rsidR="00597370" w:rsidRDefault="003C2EEE">
            <w:pPr>
              <w:jc w:val="right"/>
            </w:pPr>
            <w:r>
              <w:t>15,534,673.57</w:t>
            </w:r>
          </w:p>
        </w:tc>
      </w:tr>
      <w:tr w:rsidR="00597370">
        <w:trPr>
          <w:cantSplit/>
        </w:trPr>
        <w:tc>
          <w:tcPr>
            <w:tcW w:w="1180" w:type="pct"/>
            <w:shd w:val="clear" w:color="auto" w:fill="auto"/>
            <w:vAlign w:val="center"/>
          </w:tcPr>
          <w:p w:rsidR="00597370" w:rsidRDefault="003C2EEE">
            <w:pPr>
              <w:rPr>
                <w:color w:val="000000" w:themeColor="text1"/>
              </w:rPr>
            </w:pPr>
            <w:r>
              <w:rPr>
                <w:rFonts w:hint="eastAsia"/>
                <w:color w:val="000000" w:themeColor="text1"/>
              </w:rPr>
              <w:t>合计</w:t>
            </w:r>
          </w:p>
        </w:tc>
        <w:tc>
          <w:tcPr>
            <w:tcW w:w="529" w:type="pct"/>
            <w:shd w:val="clear" w:color="auto" w:fill="auto"/>
            <w:vAlign w:val="bottom"/>
          </w:tcPr>
          <w:p w:rsidR="00597370" w:rsidRDefault="003C2EEE">
            <w:pPr>
              <w:jc w:val="right"/>
            </w:pPr>
            <w:r>
              <w:rPr>
                <w:rFonts w:hint="eastAsia"/>
                <w:color w:val="000000"/>
              </w:rPr>
              <w:t xml:space="preserve"> 676,108,307.84 </w:t>
            </w:r>
          </w:p>
        </w:tc>
        <w:tc>
          <w:tcPr>
            <w:tcW w:w="515" w:type="pct"/>
            <w:shd w:val="clear" w:color="auto" w:fill="auto"/>
            <w:vAlign w:val="bottom"/>
          </w:tcPr>
          <w:p w:rsidR="00597370" w:rsidRDefault="003C2EEE">
            <w:pPr>
              <w:jc w:val="right"/>
            </w:pPr>
            <w:r>
              <w:rPr>
                <w:rFonts w:hint="eastAsia"/>
                <w:color w:val="000000"/>
              </w:rPr>
              <w:t xml:space="preserve"> -   </w:t>
            </w:r>
          </w:p>
        </w:tc>
        <w:tc>
          <w:tcPr>
            <w:tcW w:w="515" w:type="pct"/>
            <w:shd w:val="clear" w:color="auto" w:fill="auto"/>
            <w:vAlign w:val="bottom"/>
          </w:tcPr>
          <w:p w:rsidR="00597370" w:rsidRDefault="003C2EEE">
            <w:pPr>
              <w:jc w:val="right"/>
            </w:pPr>
            <w:r>
              <w:rPr>
                <w:rFonts w:hint="eastAsia"/>
                <w:color w:val="000000"/>
              </w:rPr>
              <w:t xml:space="preserve"> 676,108,307.84 </w:t>
            </w:r>
          </w:p>
        </w:tc>
        <w:tc>
          <w:tcPr>
            <w:tcW w:w="869" w:type="pct"/>
            <w:shd w:val="clear" w:color="auto" w:fill="auto"/>
            <w:vAlign w:val="bottom"/>
          </w:tcPr>
          <w:p w:rsidR="00597370" w:rsidRDefault="003C2EEE">
            <w:pPr>
              <w:jc w:val="right"/>
            </w:pPr>
            <w:r>
              <w:t>116,143,380.47</w:t>
            </w:r>
          </w:p>
        </w:tc>
        <w:tc>
          <w:tcPr>
            <w:tcW w:w="522" w:type="pct"/>
            <w:shd w:val="clear" w:color="auto" w:fill="auto"/>
            <w:vAlign w:val="bottom"/>
          </w:tcPr>
          <w:p w:rsidR="00597370" w:rsidRDefault="00597370">
            <w:pPr>
              <w:jc w:val="right"/>
            </w:pPr>
          </w:p>
        </w:tc>
        <w:tc>
          <w:tcPr>
            <w:tcW w:w="869" w:type="pct"/>
            <w:shd w:val="clear" w:color="auto" w:fill="auto"/>
            <w:vAlign w:val="bottom"/>
          </w:tcPr>
          <w:p w:rsidR="00597370" w:rsidRDefault="003C2EEE">
            <w:pPr>
              <w:jc w:val="right"/>
            </w:pPr>
            <w:r>
              <w:t>116,143,380.47</w:t>
            </w:r>
          </w:p>
        </w:tc>
      </w:tr>
    </w:tbl>
    <w:p w:rsidR="00597370" w:rsidRDefault="00597370">
      <w:pPr>
        <w:rPr>
          <w:color w:val="000000" w:themeColor="text1"/>
        </w:rPr>
      </w:pPr>
    </w:p>
    <w:p w:rsidR="00597370" w:rsidRDefault="003C2EEE">
      <w:pPr>
        <w:pStyle w:val="Style110"/>
        <w:numPr>
          <w:ilvl w:val="0"/>
          <w:numId w:val="118"/>
        </w:numPr>
        <w:rPr>
          <w:rFonts w:ascii="宋体" w:hAnsi="宋体"/>
          <w:color w:val="000000" w:themeColor="text1"/>
        </w:rPr>
      </w:pPr>
      <w:r>
        <w:rPr>
          <w:rFonts w:ascii="宋体" w:hAnsi="宋体" w:hint="eastAsia"/>
          <w:color w:val="000000" w:themeColor="text1"/>
        </w:rPr>
        <w:t>对子公司投资</w:t>
      </w:r>
    </w:p>
    <w:sdt>
      <w:sdtPr>
        <w:rPr>
          <w:color w:val="000000" w:themeColor="text1"/>
        </w:rPr>
        <w:alias w:val="是否适用：母公司对子公司投资[双击切换]"/>
        <w:tag w:val="_GBC_c52cee49247d42a9a79deabbd4c8635c"/>
        <w:id w:val="-45440235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母公司财务附注：对子公司投资"/>
          <w:tag w:val="_GBC_84c410d0b81f42e3adfddc3699487310"/>
          <w:id w:val="-18032196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财务附注：对子公司投资"/>
          <w:tag w:val="_GBC_97fad72310ba4b849377b0e1cebf7303"/>
          <w:id w:val="16760648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686"/>
        <w:gridCol w:w="1686"/>
        <w:gridCol w:w="791"/>
        <w:gridCol w:w="1686"/>
        <w:gridCol w:w="796"/>
        <w:gridCol w:w="796"/>
      </w:tblGrid>
      <w:tr w:rsidR="00597370">
        <w:bookmarkStart w:id="461" w:name="_Hlk106375342" w:displacedByCustomXml="next"/>
        <w:sdt>
          <w:sdtPr>
            <w:rPr>
              <w:color w:val="000000" w:themeColor="text1"/>
            </w:rPr>
            <w:tag w:val="_PLD_c6f1ebfed2274883870089cc90c0b5b3"/>
            <w:id w:val="-1634856455"/>
          </w:sdtPr>
          <w:sdtEndPr/>
          <w:sdtContent>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被投资单位</w:t>
                </w:r>
              </w:p>
            </w:tc>
          </w:sdtContent>
        </w:sdt>
        <w:sdt>
          <w:sdtPr>
            <w:rPr>
              <w:color w:val="000000" w:themeColor="text1"/>
            </w:rPr>
            <w:tag w:val="_PLD_c8b6275a3567432ba7b63d4485a9cce5"/>
            <w:id w:val="-1151057843"/>
          </w:sdtPr>
          <w:sdtEndPr/>
          <w:sdtContent>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期初余额</w:t>
                </w:r>
              </w:p>
            </w:tc>
          </w:sdtContent>
        </w:sdt>
        <w:sdt>
          <w:sdtPr>
            <w:rPr>
              <w:color w:val="000000" w:themeColor="text1"/>
            </w:rPr>
            <w:tag w:val="_PLD_a192e1f764d54f39ad94a065019bc4f2"/>
            <w:id w:val="462161813"/>
          </w:sdtPr>
          <w:sdtEndPr/>
          <w:sdtContent>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本期增加</w:t>
                </w:r>
              </w:p>
            </w:tc>
          </w:sdtContent>
        </w:sdt>
        <w:sdt>
          <w:sdtPr>
            <w:rPr>
              <w:color w:val="000000" w:themeColor="text1"/>
            </w:rPr>
            <w:tag w:val="_PLD_3a74d3e1bc0e43debb3fdd0f1f6de769"/>
            <w:id w:val="972563652"/>
          </w:sdtPr>
          <w:sdtEndPr/>
          <w:sdtContent>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本期减少</w:t>
                </w:r>
              </w:p>
            </w:tc>
          </w:sdtContent>
        </w:sdt>
        <w:sdt>
          <w:sdtPr>
            <w:rPr>
              <w:color w:val="000000" w:themeColor="text1"/>
            </w:rPr>
            <w:tag w:val="_PLD_62acff2435cd434284a753ea8ebfa201"/>
            <w:id w:val="-785734984"/>
          </w:sdtPr>
          <w:sdtEndPr/>
          <w:sdtContent>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期末余额</w:t>
                </w:r>
              </w:p>
            </w:tc>
          </w:sdtContent>
        </w:sdt>
        <w:sdt>
          <w:sdtPr>
            <w:rPr>
              <w:color w:val="000000" w:themeColor="text1"/>
            </w:rPr>
            <w:tag w:val="_PLD_67b1a9b1d215409ebb6ceb131ad5e8bf"/>
            <w:id w:val="-1037437739"/>
          </w:sdtPr>
          <w:sdtEndPr/>
          <w:sdtContent>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本期计提减值准备</w:t>
                </w:r>
              </w:p>
            </w:tc>
          </w:sdtContent>
        </w:sdt>
        <w:sdt>
          <w:sdtPr>
            <w:rPr>
              <w:color w:val="000000" w:themeColor="text1"/>
            </w:rPr>
            <w:tag w:val="_PLD_bfab2049a5684d7d922489b57382b080"/>
            <w:id w:val="218258992"/>
          </w:sdtPr>
          <w:sdtEndPr/>
          <w:sdtContent>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减值准备期末余额</w:t>
                </w:r>
              </w:p>
            </w:tc>
          </w:sdtContent>
        </w:sdt>
      </w:tr>
      <w:tr w:rsidR="00597370">
        <w:tc>
          <w:tcPr>
            <w:tcW w:w="783" w:type="pct"/>
            <w:tcBorders>
              <w:top w:val="single" w:sz="4" w:space="0" w:color="auto"/>
              <w:left w:val="single" w:sz="4" w:space="0" w:color="auto"/>
              <w:bottom w:val="single" w:sz="4" w:space="0" w:color="auto"/>
              <w:right w:val="single" w:sz="4" w:space="0" w:color="auto"/>
            </w:tcBorders>
            <w:vAlign w:val="center"/>
          </w:tcPr>
          <w:p w:rsidR="00597370" w:rsidRDefault="003C2EEE">
            <w:pPr>
              <w:pStyle w:val="Style106"/>
            </w:pPr>
            <w:proofErr w:type="gramStart"/>
            <w:r>
              <w:rPr>
                <w:rFonts w:hint="eastAsia"/>
              </w:rPr>
              <w:t>云变电气</w:t>
            </w:r>
            <w:proofErr w:type="gramEnd"/>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color w:val="000000"/>
              </w:rPr>
            </w:pPr>
            <w:r>
              <w:rPr>
                <w:rFonts w:hint="eastAsia"/>
                <w:color w:val="000000"/>
              </w:rPr>
              <w:t>559,816,869.00</w:t>
            </w:r>
          </w:p>
        </w:tc>
        <w:tc>
          <w:tcPr>
            <w:tcW w:w="448"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rPr>
                <w:color w:val="000000"/>
              </w:rPr>
            </w:pPr>
            <w:r>
              <w:rPr>
                <w:rFonts w:hint="eastAsia"/>
                <w:color w:val="000000"/>
              </w:rPr>
              <w:t xml:space="preserve">559,816,869.00 </w:t>
            </w:r>
          </w:p>
        </w:tc>
        <w:tc>
          <w:tcPr>
            <w:tcW w:w="45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45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r>
      <w:tr w:rsidR="00597370">
        <w:tc>
          <w:tcPr>
            <w:tcW w:w="783" w:type="pct"/>
            <w:tcBorders>
              <w:top w:val="single" w:sz="4" w:space="0" w:color="auto"/>
              <w:left w:val="single" w:sz="4" w:space="0" w:color="auto"/>
              <w:bottom w:val="single" w:sz="4" w:space="0" w:color="auto"/>
              <w:right w:val="single" w:sz="4" w:space="0" w:color="auto"/>
            </w:tcBorders>
            <w:vAlign w:val="center"/>
          </w:tcPr>
          <w:p w:rsidR="00597370" w:rsidRDefault="003C2EEE">
            <w:pPr>
              <w:pStyle w:val="Style106"/>
            </w:pPr>
            <w:r>
              <w:t>黔南望江</w:t>
            </w:r>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60,427,202.24</w:t>
            </w:r>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177,294.40</w:t>
            </w:r>
          </w:p>
        </w:tc>
        <w:tc>
          <w:tcPr>
            <w:tcW w:w="448"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 xml:space="preserve"> 60,604,496.64 </w:t>
            </w:r>
          </w:p>
        </w:tc>
        <w:tc>
          <w:tcPr>
            <w:tcW w:w="45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45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r>
      <w:tr w:rsidR="00597370">
        <w:tc>
          <w:tcPr>
            <w:tcW w:w="783" w:type="pct"/>
            <w:tcBorders>
              <w:top w:val="single" w:sz="4" w:space="0" w:color="auto"/>
              <w:left w:val="single" w:sz="4" w:space="0" w:color="auto"/>
              <w:bottom w:val="single" w:sz="4" w:space="0" w:color="auto"/>
              <w:right w:val="single" w:sz="4" w:space="0" w:color="auto"/>
            </w:tcBorders>
            <w:vAlign w:val="center"/>
          </w:tcPr>
          <w:p w:rsidR="00597370" w:rsidRDefault="003C2EEE">
            <w:pPr>
              <w:pStyle w:val="Style106"/>
            </w:pPr>
            <w:r>
              <w:t>惠泽电器</w:t>
            </w:r>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40,181,504.66</w:t>
            </w:r>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45,266.64</w:t>
            </w:r>
          </w:p>
        </w:tc>
        <w:tc>
          <w:tcPr>
            <w:tcW w:w="448"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955"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rPr>
                <w:rFonts w:hint="eastAsia"/>
                <w:color w:val="000000"/>
              </w:rPr>
              <w:t xml:space="preserve"> 40,226,771.30 </w:t>
            </w:r>
          </w:p>
        </w:tc>
        <w:tc>
          <w:tcPr>
            <w:tcW w:w="45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45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r>
      <w:tr w:rsidR="00597370">
        <w:tc>
          <w:tcPr>
            <w:tcW w:w="783" w:type="pct"/>
            <w:tcBorders>
              <w:top w:val="single" w:sz="4" w:space="0" w:color="auto"/>
              <w:left w:val="single" w:sz="4" w:space="0" w:color="auto"/>
              <w:bottom w:val="single" w:sz="4" w:space="0" w:color="auto"/>
              <w:right w:val="single" w:sz="4" w:space="0" w:color="auto"/>
            </w:tcBorders>
            <w:vAlign w:val="center"/>
          </w:tcPr>
          <w:p w:rsidR="00597370" w:rsidRDefault="003C2EEE">
            <w:pPr>
              <w:pStyle w:val="Style106"/>
            </w:pPr>
            <w:r>
              <w:rPr>
                <w:rFonts w:hint="eastAsia"/>
                <w:color w:val="000000" w:themeColor="text1"/>
              </w:rPr>
              <w:t>合计</w:t>
            </w:r>
          </w:p>
        </w:tc>
        <w:tc>
          <w:tcPr>
            <w:tcW w:w="955" w:type="pct"/>
            <w:tcBorders>
              <w:top w:val="single" w:sz="4" w:space="0" w:color="auto"/>
              <w:left w:val="single" w:sz="4" w:space="0" w:color="auto"/>
              <w:bottom w:val="single" w:sz="4" w:space="0" w:color="auto"/>
              <w:right w:val="single" w:sz="4" w:space="0" w:color="auto"/>
            </w:tcBorders>
          </w:tcPr>
          <w:p w:rsidR="00597370" w:rsidRDefault="003C2EEE">
            <w:pPr>
              <w:jc w:val="right"/>
            </w:pPr>
            <w:r>
              <w:rPr>
                <w:color w:val="000000"/>
              </w:rPr>
              <w:t>100,608,706.90</w:t>
            </w:r>
          </w:p>
        </w:tc>
        <w:tc>
          <w:tcPr>
            <w:tcW w:w="955"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 xml:space="preserve">560,039,430.04 </w:t>
            </w:r>
          </w:p>
        </w:tc>
        <w:tc>
          <w:tcPr>
            <w:tcW w:w="448"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 xml:space="preserve">   </w:t>
            </w:r>
          </w:p>
        </w:tc>
        <w:tc>
          <w:tcPr>
            <w:tcW w:w="955" w:type="pct"/>
            <w:tcBorders>
              <w:top w:val="single" w:sz="4" w:space="0" w:color="auto"/>
              <w:left w:val="single" w:sz="4" w:space="0" w:color="auto"/>
              <w:bottom w:val="single" w:sz="4" w:space="0" w:color="auto"/>
              <w:right w:val="single" w:sz="4" w:space="0" w:color="auto"/>
            </w:tcBorders>
          </w:tcPr>
          <w:p w:rsidR="00597370" w:rsidRDefault="003C2EEE">
            <w:pPr>
              <w:jc w:val="right"/>
            </w:pPr>
            <w:r>
              <w:rPr>
                <w:rFonts w:hint="eastAsia"/>
                <w:color w:val="000000"/>
              </w:rPr>
              <w:t xml:space="preserve">660,648,136.94 </w:t>
            </w:r>
          </w:p>
        </w:tc>
        <w:tc>
          <w:tcPr>
            <w:tcW w:w="45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c>
          <w:tcPr>
            <w:tcW w:w="451" w:type="pct"/>
            <w:tcBorders>
              <w:top w:val="single" w:sz="4" w:space="0" w:color="auto"/>
              <w:left w:val="single" w:sz="4" w:space="0" w:color="auto"/>
              <w:bottom w:val="single" w:sz="4" w:space="0" w:color="auto"/>
              <w:right w:val="single" w:sz="4" w:space="0" w:color="auto"/>
            </w:tcBorders>
            <w:vAlign w:val="center"/>
          </w:tcPr>
          <w:p w:rsidR="00597370" w:rsidRDefault="00597370">
            <w:pPr>
              <w:jc w:val="right"/>
            </w:pPr>
          </w:p>
        </w:tc>
      </w:tr>
    </w:tbl>
    <w:p w:rsidR="00597370" w:rsidRDefault="00597370">
      <w:pPr>
        <w:pStyle w:val="Style106"/>
      </w:pPr>
    </w:p>
    <w:p w:rsidR="00597370" w:rsidRDefault="003C2EEE">
      <w:pPr>
        <w:pStyle w:val="Style110"/>
        <w:numPr>
          <w:ilvl w:val="0"/>
          <w:numId w:val="118"/>
        </w:numPr>
        <w:rPr>
          <w:rFonts w:ascii="宋体" w:hAnsi="宋体"/>
          <w:color w:val="000000" w:themeColor="text1"/>
          <w:szCs w:val="21"/>
        </w:rPr>
      </w:pPr>
      <w:r>
        <w:rPr>
          <w:rFonts w:ascii="宋体" w:hAnsi="宋体" w:hint="eastAsia"/>
          <w:color w:val="000000" w:themeColor="text1"/>
          <w:szCs w:val="21"/>
        </w:rPr>
        <w:t>对联营、</w:t>
      </w:r>
      <w:r>
        <w:rPr>
          <w:rFonts w:ascii="宋体" w:hAnsi="宋体" w:hint="eastAsia"/>
          <w:color w:val="000000" w:themeColor="text1"/>
        </w:rPr>
        <w:t>合营</w:t>
      </w:r>
      <w:r>
        <w:rPr>
          <w:rFonts w:ascii="宋体" w:hAnsi="宋体" w:hint="eastAsia"/>
          <w:color w:val="000000" w:themeColor="text1"/>
          <w:szCs w:val="21"/>
        </w:rPr>
        <w:t>企业投资</w:t>
      </w:r>
    </w:p>
    <w:sdt>
      <w:sdtPr>
        <w:rPr>
          <w:color w:val="000000" w:themeColor="text1"/>
        </w:rPr>
        <w:alias w:val="是否适用：母公司对联营、合营企业投资[双击切换]"/>
        <w:tag w:val="_GBC_0837f60a15fc4684b64085618adca8d2"/>
        <w:id w:val="-128957904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lastRenderedPageBreak/>
        <w:t>单位：</w:t>
      </w:r>
      <w:sdt>
        <w:sdtPr>
          <w:rPr>
            <w:rFonts w:hint="eastAsia"/>
            <w:color w:val="000000" w:themeColor="text1"/>
          </w:rPr>
          <w:alias w:val="单位：母公司财务附注：对联营、合营企业投资"/>
          <w:tag w:val="_GBC_d8af48cd34c54e749df777d4e6a5e2ed"/>
          <w:id w:val="-96063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币种：</w:t>
      </w:r>
      <w:sdt>
        <w:sdtPr>
          <w:rPr>
            <w:rFonts w:hint="eastAsia"/>
            <w:color w:val="000000" w:themeColor="text1"/>
          </w:rPr>
          <w:alias w:val="币种：母公司财务附注：对联营、合营企业投资"/>
          <w:tag w:val="_GBC_5b4bb22c6cca42989bcd538938127ee2"/>
          <w:id w:val="-20282417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6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89"/>
        <w:gridCol w:w="427"/>
        <w:gridCol w:w="455"/>
        <w:gridCol w:w="761"/>
        <w:gridCol w:w="684"/>
        <w:gridCol w:w="688"/>
        <w:gridCol w:w="759"/>
        <w:gridCol w:w="620"/>
        <w:gridCol w:w="430"/>
        <w:gridCol w:w="848"/>
        <w:gridCol w:w="855"/>
      </w:tblGrid>
      <w:tr w:rsidR="00597370">
        <w:bookmarkEnd w:id="461" w:displacedByCustomXml="next"/>
        <w:bookmarkStart w:id="462" w:name="_Hlk155165896" w:displacedByCustomXml="next"/>
        <w:bookmarkStart w:id="463" w:name="_Hlk168057377" w:displacedByCustomXml="next"/>
        <w:sdt>
          <w:sdtPr>
            <w:rPr>
              <w:rFonts w:asciiTheme="minorEastAsia" w:eastAsiaTheme="minorEastAsia" w:hAnsiTheme="minorEastAsia"/>
              <w:color w:val="000000" w:themeColor="text1"/>
              <w:sz w:val="18"/>
              <w:szCs w:val="18"/>
            </w:rPr>
            <w:tag w:val="_PLD_abfaca7df388426499f44c3fb444b469"/>
            <w:id w:val="833410271"/>
          </w:sdtPr>
          <w:sdtEndPr/>
          <w:sdtContent>
            <w:tc>
              <w:tcPr>
                <w:tcW w:w="791"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投资</w:t>
                </w:r>
              </w:p>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单位</w:t>
                </w:r>
              </w:p>
            </w:tc>
          </w:sdtContent>
        </w:sdt>
        <w:sdt>
          <w:sdtPr>
            <w:rPr>
              <w:rFonts w:asciiTheme="minorEastAsia" w:eastAsiaTheme="minorEastAsia" w:hAnsiTheme="minorEastAsia"/>
              <w:color w:val="000000" w:themeColor="text1"/>
              <w:sz w:val="18"/>
              <w:szCs w:val="18"/>
            </w:rPr>
            <w:tag w:val="_PLD_05798c5c44604c97a951491f90362ede"/>
            <w:id w:val="-846552933"/>
          </w:sdtPr>
          <w:sdtEndPr/>
          <w:sdtContent>
            <w:tc>
              <w:tcPr>
                <w:tcW w:w="554"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期初</w:t>
                </w:r>
              </w:p>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余额</w:t>
                </w:r>
              </w:p>
            </w:tc>
          </w:sdtContent>
        </w:sdt>
        <w:sdt>
          <w:sdtPr>
            <w:rPr>
              <w:rFonts w:asciiTheme="minorEastAsia" w:eastAsiaTheme="minorEastAsia" w:hAnsiTheme="minorEastAsia"/>
              <w:color w:val="000000" w:themeColor="text1"/>
              <w:sz w:val="18"/>
              <w:szCs w:val="18"/>
            </w:rPr>
            <w:tag w:val="_PLD_0a2bbaaacf944dc499773ce9e49a7a44"/>
            <w:id w:val="-1312866645"/>
          </w:sdtPr>
          <w:sdtEndPr/>
          <w:sdtContent>
            <w:tc>
              <w:tcPr>
                <w:tcW w:w="27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本期增减变动</w:t>
                </w:r>
              </w:p>
            </w:tc>
          </w:sdtContent>
        </w:sdt>
        <w:sdt>
          <w:sdtPr>
            <w:rPr>
              <w:rFonts w:asciiTheme="minorEastAsia" w:eastAsiaTheme="minorEastAsia" w:hAnsiTheme="minorEastAsia"/>
              <w:color w:val="000000" w:themeColor="text1"/>
              <w:sz w:val="18"/>
              <w:szCs w:val="18"/>
            </w:rPr>
            <w:tag w:val="_PLD_08d96ebd050e43e4a66f158230dee5ce"/>
            <w:id w:val="2070994276"/>
          </w:sdtPr>
          <w:sdtEndPr/>
          <w:sdtContent>
            <w:tc>
              <w:tcPr>
                <w:tcW w:w="475" w:type="pc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期末</w:t>
                </w:r>
              </w:p>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余额</w:t>
                </w:r>
              </w:p>
            </w:tc>
          </w:sdtContent>
        </w:sdt>
        <w:sdt>
          <w:sdtPr>
            <w:rPr>
              <w:rFonts w:asciiTheme="minorEastAsia" w:eastAsiaTheme="minorEastAsia" w:hAnsiTheme="minorEastAsia"/>
              <w:color w:val="000000" w:themeColor="text1"/>
              <w:sz w:val="18"/>
              <w:szCs w:val="18"/>
            </w:rPr>
            <w:tag w:val="_PLD_7926cd06c0474fbd9ec1c3b927ae616d"/>
            <w:id w:val="-1158837477"/>
          </w:sdtPr>
          <w:sdtEndPr/>
          <w:sdtContent>
            <w:tc>
              <w:tcPr>
                <w:tcW w:w="478" w:type="pc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减值准备期末余额</w:t>
                </w:r>
              </w:p>
            </w:tc>
          </w:sdtContent>
        </w:sdt>
      </w:tr>
      <w:tr w:rsidR="00597370">
        <w:tc>
          <w:tcPr>
            <w:tcW w:w="791" w:type="pct"/>
            <w:vMerge/>
            <w:tcBorders>
              <w:left w:val="single" w:sz="4" w:space="0" w:color="auto"/>
              <w:bottom w:val="single" w:sz="4" w:space="0" w:color="auto"/>
              <w:right w:val="single" w:sz="4" w:space="0" w:color="auto"/>
            </w:tcBorders>
            <w:shd w:val="clear" w:color="auto" w:fill="auto"/>
          </w:tcPr>
          <w:p w:rsidR="00597370" w:rsidRDefault="00597370">
            <w:pPr>
              <w:jc w:val="center"/>
              <w:rPr>
                <w:rFonts w:asciiTheme="minorEastAsia" w:eastAsiaTheme="minorEastAsia" w:hAnsiTheme="minorEastAsia"/>
                <w:color w:val="000000" w:themeColor="text1"/>
                <w:sz w:val="18"/>
                <w:szCs w:val="18"/>
              </w:rPr>
            </w:pPr>
          </w:p>
        </w:tc>
        <w:tc>
          <w:tcPr>
            <w:tcW w:w="554" w:type="pct"/>
            <w:vMerge/>
            <w:tcBorders>
              <w:left w:val="single" w:sz="4" w:space="0" w:color="auto"/>
              <w:bottom w:val="single" w:sz="4" w:space="0" w:color="auto"/>
              <w:right w:val="single" w:sz="4" w:space="0" w:color="auto"/>
            </w:tcBorders>
            <w:shd w:val="clear" w:color="auto" w:fill="auto"/>
          </w:tcPr>
          <w:p w:rsidR="00597370" w:rsidRDefault="00597370">
            <w:pPr>
              <w:jc w:val="center"/>
              <w:rPr>
                <w:rFonts w:asciiTheme="minorEastAsia" w:eastAsiaTheme="minorEastAsia" w:hAnsiTheme="minorEastAsia"/>
                <w:color w:val="000000" w:themeColor="text1"/>
                <w:sz w:val="18"/>
                <w:szCs w:val="18"/>
              </w:rPr>
            </w:pPr>
          </w:p>
        </w:tc>
        <w:sdt>
          <w:sdtPr>
            <w:rPr>
              <w:rFonts w:asciiTheme="minorEastAsia" w:eastAsiaTheme="minorEastAsia" w:hAnsiTheme="minorEastAsia"/>
              <w:color w:val="000000" w:themeColor="text1"/>
              <w:sz w:val="18"/>
              <w:szCs w:val="18"/>
            </w:rPr>
            <w:tag w:val="_PLD_c2a32165f0334d7c8fde829ff4c17575"/>
            <w:id w:val="-516533902"/>
          </w:sdtPr>
          <w:sdtEndPr/>
          <w:sdtContent>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追加投资</w:t>
                </w:r>
              </w:p>
            </w:tc>
          </w:sdtContent>
        </w:sdt>
        <w:sdt>
          <w:sdtPr>
            <w:rPr>
              <w:rFonts w:asciiTheme="minorEastAsia" w:eastAsiaTheme="minorEastAsia" w:hAnsiTheme="minorEastAsia"/>
              <w:color w:val="000000" w:themeColor="text1"/>
              <w:sz w:val="18"/>
              <w:szCs w:val="18"/>
            </w:rPr>
            <w:tag w:val="_PLD_71fe608b4d73467797eee694efbf7ebb"/>
            <w:id w:val="-852872945"/>
          </w:sdtPr>
          <w:sdtEndPr/>
          <w:sdtContent>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减少投资</w:t>
                </w:r>
              </w:p>
            </w:tc>
          </w:sdtContent>
        </w:sdt>
        <w:sdt>
          <w:sdtPr>
            <w:rPr>
              <w:rFonts w:asciiTheme="minorEastAsia" w:eastAsiaTheme="minorEastAsia" w:hAnsiTheme="minorEastAsia"/>
              <w:color w:val="000000" w:themeColor="text1"/>
              <w:sz w:val="18"/>
              <w:szCs w:val="18"/>
            </w:rPr>
            <w:tag w:val="_PLD_f05a50a0bc284599af7a40502cd10a40"/>
            <w:id w:val="1858849920"/>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权益法下确认的投资损益</w:t>
                </w:r>
              </w:p>
            </w:tc>
          </w:sdtContent>
        </w:sdt>
        <w:sdt>
          <w:sdtPr>
            <w:rPr>
              <w:rFonts w:asciiTheme="minorEastAsia" w:eastAsiaTheme="minorEastAsia" w:hAnsiTheme="minorEastAsia"/>
              <w:color w:val="000000" w:themeColor="text1"/>
              <w:sz w:val="18"/>
              <w:szCs w:val="18"/>
            </w:rPr>
            <w:tag w:val="_PLD_02248a0958484589b824cff096f8d135"/>
            <w:id w:val="-1021621633"/>
          </w:sdtPr>
          <w:sdtEndPr/>
          <w:sdtContent>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其他综合收益调整</w:t>
                </w:r>
              </w:p>
            </w:tc>
          </w:sdtContent>
        </w:sdt>
        <w:sdt>
          <w:sdtPr>
            <w:rPr>
              <w:rFonts w:asciiTheme="minorEastAsia" w:eastAsiaTheme="minorEastAsia" w:hAnsiTheme="minorEastAsia"/>
              <w:color w:val="000000" w:themeColor="text1"/>
              <w:sz w:val="18"/>
              <w:szCs w:val="18"/>
            </w:rPr>
            <w:tag w:val="_PLD_7fb58b4af07a4b58a9b3d08dc004f3ee"/>
            <w:id w:val="1135839784"/>
          </w:sdtPr>
          <w:sdtEndPr/>
          <w:sdtContent>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其他权益变动</w:t>
                </w:r>
              </w:p>
            </w:tc>
          </w:sdtContent>
        </w:sdt>
        <w:sdt>
          <w:sdtPr>
            <w:rPr>
              <w:rFonts w:asciiTheme="minorEastAsia" w:eastAsiaTheme="minorEastAsia" w:hAnsiTheme="minorEastAsia"/>
              <w:color w:val="000000" w:themeColor="text1"/>
              <w:sz w:val="18"/>
              <w:szCs w:val="18"/>
            </w:rPr>
            <w:tag w:val="_PLD_222556d83dca4844b27c9b0b28e96430"/>
            <w:id w:val="-2037494847"/>
          </w:sdtPr>
          <w:sdtEndPr/>
          <w:sdtContent>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宣告发放现金股利或利润</w:t>
                </w:r>
              </w:p>
            </w:tc>
          </w:sdtContent>
        </w:sdt>
        <w:sdt>
          <w:sdtPr>
            <w:rPr>
              <w:rFonts w:asciiTheme="minorEastAsia" w:eastAsiaTheme="minorEastAsia" w:hAnsiTheme="minorEastAsia"/>
              <w:color w:val="000000" w:themeColor="text1"/>
              <w:sz w:val="18"/>
              <w:szCs w:val="18"/>
            </w:rPr>
            <w:tag w:val="_PLD_3ccc36abfffc49a99807a98ffb9d12d5"/>
            <w:id w:val="-1845085007"/>
          </w:sdtPr>
          <w:sdtEndPr/>
          <w:sdtContent>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计提减值准备</w:t>
                </w:r>
              </w:p>
            </w:tc>
          </w:sdtContent>
        </w:sdt>
        <w:sdt>
          <w:sdtPr>
            <w:rPr>
              <w:rFonts w:asciiTheme="minorEastAsia" w:eastAsiaTheme="minorEastAsia" w:hAnsiTheme="minorEastAsia"/>
              <w:color w:val="000000" w:themeColor="text1"/>
              <w:sz w:val="18"/>
              <w:szCs w:val="18"/>
            </w:rPr>
            <w:tag w:val="_PLD_a907ceb1e793491d9fd8ecad7300602c"/>
            <w:id w:val="-1745252065"/>
          </w:sdtPr>
          <w:sdtEndPr/>
          <w:sdtContent>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其他</w:t>
                </w:r>
              </w:p>
            </w:tc>
          </w:sdtContent>
        </w:sdt>
        <w:tc>
          <w:tcPr>
            <w:tcW w:w="475" w:type="pct"/>
            <w:tcBorders>
              <w:left w:val="single" w:sz="4" w:space="0" w:color="auto"/>
              <w:bottom w:val="single" w:sz="4" w:space="0" w:color="auto"/>
              <w:right w:val="single" w:sz="4" w:space="0" w:color="auto"/>
            </w:tcBorders>
            <w:shd w:val="clear" w:color="auto" w:fill="auto"/>
          </w:tcPr>
          <w:p w:rsidR="00597370" w:rsidRDefault="003C2EEE">
            <w:pP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期末余额</w:t>
            </w:r>
          </w:p>
        </w:tc>
        <w:tc>
          <w:tcPr>
            <w:tcW w:w="478" w:type="pct"/>
            <w:tcBorders>
              <w:left w:val="single" w:sz="4" w:space="0" w:color="auto"/>
              <w:bottom w:val="single" w:sz="4" w:space="0" w:color="auto"/>
              <w:right w:val="single" w:sz="4" w:space="0" w:color="auto"/>
            </w:tcBorders>
            <w:shd w:val="clear" w:color="auto" w:fill="auto"/>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减值准备期末余额</w:t>
            </w:r>
          </w:p>
        </w:tc>
      </w:tr>
      <w:tr w:rsidR="00597370">
        <w:sdt>
          <w:sdtPr>
            <w:rPr>
              <w:rFonts w:asciiTheme="minorEastAsia" w:eastAsiaTheme="minorEastAsia" w:hAnsiTheme="minorEastAsia"/>
              <w:color w:val="000000" w:themeColor="text1"/>
              <w:sz w:val="18"/>
              <w:szCs w:val="18"/>
            </w:rPr>
            <w:tag w:val="_PLD_61dc54109424419aa8f35cf797c2d59e"/>
            <w:id w:val="-1190903631"/>
          </w:sdtPr>
          <w:sdtEnd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一、合营企业</w:t>
                </w:r>
              </w:p>
            </w:tc>
          </w:sdtContent>
        </w:sdt>
      </w:tr>
      <w:tr w:rsidR="00597370">
        <w:tc>
          <w:tcPr>
            <w:tcW w:w="79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rPr>
                <w:rFonts w:asciiTheme="minorEastAsia" w:eastAsiaTheme="minorEastAsia" w:hAnsiTheme="minorEastAsia"/>
                <w:sz w:val="18"/>
                <w:szCs w:val="18"/>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83"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r>
      <w:tr w:rsidR="00597370">
        <w:tc>
          <w:tcPr>
            <w:tcW w:w="79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rPr>
                <w:rFonts w:asciiTheme="minorEastAsia" w:eastAsiaTheme="minorEastAsia" w:hAnsiTheme="minorEastAsia"/>
                <w:sz w:val="18"/>
                <w:szCs w:val="18"/>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83"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r>
      <w:tr w:rsidR="00597370">
        <w:tc>
          <w:tcPr>
            <w:tcW w:w="79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小计</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83"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jc w:val="right"/>
              <w:rPr>
                <w:rFonts w:asciiTheme="minorEastAsia" w:eastAsiaTheme="minorEastAsia" w:hAnsiTheme="minorEastAsia"/>
                <w:sz w:val="18"/>
                <w:szCs w:val="18"/>
              </w:rPr>
            </w:pPr>
          </w:p>
        </w:tc>
      </w:tr>
      <w:tr w:rsidR="00597370">
        <w:sdt>
          <w:sdtPr>
            <w:rPr>
              <w:rFonts w:asciiTheme="minorEastAsia" w:eastAsiaTheme="minorEastAsia" w:hAnsiTheme="minorEastAsia"/>
              <w:color w:val="000000" w:themeColor="text1"/>
              <w:sz w:val="18"/>
              <w:szCs w:val="18"/>
            </w:rPr>
            <w:tag w:val="_PLD_90cc1e0799634510b44e4e55b4185a5a"/>
            <w:id w:val="421307162"/>
          </w:sdtPr>
          <w:sdtEnd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二、联营企业</w:t>
                </w:r>
              </w:p>
            </w:tc>
          </w:sdtContent>
        </w:sdt>
      </w:tr>
      <w:tr w:rsidR="00597370">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重庆能投长寿经开区售电有限公司</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15,534,673.57</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-74,502.67</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15,460,170.90</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r>
      <w:tr w:rsidR="00597370">
        <w:tc>
          <w:tcPr>
            <w:tcW w:w="791" w:type="pct"/>
            <w:tcBorders>
              <w:top w:val="single" w:sz="4" w:space="0" w:color="auto"/>
              <w:left w:val="single" w:sz="4" w:space="0" w:color="auto"/>
              <w:bottom w:val="single" w:sz="4" w:space="0" w:color="auto"/>
              <w:right w:val="single" w:sz="4" w:space="0" w:color="auto"/>
            </w:tcBorders>
            <w:shd w:val="clear" w:color="auto" w:fill="auto"/>
          </w:tcPr>
          <w:p w:rsidR="00597370" w:rsidRDefault="00597370">
            <w:pPr>
              <w:rPr>
                <w:rFonts w:asciiTheme="minorEastAsia" w:eastAsiaTheme="minorEastAsia" w:hAnsiTheme="minorEastAsia"/>
                <w:sz w:val="18"/>
                <w:szCs w:val="18"/>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r>
      <w:tr w:rsidR="00597370">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小计</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15,534,673.57</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-74,502.67</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15,460,170.90</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r>
      <w:tr w:rsidR="00597370">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合计</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15,534,673.57</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-74,502.67</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center"/>
              <w:rPr>
                <w:rFonts w:asciiTheme="minorEastAsia" w:eastAsiaTheme="minorEastAsia" w:hAnsiTheme="minorEastAsia"/>
                <w:sz w:val="18"/>
                <w:szCs w:val="18"/>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sz w:val="18"/>
                <w:szCs w:val="18"/>
              </w:rPr>
            </w:pPr>
            <w:r>
              <w:rPr>
                <w:rFonts w:asciiTheme="minorEastAsia" w:eastAsiaTheme="minorEastAsia" w:hAnsiTheme="minorEastAsia"/>
                <w:sz w:val="18"/>
                <w:szCs w:val="18"/>
              </w:rPr>
              <w:t>15,460,170.90</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597370">
            <w:pPr>
              <w:jc w:val="right"/>
              <w:rPr>
                <w:rFonts w:asciiTheme="minorEastAsia" w:eastAsiaTheme="minorEastAsia" w:hAnsiTheme="minorEastAsia"/>
                <w:sz w:val="18"/>
                <w:szCs w:val="18"/>
              </w:rPr>
            </w:pPr>
          </w:p>
        </w:tc>
      </w:tr>
    </w:tbl>
    <w:p w:rsidR="00597370" w:rsidRDefault="00597370"/>
    <w:p w:rsidR="00597370" w:rsidRDefault="003C2EEE">
      <w:pPr>
        <w:pStyle w:val="Style110"/>
        <w:numPr>
          <w:ilvl w:val="0"/>
          <w:numId w:val="119"/>
        </w:numPr>
        <w:ind w:left="425" w:hanging="425"/>
        <w:rPr>
          <w:color w:val="000000" w:themeColor="text1"/>
        </w:rPr>
      </w:pPr>
      <w:r>
        <w:rPr>
          <w:rFonts w:hint="eastAsia"/>
          <w:color w:val="000000" w:themeColor="text1"/>
        </w:rPr>
        <w:t>长期股权投资的减值测试情况</w:t>
      </w:r>
    </w:p>
    <w:sdt>
      <w:sdtPr>
        <w:rPr>
          <w:color w:val="000000" w:themeColor="text1"/>
        </w:rPr>
        <w:alias w:val="是否适用：减值测试情况[双击切换]"/>
        <w:tag w:val="_GBC_c0857dc1a8eb4f79b18a90f9b4b26d58"/>
        <w:id w:val="214700171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bookmarkEnd w:id="463"/>
    <w:bookmarkEnd w:id="462"/>
    <w:p w:rsidR="00597370" w:rsidRDefault="003C2EEE">
      <w:pPr>
        <w:rPr>
          <w:color w:val="000000" w:themeColor="text1"/>
        </w:rPr>
      </w:pPr>
      <w:r>
        <w:rPr>
          <w:rFonts w:hint="eastAsia"/>
          <w:color w:val="000000" w:themeColor="text1"/>
        </w:rPr>
        <w:t>其他说明：</w:t>
      </w:r>
    </w:p>
    <w:sdt>
      <w:sdtPr>
        <w:rPr>
          <w:color w:val="000000" w:themeColor="text1"/>
        </w:rPr>
        <w:alias w:val="是否适用：母公司长期股权投资其他说明[双击切换]"/>
        <w:tag w:val="_GBC_8b70582854684459adc77f46cbf4aac7"/>
        <w:id w:val="78176478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14"/>
        </w:numPr>
        <w:rPr>
          <w:rFonts w:ascii="宋体" w:hAnsi="宋体"/>
          <w:color w:val="000000" w:themeColor="text1"/>
          <w:szCs w:val="21"/>
        </w:rPr>
      </w:pPr>
      <w:r>
        <w:rPr>
          <w:rFonts w:ascii="宋体" w:hAnsi="宋体" w:hint="eastAsia"/>
          <w:color w:val="000000" w:themeColor="text1"/>
          <w:szCs w:val="21"/>
        </w:rPr>
        <w:t>营业收入和营业成本</w:t>
      </w:r>
    </w:p>
    <w:p w:rsidR="00597370" w:rsidRDefault="003C2EEE">
      <w:pPr>
        <w:pStyle w:val="Style110"/>
        <w:numPr>
          <w:ilvl w:val="0"/>
          <w:numId w:val="120"/>
        </w:numPr>
        <w:rPr>
          <w:rFonts w:ascii="宋体" w:hAnsi="宋体"/>
          <w:color w:val="000000" w:themeColor="text1"/>
        </w:rPr>
      </w:pPr>
      <w:bookmarkStart w:id="464" w:name="_Hlk10548568"/>
      <w:r>
        <w:rPr>
          <w:rFonts w:ascii="宋体" w:hAnsi="宋体" w:hint="eastAsia"/>
          <w:color w:val="000000" w:themeColor="text1"/>
        </w:rPr>
        <w:t>营业收入和营业成本情况</w:t>
      </w:r>
    </w:p>
    <w:sdt>
      <w:sdtPr>
        <w:rPr>
          <w:color w:val="000000" w:themeColor="text1"/>
        </w:rPr>
        <w:alias w:val="是否适用：母公司营业收入和营业成本[双击切换]"/>
        <w:tag w:val="_GBC_f62d83b1068f4bfaae3a590b0ac9f4d7"/>
        <w:id w:val="-11212654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47"/>
        <w:ind w:firstLineChars="0" w:firstLine="0"/>
        <w:jc w:val="right"/>
        <w:rPr>
          <w:rFonts w:ascii="宋体" w:hAnsi="宋体"/>
          <w:color w:val="000000" w:themeColor="text1"/>
          <w:kern w:val="0"/>
          <w:szCs w:val="21"/>
        </w:rPr>
      </w:pPr>
      <w:r>
        <w:rPr>
          <w:rFonts w:ascii="宋体" w:hAnsi="宋体" w:hint="eastAsia"/>
          <w:color w:val="000000" w:themeColor="text1"/>
          <w:szCs w:val="21"/>
        </w:rPr>
        <w:t>单位：</w:t>
      </w:r>
      <w:sdt>
        <w:sdtPr>
          <w:rPr>
            <w:rFonts w:ascii="宋体" w:hAnsi="宋体" w:hint="eastAsia"/>
            <w:bCs/>
            <w:color w:val="000000" w:themeColor="text1"/>
            <w:szCs w:val="21"/>
          </w:rPr>
          <w:alias w:val="单位：母公司财务附注：营业收入"/>
          <w:tag w:val="_GBC_40a730bb869a41578a25e9cb66f4e28e"/>
          <w:id w:val="-7134195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bCs/>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bCs/>
            <w:color w:val="000000" w:themeColor="text1"/>
            <w:szCs w:val="21"/>
          </w:rPr>
          <w:alias w:val="币种：母公司财务附注：营业收入"/>
          <w:tag w:val="_GBC_1b6056b90b2c445a9b1bcdc97aa104ec"/>
          <w:id w:val="2876307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bCs/>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896"/>
        <w:gridCol w:w="1896"/>
        <w:gridCol w:w="1896"/>
        <w:gridCol w:w="1687"/>
      </w:tblGrid>
      <w:tr w:rsidR="00597370">
        <w:sdt>
          <w:sdtPr>
            <w:rPr>
              <w:color w:val="000000" w:themeColor="text1"/>
            </w:rPr>
            <w:tag w:val="_PLD_3dc9ae0da47e49d097992a176784945a"/>
            <w:id w:val="973880801"/>
          </w:sdtPr>
          <w:sdtEndPr/>
          <w:sdtContent>
            <w:tc>
              <w:tcPr>
                <w:tcW w:w="821"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项目</w:t>
                </w:r>
              </w:p>
            </w:tc>
          </w:sdtContent>
        </w:sdt>
        <w:sdt>
          <w:sdtPr>
            <w:rPr>
              <w:color w:val="000000" w:themeColor="text1"/>
            </w:rPr>
            <w:tag w:val="_PLD_b47efcaea8ca428781485b2625b4c252"/>
            <w:id w:val="1105004271"/>
          </w:sdtPr>
          <w:sdtEndPr/>
          <w:sdtContent>
            <w:tc>
              <w:tcPr>
                <w:tcW w:w="21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44320683f4394adcaf1711775bb320ef"/>
            <w:id w:val="1141462234"/>
          </w:sdtPr>
          <w:sdtEndPr/>
          <w:sdtContent>
            <w:tc>
              <w:tcPr>
                <w:tcW w:w="20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上期发生额</w:t>
                </w:r>
              </w:p>
            </w:tc>
          </w:sdtContent>
        </w:sdt>
      </w:tr>
      <w:tr w:rsidR="00597370">
        <w:tc>
          <w:tcPr>
            <w:tcW w:w="821" w:type="pct"/>
            <w:vMerge/>
            <w:tcBorders>
              <w:left w:val="single" w:sz="4" w:space="0" w:color="auto"/>
              <w:bottom w:val="single" w:sz="4" w:space="0" w:color="auto"/>
              <w:right w:val="single" w:sz="4" w:space="0" w:color="auto"/>
            </w:tcBorders>
            <w:shd w:val="clear" w:color="auto" w:fill="auto"/>
            <w:vAlign w:val="center"/>
          </w:tcPr>
          <w:p w:rsidR="00597370" w:rsidRDefault="00597370">
            <w:pPr>
              <w:jc w:val="center"/>
              <w:rPr>
                <w:color w:val="000000" w:themeColor="text1"/>
              </w:rPr>
            </w:pPr>
          </w:p>
        </w:tc>
        <w:sdt>
          <w:sdtPr>
            <w:rPr>
              <w:color w:val="000000" w:themeColor="text1"/>
            </w:rPr>
            <w:tag w:val="_PLD_efb75dfbe3924c3a9f286eefd26b357f"/>
            <w:id w:val="-1926573699"/>
          </w:sdtPr>
          <w:sdtEnd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收入</w:t>
                </w:r>
              </w:p>
            </w:tc>
          </w:sdtContent>
        </w:sdt>
        <w:sdt>
          <w:sdtPr>
            <w:rPr>
              <w:color w:val="000000" w:themeColor="text1"/>
            </w:rPr>
            <w:tag w:val="_PLD_9ecc7b9050c24dcebd801ee01e950a91"/>
            <w:id w:val="34705345"/>
          </w:sdtPr>
          <w:sdtEnd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成本</w:t>
                </w:r>
              </w:p>
            </w:tc>
          </w:sdtContent>
        </w:sdt>
        <w:sdt>
          <w:sdtPr>
            <w:rPr>
              <w:color w:val="000000" w:themeColor="text1"/>
            </w:rPr>
            <w:tag w:val="_PLD_b2940b2f59f24f969eea718c85f99dda"/>
            <w:id w:val="1057438220"/>
          </w:sdtPr>
          <w:sdtEnd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收入</w:t>
                </w:r>
              </w:p>
            </w:tc>
          </w:sdtContent>
        </w:sdt>
        <w:sdt>
          <w:sdtPr>
            <w:rPr>
              <w:color w:val="000000" w:themeColor="text1"/>
            </w:rPr>
            <w:tag w:val="_PLD_971c170c70c24975ba7524e53623bf00"/>
            <w:id w:val="725261399"/>
          </w:sdtPr>
          <w:sdtEndPr/>
          <w:sdtContent>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center"/>
                  <w:rPr>
                    <w:color w:val="000000" w:themeColor="text1"/>
                  </w:rPr>
                </w:pPr>
                <w:r>
                  <w:rPr>
                    <w:rFonts w:hint="eastAsia"/>
                    <w:color w:val="000000" w:themeColor="text1"/>
                  </w:rPr>
                  <w:t>成本</w:t>
                </w:r>
              </w:p>
            </w:tc>
          </w:sdtContent>
        </w:sdt>
      </w:tr>
      <w:tr w:rsidR="00597370">
        <w:tc>
          <w:tcPr>
            <w:tcW w:w="82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主营业务</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cs="Times New Roman" w:hint="eastAsia"/>
                <w:color w:val="000000"/>
              </w:rPr>
              <w:t xml:space="preserve">1,199,045,470.30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cs="Times New Roman" w:hint="eastAsia"/>
                <w:color w:val="000000"/>
              </w:rPr>
              <w:t xml:space="preserve">1,084,604,801.99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1,180,810,869.30</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908,896,885.40</w:t>
            </w:r>
          </w:p>
        </w:tc>
      </w:tr>
      <w:tr w:rsidR="00597370">
        <w:tc>
          <w:tcPr>
            <w:tcW w:w="821" w:type="pct"/>
            <w:tcBorders>
              <w:top w:val="single" w:sz="4" w:space="0" w:color="auto"/>
              <w:left w:val="single" w:sz="4" w:space="0" w:color="auto"/>
              <w:bottom w:val="single" w:sz="4" w:space="0" w:color="auto"/>
              <w:right w:val="single" w:sz="4" w:space="0" w:color="auto"/>
            </w:tcBorders>
            <w:shd w:val="clear" w:color="auto" w:fill="auto"/>
          </w:tcPr>
          <w:p w:rsidR="00597370" w:rsidRDefault="003C2EEE">
            <w:pPr>
              <w:rPr>
                <w:color w:val="000000" w:themeColor="text1"/>
              </w:rPr>
            </w:pPr>
            <w:r>
              <w:rPr>
                <w:rFonts w:hint="eastAsia"/>
                <w:color w:val="000000" w:themeColor="text1"/>
              </w:rPr>
              <w:t>其他业务</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cs="Times New Roman" w:hint="eastAsia"/>
                <w:color w:val="000000"/>
              </w:rPr>
              <w:t xml:space="preserve">33,204,343.69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cs="Times New Roman" w:hint="eastAsia"/>
                <w:color w:val="000000"/>
              </w:rPr>
              <w:t xml:space="preserve">31,950,062.16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40,860,436.92</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36,403,551.84</w:t>
            </w:r>
          </w:p>
        </w:tc>
      </w:tr>
      <w:tr w:rsidR="00597370">
        <w:tc>
          <w:tcPr>
            <w:tcW w:w="821"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color w:val="000000" w:themeColor="text1"/>
              </w:rPr>
            </w:pPr>
            <w:r>
              <w:rPr>
                <w:rFonts w:hint="eastAsia"/>
                <w:color w:val="000000" w:themeColor="text1"/>
              </w:rPr>
              <w:t>合计</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cs="Times New Roman" w:hint="eastAsia"/>
                <w:color w:val="000000"/>
              </w:rPr>
              <w:t xml:space="preserve">1,232,249,813.99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rPr>
                <w:rFonts w:cs="Times New Roman" w:hint="eastAsia"/>
                <w:color w:val="000000"/>
              </w:rPr>
              <w:t xml:space="preserve">1,116,554,864.15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1,221,671,306.22</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jc w:val="right"/>
            </w:pPr>
            <w:r>
              <w:t>945,300,437.24</w:t>
            </w:r>
          </w:p>
        </w:tc>
      </w:tr>
    </w:tbl>
    <w:p w:rsidR="00597370" w:rsidRDefault="00597370">
      <w:pPr>
        <w:rPr>
          <w:color w:val="000000" w:themeColor="text1"/>
        </w:rPr>
      </w:pPr>
    </w:p>
    <w:bookmarkEnd w:id="464" w:displacedByCustomXml="next"/>
    <w:bookmarkStart w:id="465" w:name="_Hlk153798384" w:displacedByCustomXml="next"/>
    <w:bookmarkStart w:id="466" w:name="_Hlk533798810" w:displacedByCustomXml="next"/>
    <w:bookmarkStart w:id="467" w:name="_Hlk168057792" w:displacedByCustomXml="next"/>
    <w:sdt>
      <w:sdtPr>
        <w:rPr>
          <w:rFonts w:ascii="宋体" w:hAnsi="宋体" w:cs="宋体" w:hint="eastAsia"/>
          <w:b w:val="0"/>
          <w:bCs w:val="0"/>
          <w:color w:val="000000" w:themeColor="text1"/>
          <w:kern w:val="0"/>
          <w:szCs w:val="24"/>
        </w:rPr>
        <w:alias w:val="模块:合同产生的收入的情况"/>
        <w:tag w:val="_SEC_55b67c614f984b14baf467a8376baa6d"/>
        <w:id w:val="1848837910"/>
        <w:placeholder>
          <w:docPart w:val="GBC22222222222222222222222222222"/>
        </w:placeholder>
      </w:sdtPr>
      <w:sdtEndPr>
        <w:rPr>
          <w:rFonts w:hint="default"/>
          <w:szCs w:val="21"/>
        </w:rPr>
      </w:sdtEndPr>
      <w:sdtContent>
        <w:p w:rsidR="00597370" w:rsidRDefault="003C2EEE">
          <w:pPr>
            <w:pStyle w:val="Style110"/>
            <w:numPr>
              <w:ilvl w:val="0"/>
              <w:numId w:val="120"/>
            </w:numPr>
            <w:rPr>
              <w:rFonts w:ascii="宋体" w:hAnsi="宋体"/>
              <w:color w:val="000000" w:themeColor="text1"/>
            </w:rPr>
          </w:pPr>
          <w:r>
            <w:rPr>
              <w:rFonts w:ascii="宋体" w:hAnsi="宋体" w:hint="eastAsia"/>
              <w:color w:val="000000" w:themeColor="text1"/>
            </w:rPr>
            <w:t xml:space="preserve">营业收入、营业成本的分解信息 </w:t>
          </w:r>
        </w:p>
        <w:sdt>
          <w:sdtPr>
            <w:rPr>
              <w:rFonts w:ascii="宋体" w:hAnsi="宋体"/>
              <w:color w:val="000000" w:themeColor="text1"/>
              <w:szCs w:val="21"/>
            </w:rPr>
            <w:alias w:val="是否适用：母公司营业收入、营业成本的分解信息 [双击切换]"/>
            <w:tag w:val="_GBC_f916612422c346448db58faef20dc792"/>
            <w:id w:val="63465241"/>
            <w:placeholder>
              <w:docPart w:val="GBC22222222222222222222222222222"/>
            </w:placeholder>
          </w:sdtPr>
          <w:sdtEndPr/>
          <w:sdtContent>
            <w:p w:rsidR="00597370" w:rsidRDefault="003C2EEE">
              <w:pPr>
                <w:pStyle w:val="Style147"/>
                <w:ind w:firstLineChars="0" w:firstLine="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√适用 </w:instrText>
              </w:r>
              <w:r>
                <w:rPr>
                  <w:rFonts w:ascii="宋体" w:hAnsi="宋体"/>
                  <w:color w:val="000000" w:themeColor="text1"/>
                  <w:szCs w:val="21"/>
                </w:rPr>
                <w:fldChar w:fldCharType="end"/>
              </w: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□不适用 </w:instrText>
              </w:r>
              <w:r>
                <w:rPr>
                  <w:rFonts w:ascii="宋体" w:hAnsi="宋体"/>
                  <w:color w:val="000000" w:themeColor="text1"/>
                  <w:szCs w:val="21"/>
                </w:rPr>
                <w:fldChar w:fldCharType="end"/>
              </w:r>
            </w:p>
          </w:sdtContent>
        </w:sdt>
        <w:p w:rsidR="00597370" w:rsidRDefault="003C2EEE">
          <w:pPr>
            <w:pStyle w:val="Style14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母公司营业收入、营业成本的分解信息 "/>
              <w:tag w:val="_GBC_e6b85420b31744ebb82faab81c66888a"/>
              <w:id w:val="18817516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母公司营业收入、营业成本的分解信息 "/>
              <w:tag w:val="_GBC_a21eea1b0c6c42afa80a1b7e1f7aaf81"/>
              <w:id w:val="-738978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751"/>
            <w:gridCol w:w="2747"/>
          </w:tblGrid>
          <w:tr w:rsidR="00597370">
            <w:sdt>
              <w:sdtPr>
                <w:rPr>
                  <w:rFonts w:asciiTheme="minorEastAsia" w:hAnsiTheme="minorEastAsia" w:hint="eastAsia"/>
                  <w:color w:val="000000" w:themeColor="text1"/>
                </w:rPr>
                <w:tag w:val="_PLD_088c04bc97c148b8985e04f4a2797f92"/>
                <w:id w:val="-1505425526"/>
              </w:sdtPr>
              <w:sdtEndPr/>
              <w:sdtContent>
                <w:tc>
                  <w:tcPr>
                    <w:tcW w:w="1884" w:type="pct"/>
                    <w:vMerge w:val="restart"/>
                    <w:tcBorders>
                      <w:top w:val="single" w:sz="4" w:space="0" w:color="auto"/>
                      <w:left w:val="single" w:sz="4" w:space="0" w:color="auto"/>
                      <w:right w:val="single" w:sz="4" w:space="0" w:color="auto"/>
                    </w:tcBorders>
                    <w:shd w:val="clear" w:color="auto" w:fill="auto"/>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合同分类</w:t>
                    </w:r>
                  </w:p>
                </w:tc>
              </w:sdtContent>
            </w:sdt>
            <w:sdt>
              <w:sdtPr>
                <w:rPr>
                  <w:rFonts w:asciiTheme="minorEastAsia" w:hAnsiTheme="minorEastAsia" w:hint="eastAsia"/>
                  <w:color w:val="000000" w:themeColor="text1"/>
                </w:rPr>
                <w:tag w:val="_PLD_1657446828694cd2a20836751aea1c9f"/>
                <w:id w:val="2058347371"/>
              </w:sdtPr>
              <w:sdtEndPr/>
              <w:sdtContent>
                <w:tc>
                  <w:tcPr>
                    <w:tcW w:w="3116"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sdtContent>
            </w:sdt>
          </w:tr>
          <w:tr w:rsidR="00597370">
            <w:tc>
              <w:tcPr>
                <w:tcW w:w="1884" w:type="pct"/>
                <w:vMerge/>
                <w:tcBorders>
                  <w:left w:val="single" w:sz="4" w:space="0" w:color="auto"/>
                  <w:bottom w:val="single" w:sz="4" w:space="0" w:color="auto"/>
                  <w:right w:val="single" w:sz="4" w:space="0" w:color="auto"/>
                </w:tcBorders>
                <w:shd w:val="clear" w:color="auto" w:fill="auto"/>
              </w:tcPr>
              <w:p w:rsidR="00597370" w:rsidRDefault="00597370">
                <w:pPr>
                  <w:jc w:val="center"/>
                  <w:rPr>
                    <w:rFonts w:asciiTheme="minorEastAsia" w:eastAsiaTheme="minorEastAsia" w:hAnsiTheme="minorEastAsia"/>
                    <w:color w:val="000000" w:themeColor="text1"/>
                  </w:rPr>
                </w:pPr>
              </w:p>
            </w:tc>
            <w:sdt>
              <w:sdtPr>
                <w:rPr>
                  <w:rFonts w:asciiTheme="minorEastAsia" w:hAnsiTheme="minorEastAsia" w:hint="eastAsia"/>
                  <w:color w:val="000000" w:themeColor="text1"/>
                </w:rPr>
                <w:tag w:val="_PLD_bda6864537c1473787995e2ab3492e49"/>
                <w:id w:val="-73750809"/>
              </w:sdtPr>
              <w:sdtEndPr/>
              <w:sdtContent>
                <w:tc>
                  <w:tcPr>
                    <w:tcW w:w="1559"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营业收入</w:t>
                    </w:r>
                  </w:p>
                </w:tc>
              </w:sdtContent>
            </w:sdt>
            <w:sdt>
              <w:sdtPr>
                <w:rPr>
                  <w:rFonts w:asciiTheme="minorEastAsia" w:hAnsiTheme="minorEastAsia" w:hint="eastAsia"/>
                  <w:color w:val="000000" w:themeColor="text1"/>
                </w:rPr>
                <w:tag w:val="_PLD_ccd631421f91491e9a03bf7a01d32791"/>
                <w:id w:val="1083491864"/>
              </w:sdtPr>
              <w:sdtEndPr/>
              <w:sdtContent>
                <w:tc>
                  <w:tcPr>
                    <w:tcW w:w="1557" w:type="pct"/>
                    <w:tcBorders>
                      <w:top w:val="single" w:sz="4" w:space="0" w:color="auto"/>
                      <w:left w:val="single" w:sz="4" w:space="0" w:color="auto"/>
                      <w:bottom w:val="single" w:sz="4" w:space="0" w:color="auto"/>
                      <w:right w:val="single" w:sz="4" w:space="0" w:color="auto"/>
                    </w:tcBorders>
                  </w:tcPr>
                  <w:p w:rsidR="00597370" w:rsidRDefault="003C2EEE">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营业成本</w:t>
                    </w:r>
                  </w:p>
                </w:tc>
              </w:sdtContent>
            </w:sdt>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商品类型</w:t>
                </w:r>
              </w:p>
            </w:tc>
            <w:tc>
              <w:tcPr>
                <w:tcW w:w="1559"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color w:val="000000" w:themeColor="text1"/>
                  </w:rPr>
                </w:pPr>
              </w:p>
            </w:tc>
            <w:tc>
              <w:tcPr>
                <w:tcW w:w="1557" w:type="pct"/>
                <w:tcBorders>
                  <w:top w:val="single" w:sz="4" w:space="0" w:color="auto"/>
                  <w:left w:val="single" w:sz="4" w:space="0" w:color="auto"/>
                  <w:bottom w:val="single" w:sz="4" w:space="0" w:color="auto"/>
                  <w:right w:val="single" w:sz="4" w:space="0" w:color="auto"/>
                </w:tcBorders>
              </w:tcPr>
              <w:p w:rsidR="00597370" w:rsidRDefault="00597370">
                <w:pPr>
                  <w:jc w:val="right"/>
                  <w:rPr>
                    <w:rFonts w:asciiTheme="minorEastAsia" w:eastAsiaTheme="minorEastAsia" w:hAnsiTheme="minorEastAsia"/>
                    <w:color w:val="000000" w:themeColor="text1"/>
                  </w:rPr>
                </w:pP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rPr>
                </w:pPr>
                <w:r>
                  <w:rPr>
                    <w:rFonts w:asciiTheme="minorEastAsia" w:eastAsiaTheme="minorEastAsia" w:hAnsiTheme="minorEastAsia" w:hint="eastAsia"/>
                  </w:rPr>
                  <w:t>输配电及控制设备</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cs="Times New Roman" w:hint="eastAsia"/>
                  </w:rPr>
                  <w:t xml:space="preserve"> 554,166,499.07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cs="Times New Roman" w:hint="eastAsia"/>
                  </w:rPr>
                  <w:t xml:space="preserve"> 473,079,989.18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取向硅钢</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cs="Times New Roman" w:hint="eastAsia"/>
                  </w:rPr>
                  <w:t xml:space="preserve"> 644,878,971.22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cs="Times New Roman" w:hint="eastAsia"/>
                  </w:rPr>
                  <w:t xml:space="preserve"> 611,524,812.81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其他</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cs="Times New Roman" w:hint="eastAsia"/>
                  </w:rPr>
                  <w:t xml:space="preserve"> 33,204,343.69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cs="Times New Roman" w:hint="eastAsia"/>
                  </w:rPr>
                  <w:t xml:space="preserve"> 31,950,062.16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按商品类型分类合计</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cs="Times New Roman" w:hint="eastAsia"/>
                  </w:rPr>
                  <w:t xml:space="preserve"> 1,232,249,813.99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cs="Times New Roman" w:hint="eastAsia"/>
                  </w:rPr>
                  <w:t xml:space="preserve"> 1,116,554,864.15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按经营地区分类</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color w:val="000000" w:themeColor="text1"/>
                  </w:rPr>
                </w:pP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color w:val="000000" w:themeColor="text1"/>
                  </w:rPr>
                </w:pP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rPr>
                </w:pPr>
                <w:r>
                  <w:rPr>
                    <w:rFonts w:asciiTheme="minorEastAsia" w:eastAsiaTheme="minorEastAsia" w:hAnsiTheme="minorEastAsia" w:hint="eastAsia"/>
                  </w:rPr>
                  <w:t>国内销售</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rPr>
                  <w:t xml:space="preserve"> 1,037,465,900.92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rPr>
                  <w:t xml:space="preserve"> 955,747,375.77 </w:t>
                </w:r>
              </w:p>
            </w:tc>
          </w:tr>
          <w:tr w:rsidR="00597370">
            <w:trPr>
              <w:trHeight w:val="253"/>
            </w:trPr>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rPr>
                  <w:t>国外销售</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 xml:space="preserve"> 194,783,913.06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 xml:space="preserve"> 160,807,488.38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按经营地区分类合计</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 xml:space="preserve"> 1,232,249,813.99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color w:val="000000" w:themeColor="text1"/>
                  </w:rPr>
                </w:pPr>
                <w:r>
                  <w:rPr>
                    <w:rFonts w:asciiTheme="minorEastAsia" w:eastAsiaTheme="minorEastAsia" w:hAnsiTheme="minorEastAsia"/>
                  </w:rPr>
                  <w:t xml:space="preserve"> 1,116,554,864.15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hd w:val="clear" w:color="auto" w:fill="FFFFFF"/>
                  </w:rPr>
                  <w:t>按</w:t>
                </w:r>
                <w:r>
                  <w:rPr>
                    <w:rFonts w:asciiTheme="minorEastAsia" w:eastAsiaTheme="minorEastAsia" w:hAnsiTheme="minorEastAsia" w:hint="eastAsia"/>
                    <w:color w:val="000000" w:themeColor="text1"/>
                  </w:rPr>
                  <w:t>销售渠道分类</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color w:val="000000" w:themeColor="text1"/>
                  </w:rPr>
                </w:pP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597370">
                <w:pPr>
                  <w:jc w:val="right"/>
                  <w:rPr>
                    <w:rFonts w:asciiTheme="minorEastAsia" w:eastAsiaTheme="minorEastAsia" w:hAnsiTheme="minorEastAsia"/>
                    <w:color w:val="000000" w:themeColor="text1"/>
                  </w:rPr>
                </w:pP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rPr>
                </w:pPr>
                <w:r>
                  <w:rPr>
                    <w:rFonts w:asciiTheme="minorEastAsia" w:eastAsiaTheme="minorEastAsia" w:hAnsiTheme="minorEastAsia" w:hint="eastAsia"/>
                  </w:rPr>
                  <w:t>直销</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rPr>
                  <w:t xml:space="preserve"> 969,644,479.16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rPr>
                  <w:t xml:space="preserve"> 872,018,472.17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rPr>
                </w:pPr>
                <w:r>
                  <w:rPr>
                    <w:rFonts w:asciiTheme="minorEastAsia" w:eastAsiaTheme="minorEastAsia" w:hAnsiTheme="minorEastAsia" w:hint="eastAsia"/>
                  </w:rPr>
                  <w:t>贸易商</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rPr>
                  <w:t xml:space="preserve"> 262,605,334.83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rPr>
                  <w:t xml:space="preserve"> 244,536,391.98 </w:t>
                </w:r>
              </w:p>
            </w:tc>
          </w:tr>
          <w:tr w:rsidR="00597370">
            <w:tc>
              <w:tcPr>
                <w:tcW w:w="1884" w:type="pct"/>
                <w:tcBorders>
                  <w:top w:val="single" w:sz="4" w:space="0" w:color="auto"/>
                  <w:left w:val="single" w:sz="4" w:space="0" w:color="auto"/>
                  <w:bottom w:val="single" w:sz="4" w:space="0" w:color="auto"/>
                  <w:right w:val="single" w:sz="4" w:space="0" w:color="auto"/>
                </w:tcBorders>
                <w:shd w:val="clear" w:color="auto" w:fill="auto"/>
                <w:vAlign w:val="center"/>
              </w:tcPr>
              <w:p w:rsidR="00597370" w:rsidRDefault="003C2EEE">
                <w:pPr>
                  <w:rPr>
                    <w:rFonts w:asciiTheme="minorEastAsia" w:eastAsiaTheme="minorEastAsia" w:hAnsiTheme="minorEastAsia"/>
                  </w:rPr>
                </w:pPr>
                <w:r>
                  <w:rPr>
                    <w:rFonts w:asciiTheme="minorEastAsia" w:eastAsiaTheme="minorEastAsia" w:hAnsiTheme="minorEastAsia" w:hint="eastAsia"/>
                  </w:rPr>
                  <w:t>按销售渠道分类合计</w:t>
                </w:r>
              </w:p>
            </w:tc>
            <w:tc>
              <w:tcPr>
                <w:tcW w:w="1559"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rPr>
                  <w:t xml:space="preserve"> 1,232,249,813.99 </w:t>
                </w:r>
              </w:p>
            </w:tc>
            <w:tc>
              <w:tcPr>
                <w:tcW w:w="1557" w:type="pct"/>
                <w:tcBorders>
                  <w:top w:val="single" w:sz="4" w:space="0" w:color="auto"/>
                  <w:left w:val="single" w:sz="4" w:space="0" w:color="auto"/>
                  <w:bottom w:val="single" w:sz="4" w:space="0" w:color="auto"/>
                  <w:right w:val="single" w:sz="4" w:space="0" w:color="auto"/>
                </w:tcBorders>
                <w:vAlign w:val="bottom"/>
              </w:tcPr>
              <w:p w:rsidR="00597370" w:rsidRDefault="003C2EEE">
                <w:pPr>
                  <w:jc w:val="right"/>
                  <w:rPr>
                    <w:rFonts w:asciiTheme="minorEastAsia" w:eastAsiaTheme="minorEastAsia" w:hAnsiTheme="minorEastAsia"/>
                  </w:rPr>
                </w:pPr>
                <w:r>
                  <w:rPr>
                    <w:rFonts w:asciiTheme="minorEastAsia" w:eastAsiaTheme="minorEastAsia" w:hAnsiTheme="minorEastAsia"/>
                  </w:rPr>
                  <w:t xml:space="preserve"> 1,116,554,864.15 </w:t>
                </w:r>
              </w:p>
            </w:tc>
          </w:tr>
        </w:tbl>
        <w:p w:rsidR="00597370" w:rsidRDefault="00597370"/>
        <w:p w:rsidR="00597370" w:rsidRDefault="003C2EEE">
          <w:pPr>
            <w:rPr>
              <w:color w:val="000000" w:themeColor="text1"/>
            </w:rPr>
          </w:pPr>
          <w:r>
            <w:rPr>
              <w:rFonts w:hint="eastAsia"/>
              <w:color w:val="000000" w:themeColor="text1"/>
            </w:rPr>
            <w:t>其他说明</w:t>
          </w:r>
        </w:p>
        <w:sdt>
          <w:sdtPr>
            <w:rPr>
              <w:color w:val="000000" w:themeColor="text1"/>
            </w:rPr>
            <w:alias w:val="是否适用：母公司营业收入、营业成本的分解信息说明 [双击切换]"/>
            <w:tag w:val="_GBC_adf50e989b9642a6a5b483866ecd2065"/>
            <w:id w:val="-17391713"/>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营业收入、营业成本的分解信息说明 "/>
            <w:tag w:val="_GBC_e46c5645a710434fa96399185ebf0776"/>
            <w:id w:val="118194767"/>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sdtContent>
    </w:sdt>
    <w:p w:rsidR="00597370" w:rsidRDefault="003C2EEE">
      <w:pPr>
        <w:pStyle w:val="Style110"/>
        <w:numPr>
          <w:ilvl w:val="0"/>
          <w:numId w:val="120"/>
        </w:numPr>
        <w:rPr>
          <w:rFonts w:ascii="宋体" w:hAnsi="宋体"/>
          <w:color w:val="000000" w:themeColor="text1"/>
        </w:rPr>
      </w:pPr>
      <w:bookmarkStart w:id="468" w:name="_Hlk155961563"/>
      <w:bookmarkEnd w:id="465"/>
      <w:r>
        <w:rPr>
          <w:rFonts w:ascii="宋体" w:hAnsi="宋体" w:hint="eastAsia"/>
          <w:color w:val="000000" w:themeColor="text1"/>
        </w:rPr>
        <w:t>履约义务的说明</w:t>
      </w:r>
    </w:p>
    <w:sdt>
      <w:sdtPr>
        <w:rPr>
          <w:color w:val="000000" w:themeColor="text1"/>
        </w:rPr>
        <w:alias w:val="是否适用：履约义务的说明[双击切换]"/>
        <w:tag w:val="_GBC_7eb65f1aefb848c3be4d6abd4048aef7"/>
        <w:id w:val="790474457"/>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20"/>
        </w:numPr>
        <w:rPr>
          <w:rFonts w:ascii="宋体" w:hAnsi="宋体"/>
          <w:color w:val="000000" w:themeColor="text1"/>
        </w:rPr>
      </w:pPr>
      <w:bookmarkStart w:id="469" w:name="_Hlk533798958"/>
      <w:bookmarkEnd w:id="468"/>
      <w:bookmarkEnd w:id="466"/>
      <w:r>
        <w:rPr>
          <w:rFonts w:ascii="宋体" w:hAnsi="宋体" w:hint="eastAsia"/>
          <w:color w:val="000000" w:themeColor="text1"/>
        </w:rPr>
        <w:t>分摊至剩余履约义务的说明</w:t>
      </w:r>
    </w:p>
    <w:sdt>
      <w:sdtPr>
        <w:rPr>
          <w:color w:val="000000" w:themeColor="text1"/>
        </w:rPr>
        <w:alias w:val="是否适用：母公司分摊至剩余履约义务的说明[双击切换]"/>
        <w:tag w:val="_GBC_3aac73ec336d4015bdb4b42a7b0d24ea"/>
        <w:id w:val="350996021"/>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10"/>
        <w:numPr>
          <w:ilvl w:val="0"/>
          <w:numId w:val="120"/>
        </w:numPr>
        <w:rPr>
          <w:rFonts w:ascii="宋体" w:hAnsi="宋体"/>
          <w:color w:val="000000" w:themeColor="text1"/>
        </w:rPr>
      </w:pPr>
      <w:bookmarkStart w:id="470" w:name="_Hlk153798573"/>
      <w:bookmarkEnd w:id="469"/>
      <w:r>
        <w:rPr>
          <w:rFonts w:ascii="宋体" w:hAnsi="宋体" w:hint="eastAsia"/>
          <w:color w:val="000000" w:themeColor="text1"/>
        </w:rPr>
        <w:t>重大合同变更或重大交易价格调整</w:t>
      </w:r>
    </w:p>
    <w:sdt>
      <w:sdtPr>
        <w:rPr>
          <w:color w:val="000000" w:themeColor="text1"/>
        </w:rPr>
        <w:alias w:val="是否适用：母公司重大合同变更或重大交易价格调整[双击切换]"/>
        <w:tag w:val="_GBC_37b150e92b5a4605be19135cd46e097e"/>
        <w:id w:val="95290952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pacing w:before="60" w:after="60"/>
        <w:rPr>
          <w:color w:val="000000" w:themeColor="text1"/>
        </w:rPr>
      </w:pPr>
      <w:bookmarkStart w:id="471" w:name="_Hlk533798751"/>
      <w:bookmarkEnd w:id="470"/>
      <w:r>
        <w:rPr>
          <w:rFonts w:hint="eastAsia"/>
          <w:color w:val="000000" w:themeColor="text1"/>
        </w:rPr>
        <w:t>其他说明：</w:t>
      </w:r>
    </w:p>
    <w:p w:rsidR="00597370" w:rsidRDefault="006840ED">
      <w:pPr>
        <w:rPr>
          <w:color w:val="000000" w:themeColor="text1"/>
        </w:rPr>
      </w:pPr>
      <w:sdt>
        <w:sdtPr>
          <w:rPr>
            <w:color w:val="000000" w:themeColor="text1"/>
          </w:rPr>
          <w:alias w:val="主营业务说明"/>
          <w:tag w:val="_GBC_1758332f6c7d4ddf94e12be06682add9"/>
          <w:id w:val="1453675969"/>
          <w:placeholder>
            <w:docPart w:val="GBC22222222222222222222222222222"/>
          </w:placeholder>
        </w:sdtPr>
        <w:sdtEndPr/>
        <w:sdtContent>
          <w:r w:rsidR="003C2EEE">
            <w:rPr>
              <w:rFonts w:hint="eastAsia"/>
              <w:color w:val="000000" w:themeColor="text1"/>
            </w:rPr>
            <w:t>无</w:t>
          </w:r>
        </w:sdtContent>
      </w:sdt>
    </w:p>
    <w:p w:rsidR="00597370" w:rsidRDefault="003C2EEE">
      <w:pPr>
        <w:pStyle w:val="Style109"/>
        <w:numPr>
          <w:ilvl w:val="0"/>
          <w:numId w:val="114"/>
        </w:numPr>
        <w:rPr>
          <w:rFonts w:ascii="宋体" w:hAnsi="宋体"/>
          <w:color w:val="000000" w:themeColor="text1"/>
          <w:szCs w:val="21"/>
        </w:rPr>
      </w:pPr>
      <w:bookmarkStart w:id="472" w:name="OLE_LINK6"/>
      <w:bookmarkStart w:id="473" w:name="_Hlk10548739"/>
      <w:bookmarkEnd w:id="471"/>
      <w:bookmarkEnd w:id="467"/>
      <w:r>
        <w:rPr>
          <w:rFonts w:ascii="宋体" w:hAnsi="宋体" w:hint="eastAsia"/>
          <w:color w:val="000000" w:themeColor="text1"/>
          <w:szCs w:val="21"/>
        </w:rPr>
        <w:t>投资收益</w:t>
      </w:r>
      <w:bookmarkEnd w:id="472"/>
    </w:p>
    <w:sdt>
      <w:sdtPr>
        <w:rPr>
          <w:color w:val="000000" w:themeColor="text1"/>
        </w:rPr>
        <w:alias w:val="是否适用：母公司投资收益[双击切换]"/>
        <w:tag w:val="_GBC_bdba48f0322747499f6908fbbf78a16f"/>
        <w:id w:val="495539012"/>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color w:val="000000" w:themeColor="text1"/>
        </w:rPr>
        <w:t>单位</w:t>
      </w:r>
      <w:r>
        <w:rPr>
          <w:rFonts w:hint="eastAsia"/>
          <w:color w:val="000000" w:themeColor="text1"/>
        </w:rPr>
        <w:t>：</w:t>
      </w:r>
      <w:sdt>
        <w:sdtPr>
          <w:rPr>
            <w:rFonts w:hint="eastAsia"/>
            <w:color w:val="000000" w:themeColor="text1"/>
          </w:rPr>
          <w:alias w:val="单位：财务附注：会计报表中的投资收益项目增加"/>
          <w:tag w:val="_GBC_613aeed04bd941b2899e7b84fac67e3a"/>
          <w:id w:val="-13292097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币种</w:t>
      </w:r>
      <w:r>
        <w:rPr>
          <w:rFonts w:hint="eastAsia"/>
          <w:color w:val="000000" w:themeColor="text1"/>
        </w:rPr>
        <w:t>：</w:t>
      </w:r>
      <w:sdt>
        <w:sdtPr>
          <w:rPr>
            <w:rFonts w:hint="eastAsia"/>
            <w:color w:val="000000" w:themeColor="text1"/>
          </w:rPr>
          <w:alias w:val="币种：财务附注：会计报表中的投资收益项目增加"/>
          <w:tag w:val="_GBC_8976301949824df2a90aa6f83aad84f0"/>
          <w:id w:val="-14641111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2626"/>
        <w:gridCol w:w="2636"/>
      </w:tblGrid>
      <w:tr w:rsidR="00597370">
        <w:sdt>
          <w:sdtPr>
            <w:rPr>
              <w:color w:val="000000" w:themeColor="text1"/>
            </w:rPr>
            <w:tag w:val="_PLD_1263506df19847a5a86c9b873a7b7673"/>
            <w:id w:val="-2113968777"/>
          </w:sdtPr>
          <w:sdtEndPr/>
          <w:sdtContent>
            <w:tc>
              <w:tcPr>
                <w:tcW w:w="2018" w:type="pct"/>
                <w:vAlign w:val="center"/>
              </w:tcPr>
              <w:p w:rsidR="00597370" w:rsidRDefault="003C2EEE">
                <w:pPr>
                  <w:ind w:left="420" w:hanging="420"/>
                  <w:jc w:val="center"/>
                  <w:rPr>
                    <w:color w:val="000000" w:themeColor="text1"/>
                  </w:rPr>
                </w:pPr>
                <w:r>
                  <w:rPr>
                    <w:rFonts w:hint="eastAsia"/>
                    <w:color w:val="000000" w:themeColor="text1"/>
                  </w:rPr>
                  <w:t>项目</w:t>
                </w:r>
              </w:p>
            </w:tc>
          </w:sdtContent>
        </w:sdt>
        <w:sdt>
          <w:sdtPr>
            <w:rPr>
              <w:color w:val="000000" w:themeColor="text1"/>
            </w:rPr>
            <w:tag w:val="_PLD_6da456fe7d784e789fe8204c2cc499b3"/>
            <w:id w:val="-732227622"/>
          </w:sdtPr>
          <w:sdtEndPr/>
          <w:sdtContent>
            <w:tc>
              <w:tcPr>
                <w:tcW w:w="1488" w:type="pct"/>
                <w:vAlign w:val="center"/>
              </w:tcPr>
              <w:p w:rsidR="00597370" w:rsidRDefault="003C2EEE">
                <w:pPr>
                  <w:jc w:val="center"/>
                  <w:rPr>
                    <w:color w:val="000000" w:themeColor="text1"/>
                  </w:rPr>
                </w:pPr>
                <w:r>
                  <w:rPr>
                    <w:rFonts w:hint="eastAsia"/>
                    <w:color w:val="000000" w:themeColor="text1"/>
                  </w:rPr>
                  <w:t>本期发生额</w:t>
                </w:r>
              </w:p>
            </w:tc>
          </w:sdtContent>
        </w:sdt>
        <w:sdt>
          <w:sdtPr>
            <w:rPr>
              <w:color w:val="000000" w:themeColor="text1"/>
            </w:rPr>
            <w:tag w:val="_PLD_d81207d79e9643e0a08aec2616f96432"/>
            <w:id w:val="1310208530"/>
          </w:sdtPr>
          <w:sdtEndPr/>
          <w:sdtContent>
            <w:tc>
              <w:tcPr>
                <w:tcW w:w="1494" w:type="pct"/>
                <w:vAlign w:val="center"/>
              </w:tcPr>
              <w:p w:rsidR="00597370" w:rsidRDefault="003C2EEE">
                <w:pPr>
                  <w:jc w:val="center"/>
                  <w:rPr>
                    <w:color w:val="000000" w:themeColor="text1"/>
                  </w:rPr>
                </w:pPr>
                <w:r>
                  <w:rPr>
                    <w:rFonts w:hint="eastAsia"/>
                    <w:color w:val="000000" w:themeColor="text1"/>
                  </w:rPr>
                  <w:t>上期发生额</w:t>
                </w:r>
              </w:p>
            </w:tc>
          </w:sdtContent>
        </w:sdt>
      </w:tr>
      <w:tr w:rsidR="00597370">
        <w:tc>
          <w:tcPr>
            <w:tcW w:w="2018" w:type="pct"/>
          </w:tcPr>
          <w:p w:rsidR="00597370" w:rsidRDefault="003C2EEE">
            <w:pPr>
              <w:rPr>
                <w:color w:val="000000" w:themeColor="text1"/>
                <w:shd w:val="clear" w:color="auto" w:fill="FFFFFF"/>
              </w:rPr>
            </w:pPr>
            <w:r>
              <w:rPr>
                <w:color w:val="000000" w:themeColor="text1"/>
                <w:shd w:val="clear" w:color="auto" w:fill="FFFFFF"/>
              </w:rPr>
              <w:t>成本法核算的长期股权投资收益</w:t>
            </w:r>
          </w:p>
        </w:tc>
        <w:tc>
          <w:tcPr>
            <w:tcW w:w="1488" w:type="pct"/>
            <w:vAlign w:val="center"/>
          </w:tcPr>
          <w:p w:rsidR="00597370" w:rsidRDefault="003C2EEE">
            <w:pPr>
              <w:jc w:val="right"/>
            </w:pPr>
            <w:r>
              <w:t>6,907,019.15</w:t>
            </w:r>
          </w:p>
        </w:tc>
        <w:tc>
          <w:tcPr>
            <w:tcW w:w="1494" w:type="pct"/>
            <w:vAlign w:val="center"/>
          </w:tcPr>
          <w:p w:rsidR="00597370" w:rsidRDefault="00597370">
            <w:pPr>
              <w:jc w:val="right"/>
            </w:pP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权益法核算的长期股权投资收益</w:t>
            </w:r>
          </w:p>
        </w:tc>
        <w:tc>
          <w:tcPr>
            <w:tcW w:w="1488" w:type="pct"/>
            <w:vAlign w:val="center"/>
          </w:tcPr>
          <w:p w:rsidR="00597370" w:rsidRDefault="003C2EEE">
            <w:pPr>
              <w:jc w:val="right"/>
            </w:pPr>
            <w:r>
              <w:t xml:space="preserve"> -74,502.67 </w:t>
            </w:r>
          </w:p>
        </w:tc>
        <w:tc>
          <w:tcPr>
            <w:tcW w:w="1494" w:type="pct"/>
            <w:vAlign w:val="center"/>
          </w:tcPr>
          <w:p w:rsidR="00597370" w:rsidRDefault="003C2EEE">
            <w:pPr>
              <w:jc w:val="right"/>
            </w:pPr>
            <w:r>
              <w:rPr>
                <w:rFonts w:asciiTheme="minorEastAsia" w:eastAsiaTheme="minorEastAsia" w:hAnsiTheme="minorEastAsia"/>
              </w:rPr>
              <w:t>639,872.89</w:t>
            </w: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处置长期股权投资产生的投资收益</w:t>
            </w:r>
          </w:p>
        </w:tc>
        <w:tc>
          <w:tcPr>
            <w:tcW w:w="1488" w:type="pct"/>
            <w:vAlign w:val="center"/>
          </w:tcPr>
          <w:p w:rsidR="00597370" w:rsidRDefault="00597370">
            <w:pPr>
              <w:jc w:val="right"/>
            </w:pPr>
          </w:p>
        </w:tc>
        <w:tc>
          <w:tcPr>
            <w:tcW w:w="1494" w:type="pct"/>
            <w:vAlign w:val="center"/>
          </w:tcPr>
          <w:p w:rsidR="00597370" w:rsidRDefault="00597370">
            <w:pPr>
              <w:jc w:val="right"/>
            </w:pP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交易性金融资产在持有期间的投资收益</w:t>
            </w:r>
          </w:p>
        </w:tc>
        <w:tc>
          <w:tcPr>
            <w:tcW w:w="1488" w:type="pct"/>
            <w:vAlign w:val="center"/>
          </w:tcPr>
          <w:p w:rsidR="00597370" w:rsidRDefault="00597370">
            <w:pPr>
              <w:jc w:val="right"/>
            </w:pPr>
          </w:p>
        </w:tc>
        <w:tc>
          <w:tcPr>
            <w:tcW w:w="1494" w:type="pct"/>
            <w:vAlign w:val="center"/>
          </w:tcPr>
          <w:p w:rsidR="00597370" w:rsidRDefault="00597370">
            <w:pPr>
              <w:jc w:val="right"/>
            </w:pP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其他权益工具投资在持有期间取得的股利收入</w:t>
            </w:r>
          </w:p>
        </w:tc>
        <w:tc>
          <w:tcPr>
            <w:tcW w:w="1488" w:type="pct"/>
            <w:vAlign w:val="center"/>
          </w:tcPr>
          <w:p w:rsidR="00597370" w:rsidRDefault="00597370">
            <w:pPr>
              <w:jc w:val="right"/>
            </w:pPr>
          </w:p>
        </w:tc>
        <w:tc>
          <w:tcPr>
            <w:tcW w:w="1494" w:type="pct"/>
            <w:vAlign w:val="center"/>
          </w:tcPr>
          <w:p w:rsidR="00597370" w:rsidRDefault="00597370">
            <w:pPr>
              <w:jc w:val="right"/>
            </w:pP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债权投资在持有期间取得的利息收入</w:t>
            </w:r>
          </w:p>
        </w:tc>
        <w:tc>
          <w:tcPr>
            <w:tcW w:w="1488" w:type="pct"/>
            <w:vAlign w:val="center"/>
          </w:tcPr>
          <w:p w:rsidR="00597370" w:rsidRDefault="00597370">
            <w:pPr>
              <w:jc w:val="right"/>
            </w:pPr>
          </w:p>
        </w:tc>
        <w:tc>
          <w:tcPr>
            <w:tcW w:w="1494" w:type="pct"/>
            <w:vAlign w:val="center"/>
          </w:tcPr>
          <w:p w:rsidR="00597370" w:rsidRDefault="00597370">
            <w:pPr>
              <w:jc w:val="right"/>
            </w:pP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其他债权投资在持有期间取得的利息收入</w:t>
            </w:r>
          </w:p>
        </w:tc>
        <w:tc>
          <w:tcPr>
            <w:tcW w:w="1488" w:type="pct"/>
            <w:vAlign w:val="center"/>
          </w:tcPr>
          <w:p w:rsidR="00597370" w:rsidRDefault="00597370">
            <w:pPr>
              <w:jc w:val="right"/>
            </w:pPr>
          </w:p>
        </w:tc>
        <w:tc>
          <w:tcPr>
            <w:tcW w:w="1494" w:type="pct"/>
            <w:vAlign w:val="center"/>
          </w:tcPr>
          <w:p w:rsidR="00597370" w:rsidRDefault="00597370">
            <w:pPr>
              <w:jc w:val="right"/>
            </w:pP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处置交易性金融资产取得的投资收益</w:t>
            </w:r>
          </w:p>
        </w:tc>
        <w:tc>
          <w:tcPr>
            <w:tcW w:w="1488" w:type="pct"/>
            <w:vAlign w:val="center"/>
          </w:tcPr>
          <w:p w:rsidR="00597370" w:rsidRDefault="00597370">
            <w:pPr>
              <w:jc w:val="right"/>
            </w:pPr>
          </w:p>
        </w:tc>
        <w:tc>
          <w:tcPr>
            <w:tcW w:w="1494" w:type="pct"/>
            <w:vAlign w:val="center"/>
          </w:tcPr>
          <w:p w:rsidR="00597370" w:rsidRDefault="003C2EEE">
            <w:pPr>
              <w:jc w:val="right"/>
            </w:pPr>
            <w:r>
              <w:rPr>
                <w:rFonts w:asciiTheme="minorEastAsia" w:eastAsiaTheme="minorEastAsia" w:hAnsiTheme="minorEastAsia"/>
              </w:rPr>
              <w:t>80,361.86</w:t>
            </w: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处置其他权益工具投资取得的投资收益</w:t>
            </w:r>
          </w:p>
        </w:tc>
        <w:tc>
          <w:tcPr>
            <w:tcW w:w="1488" w:type="pct"/>
            <w:vAlign w:val="center"/>
          </w:tcPr>
          <w:p w:rsidR="00597370" w:rsidRDefault="00597370">
            <w:pPr>
              <w:jc w:val="right"/>
            </w:pPr>
          </w:p>
        </w:tc>
        <w:tc>
          <w:tcPr>
            <w:tcW w:w="1494" w:type="pct"/>
            <w:vAlign w:val="center"/>
          </w:tcPr>
          <w:p w:rsidR="00597370" w:rsidRDefault="00597370">
            <w:pPr>
              <w:jc w:val="right"/>
            </w:pPr>
          </w:p>
        </w:tc>
      </w:tr>
      <w:tr w:rsidR="00597370">
        <w:tc>
          <w:tcPr>
            <w:tcW w:w="2018" w:type="pct"/>
          </w:tcPr>
          <w:p w:rsidR="00597370" w:rsidRDefault="003C2EEE">
            <w:pPr>
              <w:rPr>
                <w:color w:val="000000" w:themeColor="text1"/>
                <w:shd w:val="clear" w:color="auto" w:fill="FFFFFF"/>
              </w:rPr>
            </w:pPr>
            <w:r>
              <w:rPr>
                <w:rFonts w:hint="eastAsia"/>
                <w:color w:val="000000" w:themeColor="text1"/>
                <w:shd w:val="clear" w:color="auto" w:fill="FFFFFF"/>
              </w:rPr>
              <w:t>处置债权投资取得的投资收益</w:t>
            </w:r>
          </w:p>
        </w:tc>
        <w:tc>
          <w:tcPr>
            <w:tcW w:w="1488" w:type="pct"/>
            <w:vAlign w:val="center"/>
          </w:tcPr>
          <w:p w:rsidR="00597370" w:rsidRDefault="00597370">
            <w:pPr>
              <w:jc w:val="right"/>
            </w:pPr>
          </w:p>
        </w:tc>
        <w:tc>
          <w:tcPr>
            <w:tcW w:w="1494" w:type="pct"/>
            <w:vAlign w:val="center"/>
          </w:tcPr>
          <w:p w:rsidR="00597370" w:rsidRDefault="00597370">
            <w:pPr>
              <w:jc w:val="right"/>
            </w:pPr>
          </w:p>
        </w:tc>
      </w:tr>
      <w:tr w:rsidR="00597370">
        <w:tc>
          <w:tcPr>
            <w:tcW w:w="2018" w:type="pct"/>
            <w:tcBorders>
              <w:bottom w:val="single" w:sz="4" w:space="0" w:color="auto"/>
            </w:tcBorders>
          </w:tcPr>
          <w:p w:rsidR="00597370" w:rsidRDefault="003C2EEE">
            <w:pPr>
              <w:rPr>
                <w:color w:val="000000" w:themeColor="text1"/>
                <w:shd w:val="clear" w:color="auto" w:fill="FFFFFF"/>
              </w:rPr>
            </w:pPr>
            <w:r>
              <w:rPr>
                <w:rFonts w:hint="eastAsia"/>
                <w:color w:val="000000" w:themeColor="text1"/>
                <w:shd w:val="clear" w:color="auto" w:fill="FFFFFF"/>
              </w:rPr>
              <w:t>处置其他债权投资取得的投资收益</w:t>
            </w:r>
          </w:p>
        </w:tc>
        <w:tc>
          <w:tcPr>
            <w:tcW w:w="1488" w:type="pct"/>
            <w:tcBorders>
              <w:bottom w:val="single" w:sz="4" w:space="0" w:color="auto"/>
            </w:tcBorders>
            <w:vAlign w:val="center"/>
          </w:tcPr>
          <w:p w:rsidR="00597370" w:rsidRDefault="00597370">
            <w:pPr>
              <w:jc w:val="right"/>
            </w:pPr>
          </w:p>
        </w:tc>
        <w:tc>
          <w:tcPr>
            <w:tcW w:w="1494" w:type="pct"/>
            <w:tcBorders>
              <w:bottom w:val="single" w:sz="4" w:space="0" w:color="auto"/>
            </w:tcBorders>
            <w:vAlign w:val="center"/>
          </w:tcPr>
          <w:p w:rsidR="00597370" w:rsidRDefault="00597370">
            <w:pPr>
              <w:jc w:val="right"/>
            </w:pPr>
          </w:p>
        </w:tc>
      </w:tr>
      <w:tr w:rsidR="00597370">
        <w:tc>
          <w:tcPr>
            <w:tcW w:w="2018" w:type="pct"/>
            <w:tcBorders>
              <w:bottom w:val="single" w:sz="4" w:space="0" w:color="auto"/>
            </w:tcBorders>
          </w:tcPr>
          <w:p w:rsidR="00597370" w:rsidRDefault="003C2EEE">
            <w:pPr>
              <w:rPr>
                <w:color w:val="000000" w:themeColor="text1"/>
                <w:shd w:val="clear" w:color="auto" w:fill="FFFFFF"/>
              </w:rPr>
            </w:pPr>
            <w:r>
              <w:rPr>
                <w:rFonts w:hint="eastAsia"/>
                <w:color w:val="000000" w:themeColor="text1"/>
                <w:shd w:val="clear" w:color="auto" w:fill="FFFFFF"/>
              </w:rPr>
              <w:t>债务重组收益</w:t>
            </w:r>
          </w:p>
        </w:tc>
        <w:tc>
          <w:tcPr>
            <w:tcW w:w="1488" w:type="pct"/>
            <w:tcBorders>
              <w:bottom w:val="single" w:sz="4" w:space="0" w:color="auto"/>
            </w:tcBorders>
            <w:vAlign w:val="center"/>
          </w:tcPr>
          <w:p w:rsidR="00597370" w:rsidRDefault="00597370">
            <w:pPr>
              <w:jc w:val="right"/>
            </w:pPr>
          </w:p>
        </w:tc>
        <w:tc>
          <w:tcPr>
            <w:tcW w:w="1494" w:type="pct"/>
            <w:tcBorders>
              <w:bottom w:val="single" w:sz="4" w:space="0" w:color="auto"/>
            </w:tcBorders>
            <w:vAlign w:val="center"/>
          </w:tcPr>
          <w:p w:rsidR="00597370" w:rsidRDefault="00597370">
            <w:pPr>
              <w:jc w:val="right"/>
            </w:pPr>
          </w:p>
        </w:tc>
      </w:tr>
      <w:tr w:rsidR="00597370">
        <w:tc>
          <w:tcPr>
            <w:tcW w:w="2018" w:type="pct"/>
            <w:vAlign w:val="center"/>
          </w:tcPr>
          <w:p w:rsidR="00597370" w:rsidRDefault="003C2EEE">
            <w:pPr>
              <w:rPr>
                <w:color w:val="000000" w:themeColor="text1"/>
              </w:rPr>
            </w:pPr>
            <w:r>
              <w:rPr>
                <w:rFonts w:hint="eastAsia"/>
                <w:color w:val="000000" w:themeColor="text1"/>
              </w:rPr>
              <w:t>合计</w:t>
            </w:r>
          </w:p>
        </w:tc>
        <w:tc>
          <w:tcPr>
            <w:tcW w:w="1488" w:type="pct"/>
            <w:vAlign w:val="center"/>
          </w:tcPr>
          <w:p w:rsidR="00597370" w:rsidRDefault="003C2EEE">
            <w:pPr>
              <w:jc w:val="right"/>
            </w:pPr>
            <w:r>
              <w:t>6,832,516.48</w:t>
            </w:r>
          </w:p>
        </w:tc>
        <w:tc>
          <w:tcPr>
            <w:tcW w:w="1494" w:type="pct"/>
            <w:vAlign w:val="center"/>
          </w:tcPr>
          <w:p w:rsidR="00597370" w:rsidRDefault="003C2EEE">
            <w:pPr>
              <w:jc w:val="right"/>
            </w:pPr>
            <w:r>
              <w:rPr>
                <w:rFonts w:asciiTheme="minorEastAsia" w:eastAsiaTheme="minorEastAsia" w:hAnsiTheme="minorEastAsia"/>
              </w:rPr>
              <w:t>720,234.75</w:t>
            </w:r>
          </w:p>
        </w:tc>
      </w:tr>
    </w:tbl>
    <w:p w:rsidR="00597370" w:rsidRDefault="003C2EEE">
      <w:pPr>
        <w:spacing w:line="360" w:lineRule="exact"/>
        <w:rPr>
          <w:color w:val="000000" w:themeColor="text1"/>
        </w:rPr>
      </w:pPr>
      <w:bookmarkStart w:id="474" w:name="_Hlk10720480"/>
      <w:bookmarkEnd w:id="473"/>
      <w:r>
        <w:rPr>
          <w:rFonts w:hint="eastAsia"/>
          <w:color w:val="000000" w:themeColor="text1"/>
        </w:rPr>
        <w:t>其他说明：</w:t>
      </w:r>
      <w:bookmarkEnd w:id="474"/>
    </w:p>
    <w:sdt>
      <w:sdtPr>
        <w:rPr>
          <w:color w:val="000000" w:themeColor="text1"/>
        </w:rPr>
        <w:alias w:val="投资收益说明"/>
        <w:tag w:val="_GBC_e91b47a8afc84e119383bf071cb9a50d"/>
        <w:id w:val="470406976"/>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p w:rsidR="00597370" w:rsidRDefault="003C2EEE">
      <w:pPr>
        <w:pStyle w:val="Style109"/>
        <w:numPr>
          <w:ilvl w:val="0"/>
          <w:numId w:val="114"/>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母公司会计报表附注的其他说明事项[双击切换]"/>
        <w:tag w:val="_GBC_198503cdf8c8448ea7bb4de3243a4de8"/>
        <w:id w:val="698978160"/>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8"/>
        <w:numPr>
          <w:ilvl w:val="0"/>
          <w:numId w:val="36"/>
        </w:numPr>
        <w:ind w:left="422" w:hanging="422"/>
        <w:rPr>
          <w:rFonts w:ascii="宋体" w:hAnsi="宋体"/>
          <w:color w:val="000000" w:themeColor="text1"/>
        </w:rPr>
      </w:pPr>
      <w:r>
        <w:rPr>
          <w:rFonts w:ascii="宋体" w:hAnsi="宋体" w:hint="eastAsia"/>
          <w:color w:val="000000" w:themeColor="text1"/>
        </w:rPr>
        <w:lastRenderedPageBreak/>
        <w:t>补充资料</w:t>
      </w:r>
    </w:p>
    <w:p w:rsidR="00597370" w:rsidRDefault="003C2EEE">
      <w:pPr>
        <w:pStyle w:val="Style109"/>
        <w:numPr>
          <w:ilvl w:val="0"/>
          <w:numId w:val="121"/>
        </w:numPr>
        <w:rPr>
          <w:rFonts w:ascii="宋体" w:hAnsi="宋体"/>
          <w:color w:val="000000" w:themeColor="text1"/>
          <w:szCs w:val="21"/>
        </w:rPr>
      </w:pPr>
      <w:bookmarkStart w:id="475" w:name="_Hlk535584690"/>
      <w:bookmarkStart w:id="476" w:name="_Hlk168057952"/>
      <w:bookmarkStart w:id="477" w:name="_Hlk152579827"/>
      <w:r>
        <w:rPr>
          <w:rFonts w:ascii="宋体" w:hAnsi="宋体" w:hint="eastAsia"/>
          <w:color w:val="000000" w:themeColor="text1"/>
          <w:szCs w:val="21"/>
        </w:rPr>
        <w:t>当期非经常性损益明细表</w:t>
      </w:r>
    </w:p>
    <w:sdt>
      <w:sdtPr>
        <w:rPr>
          <w:color w:val="000000" w:themeColor="text1"/>
        </w:rPr>
        <w:alias w:val="是否适用：当期非经常性损益明细表[双击切换]"/>
        <w:tag w:val="_GBC_28c90d0fec4248b7be00ea74910120f8"/>
        <w:id w:val="456004069"/>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jc w:val="right"/>
        <w:rPr>
          <w:color w:val="000000" w:themeColor="text1"/>
        </w:rPr>
      </w:pPr>
      <w:r>
        <w:rPr>
          <w:rFonts w:hint="eastAsia"/>
          <w:color w:val="000000" w:themeColor="text1"/>
        </w:rPr>
        <w:t>单位：</w:t>
      </w:r>
      <w:sdt>
        <w:sdtPr>
          <w:rPr>
            <w:rFonts w:hint="eastAsia"/>
            <w:color w:val="000000" w:themeColor="text1"/>
          </w:rPr>
          <w:alias w:val="单位：扣除非经常性损益项目和金额"/>
          <w:tag w:val="_GBC_acdddcaac70249d2a73e5ac878d6874b"/>
          <w:id w:val="-609896131"/>
          <w:placeholder>
            <w:docPart w:val="GBC22222222222222222222222222222"/>
          </w:placeholder>
          <w:dataBinding w:prefixMappings="xmlns:clcid-ci-ar='clcid-ci-ar'" w:xpath="/*/clcid-ci-ar:DanWeiKouChuFeiJingChangXingSunYiXiangMuHeJinE[not(@periodRef)]" w:storeItemID="{89EBAB94-44A0-46A2-B712-30D997D04A6D}"/>
          <w:comboBox w:lastValue="万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币种：</w:t>
      </w:r>
      <w:sdt>
        <w:sdtPr>
          <w:rPr>
            <w:rFonts w:hint="eastAsia"/>
            <w:color w:val="000000" w:themeColor="text1"/>
          </w:rPr>
          <w:alias w:val="币种：扣除非经常性损益项目和金额"/>
          <w:tag w:val="_GBC_84f107bd64a74a689cd74b834aaa0b17"/>
          <w:id w:val="-809936423"/>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3"/>
        <w:tblW w:w="5000" w:type="pct"/>
        <w:tblLook w:val="04A0" w:firstRow="1" w:lastRow="0" w:firstColumn="1" w:lastColumn="0" w:noHBand="0" w:noVBand="1"/>
      </w:tblPr>
      <w:tblGrid>
        <w:gridCol w:w="4369"/>
        <w:gridCol w:w="2135"/>
        <w:gridCol w:w="2319"/>
      </w:tblGrid>
      <w:tr w:rsidR="00597370">
        <w:sdt>
          <w:sdtPr>
            <w:rPr>
              <w:rFonts w:ascii="Times New Roman" w:hAnsi="Times New Roman"/>
              <w:color w:val="000000" w:themeColor="text1"/>
            </w:rPr>
            <w:tag w:val="_PLD_eb975916b80e49408e340b80d53082be"/>
            <w:id w:val="494071315"/>
          </w:sdtPr>
          <w:sdtEndPr/>
          <w:sdtContent>
            <w:tc>
              <w:tcPr>
                <w:tcW w:w="2476" w:type="pct"/>
                <w:vAlign w:val="center"/>
              </w:tcPr>
              <w:p w:rsidR="00597370" w:rsidRDefault="003C2EEE">
                <w:pPr>
                  <w:pStyle w:val="Style147"/>
                  <w:ind w:firstLineChars="0" w:firstLine="0"/>
                  <w:jc w:val="center"/>
                  <w:rPr>
                    <w:rFonts w:ascii="宋体" w:hAnsi="宋体"/>
                    <w:color w:val="000000" w:themeColor="text1"/>
                    <w:szCs w:val="21"/>
                  </w:rPr>
                </w:pPr>
                <w:r>
                  <w:rPr>
                    <w:rFonts w:ascii="宋体" w:hAnsi="宋体" w:hint="eastAsia"/>
                    <w:color w:val="000000" w:themeColor="text1"/>
                    <w:szCs w:val="21"/>
                  </w:rPr>
                  <w:t>项目</w:t>
                </w:r>
              </w:p>
            </w:tc>
          </w:sdtContent>
        </w:sdt>
        <w:sdt>
          <w:sdtPr>
            <w:rPr>
              <w:rFonts w:ascii="Times New Roman" w:hAnsi="Times New Roman"/>
              <w:color w:val="000000" w:themeColor="text1"/>
            </w:rPr>
            <w:tag w:val="_PLD_871069ab0242459987d2cd8153c439e3"/>
            <w:id w:val="-1189669662"/>
          </w:sdtPr>
          <w:sdtEndPr/>
          <w:sdtContent>
            <w:tc>
              <w:tcPr>
                <w:tcW w:w="1210" w:type="pct"/>
                <w:vAlign w:val="center"/>
              </w:tcPr>
              <w:p w:rsidR="00597370" w:rsidRDefault="003C2EEE">
                <w:pPr>
                  <w:pStyle w:val="Style147"/>
                  <w:ind w:firstLineChars="0" w:firstLine="0"/>
                  <w:jc w:val="center"/>
                  <w:rPr>
                    <w:rFonts w:ascii="宋体" w:hAnsi="宋体"/>
                    <w:color w:val="000000" w:themeColor="text1"/>
                    <w:szCs w:val="21"/>
                  </w:rPr>
                </w:pPr>
                <w:r>
                  <w:rPr>
                    <w:rFonts w:ascii="宋体" w:hAnsi="宋体" w:hint="eastAsia"/>
                    <w:color w:val="000000" w:themeColor="text1"/>
                    <w:szCs w:val="21"/>
                  </w:rPr>
                  <w:t>金额</w:t>
                </w:r>
              </w:p>
            </w:tc>
          </w:sdtContent>
        </w:sdt>
        <w:sdt>
          <w:sdtPr>
            <w:rPr>
              <w:rFonts w:ascii="Times New Roman" w:hAnsi="Times New Roman"/>
              <w:color w:val="000000" w:themeColor="text1"/>
            </w:rPr>
            <w:tag w:val="_PLD_2b6844f78d7043ca94a5b478c9729ca8"/>
            <w:id w:val="1680072083"/>
          </w:sdtPr>
          <w:sdtEndPr/>
          <w:sdtContent>
            <w:tc>
              <w:tcPr>
                <w:tcW w:w="1314" w:type="pct"/>
                <w:vAlign w:val="center"/>
              </w:tcPr>
              <w:p w:rsidR="00597370" w:rsidRDefault="003C2EEE">
                <w:pPr>
                  <w:pStyle w:val="Style147"/>
                  <w:ind w:firstLineChars="0" w:firstLine="0"/>
                  <w:jc w:val="center"/>
                  <w:rPr>
                    <w:rFonts w:ascii="宋体" w:hAnsi="宋体"/>
                    <w:color w:val="000000" w:themeColor="text1"/>
                    <w:szCs w:val="21"/>
                  </w:rPr>
                </w:pPr>
                <w:r>
                  <w:rPr>
                    <w:rFonts w:ascii="宋体" w:hAnsi="宋体" w:hint="eastAsia"/>
                    <w:color w:val="000000" w:themeColor="text1"/>
                    <w:szCs w:val="21"/>
                  </w:rPr>
                  <w:t>说明</w:t>
                </w:r>
              </w:p>
            </w:tc>
          </w:sdtContent>
        </w:sdt>
      </w:tr>
      <w:tr w:rsidR="00597370">
        <w:tc>
          <w:tcPr>
            <w:tcW w:w="2476" w:type="pct"/>
          </w:tcPr>
          <w:p w:rsidR="00597370" w:rsidRDefault="003C2EEE">
            <w:pPr>
              <w:pStyle w:val="Style147"/>
              <w:ind w:firstLineChars="0" w:firstLine="0"/>
              <w:jc w:val="left"/>
              <w:rPr>
                <w:color w:val="000000" w:themeColor="text1"/>
                <w:szCs w:val="21"/>
              </w:rPr>
            </w:pPr>
            <w:r>
              <w:rPr>
                <w:color w:val="000000" w:themeColor="text1"/>
                <w:szCs w:val="21"/>
              </w:rPr>
              <w:t>非流动</w:t>
            </w:r>
            <w:r>
              <w:rPr>
                <w:rFonts w:hint="eastAsia"/>
                <w:color w:val="000000" w:themeColor="text1"/>
                <w:szCs w:val="21"/>
              </w:rPr>
              <w:t>性</w:t>
            </w:r>
            <w:r>
              <w:rPr>
                <w:color w:val="000000" w:themeColor="text1"/>
                <w:szCs w:val="21"/>
              </w:rPr>
              <w:t>资产处置损益</w:t>
            </w:r>
            <w:r>
              <w:rPr>
                <w:rFonts w:hint="eastAsia"/>
                <w:color w:val="000000" w:themeColor="text1"/>
                <w:szCs w:val="21"/>
              </w:rPr>
              <w:t>，包括已计提资产减值准备的冲销部分</w:t>
            </w:r>
          </w:p>
        </w:tc>
        <w:tc>
          <w:tcPr>
            <w:tcW w:w="2135" w:type="dxa"/>
            <w:vAlign w:val="center"/>
          </w:tcPr>
          <w:p w:rsidR="00597370" w:rsidRDefault="003C2EEE">
            <w:pPr>
              <w:widowControl/>
              <w:jc w:val="right"/>
              <w:textAlignment w:val="bottom"/>
              <w:rPr>
                <w:color w:val="000000" w:themeColor="text1"/>
              </w:rPr>
            </w:pPr>
            <w:r>
              <w:rPr>
                <w:rFonts w:hint="eastAsia"/>
                <w:color w:val="000000"/>
                <w:sz w:val="22"/>
                <w:szCs w:val="22"/>
                <w:lang w:bidi="ar"/>
              </w:rPr>
              <w:t xml:space="preserve"> -125.64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ind w:firstLineChars="0" w:firstLine="0"/>
              <w:jc w:val="left"/>
              <w:rPr>
                <w:color w:val="000000" w:themeColor="text1"/>
                <w:szCs w:val="21"/>
              </w:rPr>
            </w:pPr>
            <w:r>
              <w:rPr>
                <w:rFonts w:hint="eastAsia"/>
                <w:color w:val="000000" w:themeColor="text1"/>
                <w:szCs w:val="21"/>
              </w:rPr>
              <w:t>计入当期损益的政府补助，但与公司正常经营业务密切相关、符合国家政策规定、按照确定的标准享有、对公司损益产生持续影响的政府补助除外</w:t>
            </w:r>
          </w:p>
        </w:tc>
        <w:tc>
          <w:tcPr>
            <w:tcW w:w="2135" w:type="dxa"/>
            <w:vAlign w:val="center"/>
          </w:tcPr>
          <w:p w:rsidR="00597370" w:rsidRDefault="003C2EEE">
            <w:pPr>
              <w:widowControl/>
              <w:jc w:val="right"/>
              <w:textAlignment w:val="bottom"/>
              <w:rPr>
                <w:color w:val="000000" w:themeColor="text1"/>
              </w:rPr>
            </w:pPr>
            <w:r>
              <w:rPr>
                <w:rFonts w:hint="eastAsia"/>
                <w:color w:val="000000"/>
                <w:sz w:val="22"/>
                <w:szCs w:val="22"/>
                <w:lang w:bidi="ar"/>
              </w:rPr>
              <w:t xml:space="preserve"> 4,352.32 </w:t>
            </w:r>
          </w:p>
        </w:tc>
        <w:tc>
          <w:tcPr>
            <w:tcW w:w="1314" w:type="pct"/>
            <w:vAlign w:val="center"/>
          </w:tcPr>
          <w:p w:rsidR="00597370" w:rsidRDefault="00597370">
            <w:pPr>
              <w:rPr>
                <w:rFonts w:ascii="Times New Roman" w:hAnsi="Times New Roman"/>
                <w:color w:val="000000" w:themeColor="text1"/>
              </w:rPr>
            </w:pPr>
          </w:p>
        </w:tc>
      </w:tr>
      <w:tr w:rsidR="00597370">
        <w:tc>
          <w:tcPr>
            <w:tcW w:w="2476" w:type="pct"/>
          </w:tcPr>
          <w:p w:rsidR="00597370" w:rsidRDefault="003C2EEE">
            <w:pPr>
              <w:pStyle w:val="Style147"/>
              <w:ind w:firstLineChars="0" w:firstLine="0"/>
              <w:jc w:val="left"/>
              <w:rPr>
                <w:color w:val="000000" w:themeColor="text1"/>
              </w:rPr>
            </w:pPr>
            <w:r>
              <w:rPr>
                <w:rFonts w:hint="eastAsia"/>
                <w:color w:val="000000" w:themeColor="text1"/>
              </w:rPr>
              <w:t>单独进行减值测试的应收款项减值准备转回</w:t>
            </w:r>
          </w:p>
        </w:tc>
        <w:tc>
          <w:tcPr>
            <w:tcW w:w="2135" w:type="dxa"/>
            <w:vAlign w:val="center"/>
          </w:tcPr>
          <w:p w:rsidR="00597370" w:rsidRDefault="003C2EEE">
            <w:pPr>
              <w:widowControl/>
              <w:jc w:val="right"/>
              <w:textAlignment w:val="bottom"/>
              <w:rPr>
                <w:color w:val="000000" w:themeColor="text1"/>
              </w:rPr>
            </w:pPr>
            <w:r>
              <w:rPr>
                <w:rFonts w:hint="eastAsia"/>
                <w:color w:val="000000"/>
                <w:sz w:val="22"/>
                <w:szCs w:val="22"/>
                <w:lang w:bidi="ar"/>
              </w:rPr>
              <w:t xml:space="preserve"> -92.58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ind w:firstLineChars="0" w:firstLine="0"/>
              <w:jc w:val="left"/>
              <w:rPr>
                <w:color w:val="000000" w:themeColor="text1"/>
                <w:szCs w:val="21"/>
              </w:rPr>
            </w:pPr>
            <w:r>
              <w:rPr>
                <w:color w:val="000000" w:themeColor="text1"/>
                <w:szCs w:val="21"/>
              </w:rPr>
              <w:t>除上述各项之外的其他营业外收入和支出</w:t>
            </w:r>
          </w:p>
        </w:tc>
        <w:tc>
          <w:tcPr>
            <w:tcW w:w="2135" w:type="dxa"/>
            <w:vAlign w:val="center"/>
          </w:tcPr>
          <w:p w:rsidR="00597370" w:rsidRDefault="003C2EEE">
            <w:pPr>
              <w:widowControl/>
              <w:jc w:val="right"/>
              <w:textAlignment w:val="bottom"/>
              <w:rPr>
                <w:color w:val="000000" w:themeColor="text1"/>
              </w:rPr>
            </w:pPr>
            <w:r>
              <w:rPr>
                <w:rFonts w:hint="eastAsia"/>
                <w:color w:val="000000"/>
                <w:sz w:val="22"/>
                <w:szCs w:val="22"/>
                <w:lang w:bidi="ar"/>
              </w:rPr>
              <w:t xml:space="preserve"> -1,973.02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ind w:firstLineChars="0" w:firstLine="0"/>
              <w:jc w:val="left"/>
              <w:rPr>
                <w:color w:val="000000" w:themeColor="text1"/>
                <w:szCs w:val="21"/>
              </w:rPr>
            </w:pPr>
            <w:r>
              <w:rPr>
                <w:rFonts w:hint="eastAsia"/>
                <w:color w:val="000000" w:themeColor="text1"/>
              </w:rPr>
              <w:t>减：</w:t>
            </w:r>
            <w:r>
              <w:rPr>
                <w:color w:val="000000" w:themeColor="text1"/>
                <w:szCs w:val="21"/>
              </w:rPr>
              <w:t>所得税影响额</w:t>
            </w:r>
          </w:p>
        </w:tc>
        <w:tc>
          <w:tcPr>
            <w:tcW w:w="2135" w:type="dxa"/>
            <w:vAlign w:val="center"/>
          </w:tcPr>
          <w:p w:rsidR="00597370" w:rsidRDefault="003C2EEE">
            <w:pPr>
              <w:widowControl/>
              <w:jc w:val="right"/>
              <w:textAlignment w:val="bottom"/>
              <w:rPr>
                <w:color w:val="000000" w:themeColor="text1"/>
              </w:rPr>
            </w:pPr>
            <w:r>
              <w:rPr>
                <w:rFonts w:hint="eastAsia"/>
                <w:color w:val="000000"/>
                <w:sz w:val="22"/>
                <w:szCs w:val="22"/>
                <w:lang w:bidi="ar"/>
              </w:rPr>
              <w:t xml:space="preserve"> 332.87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tcPr>
          <w:p w:rsidR="00597370" w:rsidRDefault="003C2EEE">
            <w:pPr>
              <w:pStyle w:val="Style147"/>
              <w:jc w:val="left"/>
              <w:rPr>
                <w:color w:val="000000" w:themeColor="text1"/>
                <w:szCs w:val="21"/>
              </w:rPr>
            </w:pPr>
            <w:r>
              <w:rPr>
                <w:color w:val="000000" w:themeColor="text1"/>
                <w:szCs w:val="21"/>
              </w:rPr>
              <w:t>少数股东权益影响额</w:t>
            </w:r>
            <w:r>
              <w:rPr>
                <w:rFonts w:hint="eastAsia"/>
                <w:color w:val="000000" w:themeColor="text1"/>
                <w:szCs w:val="21"/>
              </w:rPr>
              <w:t>（税后）</w:t>
            </w:r>
          </w:p>
        </w:tc>
        <w:tc>
          <w:tcPr>
            <w:tcW w:w="2135" w:type="dxa"/>
            <w:vAlign w:val="center"/>
          </w:tcPr>
          <w:p w:rsidR="00597370" w:rsidRDefault="003C2EEE">
            <w:pPr>
              <w:widowControl/>
              <w:jc w:val="right"/>
              <w:textAlignment w:val="bottom"/>
              <w:rPr>
                <w:color w:val="000000" w:themeColor="text1"/>
              </w:rPr>
            </w:pPr>
            <w:r>
              <w:rPr>
                <w:rFonts w:hint="eastAsia"/>
                <w:color w:val="000000"/>
                <w:sz w:val="22"/>
                <w:szCs w:val="22"/>
                <w:lang w:bidi="ar"/>
              </w:rPr>
              <w:t xml:space="preserve"> 3.78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r w:rsidR="00597370">
        <w:tc>
          <w:tcPr>
            <w:tcW w:w="2476" w:type="pct"/>
            <w:vAlign w:val="center"/>
          </w:tcPr>
          <w:p w:rsidR="00597370" w:rsidRDefault="003C2EEE">
            <w:pPr>
              <w:pStyle w:val="Style147"/>
              <w:ind w:firstLineChars="0" w:firstLine="0"/>
              <w:jc w:val="center"/>
              <w:rPr>
                <w:color w:val="000000" w:themeColor="text1"/>
                <w:szCs w:val="21"/>
              </w:rPr>
            </w:pPr>
            <w:r>
              <w:rPr>
                <w:color w:val="000000" w:themeColor="text1"/>
                <w:szCs w:val="21"/>
              </w:rPr>
              <w:t>合计</w:t>
            </w:r>
          </w:p>
        </w:tc>
        <w:tc>
          <w:tcPr>
            <w:tcW w:w="2135" w:type="dxa"/>
            <w:vAlign w:val="center"/>
          </w:tcPr>
          <w:p w:rsidR="00597370" w:rsidRDefault="003C2EEE">
            <w:pPr>
              <w:widowControl/>
              <w:jc w:val="right"/>
              <w:textAlignment w:val="bottom"/>
              <w:rPr>
                <w:color w:val="000000" w:themeColor="text1"/>
              </w:rPr>
            </w:pPr>
            <w:r>
              <w:rPr>
                <w:rFonts w:hint="eastAsia"/>
                <w:color w:val="000000"/>
                <w:sz w:val="22"/>
                <w:szCs w:val="22"/>
                <w:lang w:bidi="ar"/>
              </w:rPr>
              <w:t xml:space="preserve"> 1,824.43 </w:t>
            </w:r>
          </w:p>
        </w:tc>
        <w:tc>
          <w:tcPr>
            <w:tcW w:w="1314" w:type="pct"/>
            <w:vAlign w:val="center"/>
          </w:tcPr>
          <w:p w:rsidR="00597370" w:rsidRDefault="003C2EEE">
            <w:pPr>
              <w:rPr>
                <w:rFonts w:ascii="Times New Roman" w:hAnsi="Times New Roman"/>
                <w:color w:val="000000" w:themeColor="text1"/>
              </w:rPr>
            </w:pPr>
            <w:r>
              <w:rPr>
                <w:rFonts w:ascii="Times New Roman" w:hAnsi="Times New Roman" w:hint="eastAsia"/>
                <w:color w:val="000000" w:themeColor="text1"/>
              </w:rPr>
              <w:t xml:space="preserve">　</w:t>
            </w:r>
          </w:p>
        </w:tc>
      </w:tr>
    </w:tbl>
    <w:p w:rsidR="00597370" w:rsidRDefault="00597370">
      <w:pPr>
        <w:rPr>
          <w:color w:val="000000" w:themeColor="text1"/>
        </w:rPr>
      </w:pPr>
    </w:p>
    <w:bookmarkEnd w:id="475"/>
    <w:bookmarkEnd w:id="476"/>
    <w:bookmarkEnd w:id="477"/>
    <w:p w:rsidR="00597370" w:rsidRDefault="003C2EEE">
      <w:pPr>
        <w:rPr>
          <w:color w:val="000000" w:themeColor="text1"/>
        </w:rPr>
      </w:pPr>
      <w:r>
        <w:rPr>
          <w:rFonts w:hint="eastAsia"/>
          <w:color w:val="000000" w:themeColor="text1"/>
        </w:rPr>
        <w:t>对公司</w:t>
      </w:r>
      <w:bookmarkStart w:id="478" w:name="_Hlk169079435"/>
      <w:r>
        <w:rPr>
          <w:rFonts w:hint="eastAsia"/>
          <w:color w:val="000000" w:themeColor="text1"/>
        </w:rPr>
        <w:t>将《公开发行证券的公司信息披露解释性公告第</w:t>
      </w:r>
      <w:r>
        <w:rPr>
          <w:color w:val="000000" w:themeColor="text1"/>
        </w:rPr>
        <w:t>1号——非经常性损益》未列举的项目认定为的非经常性损益项目且金额重大的，以及将《公开发行证券的公司信息披露解释性公告第1号——非经常性损益》中列举的非经常性损益项目界定为经常性损益的项目，应说明原因。</w:t>
      </w:r>
      <w:bookmarkEnd w:id="478"/>
    </w:p>
    <w:sdt>
      <w:sdtPr>
        <w:rPr>
          <w:color w:val="000000" w:themeColor="text1"/>
        </w:rPr>
        <w:alias w:val="是否适用：将非经常性损益项目界定为经常性损益项目[双击切换]"/>
        <w:tag w:val="_GBC_5f8a059d4da1440d8ef10197ecd89cd6"/>
        <w:id w:val="-99194442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spacing w:line="360" w:lineRule="exact"/>
        <w:rPr>
          <w:color w:val="000000" w:themeColor="text1"/>
        </w:rPr>
      </w:pPr>
      <w:bookmarkStart w:id="479" w:name="_Hlk168058078"/>
      <w:r>
        <w:rPr>
          <w:rFonts w:hint="eastAsia"/>
          <w:color w:val="000000" w:themeColor="text1"/>
        </w:rPr>
        <w:t>其他说明</w:t>
      </w:r>
    </w:p>
    <w:sdt>
      <w:sdtPr>
        <w:rPr>
          <w:color w:val="000000" w:themeColor="text1"/>
        </w:rPr>
        <w:alias w:val="是否适用：非经常性损益的其他说明[双击切换]"/>
        <w:tag w:val="_GBC_98984b33dead4179aa5566c8753f4b5e"/>
        <w:id w:val="-195902384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非经常性损益的其他说明"/>
        <w:tag w:val="_GBC_91dbc6c94640408f8fa6c733c0df6ecf"/>
        <w:id w:val="617423080"/>
        <w:placeholder>
          <w:docPart w:val="GBC22222222222222222222222222222"/>
        </w:placeholder>
      </w:sdtPr>
      <w:sdtEndPr/>
      <w:sdtContent>
        <w:p w:rsidR="00597370" w:rsidRDefault="003C2EEE">
          <w:pPr>
            <w:rPr>
              <w:color w:val="000000" w:themeColor="text1"/>
            </w:rPr>
          </w:pPr>
          <w:r>
            <w:rPr>
              <w:rFonts w:hint="eastAsia"/>
              <w:color w:val="000000" w:themeColor="text1"/>
            </w:rPr>
            <w:t>无</w:t>
          </w:r>
        </w:p>
      </w:sdtContent>
    </w:sdt>
    <w:bookmarkEnd w:id="479"/>
    <w:p w:rsidR="00597370" w:rsidRDefault="003C2EEE">
      <w:pPr>
        <w:pStyle w:val="Style109"/>
        <w:numPr>
          <w:ilvl w:val="0"/>
          <w:numId w:val="121"/>
        </w:numPr>
        <w:rPr>
          <w:rFonts w:ascii="宋体" w:hAnsi="宋体"/>
          <w:color w:val="000000" w:themeColor="text1"/>
          <w:szCs w:val="21"/>
        </w:rPr>
      </w:pPr>
      <w:r>
        <w:rPr>
          <w:rFonts w:ascii="宋体" w:hAnsi="宋体" w:hint="eastAsia"/>
          <w:color w:val="000000" w:themeColor="text1"/>
          <w:szCs w:val="21"/>
        </w:rPr>
        <w:t>净资产收益率及每股收益</w:t>
      </w:r>
    </w:p>
    <w:sdt>
      <w:sdtPr>
        <w:rPr>
          <w:color w:val="000000" w:themeColor="text1"/>
        </w:rPr>
        <w:alias w:val="是否适用：净资产收益率及每股收益[双击切换]"/>
        <w:tag w:val="_GBC_75866ebc8d184cdd988e79330ad3b083"/>
        <w:id w:val="-1558777375"/>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2"/>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40"/>
        <w:gridCol w:w="1795"/>
        <w:gridCol w:w="2093"/>
        <w:gridCol w:w="2095"/>
      </w:tblGrid>
      <w:tr w:rsidR="00597370">
        <w:trPr>
          <w:trHeight w:val="270"/>
        </w:trPr>
        <w:sdt>
          <w:sdtPr>
            <w:rPr>
              <w:color w:val="000000" w:themeColor="text1"/>
            </w:rPr>
            <w:tag w:val="_PLD_680a8ba0e71a45459c0939cd6c78c07f"/>
            <w:id w:val="-1330980407"/>
          </w:sdtPr>
          <w:sdtEnd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color w:val="000000" w:themeColor="text1"/>
                  </w:rPr>
                  <w:t>报告期利润</w:t>
                </w:r>
              </w:p>
            </w:tc>
          </w:sdtContent>
        </w:sdt>
        <w:sdt>
          <w:sdtPr>
            <w:rPr>
              <w:color w:val="000000" w:themeColor="text1"/>
            </w:rPr>
            <w:tag w:val="_PLD_608d0086e1154f8ca6d3c34247132ef0"/>
            <w:id w:val="1273057336"/>
          </w:sdtPr>
          <w:sdtEndPr/>
          <w:sdtContent>
            <w:tc>
              <w:tcPr>
                <w:tcW w:w="1017" w:type="pct"/>
                <w:vMerge w:val="restart"/>
                <w:tcBorders>
                  <w:top w:val="single" w:sz="4" w:space="0" w:color="auto"/>
                  <w:left w:val="single" w:sz="4" w:space="0" w:color="auto"/>
                  <w:right w:val="single" w:sz="4" w:space="0" w:color="auto"/>
                </w:tcBorders>
                <w:vAlign w:val="center"/>
              </w:tcPr>
              <w:p w:rsidR="00597370" w:rsidRDefault="003C2EEE">
                <w:pPr>
                  <w:jc w:val="center"/>
                  <w:rPr>
                    <w:color w:val="000000" w:themeColor="text1"/>
                  </w:rPr>
                </w:pPr>
                <w:r>
                  <w:rPr>
                    <w:color w:val="000000" w:themeColor="text1"/>
                  </w:rPr>
                  <w:t>加权平均净资产收益率（%）</w:t>
                </w:r>
              </w:p>
            </w:tc>
          </w:sdtContent>
        </w:sdt>
        <w:sdt>
          <w:sdtPr>
            <w:rPr>
              <w:color w:val="000000" w:themeColor="text1"/>
            </w:rPr>
            <w:tag w:val="_PLD_8b4a0bf973be4a19862ac5168193db93"/>
            <w:id w:val="-898901889"/>
          </w:sdtPr>
          <w:sdtEnd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color w:val="000000" w:themeColor="text1"/>
                  </w:rPr>
                  <w:t>每股收益</w:t>
                </w:r>
              </w:p>
            </w:tc>
          </w:sdtContent>
        </w:sdt>
      </w:tr>
      <w:tr w:rsidR="00597370">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597370" w:rsidRDefault="00597370">
            <w:pPr>
              <w:jc w:val="center"/>
              <w:rPr>
                <w:color w:val="000000" w:themeColor="text1"/>
              </w:rPr>
            </w:pPr>
          </w:p>
        </w:tc>
        <w:tc>
          <w:tcPr>
            <w:tcW w:w="1017" w:type="pct"/>
            <w:vMerge/>
            <w:tcBorders>
              <w:left w:val="single" w:sz="4" w:space="0" w:color="auto"/>
              <w:bottom w:val="single" w:sz="4" w:space="0" w:color="auto"/>
              <w:right w:val="single" w:sz="4" w:space="0" w:color="auto"/>
            </w:tcBorders>
            <w:vAlign w:val="center"/>
          </w:tcPr>
          <w:p w:rsidR="00597370" w:rsidRDefault="00597370">
            <w:pPr>
              <w:jc w:val="center"/>
              <w:rPr>
                <w:color w:val="000000" w:themeColor="text1"/>
              </w:rPr>
            </w:pPr>
          </w:p>
        </w:tc>
        <w:sdt>
          <w:sdtPr>
            <w:rPr>
              <w:color w:val="000000" w:themeColor="text1"/>
            </w:rPr>
            <w:tag w:val="_PLD_45472770a81744249d77e54c2efc412a"/>
            <w:id w:val="-139661179"/>
          </w:sdtPr>
          <w:sdtEndPr/>
          <w:sdtContent>
            <w:tc>
              <w:tcPr>
                <w:tcW w:w="1186"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color w:val="000000" w:themeColor="text1"/>
                  </w:rPr>
                  <w:t>基本每股收益</w:t>
                </w:r>
              </w:p>
            </w:tc>
          </w:sdtContent>
        </w:sdt>
        <w:sdt>
          <w:sdtPr>
            <w:rPr>
              <w:color w:val="000000" w:themeColor="text1"/>
            </w:rPr>
            <w:tag w:val="_PLD_c4e5be0bbc134fa28e28895e1a12e02c"/>
            <w:id w:val="-2063481158"/>
          </w:sdtPr>
          <w:sdtEndPr/>
          <w:sdtContent>
            <w:tc>
              <w:tcPr>
                <w:tcW w:w="1187" w:type="pct"/>
                <w:tcBorders>
                  <w:top w:val="single" w:sz="4" w:space="0" w:color="auto"/>
                  <w:left w:val="single" w:sz="4" w:space="0" w:color="auto"/>
                  <w:bottom w:val="single" w:sz="4" w:space="0" w:color="auto"/>
                  <w:right w:val="single" w:sz="4" w:space="0" w:color="auto"/>
                </w:tcBorders>
                <w:vAlign w:val="center"/>
              </w:tcPr>
              <w:p w:rsidR="00597370" w:rsidRDefault="003C2EEE">
                <w:pPr>
                  <w:jc w:val="center"/>
                  <w:rPr>
                    <w:color w:val="000000" w:themeColor="text1"/>
                  </w:rPr>
                </w:pPr>
                <w:r>
                  <w:rPr>
                    <w:color w:val="000000" w:themeColor="text1"/>
                  </w:rPr>
                  <w:t>稀释每股收益</w:t>
                </w:r>
              </w:p>
            </w:tc>
          </w:sdtContent>
        </w:sdt>
      </w:tr>
      <w:tr w:rsidR="00597370">
        <w:trPr>
          <w:trHeight w:val="360"/>
        </w:trPr>
        <w:tc>
          <w:tcPr>
            <w:tcW w:w="1610"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color w:val="000000" w:themeColor="text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1.44</w:t>
            </w:r>
          </w:p>
        </w:tc>
        <w:tc>
          <w:tcPr>
            <w:tcW w:w="11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0.11</w:t>
            </w:r>
          </w:p>
        </w:tc>
        <w:tc>
          <w:tcPr>
            <w:tcW w:w="118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0.11</w:t>
            </w:r>
          </w:p>
        </w:tc>
      </w:tr>
      <w:tr w:rsidR="00597370">
        <w:trPr>
          <w:trHeight w:val="360"/>
        </w:trPr>
        <w:tc>
          <w:tcPr>
            <w:tcW w:w="1610" w:type="pct"/>
            <w:tcBorders>
              <w:top w:val="single" w:sz="4" w:space="0" w:color="auto"/>
              <w:left w:val="single" w:sz="4" w:space="0" w:color="auto"/>
              <w:bottom w:val="single" w:sz="4" w:space="0" w:color="auto"/>
              <w:right w:val="single" w:sz="4" w:space="0" w:color="auto"/>
            </w:tcBorders>
          </w:tcPr>
          <w:p w:rsidR="00597370" w:rsidRDefault="003C2EEE">
            <w:pPr>
              <w:rPr>
                <w:color w:val="000000" w:themeColor="text1"/>
              </w:rPr>
            </w:pPr>
            <w:r>
              <w:rPr>
                <w:color w:val="000000" w:themeColor="text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0.69</w:t>
            </w:r>
          </w:p>
        </w:tc>
        <w:tc>
          <w:tcPr>
            <w:tcW w:w="1186"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0.05</w:t>
            </w:r>
          </w:p>
        </w:tc>
        <w:tc>
          <w:tcPr>
            <w:tcW w:w="1187" w:type="pct"/>
            <w:tcBorders>
              <w:top w:val="single" w:sz="4" w:space="0" w:color="auto"/>
              <w:left w:val="single" w:sz="4" w:space="0" w:color="auto"/>
              <w:bottom w:val="single" w:sz="4" w:space="0" w:color="auto"/>
              <w:right w:val="single" w:sz="4" w:space="0" w:color="auto"/>
            </w:tcBorders>
            <w:vAlign w:val="center"/>
          </w:tcPr>
          <w:p w:rsidR="00597370" w:rsidRDefault="003C2EEE">
            <w:pPr>
              <w:jc w:val="right"/>
            </w:pPr>
            <w:r>
              <w:t>0.05</w:t>
            </w:r>
          </w:p>
        </w:tc>
      </w:tr>
    </w:tbl>
    <w:p w:rsidR="00597370" w:rsidRDefault="00597370">
      <w:pPr>
        <w:rPr>
          <w:color w:val="000000" w:themeColor="text1"/>
        </w:rPr>
      </w:pPr>
    </w:p>
    <w:p w:rsidR="00597370" w:rsidRDefault="003C2EEE">
      <w:pPr>
        <w:pStyle w:val="Style109"/>
        <w:numPr>
          <w:ilvl w:val="0"/>
          <w:numId w:val="121"/>
        </w:numPr>
        <w:rPr>
          <w:rFonts w:ascii="宋体" w:hAnsi="宋体"/>
          <w:color w:val="000000" w:themeColor="text1"/>
          <w:szCs w:val="21"/>
        </w:rPr>
      </w:pPr>
      <w:r>
        <w:rPr>
          <w:rFonts w:ascii="宋体" w:hAnsi="宋体" w:hint="eastAsia"/>
          <w:color w:val="000000" w:themeColor="text1"/>
          <w:szCs w:val="21"/>
        </w:rPr>
        <w:t>境内外会计准则下会计数据差异</w:t>
      </w:r>
    </w:p>
    <w:sdt>
      <w:sdtPr>
        <w:rPr>
          <w:color w:val="000000" w:themeColor="text1"/>
        </w:rPr>
        <w:alias w:val="是否适用：境内外会计准则下会计数据差异[双击切换]"/>
        <w:tag w:val="_GBC_3482333eff2948139884cfdd1debc958"/>
        <w:id w:val="808132572"/>
        <w:placeholder>
          <w:docPart w:val="GBC22222222222222222222222222222"/>
        </w:placeholder>
      </w:sdtPr>
      <w:sdtEndPr/>
      <w:sdtContent>
        <w:p w:rsidR="00597370" w:rsidRDefault="003C2EEE">
          <w:pPr>
            <w:rPr>
              <w:rFonts w:cstheme="minorBidi"/>
              <w:color w:val="000000" w:themeColor="text1"/>
              <w:kern w:val="2"/>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122"/>
        </w:numPr>
        <w:tabs>
          <w:tab w:val="left" w:pos="644"/>
        </w:tabs>
        <w:rPr>
          <w:rFonts w:ascii="宋体" w:hAnsi="宋体"/>
          <w:color w:val="000000" w:themeColor="text1"/>
          <w:szCs w:val="21"/>
        </w:rPr>
      </w:pPr>
      <w:r>
        <w:rPr>
          <w:rFonts w:ascii="宋体" w:hAnsi="宋体" w:hint="eastAsia"/>
          <w:color w:val="000000" w:themeColor="text1"/>
          <w:szCs w:val="21"/>
        </w:rPr>
        <w:t>同时按照国际会计准则与按中国会计准则披露的财务</w:t>
      </w:r>
      <w:proofErr w:type="gramStart"/>
      <w:r>
        <w:rPr>
          <w:rFonts w:ascii="宋体" w:hAnsi="宋体" w:hint="eastAsia"/>
          <w:color w:val="000000" w:themeColor="text1"/>
          <w:szCs w:val="21"/>
        </w:rPr>
        <w:t>报告中净利润</w:t>
      </w:r>
      <w:proofErr w:type="gramEnd"/>
      <w:r>
        <w:rPr>
          <w:rFonts w:ascii="宋体" w:hAnsi="宋体" w:hint="eastAsia"/>
          <w:color w:val="000000" w:themeColor="text1"/>
          <w:szCs w:val="21"/>
        </w:rPr>
        <w:t>和净资产差异情况</w:t>
      </w:r>
    </w:p>
    <w:sdt>
      <w:sdtPr>
        <w:rPr>
          <w:rFonts w:hint="eastAsia"/>
          <w:color w:val="000000" w:themeColor="text1"/>
        </w:rPr>
        <w:alias w:val="是否适用：同时按照国际会计准则与按中国会计准则披露的财务报告中净利润和净资产差异情况[双击切换]"/>
        <w:tag w:val="_GBC_d4b99094c68c4643b25e25a564d131d1"/>
        <w:id w:val="2087340448"/>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122"/>
        </w:numPr>
        <w:tabs>
          <w:tab w:val="left" w:pos="644"/>
        </w:tabs>
        <w:rPr>
          <w:rFonts w:ascii="宋体" w:hAnsi="宋体"/>
          <w:color w:val="000000" w:themeColor="text1"/>
          <w:szCs w:val="21"/>
        </w:rPr>
      </w:pPr>
      <w:r>
        <w:rPr>
          <w:rFonts w:ascii="宋体" w:hAnsi="宋体" w:hint="eastAsia"/>
          <w:color w:val="000000" w:themeColor="text1"/>
          <w:szCs w:val="21"/>
        </w:rPr>
        <w:t>同时按照境外会计准则与按中国会计准则披露的财务</w:t>
      </w:r>
      <w:proofErr w:type="gramStart"/>
      <w:r>
        <w:rPr>
          <w:rFonts w:ascii="宋体" w:hAnsi="宋体" w:hint="eastAsia"/>
          <w:color w:val="000000" w:themeColor="text1"/>
          <w:szCs w:val="21"/>
        </w:rPr>
        <w:t>报告中净利润</w:t>
      </w:r>
      <w:proofErr w:type="gramEnd"/>
      <w:r>
        <w:rPr>
          <w:rFonts w:ascii="宋体" w:hAnsi="宋体" w:hint="eastAsia"/>
          <w:color w:val="000000" w:themeColor="text1"/>
          <w:szCs w:val="21"/>
        </w:rPr>
        <w:t>和净资产差异情况</w:t>
      </w:r>
    </w:p>
    <w:sdt>
      <w:sdtPr>
        <w:rPr>
          <w:color w:val="000000" w:themeColor="text1"/>
        </w:rPr>
        <w:alias w:val="是否适用：同时按照境外会计准则与按中国会计准则披露的财务报告中净利润和净资产差异情况[双击切换]"/>
        <w:tag w:val="_GBC_843a3e6ff7b04c838cebdbe1b6b920a2"/>
        <w:id w:val="-1056243884"/>
        <w:placeholder>
          <w:docPart w:val="GBC22222222222222222222222222222"/>
        </w:placeholder>
      </w:sdtPr>
      <w:sdtEndPr/>
      <w:sdtContent>
        <w:p w:rsidR="00597370" w:rsidRDefault="003C2EEE">
          <w:pPr>
            <w:tabs>
              <w:tab w:val="left" w:pos="9720"/>
            </w:tabs>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4"/>
        <w:numPr>
          <w:ilvl w:val="0"/>
          <w:numId w:val="122"/>
        </w:numPr>
        <w:tabs>
          <w:tab w:val="left" w:pos="644"/>
        </w:tabs>
        <w:rPr>
          <w:rFonts w:ascii="宋体" w:hAnsi="宋体"/>
          <w:color w:val="000000" w:themeColor="text1"/>
          <w:szCs w:val="21"/>
        </w:rPr>
      </w:pPr>
      <w:r>
        <w:rPr>
          <w:rFonts w:ascii="宋体" w:hAnsi="宋体" w:hint="eastAsia"/>
          <w:color w:val="000000" w:themeColor="text1"/>
          <w:szCs w:val="21"/>
        </w:rPr>
        <w:t>境内外会计准则下会计数据差异说明，对已经境外审计机构审计的数据进行差异调节的，应注明该境外机构的名称。</w:t>
      </w:r>
    </w:p>
    <w:sdt>
      <w:sdtPr>
        <w:rPr>
          <w:color w:val="000000" w:themeColor="text1"/>
        </w:rPr>
        <w:alias w:val="是否适用：境内外会计准则下会计数据差异说明[双击切换]"/>
        <w:tag w:val="_GBC_62334d128084435e95edd8130b5dec58"/>
        <w:id w:val="-1740474898"/>
        <w:placeholder>
          <w:docPart w:val="GBC22222222222222222222222222222"/>
        </w:placeholder>
      </w:sdtPr>
      <w:sdtEndPr/>
      <w:sdtContent>
        <w:p w:rsidR="00597370" w:rsidRDefault="003C2EEE">
          <w:pPr>
            <w:rPr>
              <w:rFonts w:cstheme="minorBidi"/>
              <w:color w:val="000000" w:themeColor="text1"/>
              <w:kern w:val="2"/>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3C2EEE">
      <w:pPr>
        <w:pStyle w:val="Style109"/>
        <w:numPr>
          <w:ilvl w:val="0"/>
          <w:numId w:val="121"/>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补充资料其他说明事项[双击切换]"/>
        <w:tag w:val="_GBC_8954f89f8426424c966f1b658de53fe5"/>
        <w:id w:val="-1945453296"/>
        <w:placeholder>
          <w:docPart w:val="GBC22222222222222222222222222222"/>
        </w:placeholder>
      </w:sdt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rsidR="00597370" w:rsidRDefault="00597370">
      <w:pPr>
        <w:wordWrap w:val="0"/>
        <w:spacing w:line="360" w:lineRule="exact"/>
        <w:jc w:val="right"/>
        <w:rPr>
          <w:color w:val="000000" w:themeColor="text1"/>
        </w:rPr>
      </w:pPr>
      <w:bookmarkStart w:id="480" w:name="_Hlk76135020"/>
    </w:p>
    <w:p w:rsidR="00597370" w:rsidRDefault="003C2EEE">
      <w:pPr>
        <w:spacing w:line="360" w:lineRule="exact"/>
        <w:jc w:val="right"/>
        <w:rPr>
          <w:color w:val="000000" w:themeColor="text1"/>
          <w:u w:val="single"/>
        </w:rPr>
      </w:pPr>
      <w:r>
        <w:rPr>
          <w:color w:val="000000" w:themeColor="text1"/>
        </w:rPr>
        <w:lastRenderedPageBreak/>
        <w:t>董事长：</w:t>
      </w:r>
      <w:sdt>
        <w:sdtPr>
          <w:rPr>
            <w:color w:val="000000" w:themeColor="text1"/>
          </w:rPr>
          <w:alias w:val="报告发布人"/>
          <w:tag w:val="_GBC_f07cbb7287a94e798691f7fcb5112f49"/>
          <w:id w:val="1834023159"/>
          <w:placeholder>
            <w:docPart w:val="GBC22222222222222222222222222222"/>
          </w:placeholder>
        </w:sdtPr>
        <w:sdtEndPr/>
        <w:sdtContent>
          <w:r>
            <w:rPr>
              <w:rFonts w:hint="eastAsia"/>
              <w:color w:val="000000" w:themeColor="text1"/>
            </w:rPr>
            <w:t>杨泽民</w:t>
          </w:r>
        </w:sdtContent>
      </w:sdt>
      <w:r>
        <w:rPr>
          <w:rFonts w:hint="eastAsia"/>
          <w:color w:val="000000" w:themeColor="text1"/>
        </w:rPr>
        <w:t xml:space="preserve"> </w:t>
      </w:r>
    </w:p>
    <w:p w:rsidR="00597370" w:rsidRDefault="003C2EEE">
      <w:pPr>
        <w:spacing w:line="360" w:lineRule="exact"/>
        <w:jc w:val="right"/>
        <w:rPr>
          <w:color w:val="000000" w:themeColor="text1"/>
        </w:rPr>
      </w:pPr>
      <w:r>
        <w:rPr>
          <w:color w:val="000000" w:themeColor="text1"/>
        </w:rPr>
        <w:t>董事会批准报送日期：</w:t>
      </w:r>
      <w:sdt>
        <w:sdtPr>
          <w:rPr>
            <w:color w:val="000000" w:themeColor="text1"/>
          </w:rPr>
          <w:alias w:val="报告董事会批准报送日期"/>
          <w:tag w:val="_GBC_56d5d40e768a439aa604555fa2089c42"/>
          <w:id w:val="-1817410775"/>
          <w:placeholder>
            <w:docPart w:val="GBC22222222222222222222222222222"/>
          </w:placeholder>
          <w:date w:fullDate="2024-08-28T00:00:00Z">
            <w:dateFormat w:val="yyyy'年'M'月'd'日'"/>
            <w:lid w:val="zh-CN"/>
            <w:storeMappedDataAs w:val="dateTime"/>
            <w:calendar w:val="gregorian"/>
          </w:date>
        </w:sdtPr>
        <w:sdtEndPr/>
        <w:sdtContent>
          <w:r>
            <w:rPr>
              <w:rFonts w:hint="eastAsia"/>
              <w:color w:val="000000" w:themeColor="text1"/>
            </w:rPr>
            <w:t>2024年8月28日</w:t>
          </w:r>
        </w:sdtContent>
      </w:sdt>
      <w:r>
        <w:rPr>
          <w:rFonts w:hint="eastAsia"/>
          <w:color w:val="000000" w:themeColor="text1"/>
        </w:rPr>
        <w:t xml:space="preserve"> </w:t>
      </w:r>
    </w:p>
    <w:bookmarkEnd w:id="480"/>
    <w:p w:rsidR="00597370" w:rsidRDefault="00597370">
      <w:pPr>
        <w:rPr>
          <w:color w:val="000000" w:themeColor="text1"/>
        </w:rPr>
      </w:pPr>
    </w:p>
    <w:p w:rsidR="00597370" w:rsidRDefault="00597370">
      <w:pPr>
        <w:spacing w:line="360" w:lineRule="exact"/>
        <w:ind w:right="5"/>
        <w:rPr>
          <w:color w:val="000000" w:themeColor="text1"/>
          <w:u w:val="single"/>
        </w:rPr>
      </w:pPr>
    </w:p>
    <w:p w:rsidR="00597370" w:rsidRDefault="003C2EEE">
      <w:pPr>
        <w:spacing w:line="360" w:lineRule="exact"/>
        <w:ind w:right="5"/>
        <w:rPr>
          <w:b/>
          <w:color w:val="000000" w:themeColor="text1"/>
          <w:sz w:val="24"/>
        </w:rPr>
      </w:pPr>
      <w:r>
        <w:rPr>
          <w:b/>
          <w:color w:val="000000" w:themeColor="text1"/>
          <w:sz w:val="24"/>
        </w:rPr>
        <w:t>修订信息</w:t>
      </w:r>
    </w:p>
    <w:sdt>
      <w:sdtPr>
        <w:rPr>
          <w:b/>
          <w:color w:val="000000" w:themeColor="text1"/>
        </w:rPr>
        <w:alias w:val="是否适用：修订信息表[双击切换]"/>
        <w:tag w:val="_GBC_77b96fad3b8a43478db82cf4cb9686be"/>
        <w:id w:val="669445867"/>
        <w:placeholder>
          <w:docPart w:val="GBC22222222222222222222222222222"/>
        </w:placeholder>
      </w:sdtPr>
      <w:sdtEndPr>
        <w:rPr>
          <w:b w:val="0"/>
        </w:rPr>
      </w:sdtEndPr>
      <w:sdtContent>
        <w:p w:rsidR="00597370" w:rsidRDefault="003C2EEE">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sectPr w:rsidR="00597370">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D57" w:rsidRDefault="00FB1D57">
      <w:r>
        <w:separator/>
      </w:r>
    </w:p>
  </w:endnote>
  <w:endnote w:type="continuationSeparator" w:id="0">
    <w:p w:rsidR="00FB1D57" w:rsidRDefault="00FB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FZLTSK--GBK1-0">
    <w:altName w:val="Times New Roman"/>
    <w:panose1 w:val="00000000000000000000"/>
    <w:charset w:val="00"/>
    <w:family w:val="roman"/>
    <w:notTrueType/>
    <w:pitch w:val="default"/>
  </w:font>
  <w:font w:name="Noto Sans CJK JP Regular">
    <w:altName w:val="宋体"/>
    <w:panose1 w:val="00000000000000000000"/>
    <w:charset w:val="86"/>
    <w:family w:val="swiss"/>
    <w:notTrueType/>
    <w:pitch w:val="variable"/>
    <w:sig w:usb0="30000207" w:usb1="2BDF3C10" w:usb2="00000016" w:usb3="00000000" w:csb0="002E0107" w:csb1="00000000"/>
  </w:font>
  <w:font w:name="Helvetica">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方正超大字符集">
    <w:altName w:val="宋体"/>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9693435"/>
    </w:sdtPr>
    <w:sdtEndPr/>
    <w:sdtContent>
      <w:sdt>
        <w:sdtPr>
          <w:id w:val="1712079554"/>
        </w:sdtPr>
        <w:sdtEndPr/>
        <w:sdtContent>
          <w:p w:rsidR="000531C6" w:rsidRDefault="000531C6">
            <w:pPr>
              <w:pStyle w:val="af7"/>
              <w:jc w:val="center"/>
            </w:pPr>
            <w:r>
              <w:rPr>
                <w:b/>
                <w:bCs w:val="0"/>
                <w:sz w:val="24"/>
                <w:szCs w:val="24"/>
              </w:rPr>
              <w:fldChar w:fldCharType="begin"/>
            </w:r>
            <w:r>
              <w:rPr>
                <w:b/>
              </w:rPr>
              <w:instrText>PAGE</w:instrText>
            </w:r>
            <w:r>
              <w:rPr>
                <w:b/>
                <w:bCs w:val="0"/>
                <w:sz w:val="24"/>
                <w:szCs w:val="24"/>
              </w:rPr>
              <w:fldChar w:fldCharType="separate"/>
            </w:r>
            <w:r w:rsidR="006840ED">
              <w:rPr>
                <w:b/>
                <w:noProof/>
              </w:rPr>
              <w:t>178</w:t>
            </w:r>
            <w:r>
              <w:rPr>
                <w:b/>
                <w:bCs w:val="0"/>
                <w:sz w:val="24"/>
                <w:szCs w:val="24"/>
              </w:rPr>
              <w:fldChar w:fldCharType="end"/>
            </w:r>
            <w:r>
              <w:rPr>
                <w:lang w:val="zh-CN"/>
              </w:rPr>
              <w:t xml:space="preserve"> / </w:t>
            </w:r>
            <w:r>
              <w:rPr>
                <w:b/>
                <w:bCs w:val="0"/>
                <w:sz w:val="24"/>
                <w:szCs w:val="24"/>
              </w:rPr>
              <w:fldChar w:fldCharType="begin"/>
            </w:r>
            <w:r>
              <w:rPr>
                <w:b/>
              </w:rPr>
              <w:instrText>NUMPAGES</w:instrText>
            </w:r>
            <w:r>
              <w:rPr>
                <w:b/>
                <w:bCs w:val="0"/>
                <w:sz w:val="24"/>
                <w:szCs w:val="24"/>
              </w:rPr>
              <w:fldChar w:fldCharType="separate"/>
            </w:r>
            <w:r w:rsidR="006840ED">
              <w:rPr>
                <w:b/>
                <w:noProof/>
              </w:rPr>
              <w:t>207</w:t>
            </w:r>
            <w:r>
              <w:rPr>
                <w:b/>
                <w:bCs w:val="0"/>
                <w:sz w:val="24"/>
                <w:szCs w:val="24"/>
              </w:rPr>
              <w:fldChar w:fldCharType="end"/>
            </w:r>
          </w:p>
        </w:sdtContent>
      </w:sdt>
    </w:sdtContent>
  </w:sdt>
  <w:p w:rsidR="000531C6" w:rsidRDefault="000531C6">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D57" w:rsidRDefault="00FB1D57">
      <w:r>
        <w:separator/>
      </w:r>
    </w:p>
  </w:footnote>
  <w:footnote w:type="continuationSeparator" w:id="0">
    <w:p w:rsidR="00FB1D57" w:rsidRDefault="00FB1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1C6" w:rsidRDefault="000531C6">
    <w:pPr>
      <w:pStyle w:val="af9"/>
      <w:tabs>
        <w:tab w:val="clear" w:pos="8306"/>
        <w:tab w:val="left" w:pos="8364"/>
        <w:tab w:val="left" w:pos="8505"/>
      </w:tabs>
      <w:ind w:rightChars="10" w:right="21"/>
      <w:rPr>
        <w:b/>
      </w:rPr>
    </w:pPr>
    <w:r>
      <w:rPr>
        <w:rFonts w:hint="eastAsia"/>
      </w:rPr>
      <w:t>2024</w:t>
    </w:r>
    <w:r>
      <w:rPr>
        <w:rFonts w:hint="eastAsia"/>
      </w:rPr>
      <w:t>年半年度报告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64A"/>
    <w:multiLevelType w:val="multilevel"/>
    <w:tmpl w:val="0112364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15835FD"/>
    <w:multiLevelType w:val="multilevel"/>
    <w:tmpl w:val="015835FD"/>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0175011C"/>
    <w:multiLevelType w:val="multilevel"/>
    <w:tmpl w:val="0175011C"/>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01E0209A"/>
    <w:multiLevelType w:val="multilevel"/>
    <w:tmpl w:val="01E0209A"/>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2120CFB"/>
    <w:multiLevelType w:val="multilevel"/>
    <w:tmpl w:val="02120CFB"/>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021931B8"/>
    <w:multiLevelType w:val="multilevel"/>
    <w:tmpl w:val="021931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2AF1499"/>
    <w:multiLevelType w:val="multilevel"/>
    <w:tmpl w:val="02AF1499"/>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04C0645D"/>
    <w:multiLevelType w:val="multilevel"/>
    <w:tmpl w:val="04C0645D"/>
    <w:lvl w:ilvl="0">
      <w:start w:val="1"/>
      <w:numFmt w:val="decimal"/>
      <w:lvlText w:val="%1."/>
      <w:lvlJc w:val="left"/>
      <w:pPr>
        <w:ind w:left="420" w:hanging="420"/>
      </w:pPr>
      <w:rPr>
        <w:rFonts w:asciiTheme="minorEastAsia" w:eastAsiaTheme="minorEastAsia" w:hAnsiTheme="min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4F14F02"/>
    <w:multiLevelType w:val="multilevel"/>
    <w:tmpl w:val="04F14F0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15:restartNumberingAfterBreak="0">
    <w:nsid w:val="05412F50"/>
    <w:multiLevelType w:val="multilevel"/>
    <w:tmpl w:val="05412F50"/>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06B916F8"/>
    <w:multiLevelType w:val="multilevel"/>
    <w:tmpl w:val="06B916F8"/>
    <w:lvl w:ilvl="0">
      <w:start w:val="1"/>
      <w:numFmt w:val="decimal"/>
      <w:suff w:val="nothing"/>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07660286"/>
    <w:multiLevelType w:val="multilevel"/>
    <w:tmpl w:val="0766028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077C4141"/>
    <w:multiLevelType w:val="multilevel"/>
    <w:tmpl w:val="077C4141"/>
    <w:lvl w:ilvl="0">
      <w:start w:val="1"/>
      <w:numFmt w:val="decimal"/>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DC01FD5"/>
    <w:multiLevelType w:val="multilevel"/>
    <w:tmpl w:val="0DC01FD5"/>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0EE939DD"/>
    <w:multiLevelType w:val="hybridMultilevel"/>
    <w:tmpl w:val="4838E57A"/>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1120CE2"/>
    <w:multiLevelType w:val="multilevel"/>
    <w:tmpl w:val="11120CE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118B287C"/>
    <w:multiLevelType w:val="multilevel"/>
    <w:tmpl w:val="118B287C"/>
    <w:lvl w:ilvl="0">
      <w:start w:val="1"/>
      <w:numFmt w:val="decimal"/>
      <w:lvlText w:val="(%1). "/>
      <w:lvlJc w:val="left"/>
      <w:pPr>
        <w:ind w:left="420" w:hanging="420"/>
      </w:pPr>
      <w:rPr>
        <w:rFonts w:ascii="宋体" w:eastAsia="宋体" w:hAnsi="宋体" w:hint="default"/>
        <w:b/>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5A1647A"/>
    <w:multiLevelType w:val="multilevel"/>
    <w:tmpl w:val="15A1647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15C55544"/>
    <w:multiLevelType w:val="multilevel"/>
    <w:tmpl w:val="15C5554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163637F4"/>
    <w:multiLevelType w:val="multilevel"/>
    <w:tmpl w:val="163637F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16B72864"/>
    <w:multiLevelType w:val="multilevel"/>
    <w:tmpl w:val="16B7286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1" w15:restartNumberingAfterBreak="0">
    <w:nsid w:val="178B5BDA"/>
    <w:multiLevelType w:val="multilevel"/>
    <w:tmpl w:val="178B5BDA"/>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17C10D66"/>
    <w:multiLevelType w:val="multilevel"/>
    <w:tmpl w:val="17C10D66"/>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3" w15:restartNumberingAfterBreak="0">
    <w:nsid w:val="187E446C"/>
    <w:multiLevelType w:val="multilevel"/>
    <w:tmpl w:val="187E446C"/>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15:restartNumberingAfterBreak="0">
    <w:nsid w:val="19045DA2"/>
    <w:multiLevelType w:val="multilevel"/>
    <w:tmpl w:val="19045DA2"/>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1A097A98"/>
    <w:multiLevelType w:val="multilevel"/>
    <w:tmpl w:val="1A097A9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1A5C649F"/>
    <w:multiLevelType w:val="multilevel"/>
    <w:tmpl w:val="1A5C649F"/>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1C7572FF"/>
    <w:multiLevelType w:val="multilevel"/>
    <w:tmpl w:val="1C7572FF"/>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8" w15:restartNumberingAfterBreak="0">
    <w:nsid w:val="1CDD04D1"/>
    <w:multiLevelType w:val="multilevel"/>
    <w:tmpl w:val="1CDD04D1"/>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1F7C2002"/>
    <w:multiLevelType w:val="multilevel"/>
    <w:tmpl w:val="1F7C200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15:restartNumberingAfterBreak="0">
    <w:nsid w:val="21056F27"/>
    <w:multiLevelType w:val="multilevel"/>
    <w:tmpl w:val="21056F27"/>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21A7360C"/>
    <w:multiLevelType w:val="multilevel"/>
    <w:tmpl w:val="21A7360C"/>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15:restartNumberingAfterBreak="0">
    <w:nsid w:val="21F2094B"/>
    <w:multiLevelType w:val="multilevel"/>
    <w:tmpl w:val="21F2094B"/>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23145F5C"/>
    <w:multiLevelType w:val="multilevel"/>
    <w:tmpl w:val="23145F5C"/>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235B092C"/>
    <w:multiLevelType w:val="multilevel"/>
    <w:tmpl w:val="235B092C"/>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5" w15:restartNumberingAfterBreak="0">
    <w:nsid w:val="23633F76"/>
    <w:multiLevelType w:val="multilevel"/>
    <w:tmpl w:val="23633F7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236A568B"/>
    <w:multiLevelType w:val="singleLevel"/>
    <w:tmpl w:val="236A568B"/>
    <w:lvl w:ilvl="0">
      <w:start w:val="1"/>
      <w:numFmt w:val="decimal"/>
      <w:suff w:val="nothing"/>
      <w:lvlText w:val="（%1）"/>
      <w:lvlJc w:val="left"/>
    </w:lvl>
  </w:abstractNum>
  <w:abstractNum w:abstractNumId="37" w15:restartNumberingAfterBreak="0">
    <w:nsid w:val="23AC2384"/>
    <w:multiLevelType w:val="multilevel"/>
    <w:tmpl w:val="23AC2384"/>
    <w:lvl w:ilvl="0">
      <w:start w:val="1"/>
      <w:numFmt w:val="decimal"/>
      <w:lvlText w:val="%1、"/>
      <w:lvlJc w:val="left"/>
      <w:pPr>
        <w:ind w:left="360" w:hanging="360"/>
      </w:pPr>
      <w:rPr>
        <w:rFonts w:asci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24E76707"/>
    <w:multiLevelType w:val="multilevel"/>
    <w:tmpl w:val="24E76707"/>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15:restartNumberingAfterBreak="0">
    <w:nsid w:val="25DA6733"/>
    <w:multiLevelType w:val="multilevel"/>
    <w:tmpl w:val="25DA673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15:restartNumberingAfterBreak="0">
    <w:nsid w:val="26954A50"/>
    <w:multiLevelType w:val="multilevel"/>
    <w:tmpl w:val="26954A5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1" w15:restartNumberingAfterBreak="0">
    <w:nsid w:val="269673B8"/>
    <w:multiLevelType w:val="multilevel"/>
    <w:tmpl w:val="26967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15:restartNumberingAfterBreak="0">
    <w:nsid w:val="26E84AE1"/>
    <w:multiLevelType w:val="multilevel"/>
    <w:tmpl w:val="26E84AE1"/>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28127249"/>
    <w:multiLevelType w:val="multilevel"/>
    <w:tmpl w:val="28127249"/>
    <w:lvl w:ilvl="0">
      <w:start w:val="1"/>
      <w:numFmt w:val="decimal"/>
      <w:lvlText w:val="%1、"/>
      <w:lvlJc w:val="left"/>
      <w:pPr>
        <w:ind w:left="420" w:hanging="420"/>
      </w:pPr>
      <w:rPr>
        <w:rFonts w:ascii="宋体" w:eastAsia="宋体" w:hAnsi="宋体"/>
        <w:b/>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28545176"/>
    <w:multiLevelType w:val="multilevel"/>
    <w:tmpl w:val="28545176"/>
    <w:lvl w:ilvl="0">
      <w:start w:val="1"/>
      <w:numFmt w:val="decimal"/>
      <w:lvlText w:val="(%1)"/>
      <w:lvlJc w:val="left"/>
      <w:pPr>
        <w:ind w:left="360" w:hanging="360"/>
      </w:pPr>
      <w:rPr>
        <w:rFonts w:asciiTheme="minorEastAsia" w:eastAsiaTheme="minorEastAsia" w:hAnsi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2973603F"/>
    <w:multiLevelType w:val="multilevel"/>
    <w:tmpl w:val="2973603F"/>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299862C7"/>
    <w:multiLevelType w:val="multilevel"/>
    <w:tmpl w:val="299862C7"/>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7" w15:restartNumberingAfterBreak="0">
    <w:nsid w:val="29C6396E"/>
    <w:multiLevelType w:val="multilevel"/>
    <w:tmpl w:val="29C6396E"/>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2C3A5BF0"/>
    <w:multiLevelType w:val="multilevel"/>
    <w:tmpl w:val="2C3A5BF0"/>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142"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9" w15:restartNumberingAfterBreak="0">
    <w:nsid w:val="2F650328"/>
    <w:multiLevelType w:val="multilevel"/>
    <w:tmpl w:val="2F650328"/>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15:restartNumberingAfterBreak="0">
    <w:nsid w:val="31C05CD3"/>
    <w:multiLevelType w:val="multilevel"/>
    <w:tmpl w:val="31C05CD3"/>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32E77D6E"/>
    <w:multiLevelType w:val="multilevel"/>
    <w:tmpl w:val="32E77D6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15:restartNumberingAfterBreak="0">
    <w:nsid w:val="334764C4"/>
    <w:multiLevelType w:val="multilevel"/>
    <w:tmpl w:val="334764C4"/>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3" w15:restartNumberingAfterBreak="0">
    <w:nsid w:val="34B37CB8"/>
    <w:multiLevelType w:val="multilevel"/>
    <w:tmpl w:val="34B37CB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35C749FC"/>
    <w:multiLevelType w:val="multilevel"/>
    <w:tmpl w:val="35C749FC"/>
    <w:lvl w:ilvl="0">
      <w:start w:val="1"/>
      <w:numFmt w:val="decimal"/>
      <w:suff w:val="nothing"/>
      <w:lvlText w:val="(%1). "/>
      <w:lvlJc w:val="left"/>
      <w:pPr>
        <w:ind w:left="420" w:hanging="420"/>
      </w:pPr>
      <w:rPr>
        <w:rFonts w:ascii="宋体" w:eastAsia="宋体" w:hAnsi="宋体"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365C12F5"/>
    <w:multiLevelType w:val="multilevel"/>
    <w:tmpl w:val="365C12F5"/>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15:restartNumberingAfterBreak="0">
    <w:nsid w:val="36C1456D"/>
    <w:multiLevelType w:val="multilevel"/>
    <w:tmpl w:val="36C1456D"/>
    <w:lvl w:ilvl="0">
      <w:start w:val="1"/>
      <w:numFmt w:val="decimal"/>
      <w:lvlText w:val="(%1)"/>
      <w:lvlJc w:val="left"/>
      <w:pPr>
        <w:ind w:left="425" w:hanging="425"/>
      </w:pPr>
      <w:rPr>
        <w:rFonts w:ascii="宋体" w:eastAsia="宋体" w:hAnsi="宋体"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7" w15:restartNumberingAfterBreak="0">
    <w:nsid w:val="36E107D0"/>
    <w:multiLevelType w:val="multilevel"/>
    <w:tmpl w:val="36E107D0"/>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8" w15:restartNumberingAfterBreak="0">
    <w:nsid w:val="37A5034D"/>
    <w:multiLevelType w:val="multilevel"/>
    <w:tmpl w:val="37A5034D"/>
    <w:lvl w:ilvl="0">
      <w:start w:val="1"/>
      <w:numFmt w:val="decimal"/>
      <w:suff w:val="nothing"/>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3898512E"/>
    <w:multiLevelType w:val="multilevel"/>
    <w:tmpl w:val="3898512E"/>
    <w:lvl w:ilvl="0">
      <w:start w:val="1"/>
      <w:numFmt w:val="decimal"/>
      <w:suff w:val="nothing"/>
      <w:lvlText w:val="(%1)."/>
      <w:lvlJc w:val="left"/>
      <w:pPr>
        <w:ind w:left="440" w:hanging="440"/>
      </w:pPr>
      <w:rPr>
        <w:rFonts w:asciiTheme="minorEastAsia" w:eastAsia="宋体" w:hAnsiTheme="minorEastAsia" w:hint="eastAsia"/>
        <w:b/>
        <w:bCs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0" w15:restartNumberingAfterBreak="0">
    <w:nsid w:val="3B0B5CE8"/>
    <w:multiLevelType w:val="multilevel"/>
    <w:tmpl w:val="3B0B5CE8"/>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1" w15:restartNumberingAfterBreak="0">
    <w:nsid w:val="3BA863CB"/>
    <w:multiLevelType w:val="multilevel"/>
    <w:tmpl w:val="3BA863CB"/>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2" w15:restartNumberingAfterBreak="0">
    <w:nsid w:val="3C710BDA"/>
    <w:multiLevelType w:val="multilevel"/>
    <w:tmpl w:val="3C710BDA"/>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3" w15:restartNumberingAfterBreak="0">
    <w:nsid w:val="3ED65953"/>
    <w:multiLevelType w:val="multilevel"/>
    <w:tmpl w:val="3ED65953"/>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4" w15:restartNumberingAfterBreak="0">
    <w:nsid w:val="3F375B42"/>
    <w:multiLevelType w:val="multilevel"/>
    <w:tmpl w:val="3F375B42"/>
    <w:lvl w:ilvl="0">
      <w:start w:val="1"/>
      <w:numFmt w:val="decimal"/>
      <w:lvlText w:val="(%1)."/>
      <w:lvlJc w:val="left"/>
      <w:pPr>
        <w:ind w:left="420"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41842B09"/>
    <w:multiLevelType w:val="multilevel"/>
    <w:tmpl w:val="41842B09"/>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6" w15:restartNumberingAfterBreak="0">
    <w:nsid w:val="41C156BA"/>
    <w:multiLevelType w:val="multilevel"/>
    <w:tmpl w:val="41C156BA"/>
    <w:lvl w:ilvl="0">
      <w:start w:val="1"/>
      <w:numFmt w:val="decimal"/>
      <w:lvlText w:val="(%1)."/>
      <w:lvlJc w:val="left"/>
      <w:pPr>
        <w:ind w:left="545" w:hanging="440"/>
      </w:pPr>
      <w:rPr>
        <w:rFonts w:asciiTheme="majorEastAsia" w:eastAsiaTheme="majorEastAsia"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67" w15:restartNumberingAfterBreak="0">
    <w:nsid w:val="430B50C9"/>
    <w:multiLevelType w:val="multilevel"/>
    <w:tmpl w:val="430B50C9"/>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8" w15:restartNumberingAfterBreak="0">
    <w:nsid w:val="434853F2"/>
    <w:multiLevelType w:val="multilevel"/>
    <w:tmpl w:val="434853F2"/>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449D0DD1"/>
    <w:multiLevelType w:val="multilevel"/>
    <w:tmpl w:val="449D0DD1"/>
    <w:lvl w:ilvl="0">
      <w:start w:val="1"/>
      <w:numFmt w:val="decimal"/>
      <w:lvlText w:val="(%1). "/>
      <w:lvlJc w:val="left"/>
      <w:pPr>
        <w:ind w:left="704"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0" w15:restartNumberingAfterBreak="0">
    <w:nsid w:val="45E061E0"/>
    <w:multiLevelType w:val="multilevel"/>
    <w:tmpl w:val="45E061E0"/>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1" w15:restartNumberingAfterBreak="0">
    <w:nsid w:val="478214A7"/>
    <w:multiLevelType w:val="multilevel"/>
    <w:tmpl w:val="478214A7"/>
    <w:lvl w:ilvl="0">
      <w:start w:val="1"/>
      <w:numFmt w:val="decimal"/>
      <w:lvlText w:val="(%1)."/>
      <w:lvlJc w:val="left"/>
      <w:pPr>
        <w:ind w:left="545" w:hanging="440"/>
      </w:pPr>
      <w:rPr>
        <w:rFonts w:asciiTheme="majorEastAsia" w:eastAsiaTheme="majorEastAsia"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72" w15:restartNumberingAfterBreak="0">
    <w:nsid w:val="4855227D"/>
    <w:multiLevelType w:val="multilevel"/>
    <w:tmpl w:val="4855227D"/>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3" w15:restartNumberingAfterBreak="0">
    <w:nsid w:val="49B60AA6"/>
    <w:multiLevelType w:val="multilevel"/>
    <w:tmpl w:val="49B60AA6"/>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4" w15:restartNumberingAfterBreak="0">
    <w:nsid w:val="4A0F6AD0"/>
    <w:multiLevelType w:val="multilevel"/>
    <w:tmpl w:val="4A0F6AD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5" w15:restartNumberingAfterBreak="0">
    <w:nsid w:val="4A2B2057"/>
    <w:multiLevelType w:val="multilevel"/>
    <w:tmpl w:val="4A2B205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15:restartNumberingAfterBreak="0">
    <w:nsid w:val="4B496982"/>
    <w:multiLevelType w:val="multilevel"/>
    <w:tmpl w:val="4B49698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15:restartNumberingAfterBreak="0">
    <w:nsid w:val="4D4E7925"/>
    <w:multiLevelType w:val="multilevel"/>
    <w:tmpl w:val="4D4E7925"/>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15:restartNumberingAfterBreak="0">
    <w:nsid w:val="4E0B4E76"/>
    <w:multiLevelType w:val="multilevel"/>
    <w:tmpl w:val="4E0B4E7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9" w15:restartNumberingAfterBreak="0">
    <w:nsid w:val="4E991578"/>
    <w:multiLevelType w:val="multilevel"/>
    <w:tmpl w:val="4E991578"/>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15:restartNumberingAfterBreak="0">
    <w:nsid w:val="4FBC33C8"/>
    <w:multiLevelType w:val="multilevel"/>
    <w:tmpl w:val="4FBC33C8"/>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1" w15:restartNumberingAfterBreak="0">
    <w:nsid w:val="50162AFE"/>
    <w:multiLevelType w:val="multilevel"/>
    <w:tmpl w:val="50162AFE"/>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2" w15:restartNumberingAfterBreak="0">
    <w:nsid w:val="513B13BB"/>
    <w:multiLevelType w:val="multilevel"/>
    <w:tmpl w:val="513B13BB"/>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3" w15:restartNumberingAfterBreak="0">
    <w:nsid w:val="52A377D5"/>
    <w:multiLevelType w:val="multilevel"/>
    <w:tmpl w:val="52A377D5"/>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4" w15:restartNumberingAfterBreak="0">
    <w:nsid w:val="55C41A1C"/>
    <w:multiLevelType w:val="multilevel"/>
    <w:tmpl w:val="55C41A1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5" w15:restartNumberingAfterBreak="0">
    <w:nsid w:val="561B01E5"/>
    <w:multiLevelType w:val="multilevel"/>
    <w:tmpl w:val="561B01E5"/>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6" w15:restartNumberingAfterBreak="0">
    <w:nsid w:val="5654102A"/>
    <w:multiLevelType w:val="multilevel"/>
    <w:tmpl w:val="5654102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7" w15:restartNumberingAfterBreak="0">
    <w:nsid w:val="59374BF2"/>
    <w:multiLevelType w:val="multilevel"/>
    <w:tmpl w:val="59374BF2"/>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5B1E563D"/>
    <w:multiLevelType w:val="multilevel"/>
    <w:tmpl w:val="5B1E563D"/>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9" w15:restartNumberingAfterBreak="0">
    <w:nsid w:val="5D857A3E"/>
    <w:multiLevelType w:val="multilevel"/>
    <w:tmpl w:val="5D857A3E"/>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0" w15:restartNumberingAfterBreak="0">
    <w:nsid w:val="5E202DD4"/>
    <w:multiLevelType w:val="multilevel"/>
    <w:tmpl w:val="5E202DD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15:restartNumberingAfterBreak="0">
    <w:nsid w:val="603762D4"/>
    <w:multiLevelType w:val="multilevel"/>
    <w:tmpl w:val="603762D4"/>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2" w15:restartNumberingAfterBreak="0">
    <w:nsid w:val="62C432D0"/>
    <w:multiLevelType w:val="multilevel"/>
    <w:tmpl w:val="62C432D0"/>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3" w15:restartNumberingAfterBreak="0">
    <w:nsid w:val="63D35ED1"/>
    <w:multiLevelType w:val="multilevel"/>
    <w:tmpl w:val="63D35ED1"/>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65693F27"/>
    <w:multiLevelType w:val="multilevel"/>
    <w:tmpl w:val="65693F27"/>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5" w15:restartNumberingAfterBreak="0">
    <w:nsid w:val="667D1565"/>
    <w:multiLevelType w:val="multilevel"/>
    <w:tmpl w:val="667D1565"/>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6" w15:restartNumberingAfterBreak="0">
    <w:nsid w:val="67D11663"/>
    <w:multiLevelType w:val="multilevel"/>
    <w:tmpl w:val="67D11663"/>
    <w:lvl w:ilvl="0">
      <w:start w:val="1"/>
      <w:numFmt w:val="decimal"/>
      <w:lvlText w:val="(%1)"/>
      <w:lvlJc w:val="left"/>
      <w:pPr>
        <w:ind w:left="360" w:hanging="360"/>
      </w:pPr>
      <w:rPr>
        <w:rFonts w:asciiTheme="minorEastAsia" w:eastAsiaTheme="minorEastAsia" w:hAnsi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7" w15:restartNumberingAfterBreak="0">
    <w:nsid w:val="6A1506D2"/>
    <w:multiLevelType w:val="multilevel"/>
    <w:tmpl w:val="6A1506D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8" w15:restartNumberingAfterBreak="0">
    <w:nsid w:val="6B7005F7"/>
    <w:multiLevelType w:val="multilevel"/>
    <w:tmpl w:val="6B7005F7"/>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15:restartNumberingAfterBreak="0">
    <w:nsid w:val="6BFE35EE"/>
    <w:multiLevelType w:val="multilevel"/>
    <w:tmpl w:val="6BFE35EE"/>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0" w15:restartNumberingAfterBreak="0">
    <w:nsid w:val="6CBF1DFF"/>
    <w:multiLevelType w:val="multilevel"/>
    <w:tmpl w:val="6CBF1DFF"/>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15:restartNumberingAfterBreak="0">
    <w:nsid w:val="6D883A3B"/>
    <w:multiLevelType w:val="multilevel"/>
    <w:tmpl w:val="6D883A3B"/>
    <w:lvl w:ilvl="0">
      <w:start w:val="1"/>
      <w:numFmt w:val="chineseCountingThousand"/>
      <w:lvlText w:val="%1、"/>
      <w:lvlJc w:val="left"/>
      <w:pPr>
        <w:ind w:left="704" w:hanging="420"/>
      </w:pPr>
      <w:rPr>
        <w:rFonts w:hint="default"/>
        <w:b/>
        <w:i w:val="0"/>
        <w:color w:val="auto"/>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2" w15:restartNumberingAfterBreak="0">
    <w:nsid w:val="6DB469B1"/>
    <w:multiLevelType w:val="multilevel"/>
    <w:tmpl w:val="6DB469B1"/>
    <w:lvl w:ilvl="0">
      <w:start w:val="1"/>
      <w:numFmt w:val="chineseCountingThousand"/>
      <w:suff w:val="space"/>
      <w:lvlText w:val="(%1)"/>
      <w:lvlJc w:val="left"/>
      <w:pPr>
        <w:ind w:left="420" w:hanging="420"/>
      </w:pPr>
      <w:rPr>
        <w:rFonts w:hint="eastAsia"/>
      </w:rPr>
    </w:lvl>
    <w:lvl w:ilvl="1">
      <w:start w:val="1"/>
      <w:numFmt w:val="decimal"/>
      <w:lvlText w:val="(%2). "/>
      <w:lvlJc w:val="left"/>
      <w:pPr>
        <w:ind w:left="840" w:hanging="420"/>
      </w:pPr>
      <w:rPr>
        <w:rFonts w:ascii="宋体" w:eastAsia="宋体" w:hAnsi="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3" w15:restartNumberingAfterBreak="0">
    <w:nsid w:val="6DD71B1D"/>
    <w:multiLevelType w:val="multilevel"/>
    <w:tmpl w:val="6DD71B1D"/>
    <w:lvl w:ilvl="0">
      <w:start w:val="1"/>
      <w:numFmt w:val="chineseCountingThousand"/>
      <w:lvlText w:val="(%1)"/>
      <w:lvlJc w:val="left"/>
      <w:pPr>
        <w:ind w:left="420" w:hanging="420"/>
      </w:pPr>
      <w:rPr>
        <w:rFonts w:asciiTheme="minorHAnsi" w:hAnsiTheme="minorHAnsi" w:hint="default"/>
      </w:r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4" w15:restartNumberingAfterBreak="0">
    <w:nsid w:val="6FBC46A6"/>
    <w:multiLevelType w:val="multilevel"/>
    <w:tmpl w:val="6FBC46A6"/>
    <w:lvl w:ilvl="0">
      <w:start w:val="1"/>
      <w:numFmt w:val="decimal"/>
      <w:lvlText w:val="(%1)."/>
      <w:lvlJc w:val="left"/>
      <w:pPr>
        <w:ind w:left="545" w:hanging="440"/>
      </w:pPr>
      <w:rPr>
        <w:rFonts w:asciiTheme="majorEastAsia" w:eastAsiaTheme="majorEastAsia"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05" w15:restartNumberingAfterBreak="0">
    <w:nsid w:val="711B5FB6"/>
    <w:multiLevelType w:val="multilevel"/>
    <w:tmpl w:val="711B5FB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6" w15:restartNumberingAfterBreak="0">
    <w:nsid w:val="71761DF1"/>
    <w:multiLevelType w:val="multilevel"/>
    <w:tmpl w:val="71761DF1"/>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7" w15:restartNumberingAfterBreak="0">
    <w:nsid w:val="73FB32C4"/>
    <w:multiLevelType w:val="multilevel"/>
    <w:tmpl w:val="73FB32C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8" w15:restartNumberingAfterBreak="0">
    <w:nsid w:val="74CC1670"/>
    <w:multiLevelType w:val="multilevel"/>
    <w:tmpl w:val="74CC1670"/>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9" w15:restartNumberingAfterBreak="0">
    <w:nsid w:val="75E51CAB"/>
    <w:multiLevelType w:val="multilevel"/>
    <w:tmpl w:val="75E51CAB"/>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0" w15:restartNumberingAfterBreak="0">
    <w:nsid w:val="764202AC"/>
    <w:multiLevelType w:val="multilevel"/>
    <w:tmpl w:val="764202AC"/>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1" w15:restartNumberingAfterBreak="0">
    <w:nsid w:val="76C94113"/>
    <w:multiLevelType w:val="multilevel"/>
    <w:tmpl w:val="76C94113"/>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2" w15:restartNumberingAfterBreak="0">
    <w:nsid w:val="76CD738F"/>
    <w:multiLevelType w:val="multilevel"/>
    <w:tmpl w:val="76CD738F"/>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3" w15:restartNumberingAfterBreak="0">
    <w:nsid w:val="77147F55"/>
    <w:multiLevelType w:val="multilevel"/>
    <w:tmpl w:val="77147F55"/>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4" w15:restartNumberingAfterBreak="0">
    <w:nsid w:val="772B7E65"/>
    <w:multiLevelType w:val="hybridMultilevel"/>
    <w:tmpl w:val="65E8EF9E"/>
    <w:lvl w:ilvl="0" w:tplc="4C049DDE">
      <w:start w:val="1"/>
      <w:numFmt w:val="japaneseCounting"/>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15:restartNumberingAfterBreak="0">
    <w:nsid w:val="778614DB"/>
    <w:multiLevelType w:val="multilevel"/>
    <w:tmpl w:val="778614DB"/>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6" w15:restartNumberingAfterBreak="0">
    <w:nsid w:val="7A8939DE"/>
    <w:multiLevelType w:val="multilevel"/>
    <w:tmpl w:val="7A8939DE"/>
    <w:lvl w:ilvl="0">
      <w:start w:val="1"/>
      <w:numFmt w:val="decimal"/>
      <w:suff w:val="nothing"/>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7" w15:restartNumberingAfterBreak="0">
    <w:nsid w:val="7AA01580"/>
    <w:multiLevelType w:val="multilevel"/>
    <w:tmpl w:val="7AA0158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8" w15:restartNumberingAfterBreak="0">
    <w:nsid w:val="7B1F25CE"/>
    <w:multiLevelType w:val="multilevel"/>
    <w:tmpl w:val="7B1F25CE"/>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9" w15:restartNumberingAfterBreak="0">
    <w:nsid w:val="7BA543C4"/>
    <w:multiLevelType w:val="multilevel"/>
    <w:tmpl w:val="7BA543C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0" w15:restartNumberingAfterBreak="0">
    <w:nsid w:val="7C092E99"/>
    <w:multiLevelType w:val="multilevel"/>
    <w:tmpl w:val="7C092E99"/>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1" w15:restartNumberingAfterBreak="0">
    <w:nsid w:val="7C7022E4"/>
    <w:multiLevelType w:val="multilevel"/>
    <w:tmpl w:val="7C7022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2" w15:restartNumberingAfterBreak="0">
    <w:nsid w:val="7D836860"/>
    <w:multiLevelType w:val="multilevel"/>
    <w:tmpl w:val="7D836860"/>
    <w:lvl w:ilvl="0">
      <w:start w:val="1"/>
      <w:numFmt w:val="decimal"/>
      <w:lvlText w:val="(%1)"/>
      <w:lvlJc w:val="left"/>
      <w:pPr>
        <w:ind w:left="435" w:hanging="435"/>
      </w:pPr>
      <w:rPr>
        <w:rFonts w:asciiTheme="minorEastAsia" w:eastAsiaTheme="minorEastAsia" w:hAnsi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3" w15:restartNumberingAfterBreak="0">
    <w:nsid w:val="7EC344B4"/>
    <w:multiLevelType w:val="multilevel"/>
    <w:tmpl w:val="7EC344B4"/>
    <w:lvl w:ilvl="0">
      <w:start w:val="1"/>
      <w:numFmt w:val="chineseCountingThousand"/>
      <w:suff w:val="space"/>
      <w:lvlText w:val="(%1)"/>
      <w:lvlJc w:val="left"/>
      <w:pPr>
        <w:ind w:left="420" w:hanging="420"/>
      </w:pPr>
      <w:rPr>
        <w:rFonts w:hint="eastAsia"/>
      </w:rPr>
    </w:lvl>
    <w:lvl w:ilvl="1">
      <w:start w:val="1"/>
      <w:numFmt w:val="decimal"/>
      <w:lvlText w:val="(%2). "/>
      <w:lvlJc w:val="left"/>
      <w:pPr>
        <w:ind w:left="840" w:hanging="420"/>
      </w:pPr>
      <w:rPr>
        <w:rFonts w:ascii="宋体" w:eastAsia="宋体" w:hAnsi="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1"/>
  </w:num>
  <w:num w:numId="2">
    <w:abstractNumId w:val="55"/>
  </w:num>
  <w:num w:numId="3">
    <w:abstractNumId w:val="94"/>
  </w:num>
  <w:num w:numId="4">
    <w:abstractNumId w:val="22"/>
  </w:num>
  <w:num w:numId="5">
    <w:abstractNumId w:val="27"/>
  </w:num>
  <w:num w:numId="6">
    <w:abstractNumId w:val="102"/>
  </w:num>
  <w:num w:numId="7">
    <w:abstractNumId w:val="93"/>
  </w:num>
  <w:num w:numId="8">
    <w:abstractNumId w:val="103"/>
  </w:num>
  <w:num w:numId="9">
    <w:abstractNumId w:val="46"/>
  </w:num>
  <w:num w:numId="10">
    <w:abstractNumId w:val="11"/>
  </w:num>
  <w:num w:numId="11">
    <w:abstractNumId w:val="53"/>
  </w:num>
  <w:num w:numId="12">
    <w:abstractNumId w:val="33"/>
  </w:num>
  <w:num w:numId="13">
    <w:abstractNumId w:val="89"/>
  </w:num>
  <w:num w:numId="14">
    <w:abstractNumId w:val="109"/>
  </w:num>
  <w:num w:numId="15">
    <w:abstractNumId w:val="31"/>
  </w:num>
  <w:num w:numId="16">
    <w:abstractNumId w:val="63"/>
  </w:num>
  <w:num w:numId="17">
    <w:abstractNumId w:val="42"/>
  </w:num>
  <w:num w:numId="18">
    <w:abstractNumId w:val="39"/>
  </w:num>
  <w:num w:numId="19">
    <w:abstractNumId w:val="68"/>
  </w:num>
  <w:num w:numId="20">
    <w:abstractNumId w:val="70"/>
  </w:num>
  <w:num w:numId="21">
    <w:abstractNumId w:val="118"/>
  </w:num>
  <w:num w:numId="22">
    <w:abstractNumId w:val="18"/>
  </w:num>
  <w:num w:numId="23">
    <w:abstractNumId w:val="112"/>
  </w:num>
  <w:num w:numId="24">
    <w:abstractNumId w:val="50"/>
  </w:num>
  <w:num w:numId="25">
    <w:abstractNumId w:val="106"/>
  </w:num>
  <w:num w:numId="26">
    <w:abstractNumId w:val="26"/>
  </w:num>
  <w:num w:numId="27">
    <w:abstractNumId w:val="47"/>
  </w:num>
  <w:num w:numId="28">
    <w:abstractNumId w:val="34"/>
  </w:num>
  <w:num w:numId="29">
    <w:abstractNumId w:val="37"/>
  </w:num>
  <w:num w:numId="30">
    <w:abstractNumId w:val="115"/>
  </w:num>
  <w:num w:numId="31">
    <w:abstractNumId w:val="65"/>
  </w:num>
  <w:num w:numId="32">
    <w:abstractNumId w:val="78"/>
  </w:num>
  <w:num w:numId="33">
    <w:abstractNumId w:val="99"/>
  </w:num>
  <w:num w:numId="34">
    <w:abstractNumId w:val="0"/>
  </w:num>
  <w:num w:numId="35">
    <w:abstractNumId w:val="81"/>
  </w:num>
  <w:num w:numId="36">
    <w:abstractNumId w:val="49"/>
  </w:num>
  <w:num w:numId="37">
    <w:abstractNumId w:val="7"/>
  </w:num>
  <w:num w:numId="38">
    <w:abstractNumId w:val="97"/>
  </w:num>
  <w:num w:numId="39">
    <w:abstractNumId w:val="75"/>
  </w:num>
  <w:num w:numId="40">
    <w:abstractNumId w:val="5"/>
  </w:num>
  <w:num w:numId="41">
    <w:abstractNumId w:val="79"/>
  </w:num>
  <w:num w:numId="42">
    <w:abstractNumId w:val="111"/>
  </w:num>
  <w:num w:numId="43">
    <w:abstractNumId w:val="62"/>
  </w:num>
  <w:num w:numId="44">
    <w:abstractNumId w:val="73"/>
  </w:num>
  <w:num w:numId="45">
    <w:abstractNumId w:val="40"/>
  </w:num>
  <w:num w:numId="46">
    <w:abstractNumId w:val="3"/>
  </w:num>
  <w:num w:numId="47">
    <w:abstractNumId w:val="84"/>
  </w:num>
  <w:num w:numId="48">
    <w:abstractNumId w:val="6"/>
  </w:num>
  <w:num w:numId="49">
    <w:abstractNumId w:val="29"/>
  </w:num>
  <w:num w:numId="50">
    <w:abstractNumId w:val="116"/>
  </w:num>
  <w:num w:numId="51">
    <w:abstractNumId w:val="121"/>
  </w:num>
  <w:num w:numId="52">
    <w:abstractNumId w:val="72"/>
  </w:num>
  <w:num w:numId="53">
    <w:abstractNumId w:val="117"/>
  </w:num>
  <w:num w:numId="54">
    <w:abstractNumId w:val="19"/>
  </w:num>
  <w:num w:numId="55">
    <w:abstractNumId w:val="98"/>
  </w:num>
  <w:num w:numId="56">
    <w:abstractNumId w:val="104"/>
  </w:num>
  <w:num w:numId="57">
    <w:abstractNumId w:val="8"/>
  </w:num>
  <w:num w:numId="58">
    <w:abstractNumId w:val="35"/>
  </w:num>
  <w:num w:numId="59">
    <w:abstractNumId w:val="43"/>
  </w:num>
  <w:num w:numId="60">
    <w:abstractNumId w:val="56"/>
  </w:num>
  <w:num w:numId="61">
    <w:abstractNumId w:val="52"/>
  </w:num>
  <w:num w:numId="62">
    <w:abstractNumId w:val="4"/>
  </w:num>
  <w:num w:numId="63">
    <w:abstractNumId w:val="2"/>
  </w:num>
  <w:num w:numId="64">
    <w:abstractNumId w:val="110"/>
  </w:num>
  <w:num w:numId="65">
    <w:abstractNumId w:val="9"/>
  </w:num>
  <w:num w:numId="66">
    <w:abstractNumId w:val="36"/>
  </w:num>
  <w:num w:numId="67">
    <w:abstractNumId w:val="24"/>
  </w:num>
  <w:num w:numId="68">
    <w:abstractNumId w:val="21"/>
  </w:num>
  <w:num w:numId="69">
    <w:abstractNumId w:val="57"/>
  </w:num>
  <w:num w:numId="70">
    <w:abstractNumId w:val="107"/>
  </w:num>
  <w:num w:numId="71">
    <w:abstractNumId w:val="64"/>
  </w:num>
  <w:num w:numId="72">
    <w:abstractNumId w:val="45"/>
  </w:num>
  <w:num w:numId="73">
    <w:abstractNumId w:val="86"/>
  </w:num>
  <w:num w:numId="74">
    <w:abstractNumId w:val="95"/>
  </w:num>
  <w:num w:numId="75">
    <w:abstractNumId w:val="54"/>
  </w:num>
  <w:num w:numId="76">
    <w:abstractNumId w:val="76"/>
  </w:num>
  <w:num w:numId="77">
    <w:abstractNumId w:val="41"/>
  </w:num>
  <w:num w:numId="78">
    <w:abstractNumId w:val="80"/>
  </w:num>
  <w:num w:numId="79">
    <w:abstractNumId w:val="48"/>
  </w:num>
  <w:num w:numId="80">
    <w:abstractNumId w:val="69"/>
  </w:num>
  <w:num w:numId="81">
    <w:abstractNumId w:val="91"/>
  </w:num>
  <w:num w:numId="82">
    <w:abstractNumId w:val="38"/>
  </w:num>
  <w:num w:numId="83">
    <w:abstractNumId w:val="77"/>
  </w:num>
  <w:num w:numId="84">
    <w:abstractNumId w:val="108"/>
  </w:num>
  <w:num w:numId="85">
    <w:abstractNumId w:val="17"/>
  </w:num>
  <w:num w:numId="86">
    <w:abstractNumId w:val="113"/>
  </w:num>
  <w:num w:numId="87">
    <w:abstractNumId w:val="74"/>
  </w:num>
  <w:num w:numId="88">
    <w:abstractNumId w:val="59"/>
  </w:num>
  <w:num w:numId="89">
    <w:abstractNumId w:val="122"/>
  </w:num>
  <w:num w:numId="90">
    <w:abstractNumId w:val="10"/>
  </w:num>
  <w:num w:numId="91">
    <w:abstractNumId w:val="83"/>
  </w:num>
  <w:num w:numId="92">
    <w:abstractNumId w:val="58"/>
  </w:num>
  <w:num w:numId="93">
    <w:abstractNumId w:val="82"/>
  </w:num>
  <w:num w:numId="94">
    <w:abstractNumId w:val="20"/>
  </w:num>
  <w:num w:numId="95">
    <w:abstractNumId w:val="85"/>
  </w:num>
  <w:num w:numId="96">
    <w:abstractNumId w:val="61"/>
  </w:num>
  <w:num w:numId="97">
    <w:abstractNumId w:val="1"/>
  </w:num>
  <w:num w:numId="98">
    <w:abstractNumId w:val="120"/>
  </w:num>
  <w:num w:numId="99">
    <w:abstractNumId w:val="60"/>
  </w:num>
  <w:num w:numId="100">
    <w:abstractNumId w:val="44"/>
  </w:num>
  <w:num w:numId="101">
    <w:abstractNumId w:val="96"/>
  </w:num>
  <w:num w:numId="102">
    <w:abstractNumId w:val="32"/>
  </w:num>
  <w:num w:numId="103">
    <w:abstractNumId w:val="15"/>
  </w:num>
  <w:num w:numId="104">
    <w:abstractNumId w:val="25"/>
  </w:num>
  <w:num w:numId="105">
    <w:abstractNumId w:val="51"/>
  </w:num>
  <w:num w:numId="106">
    <w:abstractNumId w:val="30"/>
  </w:num>
  <w:num w:numId="107">
    <w:abstractNumId w:val="100"/>
  </w:num>
  <w:num w:numId="108">
    <w:abstractNumId w:val="28"/>
  </w:num>
  <w:num w:numId="109">
    <w:abstractNumId w:val="90"/>
  </w:num>
  <w:num w:numId="110">
    <w:abstractNumId w:val="105"/>
  </w:num>
  <w:num w:numId="111">
    <w:abstractNumId w:val="88"/>
  </w:num>
  <w:num w:numId="112">
    <w:abstractNumId w:val="12"/>
  </w:num>
  <w:num w:numId="113">
    <w:abstractNumId w:val="123"/>
  </w:num>
  <w:num w:numId="114">
    <w:abstractNumId w:val="119"/>
  </w:num>
  <w:num w:numId="115">
    <w:abstractNumId w:val="23"/>
  </w:num>
  <w:num w:numId="116">
    <w:abstractNumId w:val="67"/>
  </w:num>
  <w:num w:numId="117">
    <w:abstractNumId w:val="66"/>
  </w:num>
  <w:num w:numId="118">
    <w:abstractNumId w:val="13"/>
  </w:num>
  <w:num w:numId="119">
    <w:abstractNumId w:val="71"/>
  </w:num>
  <w:num w:numId="120">
    <w:abstractNumId w:val="92"/>
  </w:num>
  <w:num w:numId="121">
    <w:abstractNumId w:val="87"/>
  </w:num>
  <w:num w:numId="122">
    <w:abstractNumId w:val="16"/>
  </w:num>
  <w:num w:numId="123">
    <w:abstractNumId w:val="114"/>
  </w:num>
  <w:num w:numId="124">
    <w:abstractNumId w:val="14"/>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hideGrammaticalErrors/>
  <w:proofState w:grammar="clean"/>
  <w:attachedTemplate r:id="rId1"/>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 w:name="Disclosure_Version" w:val="true"/>
    <w:docVar w:name="fix_control_content_version" w:val="1.0"/>
    <w:docVar w:name="RemovedBindingXPath" w:val="true"/>
  </w:docVars>
  <w:rsids>
    <w:rsidRoot w:val="00DD256F"/>
    <w:rsid w:val="000005A6"/>
    <w:rsid w:val="00000650"/>
    <w:rsid w:val="000006AC"/>
    <w:rsid w:val="0000102D"/>
    <w:rsid w:val="0000104D"/>
    <w:rsid w:val="00001301"/>
    <w:rsid w:val="00001469"/>
    <w:rsid w:val="000015C9"/>
    <w:rsid w:val="00001B33"/>
    <w:rsid w:val="00001E8C"/>
    <w:rsid w:val="000021DD"/>
    <w:rsid w:val="0000230E"/>
    <w:rsid w:val="000023F5"/>
    <w:rsid w:val="00002545"/>
    <w:rsid w:val="00002838"/>
    <w:rsid w:val="000028BC"/>
    <w:rsid w:val="00002973"/>
    <w:rsid w:val="000033A6"/>
    <w:rsid w:val="000033CD"/>
    <w:rsid w:val="0000372D"/>
    <w:rsid w:val="00003730"/>
    <w:rsid w:val="000038D4"/>
    <w:rsid w:val="00003C39"/>
    <w:rsid w:val="0000464C"/>
    <w:rsid w:val="000048B5"/>
    <w:rsid w:val="00004ADF"/>
    <w:rsid w:val="00004E58"/>
    <w:rsid w:val="00005071"/>
    <w:rsid w:val="0000568D"/>
    <w:rsid w:val="00005F96"/>
    <w:rsid w:val="000061CF"/>
    <w:rsid w:val="00007207"/>
    <w:rsid w:val="000075B3"/>
    <w:rsid w:val="00007BBD"/>
    <w:rsid w:val="00010147"/>
    <w:rsid w:val="0001033D"/>
    <w:rsid w:val="0001041D"/>
    <w:rsid w:val="0001046B"/>
    <w:rsid w:val="000110A4"/>
    <w:rsid w:val="000121BF"/>
    <w:rsid w:val="000122EE"/>
    <w:rsid w:val="0001231A"/>
    <w:rsid w:val="00012469"/>
    <w:rsid w:val="00012702"/>
    <w:rsid w:val="00012AFC"/>
    <w:rsid w:val="000130AF"/>
    <w:rsid w:val="000133F7"/>
    <w:rsid w:val="000139E7"/>
    <w:rsid w:val="00013D60"/>
    <w:rsid w:val="00013FF0"/>
    <w:rsid w:val="000140AF"/>
    <w:rsid w:val="000141F9"/>
    <w:rsid w:val="00014263"/>
    <w:rsid w:val="00014850"/>
    <w:rsid w:val="0001497A"/>
    <w:rsid w:val="00014DF5"/>
    <w:rsid w:val="000155A0"/>
    <w:rsid w:val="000158E6"/>
    <w:rsid w:val="000159B6"/>
    <w:rsid w:val="00015DF7"/>
    <w:rsid w:val="00016321"/>
    <w:rsid w:val="00016625"/>
    <w:rsid w:val="00016D21"/>
    <w:rsid w:val="000171D4"/>
    <w:rsid w:val="000176B6"/>
    <w:rsid w:val="00017D54"/>
    <w:rsid w:val="00020074"/>
    <w:rsid w:val="000203A5"/>
    <w:rsid w:val="000205AB"/>
    <w:rsid w:val="000205BF"/>
    <w:rsid w:val="00020605"/>
    <w:rsid w:val="00020728"/>
    <w:rsid w:val="00020D46"/>
    <w:rsid w:val="00020DB9"/>
    <w:rsid w:val="0002110B"/>
    <w:rsid w:val="00021700"/>
    <w:rsid w:val="00021BD4"/>
    <w:rsid w:val="000224B7"/>
    <w:rsid w:val="000225C5"/>
    <w:rsid w:val="0002292A"/>
    <w:rsid w:val="00022EDA"/>
    <w:rsid w:val="0002301E"/>
    <w:rsid w:val="000231BD"/>
    <w:rsid w:val="000231DC"/>
    <w:rsid w:val="000239D2"/>
    <w:rsid w:val="00023BEB"/>
    <w:rsid w:val="00023C73"/>
    <w:rsid w:val="00024893"/>
    <w:rsid w:val="00024B79"/>
    <w:rsid w:val="00025469"/>
    <w:rsid w:val="00025E29"/>
    <w:rsid w:val="00025EAF"/>
    <w:rsid w:val="0002612F"/>
    <w:rsid w:val="00026184"/>
    <w:rsid w:val="00026A17"/>
    <w:rsid w:val="00026B37"/>
    <w:rsid w:val="00027348"/>
    <w:rsid w:val="000275C9"/>
    <w:rsid w:val="0002798D"/>
    <w:rsid w:val="00027DE9"/>
    <w:rsid w:val="000301D0"/>
    <w:rsid w:val="0003136B"/>
    <w:rsid w:val="00031700"/>
    <w:rsid w:val="000317CB"/>
    <w:rsid w:val="000317E9"/>
    <w:rsid w:val="000319D2"/>
    <w:rsid w:val="00031B72"/>
    <w:rsid w:val="0003243D"/>
    <w:rsid w:val="00032BA9"/>
    <w:rsid w:val="00032C24"/>
    <w:rsid w:val="00032F85"/>
    <w:rsid w:val="00032FA8"/>
    <w:rsid w:val="0003337C"/>
    <w:rsid w:val="000337FB"/>
    <w:rsid w:val="00033EBB"/>
    <w:rsid w:val="0003408C"/>
    <w:rsid w:val="0003409A"/>
    <w:rsid w:val="00034289"/>
    <w:rsid w:val="000343F2"/>
    <w:rsid w:val="0003468B"/>
    <w:rsid w:val="0003492F"/>
    <w:rsid w:val="00034C0D"/>
    <w:rsid w:val="00035352"/>
    <w:rsid w:val="00035419"/>
    <w:rsid w:val="00035464"/>
    <w:rsid w:val="0003626E"/>
    <w:rsid w:val="00036342"/>
    <w:rsid w:val="00036357"/>
    <w:rsid w:val="00036813"/>
    <w:rsid w:val="00037DB8"/>
    <w:rsid w:val="00037EBC"/>
    <w:rsid w:val="00040830"/>
    <w:rsid w:val="00040925"/>
    <w:rsid w:val="000411AF"/>
    <w:rsid w:val="0004146D"/>
    <w:rsid w:val="00041525"/>
    <w:rsid w:val="00041800"/>
    <w:rsid w:val="00041AC3"/>
    <w:rsid w:val="00042574"/>
    <w:rsid w:val="000429EC"/>
    <w:rsid w:val="000429ED"/>
    <w:rsid w:val="00043332"/>
    <w:rsid w:val="00043335"/>
    <w:rsid w:val="00043483"/>
    <w:rsid w:val="000436FE"/>
    <w:rsid w:val="000438A3"/>
    <w:rsid w:val="00043C00"/>
    <w:rsid w:val="00043E96"/>
    <w:rsid w:val="00043EED"/>
    <w:rsid w:val="00044579"/>
    <w:rsid w:val="000446C9"/>
    <w:rsid w:val="000447D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477CF"/>
    <w:rsid w:val="00047AE9"/>
    <w:rsid w:val="000500E7"/>
    <w:rsid w:val="000501F1"/>
    <w:rsid w:val="00050236"/>
    <w:rsid w:val="00050420"/>
    <w:rsid w:val="000505C7"/>
    <w:rsid w:val="000506CB"/>
    <w:rsid w:val="00050FD0"/>
    <w:rsid w:val="000517E2"/>
    <w:rsid w:val="00051B96"/>
    <w:rsid w:val="00051BE5"/>
    <w:rsid w:val="00051FEF"/>
    <w:rsid w:val="000526A4"/>
    <w:rsid w:val="00052B89"/>
    <w:rsid w:val="00052D38"/>
    <w:rsid w:val="00052FFA"/>
    <w:rsid w:val="000531C6"/>
    <w:rsid w:val="0005335F"/>
    <w:rsid w:val="000534F5"/>
    <w:rsid w:val="00053E2E"/>
    <w:rsid w:val="00053F3F"/>
    <w:rsid w:val="000544CE"/>
    <w:rsid w:val="00054612"/>
    <w:rsid w:val="0005486C"/>
    <w:rsid w:val="00054D34"/>
    <w:rsid w:val="00054E67"/>
    <w:rsid w:val="00055534"/>
    <w:rsid w:val="000556B9"/>
    <w:rsid w:val="000556FD"/>
    <w:rsid w:val="00055816"/>
    <w:rsid w:val="00055C3F"/>
    <w:rsid w:val="000561D7"/>
    <w:rsid w:val="000562C7"/>
    <w:rsid w:val="000569CC"/>
    <w:rsid w:val="00056B8B"/>
    <w:rsid w:val="0005719E"/>
    <w:rsid w:val="000578C2"/>
    <w:rsid w:val="00057AD2"/>
    <w:rsid w:val="0006013C"/>
    <w:rsid w:val="00060342"/>
    <w:rsid w:val="000604A6"/>
    <w:rsid w:val="0006075F"/>
    <w:rsid w:val="00060967"/>
    <w:rsid w:val="00060C85"/>
    <w:rsid w:val="00062017"/>
    <w:rsid w:val="000621AE"/>
    <w:rsid w:val="000621E2"/>
    <w:rsid w:val="000622D5"/>
    <w:rsid w:val="0006271B"/>
    <w:rsid w:val="0006271F"/>
    <w:rsid w:val="00062AA3"/>
    <w:rsid w:val="00062D8E"/>
    <w:rsid w:val="000630B3"/>
    <w:rsid w:val="00063342"/>
    <w:rsid w:val="0006350E"/>
    <w:rsid w:val="000636DE"/>
    <w:rsid w:val="00063893"/>
    <w:rsid w:val="000639D3"/>
    <w:rsid w:val="00063A04"/>
    <w:rsid w:val="00063A13"/>
    <w:rsid w:val="00063EE6"/>
    <w:rsid w:val="0006463F"/>
    <w:rsid w:val="00064ADF"/>
    <w:rsid w:val="000658FD"/>
    <w:rsid w:val="00065914"/>
    <w:rsid w:val="00065B7B"/>
    <w:rsid w:val="00065D51"/>
    <w:rsid w:val="00066B5B"/>
    <w:rsid w:val="00066C68"/>
    <w:rsid w:val="00066C7F"/>
    <w:rsid w:val="00066F8C"/>
    <w:rsid w:val="000670B7"/>
    <w:rsid w:val="0006751E"/>
    <w:rsid w:val="00067AEB"/>
    <w:rsid w:val="0007037A"/>
    <w:rsid w:val="00070D92"/>
    <w:rsid w:val="00070E4B"/>
    <w:rsid w:val="00071243"/>
    <w:rsid w:val="00071310"/>
    <w:rsid w:val="0007147E"/>
    <w:rsid w:val="000716BF"/>
    <w:rsid w:val="00072361"/>
    <w:rsid w:val="0007246C"/>
    <w:rsid w:val="000727E2"/>
    <w:rsid w:val="000727E3"/>
    <w:rsid w:val="000729B8"/>
    <w:rsid w:val="00072D7F"/>
    <w:rsid w:val="0007305C"/>
    <w:rsid w:val="000730ED"/>
    <w:rsid w:val="000732D5"/>
    <w:rsid w:val="000732DD"/>
    <w:rsid w:val="00073BC2"/>
    <w:rsid w:val="00074086"/>
    <w:rsid w:val="000745DB"/>
    <w:rsid w:val="00074C4E"/>
    <w:rsid w:val="0007507D"/>
    <w:rsid w:val="000750A4"/>
    <w:rsid w:val="000751E3"/>
    <w:rsid w:val="0007576C"/>
    <w:rsid w:val="00075786"/>
    <w:rsid w:val="00075C45"/>
    <w:rsid w:val="00075E3A"/>
    <w:rsid w:val="00075E54"/>
    <w:rsid w:val="00076117"/>
    <w:rsid w:val="00076419"/>
    <w:rsid w:val="000764FD"/>
    <w:rsid w:val="00077397"/>
    <w:rsid w:val="000778E2"/>
    <w:rsid w:val="000778F7"/>
    <w:rsid w:val="0008036E"/>
    <w:rsid w:val="00080509"/>
    <w:rsid w:val="000805BB"/>
    <w:rsid w:val="000808F7"/>
    <w:rsid w:val="000808FF"/>
    <w:rsid w:val="0008095D"/>
    <w:rsid w:val="00080A0F"/>
    <w:rsid w:val="00080B6E"/>
    <w:rsid w:val="000816A2"/>
    <w:rsid w:val="00081D4A"/>
    <w:rsid w:val="0008231D"/>
    <w:rsid w:val="00082700"/>
    <w:rsid w:val="00082A1A"/>
    <w:rsid w:val="00082AB1"/>
    <w:rsid w:val="00082E5B"/>
    <w:rsid w:val="000830E6"/>
    <w:rsid w:val="0008328D"/>
    <w:rsid w:val="0008332B"/>
    <w:rsid w:val="000837F0"/>
    <w:rsid w:val="000839C3"/>
    <w:rsid w:val="00083C1E"/>
    <w:rsid w:val="00084008"/>
    <w:rsid w:val="000841ED"/>
    <w:rsid w:val="00084294"/>
    <w:rsid w:val="00084531"/>
    <w:rsid w:val="00084634"/>
    <w:rsid w:val="00084A03"/>
    <w:rsid w:val="00084A3C"/>
    <w:rsid w:val="00084F00"/>
    <w:rsid w:val="00085C6B"/>
    <w:rsid w:val="00086291"/>
    <w:rsid w:val="000866A2"/>
    <w:rsid w:val="000868AD"/>
    <w:rsid w:val="000872AC"/>
    <w:rsid w:val="00087446"/>
    <w:rsid w:val="00087492"/>
    <w:rsid w:val="000877EF"/>
    <w:rsid w:val="00087B6F"/>
    <w:rsid w:val="00090454"/>
    <w:rsid w:val="00090892"/>
    <w:rsid w:val="00090ADC"/>
    <w:rsid w:val="00090C35"/>
    <w:rsid w:val="00090DA2"/>
    <w:rsid w:val="0009141B"/>
    <w:rsid w:val="0009142A"/>
    <w:rsid w:val="00091724"/>
    <w:rsid w:val="00091743"/>
    <w:rsid w:val="000918CD"/>
    <w:rsid w:val="00091930"/>
    <w:rsid w:val="00091E44"/>
    <w:rsid w:val="00092033"/>
    <w:rsid w:val="0009268B"/>
    <w:rsid w:val="000927B1"/>
    <w:rsid w:val="00092823"/>
    <w:rsid w:val="00092C1E"/>
    <w:rsid w:val="00092F5A"/>
    <w:rsid w:val="00092FCE"/>
    <w:rsid w:val="000930A1"/>
    <w:rsid w:val="0009325E"/>
    <w:rsid w:val="000932D6"/>
    <w:rsid w:val="000934F7"/>
    <w:rsid w:val="000938DF"/>
    <w:rsid w:val="00093A9E"/>
    <w:rsid w:val="00094040"/>
    <w:rsid w:val="0009494E"/>
    <w:rsid w:val="00094993"/>
    <w:rsid w:val="00094A55"/>
    <w:rsid w:val="00094B11"/>
    <w:rsid w:val="00094F6C"/>
    <w:rsid w:val="00094FB5"/>
    <w:rsid w:val="00095082"/>
    <w:rsid w:val="000951D6"/>
    <w:rsid w:val="000952FD"/>
    <w:rsid w:val="00095382"/>
    <w:rsid w:val="00095388"/>
    <w:rsid w:val="000955B9"/>
    <w:rsid w:val="00095CD6"/>
    <w:rsid w:val="000960F5"/>
    <w:rsid w:val="000962E4"/>
    <w:rsid w:val="00096746"/>
    <w:rsid w:val="00096E12"/>
    <w:rsid w:val="00097054"/>
    <w:rsid w:val="00097097"/>
    <w:rsid w:val="000974B2"/>
    <w:rsid w:val="000975B1"/>
    <w:rsid w:val="00097632"/>
    <w:rsid w:val="000976C1"/>
    <w:rsid w:val="000978FA"/>
    <w:rsid w:val="00097B67"/>
    <w:rsid w:val="00097D61"/>
    <w:rsid w:val="00097E3C"/>
    <w:rsid w:val="000A0257"/>
    <w:rsid w:val="000A04A2"/>
    <w:rsid w:val="000A0989"/>
    <w:rsid w:val="000A1026"/>
    <w:rsid w:val="000A11A5"/>
    <w:rsid w:val="000A13AB"/>
    <w:rsid w:val="000A1547"/>
    <w:rsid w:val="000A16A6"/>
    <w:rsid w:val="000A199C"/>
    <w:rsid w:val="000A1CBE"/>
    <w:rsid w:val="000A1FAC"/>
    <w:rsid w:val="000A25F6"/>
    <w:rsid w:val="000A26EE"/>
    <w:rsid w:val="000A34AB"/>
    <w:rsid w:val="000A3714"/>
    <w:rsid w:val="000A3B85"/>
    <w:rsid w:val="000A3DD1"/>
    <w:rsid w:val="000A4309"/>
    <w:rsid w:val="000A4AE5"/>
    <w:rsid w:val="000A4C9E"/>
    <w:rsid w:val="000A5126"/>
    <w:rsid w:val="000A5162"/>
    <w:rsid w:val="000A5368"/>
    <w:rsid w:val="000A55D1"/>
    <w:rsid w:val="000A563E"/>
    <w:rsid w:val="000A5A58"/>
    <w:rsid w:val="000A5FB4"/>
    <w:rsid w:val="000A6410"/>
    <w:rsid w:val="000A6574"/>
    <w:rsid w:val="000A67B6"/>
    <w:rsid w:val="000A6A70"/>
    <w:rsid w:val="000A6F48"/>
    <w:rsid w:val="000A700E"/>
    <w:rsid w:val="000A70D4"/>
    <w:rsid w:val="000A7216"/>
    <w:rsid w:val="000A74D2"/>
    <w:rsid w:val="000A76D3"/>
    <w:rsid w:val="000A78D8"/>
    <w:rsid w:val="000A799A"/>
    <w:rsid w:val="000A7C6A"/>
    <w:rsid w:val="000A7FB5"/>
    <w:rsid w:val="000B014F"/>
    <w:rsid w:val="000B0362"/>
    <w:rsid w:val="000B0421"/>
    <w:rsid w:val="000B09B7"/>
    <w:rsid w:val="000B0EE6"/>
    <w:rsid w:val="000B1AD4"/>
    <w:rsid w:val="000B1CE8"/>
    <w:rsid w:val="000B1DB7"/>
    <w:rsid w:val="000B2333"/>
    <w:rsid w:val="000B23C8"/>
    <w:rsid w:val="000B28AE"/>
    <w:rsid w:val="000B28F3"/>
    <w:rsid w:val="000B3182"/>
    <w:rsid w:val="000B31E0"/>
    <w:rsid w:val="000B3557"/>
    <w:rsid w:val="000B363F"/>
    <w:rsid w:val="000B3C1D"/>
    <w:rsid w:val="000B4A82"/>
    <w:rsid w:val="000B4B18"/>
    <w:rsid w:val="000B4BDA"/>
    <w:rsid w:val="000B5098"/>
    <w:rsid w:val="000B5590"/>
    <w:rsid w:val="000B5676"/>
    <w:rsid w:val="000B5992"/>
    <w:rsid w:val="000B5B67"/>
    <w:rsid w:val="000B5F9A"/>
    <w:rsid w:val="000B6028"/>
    <w:rsid w:val="000B6B2E"/>
    <w:rsid w:val="000B6BC7"/>
    <w:rsid w:val="000B6C50"/>
    <w:rsid w:val="000B6C66"/>
    <w:rsid w:val="000B717E"/>
    <w:rsid w:val="000B72E6"/>
    <w:rsid w:val="000C0038"/>
    <w:rsid w:val="000C01B8"/>
    <w:rsid w:val="000C0519"/>
    <w:rsid w:val="000C063C"/>
    <w:rsid w:val="000C0C72"/>
    <w:rsid w:val="000C0D45"/>
    <w:rsid w:val="000C0E3C"/>
    <w:rsid w:val="000C0F63"/>
    <w:rsid w:val="000C1CEC"/>
    <w:rsid w:val="000C1D01"/>
    <w:rsid w:val="000C2197"/>
    <w:rsid w:val="000C22ED"/>
    <w:rsid w:val="000C24F7"/>
    <w:rsid w:val="000C25F5"/>
    <w:rsid w:val="000C26F5"/>
    <w:rsid w:val="000C29DF"/>
    <w:rsid w:val="000C2AEE"/>
    <w:rsid w:val="000C2C2E"/>
    <w:rsid w:val="000C3232"/>
    <w:rsid w:val="000C37A8"/>
    <w:rsid w:val="000C3A06"/>
    <w:rsid w:val="000C3D52"/>
    <w:rsid w:val="000C40B3"/>
    <w:rsid w:val="000C4401"/>
    <w:rsid w:val="000C4768"/>
    <w:rsid w:val="000C4B1F"/>
    <w:rsid w:val="000C4C03"/>
    <w:rsid w:val="000C51AC"/>
    <w:rsid w:val="000C52A2"/>
    <w:rsid w:val="000C5A57"/>
    <w:rsid w:val="000C5B58"/>
    <w:rsid w:val="000C5B78"/>
    <w:rsid w:val="000C60FC"/>
    <w:rsid w:val="000C63C4"/>
    <w:rsid w:val="000C6560"/>
    <w:rsid w:val="000C698C"/>
    <w:rsid w:val="000C6A05"/>
    <w:rsid w:val="000C6DAE"/>
    <w:rsid w:val="000C7371"/>
    <w:rsid w:val="000C7691"/>
    <w:rsid w:val="000C7889"/>
    <w:rsid w:val="000C7C71"/>
    <w:rsid w:val="000C7D9C"/>
    <w:rsid w:val="000C7DF8"/>
    <w:rsid w:val="000C7F30"/>
    <w:rsid w:val="000D057C"/>
    <w:rsid w:val="000D0BC7"/>
    <w:rsid w:val="000D0BE9"/>
    <w:rsid w:val="000D0E23"/>
    <w:rsid w:val="000D1028"/>
    <w:rsid w:val="000D14E3"/>
    <w:rsid w:val="000D15CB"/>
    <w:rsid w:val="000D1E55"/>
    <w:rsid w:val="000D26CD"/>
    <w:rsid w:val="000D2802"/>
    <w:rsid w:val="000D28CF"/>
    <w:rsid w:val="000D29E2"/>
    <w:rsid w:val="000D2C5E"/>
    <w:rsid w:val="000D2F52"/>
    <w:rsid w:val="000D2FC9"/>
    <w:rsid w:val="000D3B03"/>
    <w:rsid w:val="000D3B07"/>
    <w:rsid w:val="000D4484"/>
    <w:rsid w:val="000D4964"/>
    <w:rsid w:val="000D49EB"/>
    <w:rsid w:val="000D53AD"/>
    <w:rsid w:val="000D5454"/>
    <w:rsid w:val="000D55C3"/>
    <w:rsid w:val="000D5A31"/>
    <w:rsid w:val="000D5A34"/>
    <w:rsid w:val="000D5C42"/>
    <w:rsid w:val="000D5D3B"/>
    <w:rsid w:val="000D5D86"/>
    <w:rsid w:val="000D5DC0"/>
    <w:rsid w:val="000D61FD"/>
    <w:rsid w:val="000D636E"/>
    <w:rsid w:val="000D6BCB"/>
    <w:rsid w:val="000D6D8F"/>
    <w:rsid w:val="000D7213"/>
    <w:rsid w:val="000D7307"/>
    <w:rsid w:val="000D7617"/>
    <w:rsid w:val="000D77D1"/>
    <w:rsid w:val="000D7885"/>
    <w:rsid w:val="000D7ABF"/>
    <w:rsid w:val="000D7FFA"/>
    <w:rsid w:val="000E0052"/>
    <w:rsid w:val="000E01A1"/>
    <w:rsid w:val="000E073D"/>
    <w:rsid w:val="000E0A42"/>
    <w:rsid w:val="000E0C83"/>
    <w:rsid w:val="000E0EB6"/>
    <w:rsid w:val="000E14B7"/>
    <w:rsid w:val="000E1521"/>
    <w:rsid w:val="000E15A7"/>
    <w:rsid w:val="000E165C"/>
    <w:rsid w:val="000E17B3"/>
    <w:rsid w:val="000E18FC"/>
    <w:rsid w:val="000E1A1A"/>
    <w:rsid w:val="000E1ACA"/>
    <w:rsid w:val="000E1E69"/>
    <w:rsid w:val="000E1F6C"/>
    <w:rsid w:val="000E24F4"/>
    <w:rsid w:val="000E2690"/>
    <w:rsid w:val="000E2820"/>
    <w:rsid w:val="000E2BE4"/>
    <w:rsid w:val="000E32FE"/>
    <w:rsid w:val="000E34CD"/>
    <w:rsid w:val="000E35F2"/>
    <w:rsid w:val="000E3894"/>
    <w:rsid w:val="000E3BB8"/>
    <w:rsid w:val="000E3D2D"/>
    <w:rsid w:val="000E41A3"/>
    <w:rsid w:val="000E42E4"/>
    <w:rsid w:val="000E4352"/>
    <w:rsid w:val="000E4B54"/>
    <w:rsid w:val="000E518E"/>
    <w:rsid w:val="000E567C"/>
    <w:rsid w:val="000E56D0"/>
    <w:rsid w:val="000E5B46"/>
    <w:rsid w:val="000E686A"/>
    <w:rsid w:val="000E6B3D"/>
    <w:rsid w:val="000E6C67"/>
    <w:rsid w:val="000E6CD7"/>
    <w:rsid w:val="000E6F8A"/>
    <w:rsid w:val="000E70DA"/>
    <w:rsid w:val="000E7291"/>
    <w:rsid w:val="000E7956"/>
    <w:rsid w:val="000E7A93"/>
    <w:rsid w:val="000E7F24"/>
    <w:rsid w:val="000F025D"/>
    <w:rsid w:val="000F0456"/>
    <w:rsid w:val="000F04EC"/>
    <w:rsid w:val="000F0542"/>
    <w:rsid w:val="000F0CF0"/>
    <w:rsid w:val="000F13B4"/>
    <w:rsid w:val="000F1513"/>
    <w:rsid w:val="000F192B"/>
    <w:rsid w:val="000F262B"/>
    <w:rsid w:val="000F2990"/>
    <w:rsid w:val="000F2A73"/>
    <w:rsid w:val="000F2D6E"/>
    <w:rsid w:val="000F3016"/>
    <w:rsid w:val="000F3044"/>
    <w:rsid w:val="000F3234"/>
    <w:rsid w:val="000F3A6E"/>
    <w:rsid w:val="000F42CB"/>
    <w:rsid w:val="000F42F3"/>
    <w:rsid w:val="000F438A"/>
    <w:rsid w:val="000F460F"/>
    <w:rsid w:val="000F49E8"/>
    <w:rsid w:val="000F509F"/>
    <w:rsid w:val="000F52DA"/>
    <w:rsid w:val="000F584A"/>
    <w:rsid w:val="000F58FD"/>
    <w:rsid w:val="000F59FB"/>
    <w:rsid w:val="000F5C77"/>
    <w:rsid w:val="000F5E14"/>
    <w:rsid w:val="000F6058"/>
    <w:rsid w:val="000F6939"/>
    <w:rsid w:val="000F6B1C"/>
    <w:rsid w:val="000F6E38"/>
    <w:rsid w:val="000F6EE3"/>
    <w:rsid w:val="000F6F98"/>
    <w:rsid w:val="000F7633"/>
    <w:rsid w:val="000F7A62"/>
    <w:rsid w:val="000F7CB8"/>
    <w:rsid w:val="000F7D3C"/>
    <w:rsid w:val="00100112"/>
    <w:rsid w:val="0010063A"/>
    <w:rsid w:val="001007FD"/>
    <w:rsid w:val="00100C63"/>
    <w:rsid w:val="00100D86"/>
    <w:rsid w:val="00100F21"/>
    <w:rsid w:val="001012ED"/>
    <w:rsid w:val="00101376"/>
    <w:rsid w:val="001016FB"/>
    <w:rsid w:val="00101B38"/>
    <w:rsid w:val="001022D3"/>
    <w:rsid w:val="001026CF"/>
    <w:rsid w:val="0010345C"/>
    <w:rsid w:val="00103661"/>
    <w:rsid w:val="001036AD"/>
    <w:rsid w:val="001038D1"/>
    <w:rsid w:val="00103BDD"/>
    <w:rsid w:val="00104087"/>
    <w:rsid w:val="001044B7"/>
    <w:rsid w:val="001044EA"/>
    <w:rsid w:val="001048FE"/>
    <w:rsid w:val="00104B3B"/>
    <w:rsid w:val="00105238"/>
    <w:rsid w:val="001053DD"/>
    <w:rsid w:val="00105531"/>
    <w:rsid w:val="00105556"/>
    <w:rsid w:val="00105921"/>
    <w:rsid w:val="001059D2"/>
    <w:rsid w:val="001059DB"/>
    <w:rsid w:val="00105F72"/>
    <w:rsid w:val="00106740"/>
    <w:rsid w:val="00107599"/>
    <w:rsid w:val="00107A8E"/>
    <w:rsid w:val="00107CD9"/>
    <w:rsid w:val="00107F48"/>
    <w:rsid w:val="0011023E"/>
    <w:rsid w:val="00110611"/>
    <w:rsid w:val="00110717"/>
    <w:rsid w:val="00110C91"/>
    <w:rsid w:val="00110D00"/>
    <w:rsid w:val="0011144B"/>
    <w:rsid w:val="001116D4"/>
    <w:rsid w:val="00111BAC"/>
    <w:rsid w:val="00111D4E"/>
    <w:rsid w:val="00111E23"/>
    <w:rsid w:val="00112302"/>
    <w:rsid w:val="001126AB"/>
    <w:rsid w:val="001127CC"/>
    <w:rsid w:val="001133FC"/>
    <w:rsid w:val="001137A6"/>
    <w:rsid w:val="001139E6"/>
    <w:rsid w:val="00113B8D"/>
    <w:rsid w:val="00114189"/>
    <w:rsid w:val="001141A0"/>
    <w:rsid w:val="001145D9"/>
    <w:rsid w:val="00114F3A"/>
    <w:rsid w:val="00115730"/>
    <w:rsid w:val="0011587B"/>
    <w:rsid w:val="00115CFE"/>
    <w:rsid w:val="00116051"/>
    <w:rsid w:val="001165AE"/>
    <w:rsid w:val="001167C6"/>
    <w:rsid w:val="001167C8"/>
    <w:rsid w:val="001167D2"/>
    <w:rsid w:val="00116934"/>
    <w:rsid w:val="00116B75"/>
    <w:rsid w:val="00116D81"/>
    <w:rsid w:val="001170FA"/>
    <w:rsid w:val="001173A8"/>
    <w:rsid w:val="00117404"/>
    <w:rsid w:val="00117599"/>
    <w:rsid w:val="00117BC3"/>
    <w:rsid w:val="00117CCB"/>
    <w:rsid w:val="00117E3B"/>
    <w:rsid w:val="00117EDA"/>
    <w:rsid w:val="0012016D"/>
    <w:rsid w:val="0012022A"/>
    <w:rsid w:val="001203D4"/>
    <w:rsid w:val="0012063F"/>
    <w:rsid w:val="00120A6A"/>
    <w:rsid w:val="001214B4"/>
    <w:rsid w:val="00121512"/>
    <w:rsid w:val="0012158F"/>
    <w:rsid w:val="0012188F"/>
    <w:rsid w:val="001219AA"/>
    <w:rsid w:val="00122BA4"/>
    <w:rsid w:val="00123009"/>
    <w:rsid w:val="001230F3"/>
    <w:rsid w:val="0012321F"/>
    <w:rsid w:val="001234DF"/>
    <w:rsid w:val="00123F0A"/>
    <w:rsid w:val="00124C57"/>
    <w:rsid w:val="001252F2"/>
    <w:rsid w:val="00125470"/>
    <w:rsid w:val="00125B27"/>
    <w:rsid w:val="00125EEF"/>
    <w:rsid w:val="0012608D"/>
    <w:rsid w:val="00126125"/>
    <w:rsid w:val="00126CBD"/>
    <w:rsid w:val="00127157"/>
    <w:rsid w:val="001272F9"/>
    <w:rsid w:val="001273FD"/>
    <w:rsid w:val="00127648"/>
    <w:rsid w:val="00127E76"/>
    <w:rsid w:val="001304AD"/>
    <w:rsid w:val="00130697"/>
    <w:rsid w:val="00130D6C"/>
    <w:rsid w:val="00130DE5"/>
    <w:rsid w:val="0013119E"/>
    <w:rsid w:val="00131652"/>
    <w:rsid w:val="001316B3"/>
    <w:rsid w:val="0013204C"/>
    <w:rsid w:val="001320EC"/>
    <w:rsid w:val="001321A5"/>
    <w:rsid w:val="00132615"/>
    <w:rsid w:val="00132A09"/>
    <w:rsid w:val="00132A1B"/>
    <w:rsid w:val="0013309F"/>
    <w:rsid w:val="00133139"/>
    <w:rsid w:val="001332D2"/>
    <w:rsid w:val="0013379B"/>
    <w:rsid w:val="00133BDB"/>
    <w:rsid w:val="00133C1E"/>
    <w:rsid w:val="00133E33"/>
    <w:rsid w:val="00133F05"/>
    <w:rsid w:val="001340F3"/>
    <w:rsid w:val="00134344"/>
    <w:rsid w:val="001346BE"/>
    <w:rsid w:val="00134B66"/>
    <w:rsid w:val="00134DC4"/>
    <w:rsid w:val="00134E3C"/>
    <w:rsid w:val="00135556"/>
    <w:rsid w:val="0013555C"/>
    <w:rsid w:val="0013565E"/>
    <w:rsid w:val="00135794"/>
    <w:rsid w:val="00135FBD"/>
    <w:rsid w:val="00136496"/>
    <w:rsid w:val="00136A9A"/>
    <w:rsid w:val="0013708F"/>
    <w:rsid w:val="001372F3"/>
    <w:rsid w:val="00137861"/>
    <w:rsid w:val="00137C75"/>
    <w:rsid w:val="00137CA2"/>
    <w:rsid w:val="00140099"/>
    <w:rsid w:val="00140271"/>
    <w:rsid w:val="001406FF"/>
    <w:rsid w:val="0014081B"/>
    <w:rsid w:val="00140BD7"/>
    <w:rsid w:val="00140D9B"/>
    <w:rsid w:val="00140E08"/>
    <w:rsid w:val="00141331"/>
    <w:rsid w:val="00141419"/>
    <w:rsid w:val="00141BE5"/>
    <w:rsid w:val="00141CB6"/>
    <w:rsid w:val="00142014"/>
    <w:rsid w:val="001420C3"/>
    <w:rsid w:val="0014231A"/>
    <w:rsid w:val="00142509"/>
    <w:rsid w:val="0014259C"/>
    <w:rsid w:val="001428B2"/>
    <w:rsid w:val="00142B54"/>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59BD"/>
    <w:rsid w:val="001464BB"/>
    <w:rsid w:val="001466E1"/>
    <w:rsid w:val="00146FA2"/>
    <w:rsid w:val="00147584"/>
    <w:rsid w:val="00147823"/>
    <w:rsid w:val="00147900"/>
    <w:rsid w:val="00147BFC"/>
    <w:rsid w:val="00147DB1"/>
    <w:rsid w:val="001501B0"/>
    <w:rsid w:val="001508C9"/>
    <w:rsid w:val="00150BE7"/>
    <w:rsid w:val="00150E78"/>
    <w:rsid w:val="00150F67"/>
    <w:rsid w:val="001511B5"/>
    <w:rsid w:val="0015156E"/>
    <w:rsid w:val="0015159B"/>
    <w:rsid w:val="001516EE"/>
    <w:rsid w:val="00151EEF"/>
    <w:rsid w:val="00152156"/>
    <w:rsid w:val="00152734"/>
    <w:rsid w:val="0015290B"/>
    <w:rsid w:val="00152B5E"/>
    <w:rsid w:val="00152B77"/>
    <w:rsid w:val="00152FE0"/>
    <w:rsid w:val="0015304B"/>
    <w:rsid w:val="00153852"/>
    <w:rsid w:val="00153D60"/>
    <w:rsid w:val="00153F4B"/>
    <w:rsid w:val="00154101"/>
    <w:rsid w:val="00154185"/>
    <w:rsid w:val="001541EB"/>
    <w:rsid w:val="00154349"/>
    <w:rsid w:val="001543D4"/>
    <w:rsid w:val="0015445C"/>
    <w:rsid w:val="0015450F"/>
    <w:rsid w:val="00154602"/>
    <w:rsid w:val="00154ACD"/>
    <w:rsid w:val="00154B6D"/>
    <w:rsid w:val="00154B81"/>
    <w:rsid w:val="00154E9A"/>
    <w:rsid w:val="0015523D"/>
    <w:rsid w:val="0015549C"/>
    <w:rsid w:val="00155E3E"/>
    <w:rsid w:val="00155FB6"/>
    <w:rsid w:val="00156C03"/>
    <w:rsid w:val="00156F5B"/>
    <w:rsid w:val="00157106"/>
    <w:rsid w:val="00157457"/>
    <w:rsid w:val="0015748D"/>
    <w:rsid w:val="001575B8"/>
    <w:rsid w:val="001575F4"/>
    <w:rsid w:val="00157771"/>
    <w:rsid w:val="001578D8"/>
    <w:rsid w:val="00157BDB"/>
    <w:rsid w:val="00157BF7"/>
    <w:rsid w:val="00157CE3"/>
    <w:rsid w:val="00157DE4"/>
    <w:rsid w:val="00157DF2"/>
    <w:rsid w:val="00160787"/>
    <w:rsid w:val="00160818"/>
    <w:rsid w:val="001608C9"/>
    <w:rsid w:val="00160B98"/>
    <w:rsid w:val="001614D4"/>
    <w:rsid w:val="00161A39"/>
    <w:rsid w:val="00161B38"/>
    <w:rsid w:val="00161CAF"/>
    <w:rsid w:val="00161DB4"/>
    <w:rsid w:val="0016204C"/>
    <w:rsid w:val="00162669"/>
    <w:rsid w:val="001626DD"/>
    <w:rsid w:val="0016283C"/>
    <w:rsid w:val="00162C8A"/>
    <w:rsid w:val="00163357"/>
    <w:rsid w:val="0016426E"/>
    <w:rsid w:val="00164563"/>
    <w:rsid w:val="00164A18"/>
    <w:rsid w:val="0016523F"/>
    <w:rsid w:val="00165E4D"/>
    <w:rsid w:val="00165FED"/>
    <w:rsid w:val="001662C0"/>
    <w:rsid w:val="001667A9"/>
    <w:rsid w:val="001668B3"/>
    <w:rsid w:val="00167185"/>
    <w:rsid w:val="00167739"/>
    <w:rsid w:val="00170327"/>
    <w:rsid w:val="0017040F"/>
    <w:rsid w:val="00170450"/>
    <w:rsid w:val="00170461"/>
    <w:rsid w:val="00170481"/>
    <w:rsid w:val="00170650"/>
    <w:rsid w:val="0017134C"/>
    <w:rsid w:val="00171546"/>
    <w:rsid w:val="001715BD"/>
    <w:rsid w:val="00171820"/>
    <w:rsid w:val="00172B99"/>
    <w:rsid w:val="00172D69"/>
    <w:rsid w:val="00173329"/>
    <w:rsid w:val="00173583"/>
    <w:rsid w:val="00173821"/>
    <w:rsid w:val="00173F1A"/>
    <w:rsid w:val="0017499B"/>
    <w:rsid w:val="00174A05"/>
    <w:rsid w:val="001754A4"/>
    <w:rsid w:val="00175A98"/>
    <w:rsid w:val="00176294"/>
    <w:rsid w:val="00176395"/>
    <w:rsid w:val="0017692B"/>
    <w:rsid w:val="00176E6E"/>
    <w:rsid w:val="00176E78"/>
    <w:rsid w:val="00177133"/>
    <w:rsid w:val="00177BE3"/>
    <w:rsid w:val="00177D11"/>
    <w:rsid w:val="00177F7C"/>
    <w:rsid w:val="0018000D"/>
    <w:rsid w:val="001806CF"/>
    <w:rsid w:val="00180AC0"/>
    <w:rsid w:val="00180E29"/>
    <w:rsid w:val="00180F49"/>
    <w:rsid w:val="0018140D"/>
    <w:rsid w:val="001815B8"/>
    <w:rsid w:val="001816A6"/>
    <w:rsid w:val="0018228D"/>
    <w:rsid w:val="00182367"/>
    <w:rsid w:val="001826DB"/>
    <w:rsid w:val="0018280C"/>
    <w:rsid w:val="00182886"/>
    <w:rsid w:val="00182BAC"/>
    <w:rsid w:val="0018313C"/>
    <w:rsid w:val="00183957"/>
    <w:rsid w:val="00183EB2"/>
    <w:rsid w:val="0018413C"/>
    <w:rsid w:val="001844E5"/>
    <w:rsid w:val="00184530"/>
    <w:rsid w:val="00184687"/>
    <w:rsid w:val="001847E6"/>
    <w:rsid w:val="00184A24"/>
    <w:rsid w:val="00184EB1"/>
    <w:rsid w:val="00185085"/>
    <w:rsid w:val="001851BD"/>
    <w:rsid w:val="00185D0E"/>
    <w:rsid w:val="0018603E"/>
    <w:rsid w:val="00186113"/>
    <w:rsid w:val="00186249"/>
    <w:rsid w:val="00186391"/>
    <w:rsid w:val="00186A2D"/>
    <w:rsid w:val="00186C23"/>
    <w:rsid w:val="00186C8D"/>
    <w:rsid w:val="00186F1C"/>
    <w:rsid w:val="00187328"/>
    <w:rsid w:val="00187855"/>
    <w:rsid w:val="00187858"/>
    <w:rsid w:val="001878D9"/>
    <w:rsid w:val="00187FB7"/>
    <w:rsid w:val="0019008D"/>
    <w:rsid w:val="0019022B"/>
    <w:rsid w:val="0019037D"/>
    <w:rsid w:val="001903E0"/>
    <w:rsid w:val="00190C90"/>
    <w:rsid w:val="00190D6B"/>
    <w:rsid w:val="0019126B"/>
    <w:rsid w:val="00191C4F"/>
    <w:rsid w:val="00191CAC"/>
    <w:rsid w:val="00191E6F"/>
    <w:rsid w:val="001921F0"/>
    <w:rsid w:val="00192350"/>
    <w:rsid w:val="00192474"/>
    <w:rsid w:val="00192617"/>
    <w:rsid w:val="00192CCC"/>
    <w:rsid w:val="00193278"/>
    <w:rsid w:val="001933C4"/>
    <w:rsid w:val="0019388E"/>
    <w:rsid w:val="00193C5E"/>
    <w:rsid w:val="00194278"/>
    <w:rsid w:val="001948EB"/>
    <w:rsid w:val="00194D88"/>
    <w:rsid w:val="00194F95"/>
    <w:rsid w:val="00195345"/>
    <w:rsid w:val="00195857"/>
    <w:rsid w:val="00195A1C"/>
    <w:rsid w:val="00195DE7"/>
    <w:rsid w:val="00195DFE"/>
    <w:rsid w:val="00196123"/>
    <w:rsid w:val="00196E4C"/>
    <w:rsid w:val="00196F3D"/>
    <w:rsid w:val="0019711B"/>
    <w:rsid w:val="00197426"/>
    <w:rsid w:val="0019763C"/>
    <w:rsid w:val="001976BC"/>
    <w:rsid w:val="0019788A"/>
    <w:rsid w:val="0019799A"/>
    <w:rsid w:val="00197B69"/>
    <w:rsid w:val="00197B91"/>
    <w:rsid w:val="00197C0F"/>
    <w:rsid w:val="00197C1F"/>
    <w:rsid w:val="001A02FE"/>
    <w:rsid w:val="001A0584"/>
    <w:rsid w:val="001A0769"/>
    <w:rsid w:val="001A0BFC"/>
    <w:rsid w:val="001A0C34"/>
    <w:rsid w:val="001A0F7A"/>
    <w:rsid w:val="001A116E"/>
    <w:rsid w:val="001A1203"/>
    <w:rsid w:val="001A1A11"/>
    <w:rsid w:val="001A1F60"/>
    <w:rsid w:val="001A2056"/>
    <w:rsid w:val="001A2255"/>
    <w:rsid w:val="001A25C7"/>
    <w:rsid w:val="001A26F2"/>
    <w:rsid w:val="001A2709"/>
    <w:rsid w:val="001A27A6"/>
    <w:rsid w:val="001A2827"/>
    <w:rsid w:val="001A2AD1"/>
    <w:rsid w:val="001A2B2B"/>
    <w:rsid w:val="001A2F0C"/>
    <w:rsid w:val="001A3215"/>
    <w:rsid w:val="001A3375"/>
    <w:rsid w:val="001A34C9"/>
    <w:rsid w:val="001A35C2"/>
    <w:rsid w:val="001A3637"/>
    <w:rsid w:val="001A37C6"/>
    <w:rsid w:val="001A3C77"/>
    <w:rsid w:val="001A409E"/>
    <w:rsid w:val="001A4780"/>
    <w:rsid w:val="001A4881"/>
    <w:rsid w:val="001A4B53"/>
    <w:rsid w:val="001A4B57"/>
    <w:rsid w:val="001A4F7F"/>
    <w:rsid w:val="001A5089"/>
    <w:rsid w:val="001A56FC"/>
    <w:rsid w:val="001A5C8D"/>
    <w:rsid w:val="001A6342"/>
    <w:rsid w:val="001A637E"/>
    <w:rsid w:val="001A652B"/>
    <w:rsid w:val="001A657D"/>
    <w:rsid w:val="001A7C88"/>
    <w:rsid w:val="001A7D57"/>
    <w:rsid w:val="001A7F1C"/>
    <w:rsid w:val="001B0143"/>
    <w:rsid w:val="001B0472"/>
    <w:rsid w:val="001B06B5"/>
    <w:rsid w:val="001B0B8E"/>
    <w:rsid w:val="001B102B"/>
    <w:rsid w:val="001B11CD"/>
    <w:rsid w:val="001B1ADB"/>
    <w:rsid w:val="001B1B4D"/>
    <w:rsid w:val="001B1BCA"/>
    <w:rsid w:val="001B1D8E"/>
    <w:rsid w:val="001B1F55"/>
    <w:rsid w:val="001B1F65"/>
    <w:rsid w:val="001B20B4"/>
    <w:rsid w:val="001B21B7"/>
    <w:rsid w:val="001B25DC"/>
    <w:rsid w:val="001B2678"/>
    <w:rsid w:val="001B304E"/>
    <w:rsid w:val="001B3536"/>
    <w:rsid w:val="001B35EC"/>
    <w:rsid w:val="001B39B6"/>
    <w:rsid w:val="001B40F8"/>
    <w:rsid w:val="001B4B35"/>
    <w:rsid w:val="001B4DF5"/>
    <w:rsid w:val="001B531E"/>
    <w:rsid w:val="001B55DF"/>
    <w:rsid w:val="001B582C"/>
    <w:rsid w:val="001B59EE"/>
    <w:rsid w:val="001B5CAC"/>
    <w:rsid w:val="001B5EAC"/>
    <w:rsid w:val="001B616C"/>
    <w:rsid w:val="001B61F8"/>
    <w:rsid w:val="001B627A"/>
    <w:rsid w:val="001B63F7"/>
    <w:rsid w:val="001B648A"/>
    <w:rsid w:val="001B6606"/>
    <w:rsid w:val="001B6C5E"/>
    <w:rsid w:val="001B75FB"/>
    <w:rsid w:val="001B76F4"/>
    <w:rsid w:val="001B77C3"/>
    <w:rsid w:val="001C0611"/>
    <w:rsid w:val="001C0653"/>
    <w:rsid w:val="001C0748"/>
    <w:rsid w:val="001C114E"/>
    <w:rsid w:val="001C1332"/>
    <w:rsid w:val="001C1BF1"/>
    <w:rsid w:val="001C1EEF"/>
    <w:rsid w:val="001C206C"/>
    <w:rsid w:val="001C243C"/>
    <w:rsid w:val="001C24BF"/>
    <w:rsid w:val="001C26A0"/>
    <w:rsid w:val="001C2748"/>
    <w:rsid w:val="001C2900"/>
    <w:rsid w:val="001C2BDA"/>
    <w:rsid w:val="001C2C05"/>
    <w:rsid w:val="001C2E70"/>
    <w:rsid w:val="001C2F81"/>
    <w:rsid w:val="001C302B"/>
    <w:rsid w:val="001C3C8B"/>
    <w:rsid w:val="001C3F9F"/>
    <w:rsid w:val="001C41F9"/>
    <w:rsid w:val="001C43BB"/>
    <w:rsid w:val="001C4503"/>
    <w:rsid w:val="001C479F"/>
    <w:rsid w:val="001C499B"/>
    <w:rsid w:val="001C4AC0"/>
    <w:rsid w:val="001C4B0F"/>
    <w:rsid w:val="001C4F2F"/>
    <w:rsid w:val="001C5048"/>
    <w:rsid w:val="001C5504"/>
    <w:rsid w:val="001C5F86"/>
    <w:rsid w:val="001C62B5"/>
    <w:rsid w:val="001C685A"/>
    <w:rsid w:val="001C6E80"/>
    <w:rsid w:val="001C70C3"/>
    <w:rsid w:val="001C7153"/>
    <w:rsid w:val="001C78B4"/>
    <w:rsid w:val="001C7937"/>
    <w:rsid w:val="001C7BD4"/>
    <w:rsid w:val="001C7CA1"/>
    <w:rsid w:val="001D09D0"/>
    <w:rsid w:val="001D0BCF"/>
    <w:rsid w:val="001D1393"/>
    <w:rsid w:val="001D14AC"/>
    <w:rsid w:val="001D169E"/>
    <w:rsid w:val="001D19A9"/>
    <w:rsid w:val="001D1AF1"/>
    <w:rsid w:val="001D2208"/>
    <w:rsid w:val="001D25CB"/>
    <w:rsid w:val="001D272E"/>
    <w:rsid w:val="001D285A"/>
    <w:rsid w:val="001D2ABC"/>
    <w:rsid w:val="001D2C3C"/>
    <w:rsid w:val="001D2DA2"/>
    <w:rsid w:val="001D2EE3"/>
    <w:rsid w:val="001D3318"/>
    <w:rsid w:val="001D371D"/>
    <w:rsid w:val="001D38C2"/>
    <w:rsid w:val="001D46DF"/>
    <w:rsid w:val="001D48A4"/>
    <w:rsid w:val="001D5016"/>
    <w:rsid w:val="001D509A"/>
    <w:rsid w:val="001D54A8"/>
    <w:rsid w:val="001D5589"/>
    <w:rsid w:val="001D599D"/>
    <w:rsid w:val="001D66F1"/>
    <w:rsid w:val="001D6C22"/>
    <w:rsid w:val="001D701F"/>
    <w:rsid w:val="001D70BF"/>
    <w:rsid w:val="001D7BCD"/>
    <w:rsid w:val="001E00D9"/>
    <w:rsid w:val="001E0309"/>
    <w:rsid w:val="001E04DE"/>
    <w:rsid w:val="001E05B5"/>
    <w:rsid w:val="001E0A22"/>
    <w:rsid w:val="001E0A77"/>
    <w:rsid w:val="001E0F47"/>
    <w:rsid w:val="001E13C5"/>
    <w:rsid w:val="001E1874"/>
    <w:rsid w:val="001E18AC"/>
    <w:rsid w:val="001E1919"/>
    <w:rsid w:val="001E1926"/>
    <w:rsid w:val="001E24B5"/>
    <w:rsid w:val="001E2729"/>
    <w:rsid w:val="001E27EC"/>
    <w:rsid w:val="001E2AC2"/>
    <w:rsid w:val="001E2E8E"/>
    <w:rsid w:val="001E3187"/>
    <w:rsid w:val="001E35BF"/>
    <w:rsid w:val="001E35D2"/>
    <w:rsid w:val="001E37CF"/>
    <w:rsid w:val="001E477A"/>
    <w:rsid w:val="001E4B1D"/>
    <w:rsid w:val="001E4BA8"/>
    <w:rsid w:val="001E5479"/>
    <w:rsid w:val="001E55CD"/>
    <w:rsid w:val="001E5737"/>
    <w:rsid w:val="001E5D9B"/>
    <w:rsid w:val="001E5F29"/>
    <w:rsid w:val="001E600C"/>
    <w:rsid w:val="001E61D1"/>
    <w:rsid w:val="001E6802"/>
    <w:rsid w:val="001E6B0E"/>
    <w:rsid w:val="001E6D5D"/>
    <w:rsid w:val="001E6EE1"/>
    <w:rsid w:val="001E7E60"/>
    <w:rsid w:val="001F018E"/>
    <w:rsid w:val="001F019F"/>
    <w:rsid w:val="001F07B9"/>
    <w:rsid w:val="001F09C2"/>
    <w:rsid w:val="001F0B04"/>
    <w:rsid w:val="001F0C13"/>
    <w:rsid w:val="001F126D"/>
    <w:rsid w:val="001F157A"/>
    <w:rsid w:val="001F1868"/>
    <w:rsid w:val="001F1A82"/>
    <w:rsid w:val="001F236B"/>
    <w:rsid w:val="001F2449"/>
    <w:rsid w:val="001F2645"/>
    <w:rsid w:val="001F294E"/>
    <w:rsid w:val="001F2A1C"/>
    <w:rsid w:val="001F2A57"/>
    <w:rsid w:val="001F2DCA"/>
    <w:rsid w:val="001F30EE"/>
    <w:rsid w:val="001F3221"/>
    <w:rsid w:val="001F33A0"/>
    <w:rsid w:val="001F36C9"/>
    <w:rsid w:val="001F3AE4"/>
    <w:rsid w:val="001F3C0E"/>
    <w:rsid w:val="001F3C4B"/>
    <w:rsid w:val="001F3E2C"/>
    <w:rsid w:val="001F40B3"/>
    <w:rsid w:val="001F4B16"/>
    <w:rsid w:val="001F4C39"/>
    <w:rsid w:val="001F4F2F"/>
    <w:rsid w:val="001F5662"/>
    <w:rsid w:val="001F602D"/>
    <w:rsid w:val="001F65A3"/>
    <w:rsid w:val="001F6856"/>
    <w:rsid w:val="001F6DD2"/>
    <w:rsid w:val="001F71F4"/>
    <w:rsid w:val="001F73D9"/>
    <w:rsid w:val="001F7478"/>
    <w:rsid w:val="001F77D5"/>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5D9"/>
    <w:rsid w:val="00203830"/>
    <w:rsid w:val="00203C7C"/>
    <w:rsid w:val="00203D79"/>
    <w:rsid w:val="00204411"/>
    <w:rsid w:val="00204F44"/>
    <w:rsid w:val="002051D4"/>
    <w:rsid w:val="0020548A"/>
    <w:rsid w:val="00205758"/>
    <w:rsid w:val="00205782"/>
    <w:rsid w:val="00205B56"/>
    <w:rsid w:val="00205C40"/>
    <w:rsid w:val="00205D66"/>
    <w:rsid w:val="00205EF7"/>
    <w:rsid w:val="0020640C"/>
    <w:rsid w:val="002069B7"/>
    <w:rsid w:val="00206B72"/>
    <w:rsid w:val="00206E10"/>
    <w:rsid w:val="00206E87"/>
    <w:rsid w:val="00206F81"/>
    <w:rsid w:val="00207016"/>
    <w:rsid w:val="00207034"/>
    <w:rsid w:val="00207622"/>
    <w:rsid w:val="002077E1"/>
    <w:rsid w:val="00207A34"/>
    <w:rsid w:val="002104A6"/>
    <w:rsid w:val="00210673"/>
    <w:rsid w:val="00210D2D"/>
    <w:rsid w:val="0021164B"/>
    <w:rsid w:val="0021176B"/>
    <w:rsid w:val="00211CA5"/>
    <w:rsid w:val="002121E4"/>
    <w:rsid w:val="0021222A"/>
    <w:rsid w:val="002125F9"/>
    <w:rsid w:val="002125FF"/>
    <w:rsid w:val="0021263E"/>
    <w:rsid w:val="00212C1C"/>
    <w:rsid w:val="00212E37"/>
    <w:rsid w:val="00213330"/>
    <w:rsid w:val="00213371"/>
    <w:rsid w:val="00213389"/>
    <w:rsid w:val="002137DF"/>
    <w:rsid w:val="002139CB"/>
    <w:rsid w:val="00213D3C"/>
    <w:rsid w:val="00214143"/>
    <w:rsid w:val="0021448A"/>
    <w:rsid w:val="002146DA"/>
    <w:rsid w:val="00214773"/>
    <w:rsid w:val="00214DD9"/>
    <w:rsid w:val="00214FEB"/>
    <w:rsid w:val="0021514C"/>
    <w:rsid w:val="00215773"/>
    <w:rsid w:val="00215B62"/>
    <w:rsid w:val="00216014"/>
    <w:rsid w:val="00216207"/>
    <w:rsid w:val="002168AE"/>
    <w:rsid w:val="00216AEE"/>
    <w:rsid w:val="00216C14"/>
    <w:rsid w:val="00216E8F"/>
    <w:rsid w:val="002170E4"/>
    <w:rsid w:val="00217811"/>
    <w:rsid w:val="00220B91"/>
    <w:rsid w:val="00220E16"/>
    <w:rsid w:val="00220FF5"/>
    <w:rsid w:val="00221055"/>
    <w:rsid w:val="00221421"/>
    <w:rsid w:val="00221450"/>
    <w:rsid w:val="002214C9"/>
    <w:rsid w:val="00221D4E"/>
    <w:rsid w:val="00221EF8"/>
    <w:rsid w:val="00221F4F"/>
    <w:rsid w:val="002224A3"/>
    <w:rsid w:val="00223A42"/>
    <w:rsid w:val="00224104"/>
    <w:rsid w:val="00224995"/>
    <w:rsid w:val="00224DB1"/>
    <w:rsid w:val="00225079"/>
    <w:rsid w:val="00225113"/>
    <w:rsid w:val="002251B7"/>
    <w:rsid w:val="002252F7"/>
    <w:rsid w:val="0022588B"/>
    <w:rsid w:val="0022609D"/>
    <w:rsid w:val="0022618F"/>
    <w:rsid w:val="00226386"/>
    <w:rsid w:val="0022648D"/>
    <w:rsid w:val="00226B61"/>
    <w:rsid w:val="00226C0B"/>
    <w:rsid w:val="00226CB0"/>
    <w:rsid w:val="00226D34"/>
    <w:rsid w:val="0022705E"/>
    <w:rsid w:val="0022707B"/>
    <w:rsid w:val="00227508"/>
    <w:rsid w:val="00227887"/>
    <w:rsid w:val="00227B03"/>
    <w:rsid w:val="00227E78"/>
    <w:rsid w:val="00227F84"/>
    <w:rsid w:val="0023035E"/>
    <w:rsid w:val="002307B2"/>
    <w:rsid w:val="002308BC"/>
    <w:rsid w:val="002308E1"/>
    <w:rsid w:val="0023099B"/>
    <w:rsid w:val="002309E8"/>
    <w:rsid w:val="00230AC8"/>
    <w:rsid w:val="00230C63"/>
    <w:rsid w:val="002310A7"/>
    <w:rsid w:val="0023116F"/>
    <w:rsid w:val="00231FDB"/>
    <w:rsid w:val="002325FB"/>
    <w:rsid w:val="00232703"/>
    <w:rsid w:val="00232824"/>
    <w:rsid w:val="0023298F"/>
    <w:rsid w:val="002329B1"/>
    <w:rsid w:val="00232D34"/>
    <w:rsid w:val="00232EC1"/>
    <w:rsid w:val="002331FD"/>
    <w:rsid w:val="0023329F"/>
    <w:rsid w:val="0023366B"/>
    <w:rsid w:val="0023372E"/>
    <w:rsid w:val="00233C8B"/>
    <w:rsid w:val="00233CC6"/>
    <w:rsid w:val="00233F8F"/>
    <w:rsid w:val="0023402A"/>
    <w:rsid w:val="00234111"/>
    <w:rsid w:val="002344EC"/>
    <w:rsid w:val="0023468B"/>
    <w:rsid w:val="00234AC1"/>
    <w:rsid w:val="00234B4B"/>
    <w:rsid w:val="00235448"/>
    <w:rsid w:val="0023599E"/>
    <w:rsid w:val="00235A3C"/>
    <w:rsid w:val="00235A5E"/>
    <w:rsid w:val="00235F58"/>
    <w:rsid w:val="002366DD"/>
    <w:rsid w:val="0023677E"/>
    <w:rsid w:val="00236783"/>
    <w:rsid w:val="0023744B"/>
    <w:rsid w:val="00237721"/>
    <w:rsid w:val="0023790D"/>
    <w:rsid w:val="00237BC1"/>
    <w:rsid w:val="00237BD9"/>
    <w:rsid w:val="0024010C"/>
    <w:rsid w:val="0024048E"/>
    <w:rsid w:val="0024061C"/>
    <w:rsid w:val="002411E8"/>
    <w:rsid w:val="00241572"/>
    <w:rsid w:val="00241BC8"/>
    <w:rsid w:val="00241D41"/>
    <w:rsid w:val="0024280E"/>
    <w:rsid w:val="00243224"/>
    <w:rsid w:val="002434A7"/>
    <w:rsid w:val="00244291"/>
    <w:rsid w:val="00244882"/>
    <w:rsid w:val="002453A0"/>
    <w:rsid w:val="00245EA3"/>
    <w:rsid w:val="0024656F"/>
    <w:rsid w:val="0024684D"/>
    <w:rsid w:val="00246851"/>
    <w:rsid w:val="002468AE"/>
    <w:rsid w:val="00246BE9"/>
    <w:rsid w:val="00246D02"/>
    <w:rsid w:val="00246D9D"/>
    <w:rsid w:val="00247267"/>
    <w:rsid w:val="002477E9"/>
    <w:rsid w:val="00247828"/>
    <w:rsid w:val="00247C83"/>
    <w:rsid w:val="002509EE"/>
    <w:rsid w:val="00250D47"/>
    <w:rsid w:val="00251555"/>
    <w:rsid w:val="0025183D"/>
    <w:rsid w:val="00251ACE"/>
    <w:rsid w:val="00251FA9"/>
    <w:rsid w:val="00252017"/>
    <w:rsid w:val="00252036"/>
    <w:rsid w:val="00252B31"/>
    <w:rsid w:val="00252DC2"/>
    <w:rsid w:val="00252F74"/>
    <w:rsid w:val="00253109"/>
    <w:rsid w:val="0025344F"/>
    <w:rsid w:val="00253678"/>
    <w:rsid w:val="00253C48"/>
    <w:rsid w:val="002541D0"/>
    <w:rsid w:val="002548B1"/>
    <w:rsid w:val="0025561E"/>
    <w:rsid w:val="002557C7"/>
    <w:rsid w:val="00255919"/>
    <w:rsid w:val="00256013"/>
    <w:rsid w:val="00256323"/>
    <w:rsid w:val="0025646B"/>
    <w:rsid w:val="00256E13"/>
    <w:rsid w:val="00257066"/>
    <w:rsid w:val="0025760C"/>
    <w:rsid w:val="002578DF"/>
    <w:rsid w:val="00257A5B"/>
    <w:rsid w:val="00260461"/>
    <w:rsid w:val="00260656"/>
    <w:rsid w:val="002606F8"/>
    <w:rsid w:val="00260EA0"/>
    <w:rsid w:val="00261101"/>
    <w:rsid w:val="0026165B"/>
    <w:rsid w:val="00261743"/>
    <w:rsid w:val="00261C6D"/>
    <w:rsid w:val="00261D4C"/>
    <w:rsid w:val="00261E20"/>
    <w:rsid w:val="00261E3C"/>
    <w:rsid w:val="00262F5B"/>
    <w:rsid w:val="00262F63"/>
    <w:rsid w:val="00263072"/>
    <w:rsid w:val="00263161"/>
    <w:rsid w:val="0026357E"/>
    <w:rsid w:val="00263773"/>
    <w:rsid w:val="00264078"/>
    <w:rsid w:val="0026444D"/>
    <w:rsid w:val="00264752"/>
    <w:rsid w:val="00264787"/>
    <w:rsid w:val="002650E3"/>
    <w:rsid w:val="00265B1A"/>
    <w:rsid w:val="00265E58"/>
    <w:rsid w:val="002662C7"/>
    <w:rsid w:val="00266603"/>
    <w:rsid w:val="00267094"/>
    <w:rsid w:val="002674BC"/>
    <w:rsid w:val="00267C19"/>
    <w:rsid w:val="00267FCC"/>
    <w:rsid w:val="0027098C"/>
    <w:rsid w:val="00270A70"/>
    <w:rsid w:val="00270C5C"/>
    <w:rsid w:val="00270F23"/>
    <w:rsid w:val="002715EC"/>
    <w:rsid w:val="00271861"/>
    <w:rsid w:val="00271934"/>
    <w:rsid w:val="00271958"/>
    <w:rsid w:val="00271C2A"/>
    <w:rsid w:val="002721B5"/>
    <w:rsid w:val="002723A3"/>
    <w:rsid w:val="00272416"/>
    <w:rsid w:val="00272D29"/>
    <w:rsid w:val="00272E37"/>
    <w:rsid w:val="00273C7F"/>
    <w:rsid w:val="00273DE8"/>
    <w:rsid w:val="00273E61"/>
    <w:rsid w:val="002741A6"/>
    <w:rsid w:val="00274494"/>
    <w:rsid w:val="00275278"/>
    <w:rsid w:val="002756F8"/>
    <w:rsid w:val="002759C5"/>
    <w:rsid w:val="00275D78"/>
    <w:rsid w:val="00275E59"/>
    <w:rsid w:val="002765F4"/>
    <w:rsid w:val="00276673"/>
    <w:rsid w:val="002769EA"/>
    <w:rsid w:val="00276AA7"/>
    <w:rsid w:val="00276BA1"/>
    <w:rsid w:val="00276EA0"/>
    <w:rsid w:val="00277B3D"/>
    <w:rsid w:val="002802DC"/>
    <w:rsid w:val="00280706"/>
    <w:rsid w:val="00280F8D"/>
    <w:rsid w:val="00281606"/>
    <w:rsid w:val="00281888"/>
    <w:rsid w:val="00281E5D"/>
    <w:rsid w:val="00281EC3"/>
    <w:rsid w:val="00282192"/>
    <w:rsid w:val="00282592"/>
    <w:rsid w:val="00283084"/>
    <w:rsid w:val="00283251"/>
    <w:rsid w:val="002833CC"/>
    <w:rsid w:val="00283421"/>
    <w:rsid w:val="00283D22"/>
    <w:rsid w:val="00283F67"/>
    <w:rsid w:val="0028412B"/>
    <w:rsid w:val="00284502"/>
    <w:rsid w:val="00284C17"/>
    <w:rsid w:val="00284EBB"/>
    <w:rsid w:val="00284F64"/>
    <w:rsid w:val="002851FB"/>
    <w:rsid w:val="0028552E"/>
    <w:rsid w:val="002859B5"/>
    <w:rsid w:val="00286239"/>
    <w:rsid w:val="00286461"/>
    <w:rsid w:val="0028663A"/>
    <w:rsid w:val="00286B0E"/>
    <w:rsid w:val="00286B4B"/>
    <w:rsid w:val="00286BD1"/>
    <w:rsid w:val="00286E59"/>
    <w:rsid w:val="00286FA3"/>
    <w:rsid w:val="00287088"/>
    <w:rsid w:val="0028710A"/>
    <w:rsid w:val="00287283"/>
    <w:rsid w:val="0028732F"/>
    <w:rsid w:val="00287590"/>
    <w:rsid w:val="00287BFE"/>
    <w:rsid w:val="00287E08"/>
    <w:rsid w:val="00287F30"/>
    <w:rsid w:val="00287FE6"/>
    <w:rsid w:val="00290222"/>
    <w:rsid w:val="0029031E"/>
    <w:rsid w:val="0029079D"/>
    <w:rsid w:val="00290C72"/>
    <w:rsid w:val="00290CE2"/>
    <w:rsid w:val="002913B9"/>
    <w:rsid w:val="00291524"/>
    <w:rsid w:val="002917E3"/>
    <w:rsid w:val="002919AB"/>
    <w:rsid w:val="00291A0A"/>
    <w:rsid w:val="00291BF2"/>
    <w:rsid w:val="00291D71"/>
    <w:rsid w:val="00292313"/>
    <w:rsid w:val="00292614"/>
    <w:rsid w:val="002927C7"/>
    <w:rsid w:val="00292C86"/>
    <w:rsid w:val="002930F5"/>
    <w:rsid w:val="00293C3E"/>
    <w:rsid w:val="00293F49"/>
    <w:rsid w:val="0029439C"/>
    <w:rsid w:val="0029493A"/>
    <w:rsid w:val="00294A4E"/>
    <w:rsid w:val="00294D6F"/>
    <w:rsid w:val="00295279"/>
    <w:rsid w:val="0029603B"/>
    <w:rsid w:val="0029641D"/>
    <w:rsid w:val="00296675"/>
    <w:rsid w:val="002967CF"/>
    <w:rsid w:val="00296A9E"/>
    <w:rsid w:val="00296B62"/>
    <w:rsid w:val="00296E62"/>
    <w:rsid w:val="002972DF"/>
    <w:rsid w:val="0029765E"/>
    <w:rsid w:val="002A0633"/>
    <w:rsid w:val="002A0826"/>
    <w:rsid w:val="002A0DD3"/>
    <w:rsid w:val="002A0FC3"/>
    <w:rsid w:val="002A12F1"/>
    <w:rsid w:val="002A1346"/>
    <w:rsid w:val="002A1D39"/>
    <w:rsid w:val="002A1D74"/>
    <w:rsid w:val="002A1F07"/>
    <w:rsid w:val="002A2043"/>
    <w:rsid w:val="002A2480"/>
    <w:rsid w:val="002A25CB"/>
    <w:rsid w:val="002A2BFE"/>
    <w:rsid w:val="002A2C89"/>
    <w:rsid w:val="002A2D73"/>
    <w:rsid w:val="002A319B"/>
    <w:rsid w:val="002A339F"/>
    <w:rsid w:val="002A395B"/>
    <w:rsid w:val="002A3992"/>
    <w:rsid w:val="002A431A"/>
    <w:rsid w:val="002A432B"/>
    <w:rsid w:val="002A4B7E"/>
    <w:rsid w:val="002A4BB1"/>
    <w:rsid w:val="002A4C04"/>
    <w:rsid w:val="002A4F95"/>
    <w:rsid w:val="002A519C"/>
    <w:rsid w:val="002A5206"/>
    <w:rsid w:val="002A5403"/>
    <w:rsid w:val="002A56DA"/>
    <w:rsid w:val="002A571E"/>
    <w:rsid w:val="002A59FD"/>
    <w:rsid w:val="002A5DA0"/>
    <w:rsid w:val="002A65FE"/>
    <w:rsid w:val="002A6669"/>
    <w:rsid w:val="002A69BC"/>
    <w:rsid w:val="002A69C8"/>
    <w:rsid w:val="002A6DDE"/>
    <w:rsid w:val="002A71E8"/>
    <w:rsid w:val="002A7272"/>
    <w:rsid w:val="002A7556"/>
    <w:rsid w:val="002A78E4"/>
    <w:rsid w:val="002A7E8B"/>
    <w:rsid w:val="002A7F5F"/>
    <w:rsid w:val="002B0F56"/>
    <w:rsid w:val="002B13CB"/>
    <w:rsid w:val="002B16E0"/>
    <w:rsid w:val="002B19DD"/>
    <w:rsid w:val="002B1A2F"/>
    <w:rsid w:val="002B1B05"/>
    <w:rsid w:val="002B1D72"/>
    <w:rsid w:val="002B1E91"/>
    <w:rsid w:val="002B1EF1"/>
    <w:rsid w:val="002B22EF"/>
    <w:rsid w:val="002B256D"/>
    <w:rsid w:val="002B278A"/>
    <w:rsid w:val="002B3111"/>
    <w:rsid w:val="002B32FC"/>
    <w:rsid w:val="002B39E2"/>
    <w:rsid w:val="002B3BCE"/>
    <w:rsid w:val="002B3E02"/>
    <w:rsid w:val="002B407B"/>
    <w:rsid w:val="002B417F"/>
    <w:rsid w:val="002B468E"/>
    <w:rsid w:val="002B4AAD"/>
    <w:rsid w:val="002B4DA6"/>
    <w:rsid w:val="002B4E79"/>
    <w:rsid w:val="002B4F0D"/>
    <w:rsid w:val="002B5024"/>
    <w:rsid w:val="002B525E"/>
    <w:rsid w:val="002B5898"/>
    <w:rsid w:val="002B59CA"/>
    <w:rsid w:val="002B5BA7"/>
    <w:rsid w:val="002B5FB0"/>
    <w:rsid w:val="002B626A"/>
    <w:rsid w:val="002B67EC"/>
    <w:rsid w:val="002B69F7"/>
    <w:rsid w:val="002B6BE2"/>
    <w:rsid w:val="002B709D"/>
    <w:rsid w:val="002B70F6"/>
    <w:rsid w:val="002B7189"/>
    <w:rsid w:val="002B7900"/>
    <w:rsid w:val="002B7912"/>
    <w:rsid w:val="002B7948"/>
    <w:rsid w:val="002B7E72"/>
    <w:rsid w:val="002C0060"/>
    <w:rsid w:val="002C0078"/>
    <w:rsid w:val="002C0301"/>
    <w:rsid w:val="002C0422"/>
    <w:rsid w:val="002C0B24"/>
    <w:rsid w:val="002C0B97"/>
    <w:rsid w:val="002C10F7"/>
    <w:rsid w:val="002C1218"/>
    <w:rsid w:val="002C134A"/>
    <w:rsid w:val="002C1409"/>
    <w:rsid w:val="002C18B4"/>
    <w:rsid w:val="002C1E79"/>
    <w:rsid w:val="002C1E98"/>
    <w:rsid w:val="002C1E9C"/>
    <w:rsid w:val="002C2270"/>
    <w:rsid w:val="002C22E5"/>
    <w:rsid w:val="002C2532"/>
    <w:rsid w:val="002C2DAE"/>
    <w:rsid w:val="002C2E51"/>
    <w:rsid w:val="002C2F4A"/>
    <w:rsid w:val="002C30A7"/>
    <w:rsid w:val="002C3DB9"/>
    <w:rsid w:val="002C431F"/>
    <w:rsid w:val="002C4C80"/>
    <w:rsid w:val="002C5202"/>
    <w:rsid w:val="002C522F"/>
    <w:rsid w:val="002C6236"/>
    <w:rsid w:val="002C62A6"/>
    <w:rsid w:val="002C6444"/>
    <w:rsid w:val="002C6677"/>
    <w:rsid w:val="002C6BA0"/>
    <w:rsid w:val="002C6F73"/>
    <w:rsid w:val="002C70A1"/>
    <w:rsid w:val="002C7271"/>
    <w:rsid w:val="002C7BAA"/>
    <w:rsid w:val="002C7C1A"/>
    <w:rsid w:val="002C7E63"/>
    <w:rsid w:val="002D06A5"/>
    <w:rsid w:val="002D0E5F"/>
    <w:rsid w:val="002D11A3"/>
    <w:rsid w:val="002D13B2"/>
    <w:rsid w:val="002D16DB"/>
    <w:rsid w:val="002D18FC"/>
    <w:rsid w:val="002D1953"/>
    <w:rsid w:val="002D19B4"/>
    <w:rsid w:val="002D20A7"/>
    <w:rsid w:val="002D20EC"/>
    <w:rsid w:val="002D21E4"/>
    <w:rsid w:val="002D22A0"/>
    <w:rsid w:val="002D2B57"/>
    <w:rsid w:val="002D2F09"/>
    <w:rsid w:val="002D3027"/>
    <w:rsid w:val="002D3063"/>
    <w:rsid w:val="002D33D6"/>
    <w:rsid w:val="002D34BC"/>
    <w:rsid w:val="002D35D0"/>
    <w:rsid w:val="002D3A99"/>
    <w:rsid w:val="002D3D38"/>
    <w:rsid w:val="002D3F35"/>
    <w:rsid w:val="002D4703"/>
    <w:rsid w:val="002D535D"/>
    <w:rsid w:val="002D548B"/>
    <w:rsid w:val="002D58E5"/>
    <w:rsid w:val="002D5F47"/>
    <w:rsid w:val="002D60FB"/>
    <w:rsid w:val="002D61FB"/>
    <w:rsid w:val="002D62EA"/>
    <w:rsid w:val="002D6996"/>
    <w:rsid w:val="002D6AB5"/>
    <w:rsid w:val="002D7D47"/>
    <w:rsid w:val="002E0263"/>
    <w:rsid w:val="002E0B8F"/>
    <w:rsid w:val="002E0C25"/>
    <w:rsid w:val="002E0FFF"/>
    <w:rsid w:val="002E116E"/>
    <w:rsid w:val="002E149C"/>
    <w:rsid w:val="002E1AA5"/>
    <w:rsid w:val="002E1E43"/>
    <w:rsid w:val="002E22DE"/>
    <w:rsid w:val="002E26B3"/>
    <w:rsid w:val="002E2D95"/>
    <w:rsid w:val="002E31A4"/>
    <w:rsid w:val="002E4172"/>
    <w:rsid w:val="002E455D"/>
    <w:rsid w:val="002E45C6"/>
    <w:rsid w:val="002E47FC"/>
    <w:rsid w:val="002E5D05"/>
    <w:rsid w:val="002E652E"/>
    <w:rsid w:val="002E6559"/>
    <w:rsid w:val="002E685A"/>
    <w:rsid w:val="002E6ABC"/>
    <w:rsid w:val="002E7266"/>
    <w:rsid w:val="002E72B2"/>
    <w:rsid w:val="002E75A6"/>
    <w:rsid w:val="002E75F5"/>
    <w:rsid w:val="002E7985"/>
    <w:rsid w:val="002F00FF"/>
    <w:rsid w:val="002F01A7"/>
    <w:rsid w:val="002F03C5"/>
    <w:rsid w:val="002F0CC6"/>
    <w:rsid w:val="002F0D66"/>
    <w:rsid w:val="002F0EC3"/>
    <w:rsid w:val="002F0FF8"/>
    <w:rsid w:val="002F11F3"/>
    <w:rsid w:val="002F148F"/>
    <w:rsid w:val="002F1911"/>
    <w:rsid w:val="002F1D8C"/>
    <w:rsid w:val="002F1EE5"/>
    <w:rsid w:val="002F2714"/>
    <w:rsid w:val="002F2CDC"/>
    <w:rsid w:val="002F2D68"/>
    <w:rsid w:val="002F3508"/>
    <w:rsid w:val="002F3582"/>
    <w:rsid w:val="002F38A4"/>
    <w:rsid w:val="002F3C64"/>
    <w:rsid w:val="002F3F2F"/>
    <w:rsid w:val="002F43F5"/>
    <w:rsid w:val="002F460A"/>
    <w:rsid w:val="002F46E1"/>
    <w:rsid w:val="002F470B"/>
    <w:rsid w:val="002F49E2"/>
    <w:rsid w:val="002F4D6E"/>
    <w:rsid w:val="002F4D7C"/>
    <w:rsid w:val="002F50BA"/>
    <w:rsid w:val="002F52A7"/>
    <w:rsid w:val="002F540A"/>
    <w:rsid w:val="002F5622"/>
    <w:rsid w:val="002F5B89"/>
    <w:rsid w:val="002F5C0F"/>
    <w:rsid w:val="002F5F6B"/>
    <w:rsid w:val="002F6316"/>
    <w:rsid w:val="002F660C"/>
    <w:rsid w:val="002F664A"/>
    <w:rsid w:val="002F6A62"/>
    <w:rsid w:val="002F6C84"/>
    <w:rsid w:val="002F6FE1"/>
    <w:rsid w:val="002F7171"/>
    <w:rsid w:val="002F79F4"/>
    <w:rsid w:val="002F7B8F"/>
    <w:rsid w:val="002F7FCB"/>
    <w:rsid w:val="0030063B"/>
    <w:rsid w:val="003006A0"/>
    <w:rsid w:val="00300742"/>
    <w:rsid w:val="003007B5"/>
    <w:rsid w:val="00300AA0"/>
    <w:rsid w:val="0030137B"/>
    <w:rsid w:val="003016BC"/>
    <w:rsid w:val="0030172B"/>
    <w:rsid w:val="00301758"/>
    <w:rsid w:val="00301798"/>
    <w:rsid w:val="00301897"/>
    <w:rsid w:val="00301B2D"/>
    <w:rsid w:val="00301E85"/>
    <w:rsid w:val="00302084"/>
    <w:rsid w:val="00302264"/>
    <w:rsid w:val="00302635"/>
    <w:rsid w:val="00302826"/>
    <w:rsid w:val="00302CD5"/>
    <w:rsid w:val="00302EA9"/>
    <w:rsid w:val="00303552"/>
    <w:rsid w:val="0030383E"/>
    <w:rsid w:val="003038AA"/>
    <w:rsid w:val="00303ADC"/>
    <w:rsid w:val="00303AFA"/>
    <w:rsid w:val="00303B82"/>
    <w:rsid w:val="00304161"/>
    <w:rsid w:val="00304678"/>
    <w:rsid w:val="00304D95"/>
    <w:rsid w:val="00305763"/>
    <w:rsid w:val="00305947"/>
    <w:rsid w:val="00305F2B"/>
    <w:rsid w:val="00306732"/>
    <w:rsid w:val="00306A0B"/>
    <w:rsid w:val="00307010"/>
    <w:rsid w:val="00307081"/>
    <w:rsid w:val="003070FA"/>
    <w:rsid w:val="00307186"/>
    <w:rsid w:val="003077A5"/>
    <w:rsid w:val="00307F9B"/>
    <w:rsid w:val="00310188"/>
    <w:rsid w:val="00310252"/>
    <w:rsid w:val="003103BE"/>
    <w:rsid w:val="00310409"/>
    <w:rsid w:val="00310982"/>
    <w:rsid w:val="00310B58"/>
    <w:rsid w:val="00310F45"/>
    <w:rsid w:val="0031115F"/>
    <w:rsid w:val="00311460"/>
    <w:rsid w:val="00311E4A"/>
    <w:rsid w:val="003121A6"/>
    <w:rsid w:val="00312777"/>
    <w:rsid w:val="003127D5"/>
    <w:rsid w:val="00312878"/>
    <w:rsid w:val="00312B67"/>
    <w:rsid w:val="00312DFD"/>
    <w:rsid w:val="003131DA"/>
    <w:rsid w:val="00313290"/>
    <w:rsid w:val="003132D1"/>
    <w:rsid w:val="00313783"/>
    <w:rsid w:val="00313C71"/>
    <w:rsid w:val="00313C7C"/>
    <w:rsid w:val="00313D44"/>
    <w:rsid w:val="00313F65"/>
    <w:rsid w:val="00314563"/>
    <w:rsid w:val="00314868"/>
    <w:rsid w:val="003148A8"/>
    <w:rsid w:val="003148D6"/>
    <w:rsid w:val="00314B9F"/>
    <w:rsid w:val="00314BF3"/>
    <w:rsid w:val="00314C6B"/>
    <w:rsid w:val="00314C8A"/>
    <w:rsid w:val="0031507C"/>
    <w:rsid w:val="003154E5"/>
    <w:rsid w:val="003155D2"/>
    <w:rsid w:val="003155D5"/>
    <w:rsid w:val="0031567F"/>
    <w:rsid w:val="00315A8B"/>
    <w:rsid w:val="00315F32"/>
    <w:rsid w:val="0031643E"/>
    <w:rsid w:val="00316588"/>
    <w:rsid w:val="0031692E"/>
    <w:rsid w:val="00316E30"/>
    <w:rsid w:val="003171D9"/>
    <w:rsid w:val="003174A2"/>
    <w:rsid w:val="003177F2"/>
    <w:rsid w:val="00317C18"/>
    <w:rsid w:val="00317DE3"/>
    <w:rsid w:val="00317E09"/>
    <w:rsid w:val="00320048"/>
    <w:rsid w:val="003204C9"/>
    <w:rsid w:val="00320566"/>
    <w:rsid w:val="00320993"/>
    <w:rsid w:val="00320996"/>
    <w:rsid w:val="00320DBB"/>
    <w:rsid w:val="003211F1"/>
    <w:rsid w:val="00321823"/>
    <w:rsid w:val="00321887"/>
    <w:rsid w:val="003218FA"/>
    <w:rsid w:val="00321B3C"/>
    <w:rsid w:val="00322209"/>
    <w:rsid w:val="003223DE"/>
    <w:rsid w:val="003226F3"/>
    <w:rsid w:val="003228AC"/>
    <w:rsid w:val="003228EA"/>
    <w:rsid w:val="003228F4"/>
    <w:rsid w:val="00322B57"/>
    <w:rsid w:val="00322FCD"/>
    <w:rsid w:val="0032310A"/>
    <w:rsid w:val="00323783"/>
    <w:rsid w:val="00323982"/>
    <w:rsid w:val="00323DC0"/>
    <w:rsid w:val="00323F7B"/>
    <w:rsid w:val="003240F6"/>
    <w:rsid w:val="00324208"/>
    <w:rsid w:val="0032458F"/>
    <w:rsid w:val="003245AA"/>
    <w:rsid w:val="00324AF7"/>
    <w:rsid w:val="003259A3"/>
    <w:rsid w:val="00325A7A"/>
    <w:rsid w:val="00325ABC"/>
    <w:rsid w:val="00325DDA"/>
    <w:rsid w:val="003266F4"/>
    <w:rsid w:val="0032670D"/>
    <w:rsid w:val="00326B3D"/>
    <w:rsid w:val="00326B5A"/>
    <w:rsid w:val="00326ED8"/>
    <w:rsid w:val="00326F1D"/>
    <w:rsid w:val="003275E1"/>
    <w:rsid w:val="00327D35"/>
    <w:rsid w:val="00330092"/>
    <w:rsid w:val="00330385"/>
    <w:rsid w:val="003308AC"/>
    <w:rsid w:val="00330916"/>
    <w:rsid w:val="00330B40"/>
    <w:rsid w:val="00330B78"/>
    <w:rsid w:val="00330B80"/>
    <w:rsid w:val="00331121"/>
    <w:rsid w:val="003311C4"/>
    <w:rsid w:val="00331685"/>
    <w:rsid w:val="0033180A"/>
    <w:rsid w:val="0033185B"/>
    <w:rsid w:val="00331FBE"/>
    <w:rsid w:val="00332085"/>
    <w:rsid w:val="0033228E"/>
    <w:rsid w:val="0033253F"/>
    <w:rsid w:val="003327A4"/>
    <w:rsid w:val="0033295D"/>
    <w:rsid w:val="0033296A"/>
    <w:rsid w:val="00332DFF"/>
    <w:rsid w:val="00332E65"/>
    <w:rsid w:val="00333128"/>
    <w:rsid w:val="00333223"/>
    <w:rsid w:val="00333D6E"/>
    <w:rsid w:val="003342E5"/>
    <w:rsid w:val="003346CE"/>
    <w:rsid w:val="00334DF1"/>
    <w:rsid w:val="0033515F"/>
    <w:rsid w:val="00335467"/>
    <w:rsid w:val="00335474"/>
    <w:rsid w:val="003356C8"/>
    <w:rsid w:val="00335AFA"/>
    <w:rsid w:val="00336765"/>
    <w:rsid w:val="003367B9"/>
    <w:rsid w:val="00337797"/>
    <w:rsid w:val="003377BE"/>
    <w:rsid w:val="00340878"/>
    <w:rsid w:val="00340B7E"/>
    <w:rsid w:val="00340BFC"/>
    <w:rsid w:val="00340D15"/>
    <w:rsid w:val="00340D58"/>
    <w:rsid w:val="00341011"/>
    <w:rsid w:val="0034111B"/>
    <w:rsid w:val="00341440"/>
    <w:rsid w:val="003414D2"/>
    <w:rsid w:val="003416BB"/>
    <w:rsid w:val="003417AD"/>
    <w:rsid w:val="00341A8C"/>
    <w:rsid w:val="003422F0"/>
    <w:rsid w:val="003424EB"/>
    <w:rsid w:val="0034257E"/>
    <w:rsid w:val="00342877"/>
    <w:rsid w:val="00342895"/>
    <w:rsid w:val="0034333F"/>
    <w:rsid w:val="00343DB9"/>
    <w:rsid w:val="00343E68"/>
    <w:rsid w:val="00344502"/>
    <w:rsid w:val="00344596"/>
    <w:rsid w:val="003450CF"/>
    <w:rsid w:val="0034538F"/>
    <w:rsid w:val="00345754"/>
    <w:rsid w:val="003459BC"/>
    <w:rsid w:val="003459F5"/>
    <w:rsid w:val="00345A10"/>
    <w:rsid w:val="00345B71"/>
    <w:rsid w:val="0034689D"/>
    <w:rsid w:val="003469F1"/>
    <w:rsid w:val="00346A8C"/>
    <w:rsid w:val="00346C96"/>
    <w:rsid w:val="00346DEA"/>
    <w:rsid w:val="00346F98"/>
    <w:rsid w:val="00347009"/>
    <w:rsid w:val="00347992"/>
    <w:rsid w:val="00347A62"/>
    <w:rsid w:val="00347D0F"/>
    <w:rsid w:val="00347E52"/>
    <w:rsid w:val="00347F43"/>
    <w:rsid w:val="003501F6"/>
    <w:rsid w:val="0035051E"/>
    <w:rsid w:val="00350E74"/>
    <w:rsid w:val="00351438"/>
    <w:rsid w:val="00351CCE"/>
    <w:rsid w:val="00351D3A"/>
    <w:rsid w:val="00352335"/>
    <w:rsid w:val="00352505"/>
    <w:rsid w:val="003528AE"/>
    <w:rsid w:val="00352904"/>
    <w:rsid w:val="00352A62"/>
    <w:rsid w:val="00352B17"/>
    <w:rsid w:val="0035309B"/>
    <w:rsid w:val="00353C84"/>
    <w:rsid w:val="0035403B"/>
    <w:rsid w:val="0035452D"/>
    <w:rsid w:val="00354A12"/>
    <w:rsid w:val="00354FD7"/>
    <w:rsid w:val="00355116"/>
    <w:rsid w:val="00355327"/>
    <w:rsid w:val="00355379"/>
    <w:rsid w:val="00355AC5"/>
    <w:rsid w:val="0035613B"/>
    <w:rsid w:val="003561CB"/>
    <w:rsid w:val="00356253"/>
    <w:rsid w:val="00356756"/>
    <w:rsid w:val="00356AA4"/>
    <w:rsid w:val="003570C0"/>
    <w:rsid w:val="003571FB"/>
    <w:rsid w:val="0035750A"/>
    <w:rsid w:val="0035764B"/>
    <w:rsid w:val="00357680"/>
    <w:rsid w:val="003576F7"/>
    <w:rsid w:val="00357982"/>
    <w:rsid w:val="00357D33"/>
    <w:rsid w:val="0036059C"/>
    <w:rsid w:val="003607C5"/>
    <w:rsid w:val="003607F6"/>
    <w:rsid w:val="00360AD9"/>
    <w:rsid w:val="00360CF1"/>
    <w:rsid w:val="00360DA1"/>
    <w:rsid w:val="00360DAA"/>
    <w:rsid w:val="003611C4"/>
    <w:rsid w:val="003614B0"/>
    <w:rsid w:val="003617B8"/>
    <w:rsid w:val="003617B9"/>
    <w:rsid w:val="00361806"/>
    <w:rsid w:val="00361E66"/>
    <w:rsid w:val="003624F4"/>
    <w:rsid w:val="0036280F"/>
    <w:rsid w:val="00362919"/>
    <w:rsid w:val="00362B31"/>
    <w:rsid w:val="00362C4B"/>
    <w:rsid w:val="00362D1B"/>
    <w:rsid w:val="00363169"/>
    <w:rsid w:val="003634EA"/>
    <w:rsid w:val="00363A15"/>
    <w:rsid w:val="00363CDC"/>
    <w:rsid w:val="00363ECF"/>
    <w:rsid w:val="003646FB"/>
    <w:rsid w:val="00364B2A"/>
    <w:rsid w:val="00364C5E"/>
    <w:rsid w:val="00364E27"/>
    <w:rsid w:val="00365386"/>
    <w:rsid w:val="00365560"/>
    <w:rsid w:val="00365701"/>
    <w:rsid w:val="0036573A"/>
    <w:rsid w:val="00365E23"/>
    <w:rsid w:val="0036635B"/>
    <w:rsid w:val="00366544"/>
    <w:rsid w:val="0036668C"/>
    <w:rsid w:val="003669A6"/>
    <w:rsid w:val="00366BFF"/>
    <w:rsid w:val="00367382"/>
    <w:rsid w:val="0036747E"/>
    <w:rsid w:val="00367C25"/>
    <w:rsid w:val="00367E50"/>
    <w:rsid w:val="003701AC"/>
    <w:rsid w:val="00370645"/>
    <w:rsid w:val="00370B30"/>
    <w:rsid w:val="00370CBF"/>
    <w:rsid w:val="00371090"/>
    <w:rsid w:val="0037141D"/>
    <w:rsid w:val="003716BA"/>
    <w:rsid w:val="00371937"/>
    <w:rsid w:val="00371A5B"/>
    <w:rsid w:val="003721F1"/>
    <w:rsid w:val="003725BF"/>
    <w:rsid w:val="00372773"/>
    <w:rsid w:val="003728D7"/>
    <w:rsid w:val="0037312C"/>
    <w:rsid w:val="003731C3"/>
    <w:rsid w:val="00373F94"/>
    <w:rsid w:val="00374200"/>
    <w:rsid w:val="00374242"/>
    <w:rsid w:val="003742E9"/>
    <w:rsid w:val="00374549"/>
    <w:rsid w:val="00374761"/>
    <w:rsid w:val="0037484D"/>
    <w:rsid w:val="00374BD7"/>
    <w:rsid w:val="00374C13"/>
    <w:rsid w:val="003750C2"/>
    <w:rsid w:val="003756A8"/>
    <w:rsid w:val="0037622A"/>
    <w:rsid w:val="0037647F"/>
    <w:rsid w:val="00376809"/>
    <w:rsid w:val="00376B6A"/>
    <w:rsid w:val="0037705C"/>
    <w:rsid w:val="0037744F"/>
    <w:rsid w:val="003777E2"/>
    <w:rsid w:val="00377A00"/>
    <w:rsid w:val="00377E05"/>
    <w:rsid w:val="00377F95"/>
    <w:rsid w:val="0038054D"/>
    <w:rsid w:val="00380981"/>
    <w:rsid w:val="00381046"/>
    <w:rsid w:val="00381260"/>
    <w:rsid w:val="00381654"/>
    <w:rsid w:val="00381CA9"/>
    <w:rsid w:val="00381DCA"/>
    <w:rsid w:val="00381F15"/>
    <w:rsid w:val="0038207B"/>
    <w:rsid w:val="003821E7"/>
    <w:rsid w:val="00382326"/>
    <w:rsid w:val="003824DE"/>
    <w:rsid w:val="0038251E"/>
    <w:rsid w:val="00382526"/>
    <w:rsid w:val="0038258C"/>
    <w:rsid w:val="00382636"/>
    <w:rsid w:val="00382BBA"/>
    <w:rsid w:val="00382F70"/>
    <w:rsid w:val="00382F73"/>
    <w:rsid w:val="00382FE0"/>
    <w:rsid w:val="003831BC"/>
    <w:rsid w:val="003832AD"/>
    <w:rsid w:val="00383731"/>
    <w:rsid w:val="003837CD"/>
    <w:rsid w:val="00383846"/>
    <w:rsid w:val="0038391C"/>
    <w:rsid w:val="00383BA8"/>
    <w:rsid w:val="00384297"/>
    <w:rsid w:val="0038461D"/>
    <w:rsid w:val="00384693"/>
    <w:rsid w:val="003846E3"/>
    <w:rsid w:val="0038480A"/>
    <w:rsid w:val="00384AB5"/>
    <w:rsid w:val="00384C46"/>
    <w:rsid w:val="00384C92"/>
    <w:rsid w:val="00384D9B"/>
    <w:rsid w:val="00384DD8"/>
    <w:rsid w:val="00384F61"/>
    <w:rsid w:val="003852C5"/>
    <w:rsid w:val="0038555F"/>
    <w:rsid w:val="0038567B"/>
    <w:rsid w:val="00385912"/>
    <w:rsid w:val="00385979"/>
    <w:rsid w:val="00385B45"/>
    <w:rsid w:val="00385D3D"/>
    <w:rsid w:val="003861D5"/>
    <w:rsid w:val="00386D50"/>
    <w:rsid w:val="00387141"/>
    <w:rsid w:val="00387678"/>
    <w:rsid w:val="00387B1C"/>
    <w:rsid w:val="00387EAE"/>
    <w:rsid w:val="00387EC3"/>
    <w:rsid w:val="003900E9"/>
    <w:rsid w:val="00390336"/>
    <w:rsid w:val="0039064C"/>
    <w:rsid w:val="00390685"/>
    <w:rsid w:val="0039114E"/>
    <w:rsid w:val="00391591"/>
    <w:rsid w:val="00391716"/>
    <w:rsid w:val="0039191D"/>
    <w:rsid w:val="00391ABF"/>
    <w:rsid w:val="00391E30"/>
    <w:rsid w:val="00391E36"/>
    <w:rsid w:val="00392145"/>
    <w:rsid w:val="0039226A"/>
    <w:rsid w:val="003922C1"/>
    <w:rsid w:val="003924E4"/>
    <w:rsid w:val="0039290F"/>
    <w:rsid w:val="0039291E"/>
    <w:rsid w:val="00392944"/>
    <w:rsid w:val="00392C57"/>
    <w:rsid w:val="00392CE6"/>
    <w:rsid w:val="003936DF"/>
    <w:rsid w:val="00393895"/>
    <w:rsid w:val="00393C62"/>
    <w:rsid w:val="00393CE6"/>
    <w:rsid w:val="00393EDF"/>
    <w:rsid w:val="00394211"/>
    <w:rsid w:val="0039436F"/>
    <w:rsid w:val="0039438A"/>
    <w:rsid w:val="00394618"/>
    <w:rsid w:val="00394791"/>
    <w:rsid w:val="003947BF"/>
    <w:rsid w:val="00395229"/>
    <w:rsid w:val="00395286"/>
    <w:rsid w:val="0039554D"/>
    <w:rsid w:val="00395F99"/>
    <w:rsid w:val="00396437"/>
    <w:rsid w:val="0039687E"/>
    <w:rsid w:val="00396A34"/>
    <w:rsid w:val="00396DC3"/>
    <w:rsid w:val="00397418"/>
    <w:rsid w:val="0039769A"/>
    <w:rsid w:val="003A0277"/>
    <w:rsid w:val="003A0316"/>
    <w:rsid w:val="003A063D"/>
    <w:rsid w:val="003A063F"/>
    <w:rsid w:val="003A090B"/>
    <w:rsid w:val="003A0E93"/>
    <w:rsid w:val="003A12C1"/>
    <w:rsid w:val="003A12D7"/>
    <w:rsid w:val="003A13DE"/>
    <w:rsid w:val="003A17C3"/>
    <w:rsid w:val="003A219B"/>
    <w:rsid w:val="003A21F8"/>
    <w:rsid w:val="003A24D1"/>
    <w:rsid w:val="003A284B"/>
    <w:rsid w:val="003A293A"/>
    <w:rsid w:val="003A2A56"/>
    <w:rsid w:val="003A2AF1"/>
    <w:rsid w:val="003A2D67"/>
    <w:rsid w:val="003A2E97"/>
    <w:rsid w:val="003A3642"/>
    <w:rsid w:val="003A36CE"/>
    <w:rsid w:val="003A3DBC"/>
    <w:rsid w:val="003A444D"/>
    <w:rsid w:val="003A46E9"/>
    <w:rsid w:val="003A472D"/>
    <w:rsid w:val="003A4F03"/>
    <w:rsid w:val="003A4FFA"/>
    <w:rsid w:val="003A5101"/>
    <w:rsid w:val="003A510B"/>
    <w:rsid w:val="003A53D3"/>
    <w:rsid w:val="003A550E"/>
    <w:rsid w:val="003A55F4"/>
    <w:rsid w:val="003A58DC"/>
    <w:rsid w:val="003A5C62"/>
    <w:rsid w:val="003A5CEA"/>
    <w:rsid w:val="003A5D6F"/>
    <w:rsid w:val="003A5D88"/>
    <w:rsid w:val="003A63DB"/>
    <w:rsid w:val="003A684C"/>
    <w:rsid w:val="003A6A5D"/>
    <w:rsid w:val="003A6E45"/>
    <w:rsid w:val="003A6EBC"/>
    <w:rsid w:val="003A77A6"/>
    <w:rsid w:val="003A7D3E"/>
    <w:rsid w:val="003B01FF"/>
    <w:rsid w:val="003B0B3A"/>
    <w:rsid w:val="003B0DB6"/>
    <w:rsid w:val="003B0E84"/>
    <w:rsid w:val="003B10A8"/>
    <w:rsid w:val="003B1280"/>
    <w:rsid w:val="003B1636"/>
    <w:rsid w:val="003B1814"/>
    <w:rsid w:val="003B197A"/>
    <w:rsid w:val="003B2537"/>
    <w:rsid w:val="003B2C66"/>
    <w:rsid w:val="003B3072"/>
    <w:rsid w:val="003B30A3"/>
    <w:rsid w:val="003B3C52"/>
    <w:rsid w:val="003B41FC"/>
    <w:rsid w:val="003B45C0"/>
    <w:rsid w:val="003B4634"/>
    <w:rsid w:val="003B4DB9"/>
    <w:rsid w:val="003B51ED"/>
    <w:rsid w:val="003B5958"/>
    <w:rsid w:val="003B61EE"/>
    <w:rsid w:val="003B6FEC"/>
    <w:rsid w:val="003B70FD"/>
    <w:rsid w:val="003B769E"/>
    <w:rsid w:val="003B7C0A"/>
    <w:rsid w:val="003C0190"/>
    <w:rsid w:val="003C021F"/>
    <w:rsid w:val="003C0270"/>
    <w:rsid w:val="003C048B"/>
    <w:rsid w:val="003C09F0"/>
    <w:rsid w:val="003C0C33"/>
    <w:rsid w:val="003C0E9A"/>
    <w:rsid w:val="003C0FB8"/>
    <w:rsid w:val="003C105F"/>
    <w:rsid w:val="003C12B8"/>
    <w:rsid w:val="003C1304"/>
    <w:rsid w:val="003C2DBF"/>
    <w:rsid w:val="003C2EEE"/>
    <w:rsid w:val="003C2F67"/>
    <w:rsid w:val="003C30BF"/>
    <w:rsid w:val="003C33A6"/>
    <w:rsid w:val="003C37A3"/>
    <w:rsid w:val="003C41B5"/>
    <w:rsid w:val="003C4BBF"/>
    <w:rsid w:val="003C4C2D"/>
    <w:rsid w:val="003C4D39"/>
    <w:rsid w:val="003C521E"/>
    <w:rsid w:val="003C54A5"/>
    <w:rsid w:val="003C571A"/>
    <w:rsid w:val="003C590E"/>
    <w:rsid w:val="003C594E"/>
    <w:rsid w:val="003C6565"/>
    <w:rsid w:val="003C684F"/>
    <w:rsid w:val="003C6B27"/>
    <w:rsid w:val="003C7091"/>
    <w:rsid w:val="003C7212"/>
    <w:rsid w:val="003C733C"/>
    <w:rsid w:val="003C7E88"/>
    <w:rsid w:val="003D04D6"/>
    <w:rsid w:val="003D0662"/>
    <w:rsid w:val="003D0685"/>
    <w:rsid w:val="003D068D"/>
    <w:rsid w:val="003D0AB5"/>
    <w:rsid w:val="003D0BAF"/>
    <w:rsid w:val="003D0C96"/>
    <w:rsid w:val="003D0D3C"/>
    <w:rsid w:val="003D1163"/>
    <w:rsid w:val="003D188F"/>
    <w:rsid w:val="003D1C3F"/>
    <w:rsid w:val="003D1E1C"/>
    <w:rsid w:val="003D1FF9"/>
    <w:rsid w:val="003D227F"/>
    <w:rsid w:val="003D2A68"/>
    <w:rsid w:val="003D2DC7"/>
    <w:rsid w:val="003D2FBE"/>
    <w:rsid w:val="003D32B8"/>
    <w:rsid w:val="003D3EC6"/>
    <w:rsid w:val="003D43F0"/>
    <w:rsid w:val="003D4881"/>
    <w:rsid w:val="003D583D"/>
    <w:rsid w:val="003D58FC"/>
    <w:rsid w:val="003D5A9B"/>
    <w:rsid w:val="003D5AB0"/>
    <w:rsid w:val="003D5E6C"/>
    <w:rsid w:val="003D5F07"/>
    <w:rsid w:val="003D5FAC"/>
    <w:rsid w:val="003D6A9A"/>
    <w:rsid w:val="003D6AE2"/>
    <w:rsid w:val="003D6B0D"/>
    <w:rsid w:val="003D771E"/>
    <w:rsid w:val="003D7742"/>
    <w:rsid w:val="003D7AE6"/>
    <w:rsid w:val="003E020B"/>
    <w:rsid w:val="003E039A"/>
    <w:rsid w:val="003E0406"/>
    <w:rsid w:val="003E0471"/>
    <w:rsid w:val="003E0988"/>
    <w:rsid w:val="003E0BAA"/>
    <w:rsid w:val="003E10F4"/>
    <w:rsid w:val="003E126E"/>
    <w:rsid w:val="003E151E"/>
    <w:rsid w:val="003E1535"/>
    <w:rsid w:val="003E1C08"/>
    <w:rsid w:val="003E1C42"/>
    <w:rsid w:val="003E1C66"/>
    <w:rsid w:val="003E1DC0"/>
    <w:rsid w:val="003E2428"/>
    <w:rsid w:val="003E2D0C"/>
    <w:rsid w:val="003E31BE"/>
    <w:rsid w:val="003E35CF"/>
    <w:rsid w:val="003E3B0F"/>
    <w:rsid w:val="003E3CBD"/>
    <w:rsid w:val="003E3E94"/>
    <w:rsid w:val="003E3E9A"/>
    <w:rsid w:val="003E4721"/>
    <w:rsid w:val="003E5015"/>
    <w:rsid w:val="003E5158"/>
    <w:rsid w:val="003E526A"/>
    <w:rsid w:val="003E5405"/>
    <w:rsid w:val="003E5CDE"/>
    <w:rsid w:val="003E60BA"/>
    <w:rsid w:val="003E6423"/>
    <w:rsid w:val="003E645D"/>
    <w:rsid w:val="003E6513"/>
    <w:rsid w:val="003E68A5"/>
    <w:rsid w:val="003E710B"/>
    <w:rsid w:val="003E7A91"/>
    <w:rsid w:val="003E7B17"/>
    <w:rsid w:val="003F01C2"/>
    <w:rsid w:val="003F12CE"/>
    <w:rsid w:val="003F1776"/>
    <w:rsid w:val="003F1843"/>
    <w:rsid w:val="003F18F7"/>
    <w:rsid w:val="003F1B52"/>
    <w:rsid w:val="003F208B"/>
    <w:rsid w:val="003F20A4"/>
    <w:rsid w:val="003F20DE"/>
    <w:rsid w:val="003F23B4"/>
    <w:rsid w:val="003F2764"/>
    <w:rsid w:val="003F3325"/>
    <w:rsid w:val="003F340D"/>
    <w:rsid w:val="003F366F"/>
    <w:rsid w:val="003F3721"/>
    <w:rsid w:val="003F3E40"/>
    <w:rsid w:val="003F3FAB"/>
    <w:rsid w:val="003F3FBA"/>
    <w:rsid w:val="003F40D1"/>
    <w:rsid w:val="003F4F84"/>
    <w:rsid w:val="003F50E0"/>
    <w:rsid w:val="003F516E"/>
    <w:rsid w:val="003F5277"/>
    <w:rsid w:val="003F5361"/>
    <w:rsid w:val="003F5716"/>
    <w:rsid w:val="003F60C2"/>
    <w:rsid w:val="003F649F"/>
    <w:rsid w:val="003F6973"/>
    <w:rsid w:val="003F698E"/>
    <w:rsid w:val="003F6A94"/>
    <w:rsid w:val="003F704B"/>
    <w:rsid w:val="003F74D8"/>
    <w:rsid w:val="003F76F6"/>
    <w:rsid w:val="003F7758"/>
    <w:rsid w:val="003F7B4F"/>
    <w:rsid w:val="004003C6"/>
    <w:rsid w:val="004008A0"/>
    <w:rsid w:val="00400B72"/>
    <w:rsid w:val="00400E28"/>
    <w:rsid w:val="00401287"/>
    <w:rsid w:val="0040199D"/>
    <w:rsid w:val="00401B93"/>
    <w:rsid w:val="0040218F"/>
    <w:rsid w:val="00402274"/>
    <w:rsid w:val="004026AA"/>
    <w:rsid w:val="00402ABC"/>
    <w:rsid w:val="00402AD4"/>
    <w:rsid w:val="00403B1A"/>
    <w:rsid w:val="00403D3C"/>
    <w:rsid w:val="00403F36"/>
    <w:rsid w:val="004040FE"/>
    <w:rsid w:val="00404785"/>
    <w:rsid w:val="00404F2A"/>
    <w:rsid w:val="0040554F"/>
    <w:rsid w:val="00405706"/>
    <w:rsid w:val="00405FB4"/>
    <w:rsid w:val="004062D7"/>
    <w:rsid w:val="004063BD"/>
    <w:rsid w:val="00406B8E"/>
    <w:rsid w:val="00406E86"/>
    <w:rsid w:val="004071AA"/>
    <w:rsid w:val="004071E1"/>
    <w:rsid w:val="00407691"/>
    <w:rsid w:val="00407B1E"/>
    <w:rsid w:val="00407B24"/>
    <w:rsid w:val="00410386"/>
    <w:rsid w:val="00410407"/>
    <w:rsid w:val="004105C1"/>
    <w:rsid w:val="00410BBB"/>
    <w:rsid w:val="004115F5"/>
    <w:rsid w:val="00411607"/>
    <w:rsid w:val="00411C04"/>
    <w:rsid w:val="00411EB7"/>
    <w:rsid w:val="00411F9F"/>
    <w:rsid w:val="00412366"/>
    <w:rsid w:val="004123F4"/>
    <w:rsid w:val="00412488"/>
    <w:rsid w:val="00413C4D"/>
    <w:rsid w:val="00413FE1"/>
    <w:rsid w:val="00414424"/>
    <w:rsid w:val="00414636"/>
    <w:rsid w:val="00414936"/>
    <w:rsid w:val="00414D29"/>
    <w:rsid w:val="00414EDA"/>
    <w:rsid w:val="0041530D"/>
    <w:rsid w:val="00415552"/>
    <w:rsid w:val="0041560E"/>
    <w:rsid w:val="004156AA"/>
    <w:rsid w:val="00415807"/>
    <w:rsid w:val="004161CF"/>
    <w:rsid w:val="00416CB0"/>
    <w:rsid w:val="00416D3B"/>
    <w:rsid w:val="00416F71"/>
    <w:rsid w:val="00417431"/>
    <w:rsid w:val="0041773E"/>
    <w:rsid w:val="00417B83"/>
    <w:rsid w:val="00420984"/>
    <w:rsid w:val="00420A6E"/>
    <w:rsid w:val="00420BA9"/>
    <w:rsid w:val="004214FD"/>
    <w:rsid w:val="004216A1"/>
    <w:rsid w:val="004216E4"/>
    <w:rsid w:val="0042209B"/>
    <w:rsid w:val="0042213B"/>
    <w:rsid w:val="00422195"/>
    <w:rsid w:val="004226E7"/>
    <w:rsid w:val="00422C3B"/>
    <w:rsid w:val="00422DF0"/>
    <w:rsid w:val="004230D9"/>
    <w:rsid w:val="00423689"/>
    <w:rsid w:val="004237D9"/>
    <w:rsid w:val="004237DE"/>
    <w:rsid w:val="00423847"/>
    <w:rsid w:val="0042391F"/>
    <w:rsid w:val="00423B1B"/>
    <w:rsid w:val="00423BCC"/>
    <w:rsid w:val="00423C21"/>
    <w:rsid w:val="00423D4D"/>
    <w:rsid w:val="004242E0"/>
    <w:rsid w:val="0042443E"/>
    <w:rsid w:val="0042466E"/>
    <w:rsid w:val="00424679"/>
    <w:rsid w:val="0042500C"/>
    <w:rsid w:val="004256F0"/>
    <w:rsid w:val="004257F8"/>
    <w:rsid w:val="004259BC"/>
    <w:rsid w:val="00425B7D"/>
    <w:rsid w:val="00425B9B"/>
    <w:rsid w:val="00425D6B"/>
    <w:rsid w:val="0042695B"/>
    <w:rsid w:val="00426ECA"/>
    <w:rsid w:val="00427298"/>
    <w:rsid w:val="004273AC"/>
    <w:rsid w:val="004276C1"/>
    <w:rsid w:val="00427CC2"/>
    <w:rsid w:val="00430244"/>
    <w:rsid w:val="004305F3"/>
    <w:rsid w:val="00430804"/>
    <w:rsid w:val="00432376"/>
    <w:rsid w:val="004326D6"/>
    <w:rsid w:val="00432EBC"/>
    <w:rsid w:val="0043363F"/>
    <w:rsid w:val="004339BB"/>
    <w:rsid w:val="00433DB2"/>
    <w:rsid w:val="00434278"/>
    <w:rsid w:val="004343A2"/>
    <w:rsid w:val="00434DF3"/>
    <w:rsid w:val="00434FF6"/>
    <w:rsid w:val="00435369"/>
    <w:rsid w:val="004354A8"/>
    <w:rsid w:val="00435BDC"/>
    <w:rsid w:val="00436A99"/>
    <w:rsid w:val="00436FF7"/>
    <w:rsid w:val="0043720F"/>
    <w:rsid w:val="00437592"/>
    <w:rsid w:val="00437B42"/>
    <w:rsid w:val="00437C27"/>
    <w:rsid w:val="00437C9C"/>
    <w:rsid w:val="0044008A"/>
    <w:rsid w:val="0044058B"/>
    <w:rsid w:val="0044102C"/>
    <w:rsid w:val="004410E1"/>
    <w:rsid w:val="00441ABA"/>
    <w:rsid w:val="00441C5C"/>
    <w:rsid w:val="00441E22"/>
    <w:rsid w:val="00442016"/>
    <w:rsid w:val="00442327"/>
    <w:rsid w:val="004426ED"/>
    <w:rsid w:val="00442947"/>
    <w:rsid w:val="00442AF5"/>
    <w:rsid w:val="00442EB8"/>
    <w:rsid w:val="00442EC8"/>
    <w:rsid w:val="0044308C"/>
    <w:rsid w:val="00443570"/>
    <w:rsid w:val="00443F4D"/>
    <w:rsid w:val="0044443D"/>
    <w:rsid w:val="00444B47"/>
    <w:rsid w:val="00444B5E"/>
    <w:rsid w:val="00445260"/>
    <w:rsid w:val="004456B2"/>
    <w:rsid w:val="00446087"/>
    <w:rsid w:val="0044611D"/>
    <w:rsid w:val="00446284"/>
    <w:rsid w:val="00446AF2"/>
    <w:rsid w:val="00446D39"/>
    <w:rsid w:val="00446FAD"/>
    <w:rsid w:val="00447064"/>
    <w:rsid w:val="0044726D"/>
    <w:rsid w:val="0044739C"/>
    <w:rsid w:val="004476C3"/>
    <w:rsid w:val="00450428"/>
    <w:rsid w:val="004506CB"/>
    <w:rsid w:val="0045082C"/>
    <w:rsid w:val="00450911"/>
    <w:rsid w:val="00450AF0"/>
    <w:rsid w:val="00450C2E"/>
    <w:rsid w:val="00450C3E"/>
    <w:rsid w:val="00450C9D"/>
    <w:rsid w:val="00450D05"/>
    <w:rsid w:val="00450FB6"/>
    <w:rsid w:val="004510C4"/>
    <w:rsid w:val="004519EA"/>
    <w:rsid w:val="00452A0A"/>
    <w:rsid w:val="00452B48"/>
    <w:rsid w:val="00452B89"/>
    <w:rsid w:val="00452EB4"/>
    <w:rsid w:val="004537D5"/>
    <w:rsid w:val="004538E3"/>
    <w:rsid w:val="00453B5B"/>
    <w:rsid w:val="00453B9D"/>
    <w:rsid w:val="00453C6F"/>
    <w:rsid w:val="00453CC1"/>
    <w:rsid w:val="004543FF"/>
    <w:rsid w:val="004544DA"/>
    <w:rsid w:val="004546AB"/>
    <w:rsid w:val="0045476B"/>
    <w:rsid w:val="0045548A"/>
    <w:rsid w:val="004557BC"/>
    <w:rsid w:val="004559BE"/>
    <w:rsid w:val="00455A2B"/>
    <w:rsid w:val="00455A6D"/>
    <w:rsid w:val="00455C8B"/>
    <w:rsid w:val="00456124"/>
    <w:rsid w:val="00456237"/>
    <w:rsid w:val="0045644C"/>
    <w:rsid w:val="004568C0"/>
    <w:rsid w:val="00456A16"/>
    <w:rsid w:val="00456A80"/>
    <w:rsid w:val="00456A88"/>
    <w:rsid w:val="00456CA0"/>
    <w:rsid w:val="00456D41"/>
    <w:rsid w:val="00456E1F"/>
    <w:rsid w:val="004572B1"/>
    <w:rsid w:val="004577C7"/>
    <w:rsid w:val="00460481"/>
    <w:rsid w:val="00460710"/>
    <w:rsid w:val="00460850"/>
    <w:rsid w:val="00460B03"/>
    <w:rsid w:val="00460B37"/>
    <w:rsid w:val="00461694"/>
    <w:rsid w:val="0046177A"/>
    <w:rsid w:val="0046197F"/>
    <w:rsid w:val="00461ABB"/>
    <w:rsid w:val="00462731"/>
    <w:rsid w:val="00462C4D"/>
    <w:rsid w:val="0046305C"/>
    <w:rsid w:val="00463435"/>
    <w:rsid w:val="00463536"/>
    <w:rsid w:val="00463735"/>
    <w:rsid w:val="00463BE8"/>
    <w:rsid w:val="00463DA0"/>
    <w:rsid w:val="00464220"/>
    <w:rsid w:val="0046433D"/>
    <w:rsid w:val="00464399"/>
    <w:rsid w:val="00464E85"/>
    <w:rsid w:val="0046517B"/>
    <w:rsid w:val="00465293"/>
    <w:rsid w:val="00465503"/>
    <w:rsid w:val="00465C2D"/>
    <w:rsid w:val="00465FD1"/>
    <w:rsid w:val="00466490"/>
    <w:rsid w:val="0046659B"/>
    <w:rsid w:val="004666A1"/>
    <w:rsid w:val="00466E88"/>
    <w:rsid w:val="004672E8"/>
    <w:rsid w:val="00467B5D"/>
    <w:rsid w:val="00467D56"/>
    <w:rsid w:val="00470144"/>
    <w:rsid w:val="00470237"/>
    <w:rsid w:val="00470802"/>
    <w:rsid w:val="00471044"/>
    <w:rsid w:val="0047110B"/>
    <w:rsid w:val="0047136B"/>
    <w:rsid w:val="00471AFF"/>
    <w:rsid w:val="00472108"/>
    <w:rsid w:val="00472192"/>
    <w:rsid w:val="00472374"/>
    <w:rsid w:val="00472C8E"/>
    <w:rsid w:val="004730B6"/>
    <w:rsid w:val="0047333D"/>
    <w:rsid w:val="00473624"/>
    <w:rsid w:val="00473671"/>
    <w:rsid w:val="004738EA"/>
    <w:rsid w:val="00473CFC"/>
    <w:rsid w:val="00473E5F"/>
    <w:rsid w:val="0047429B"/>
    <w:rsid w:val="0047450B"/>
    <w:rsid w:val="0047467E"/>
    <w:rsid w:val="00474A51"/>
    <w:rsid w:val="00474B33"/>
    <w:rsid w:val="00474C30"/>
    <w:rsid w:val="00474D75"/>
    <w:rsid w:val="00475139"/>
    <w:rsid w:val="004751CA"/>
    <w:rsid w:val="00475935"/>
    <w:rsid w:val="004761FE"/>
    <w:rsid w:val="004762B1"/>
    <w:rsid w:val="0047667D"/>
    <w:rsid w:val="004772AB"/>
    <w:rsid w:val="0047739F"/>
    <w:rsid w:val="00477497"/>
    <w:rsid w:val="00477E57"/>
    <w:rsid w:val="0048003C"/>
    <w:rsid w:val="00480324"/>
    <w:rsid w:val="00480867"/>
    <w:rsid w:val="00481709"/>
    <w:rsid w:val="00481794"/>
    <w:rsid w:val="00481BA3"/>
    <w:rsid w:val="004822A7"/>
    <w:rsid w:val="0048239B"/>
    <w:rsid w:val="0048258F"/>
    <w:rsid w:val="004825C6"/>
    <w:rsid w:val="00482834"/>
    <w:rsid w:val="00482A9B"/>
    <w:rsid w:val="00482BBD"/>
    <w:rsid w:val="00482C31"/>
    <w:rsid w:val="004831A3"/>
    <w:rsid w:val="004836FA"/>
    <w:rsid w:val="0048374D"/>
    <w:rsid w:val="00483758"/>
    <w:rsid w:val="004838CA"/>
    <w:rsid w:val="00484226"/>
    <w:rsid w:val="0048432C"/>
    <w:rsid w:val="004843F9"/>
    <w:rsid w:val="004848A1"/>
    <w:rsid w:val="00484FD5"/>
    <w:rsid w:val="004852D0"/>
    <w:rsid w:val="00485F83"/>
    <w:rsid w:val="004860B6"/>
    <w:rsid w:val="00486140"/>
    <w:rsid w:val="004863F0"/>
    <w:rsid w:val="0048724E"/>
    <w:rsid w:val="0048770D"/>
    <w:rsid w:val="004877B8"/>
    <w:rsid w:val="00487C22"/>
    <w:rsid w:val="00487D34"/>
    <w:rsid w:val="004900D9"/>
    <w:rsid w:val="00490118"/>
    <w:rsid w:val="004905CA"/>
    <w:rsid w:val="00490BDA"/>
    <w:rsid w:val="00490D2A"/>
    <w:rsid w:val="004910DF"/>
    <w:rsid w:val="00491421"/>
    <w:rsid w:val="004918D8"/>
    <w:rsid w:val="00491B2C"/>
    <w:rsid w:val="00491C77"/>
    <w:rsid w:val="00492045"/>
    <w:rsid w:val="004920AA"/>
    <w:rsid w:val="0049239F"/>
    <w:rsid w:val="00492AA2"/>
    <w:rsid w:val="00492F01"/>
    <w:rsid w:val="00493172"/>
    <w:rsid w:val="00493E61"/>
    <w:rsid w:val="00493ECF"/>
    <w:rsid w:val="004943BF"/>
    <w:rsid w:val="00494DB5"/>
    <w:rsid w:val="00494FC5"/>
    <w:rsid w:val="00495181"/>
    <w:rsid w:val="00495402"/>
    <w:rsid w:val="0049558A"/>
    <w:rsid w:val="004955C4"/>
    <w:rsid w:val="00495834"/>
    <w:rsid w:val="00495A27"/>
    <w:rsid w:val="00495B68"/>
    <w:rsid w:val="00495E00"/>
    <w:rsid w:val="004960DF"/>
    <w:rsid w:val="004961AC"/>
    <w:rsid w:val="00496263"/>
    <w:rsid w:val="0049635E"/>
    <w:rsid w:val="0049685F"/>
    <w:rsid w:val="004974A2"/>
    <w:rsid w:val="0049770D"/>
    <w:rsid w:val="00497E2E"/>
    <w:rsid w:val="00497E65"/>
    <w:rsid w:val="00497F67"/>
    <w:rsid w:val="004A0B68"/>
    <w:rsid w:val="004A0D0A"/>
    <w:rsid w:val="004A1263"/>
    <w:rsid w:val="004A12BA"/>
    <w:rsid w:val="004A1E96"/>
    <w:rsid w:val="004A20A3"/>
    <w:rsid w:val="004A2129"/>
    <w:rsid w:val="004A2327"/>
    <w:rsid w:val="004A23DA"/>
    <w:rsid w:val="004A23DE"/>
    <w:rsid w:val="004A26AB"/>
    <w:rsid w:val="004A28BD"/>
    <w:rsid w:val="004A2ADC"/>
    <w:rsid w:val="004A2B24"/>
    <w:rsid w:val="004A2C55"/>
    <w:rsid w:val="004A2CA7"/>
    <w:rsid w:val="004A2E2E"/>
    <w:rsid w:val="004A363B"/>
    <w:rsid w:val="004A3684"/>
    <w:rsid w:val="004A37A5"/>
    <w:rsid w:val="004A3A7D"/>
    <w:rsid w:val="004A3C0E"/>
    <w:rsid w:val="004A3D2F"/>
    <w:rsid w:val="004A3E7A"/>
    <w:rsid w:val="004A4437"/>
    <w:rsid w:val="004A488C"/>
    <w:rsid w:val="004A48E2"/>
    <w:rsid w:val="004A4F19"/>
    <w:rsid w:val="004A4F6D"/>
    <w:rsid w:val="004A4F80"/>
    <w:rsid w:val="004A522D"/>
    <w:rsid w:val="004A63A3"/>
    <w:rsid w:val="004A66BC"/>
    <w:rsid w:val="004A68E7"/>
    <w:rsid w:val="004A6A3E"/>
    <w:rsid w:val="004A6BFE"/>
    <w:rsid w:val="004A6D02"/>
    <w:rsid w:val="004A7175"/>
    <w:rsid w:val="004A71CC"/>
    <w:rsid w:val="004A7491"/>
    <w:rsid w:val="004A7552"/>
    <w:rsid w:val="004B059F"/>
    <w:rsid w:val="004B0E6E"/>
    <w:rsid w:val="004B0F6F"/>
    <w:rsid w:val="004B1019"/>
    <w:rsid w:val="004B1282"/>
    <w:rsid w:val="004B1566"/>
    <w:rsid w:val="004B1638"/>
    <w:rsid w:val="004B19D0"/>
    <w:rsid w:val="004B1ECA"/>
    <w:rsid w:val="004B1F23"/>
    <w:rsid w:val="004B205D"/>
    <w:rsid w:val="004B2396"/>
    <w:rsid w:val="004B24CB"/>
    <w:rsid w:val="004B2B7C"/>
    <w:rsid w:val="004B2D0A"/>
    <w:rsid w:val="004B2EED"/>
    <w:rsid w:val="004B35F0"/>
    <w:rsid w:val="004B3729"/>
    <w:rsid w:val="004B3C43"/>
    <w:rsid w:val="004B3D3A"/>
    <w:rsid w:val="004B3F31"/>
    <w:rsid w:val="004B42EB"/>
    <w:rsid w:val="004B444F"/>
    <w:rsid w:val="004B44CB"/>
    <w:rsid w:val="004B4ABF"/>
    <w:rsid w:val="004B4BD8"/>
    <w:rsid w:val="004B4C91"/>
    <w:rsid w:val="004B4CF8"/>
    <w:rsid w:val="004B4E46"/>
    <w:rsid w:val="004B5C7C"/>
    <w:rsid w:val="004B5DD7"/>
    <w:rsid w:val="004B62B2"/>
    <w:rsid w:val="004B7280"/>
    <w:rsid w:val="004B762E"/>
    <w:rsid w:val="004B7AC0"/>
    <w:rsid w:val="004B7BA2"/>
    <w:rsid w:val="004B7CC1"/>
    <w:rsid w:val="004B7D68"/>
    <w:rsid w:val="004C00F5"/>
    <w:rsid w:val="004C03A3"/>
    <w:rsid w:val="004C04D9"/>
    <w:rsid w:val="004C05AD"/>
    <w:rsid w:val="004C0850"/>
    <w:rsid w:val="004C0857"/>
    <w:rsid w:val="004C0A1A"/>
    <w:rsid w:val="004C147B"/>
    <w:rsid w:val="004C1893"/>
    <w:rsid w:val="004C1AB2"/>
    <w:rsid w:val="004C1F0F"/>
    <w:rsid w:val="004C26D1"/>
    <w:rsid w:val="004C29C0"/>
    <w:rsid w:val="004C3057"/>
    <w:rsid w:val="004C37F8"/>
    <w:rsid w:val="004C3C92"/>
    <w:rsid w:val="004C43DB"/>
    <w:rsid w:val="004C461E"/>
    <w:rsid w:val="004C469A"/>
    <w:rsid w:val="004C47F9"/>
    <w:rsid w:val="004C4900"/>
    <w:rsid w:val="004C4C56"/>
    <w:rsid w:val="004C4CF6"/>
    <w:rsid w:val="004C59FA"/>
    <w:rsid w:val="004C5C3B"/>
    <w:rsid w:val="004C5C6B"/>
    <w:rsid w:val="004C6049"/>
    <w:rsid w:val="004C6114"/>
    <w:rsid w:val="004C6307"/>
    <w:rsid w:val="004C6751"/>
    <w:rsid w:val="004C6949"/>
    <w:rsid w:val="004C69CF"/>
    <w:rsid w:val="004C702C"/>
    <w:rsid w:val="004C70D4"/>
    <w:rsid w:val="004C7495"/>
    <w:rsid w:val="004C7D7A"/>
    <w:rsid w:val="004D0024"/>
    <w:rsid w:val="004D0614"/>
    <w:rsid w:val="004D0B12"/>
    <w:rsid w:val="004D13B9"/>
    <w:rsid w:val="004D16F6"/>
    <w:rsid w:val="004D1865"/>
    <w:rsid w:val="004D19AD"/>
    <w:rsid w:val="004D1BE3"/>
    <w:rsid w:val="004D1F83"/>
    <w:rsid w:val="004D2158"/>
    <w:rsid w:val="004D21A7"/>
    <w:rsid w:val="004D255A"/>
    <w:rsid w:val="004D261C"/>
    <w:rsid w:val="004D2696"/>
    <w:rsid w:val="004D26DB"/>
    <w:rsid w:val="004D3381"/>
    <w:rsid w:val="004D3610"/>
    <w:rsid w:val="004D390D"/>
    <w:rsid w:val="004D39DE"/>
    <w:rsid w:val="004D40C2"/>
    <w:rsid w:val="004D4540"/>
    <w:rsid w:val="004D4C00"/>
    <w:rsid w:val="004D52DC"/>
    <w:rsid w:val="004D59C6"/>
    <w:rsid w:val="004D5AE9"/>
    <w:rsid w:val="004D5BC9"/>
    <w:rsid w:val="004D5C91"/>
    <w:rsid w:val="004D5F68"/>
    <w:rsid w:val="004D6533"/>
    <w:rsid w:val="004D67E4"/>
    <w:rsid w:val="004D6B48"/>
    <w:rsid w:val="004D6C5B"/>
    <w:rsid w:val="004D723D"/>
    <w:rsid w:val="004D7871"/>
    <w:rsid w:val="004D7ABB"/>
    <w:rsid w:val="004E000C"/>
    <w:rsid w:val="004E0699"/>
    <w:rsid w:val="004E0DB5"/>
    <w:rsid w:val="004E1821"/>
    <w:rsid w:val="004E2043"/>
    <w:rsid w:val="004E2195"/>
    <w:rsid w:val="004E238B"/>
    <w:rsid w:val="004E2446"/>
    <w:rsid w:val="004E244D"/>
    <w:rsid w:val="004E2B62"/>
    <w:rsid w:val="004E2D6C"/>
    <w:rsid w:val="004E2D89"/>
    <w:rsid w:val="004E2E92"/>
    <w:rsid w:val="004E2EDC"/>
    <w:rsid w:val="004E2FBD"/>
    <w:rsid w:val="004E30D1"/>
    <w:rsid w:val="004E3225"/>
    <w:rsid w:val="004E32ED"/>
    <w:rsid w:val="004E32FD"/>
    <w:rsid w:val="004E3677"/>
    <w:rsid w:val="004E373C"/>
    <w:rsid w:val="004E3823"/>
    <w:rsid w:val="004E3B4A"/>
    <w:rsid w:val="004E3D10"/>
    <w:rsid w:val="004E4013"/>
    <w:rsid w:val="004E41AF"/>
    <w:rsid w:val="004E41B1"/>
    <w:rsid w:val="004E47B0"/>
    <w:rsid w:val="004E49A5"/>
    <w:rsid w:val="004E4A0D"/>
    <w:rsid w:val="004E4B1E"/>
    <w:rsid w:val="004E4BA3"/>
    <w:rsid w:val="004E4C1A"/>
    <w:rsid w:val="004E4DFC"/>
    <w:rsid w:val="004E502E"/>
    <w:rsid w:val="004E52AE"/>
    <w:rsid w:val="004E56B0"/>
    <w:rsid w:val="004E586C"/>
    <w:rsid w:val="004E5C32"/>
    <w:rsid w:val="004E5CD1"/>
    <w:rsid w:val="004E5ECA"/>
    <w:rsid w:val="004E6DB4"/>
    <w:rsid w:val="004E6E17"/>
    <w:rsid w:val="004E71FB"/>
    <w:rsid w:val="004E75AC"/>
    <w:rsid w:val="004E789C"/>
    <w:rsid w:val="004E7A0E"/>
    <w:rsid w:val="004E7A65"/>
    <w:rsid w:val="004E7AEF"/>
    <w:rsid w:val="004E7F14"/>
    <w:rsid w:val="004F0486"/>
    <w:rsid w:val="004F0563"/>
    <w:rsid w:val="004F0A14"/>
    <w:rsid w:val="004F0C1C"/>
    <w:rsid w:val="004F10AF"/>
    <w:rsid w:val="004F1142"/>
    <w:rsid w:val="004F15FC"/>
    <w:rsid w:val="004F1FCD"/>
    <w:rsid w:val="004F2365"/>
    <w:rsid w:val="004F260D"/>
    <w:rsid w:val="004F2F44"/>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1B"/>
    <w:rsid w:val="004F60FB"/>
    <w:rsid w:val="004F6387"/>
    <w:rsid w:val="004F649F"/>
    <w:rsid w:val="004F6AAD"/>
    <w:rsid w:val="004F6BBD"/>
    <w:rsid w:val="004F6C98"/>
    <w:rsid w:val="004F78D8"/>
    <w:rsid w:val="004F7901"/>
    <w:rsid w:val="00500220"/>
    <w:rsid w:val="00500D4A"/>
    <w:rsid w:val="0050170E"/>
    <w:rsid w:val="00501A4C"/>
    <w:rsid w:val="00501FB0"/>
    <w:rsid w:val="00501FDE"/>
    <w:rsid w:val="005020B8"/>
    <w:rsid w:val="005028D9"/>
    <w:rsid w:val="00502B2A"/>
    <w:rsid w:val="005030F5"/>
    <w:rsid w:val="00503177"/>
    <w:rsid w:val="00503394"/>
    <w:rsid w:val="0050340F"/>
    <w:rsid w:val="005037FA"/>
    <w:rsid w:val="00503CDD"/>
    <w:rsid w:val="00503D57"/>
    <w:rsid w:val="00503DB3"/>
    <w:rsid w:val="00503FD2"/>
    <w:rsid w:val="005047DA"/>
    <w:rsid w:val="00504A60"/>
    <w:rsid w:val="00504CFC"/>
    <w:rsid w:val="00505979"/>
    <w:rsid w:val="00505E15"/>
    <w:rsid w:val="00506131"/>
    <w:rsid w:val="00506466"/>
    <w:rsid w:val="00506772"/>
    <w:rsid w:val="005067BD"/>
    <w:rsid w:val="005069D1"/>
    <w:rsid w:val="00506B18"/>
    <w:rsid w:val="005072EC"/>
    <w:rsid w:val="00507A53"/>
    <w:rsid w:val="00507B8B"/>
    <w:rsid w:val="00507D3E"/>
    <w:rsid w:val="00507DFB"/>
    <w:rsid w:val="00510B81"/>
    <w:rsid w:val="00510CD2"/>
    <w:rsid w:val="00511241"/>
    <w:rsid w:val="00512072"/>
    <w:rsid w:val="005120FA"/>
    <w:rsid w:val="0051299C"/>
    <w:rsid w:val="005129E1"/>
    <w:rsid w:val="00512D4C"/>
    <w:rsid w:val="00512F79"/>
    <w:rsid w:val="005130FA"/>
    <w:rsid w:val="00513872"/>
    <w:rsid w:val="005142BD"/>
    <w:rsid w:val="00514D63"/>
    <w:rsid w:val="005153DF"/>
    <w:rsid w:val="00515452"/>
    <w:rsid w:val="0051589A"/>
    <w:rsid w:val="005159AB"/>
    <w:rsid w:val="00515E02"/>
    <w:rsid w:val="00515E0D"/>
    <w:rsid w:val="0051617A"/>
    <w:rsid w:val="00516AC0"/>
    <w:rsid w:val="00517010"/>
    <w:rsid w:val="0051720A"/>
    <w:rsid w:val="00517E80"/>
    <w:rsid w:val="005202C6"/>
    <w:rsid w:val="0052094C"/>
    <w:rsid w:val="00520B77"/>
    <w:rsid w:val="00520E13"/>
    <w:rsid w:val="00520E6B"/>
    <w:rsid w:val="00521089"/>
    <w:rsid w:val="00521302"/>
    <w:rsid w:val="005213BD"/>
    <w:rsid w:val="005215E0"/>
    <w:rsid w:val="0052174F"/>
    <w:rsid w:val="00522448"/>
    <w:rsid w:val="0052254F"/>
    <w:rsid w:val="005225C4"/>
    <w:rsid w:val="005230E3"/>
    <w:rsid w:val="005231F5"/>
    <w:rsid w:val="0052340E"/>
    <w:rsid w:val="0052374D"/>
    <w:rsid w:val="00523956"/>
    <w:rsid w:val="00523D49"/>
    <w:rsid w:val="0052419D"/>
    <w:rsid w:val="005244D3"/>
    <w:rsid w:val="00524627"/>
    <w:rsid w:val="00524678"/>
    <w:rsid w:val="00524C31"/>
    <w:rsid w:val="00524C4E"/>
    <w:rsid w:val="00524C5F"/>
    <w:rsid w:val="00524E8A"/>
    <w:rsid w:val="00525066"/>
    <w:rsid w:val="005250A4"/>
    <w:rsid w:val="005257E0"/>
    <w:rsid w:val="00525A58"/>
    <w:rsid w:val="00525ABA"/>
    <w:rsid w:val="0052795F"/>
    <w:rsid w:val="00527B97"/>
    <w:rsid w:val="00527DBD"/>
    <w:rsid w:val="00527E0E"/>
    <w:rsid w:val="00527F62"/>
    <w:rsid w:val="0053033B"/>
    <w:rsid w:val="005303FF"/>
    <w:rsid w:val="005310AB"/>
    <w:rsid w:val="00531291"/>
    <w:rsid w:val="0053142B"/>
    <w:rsid w:val="00531481"/>
    <w:rsid w:val="00531898"/>
    <w:rsid w:val="00531C1D"/>
    <w:rsid w:val="0053208E"/>
    <w:rsid w:val="00532136"/>
    <w:rsid w:val="0053224B"/>
    <w:rsid w:val="005325AA"/>
    <w:rsid w:val="00532A7B"/>
    <w:rsid w:val="00532A9E"/>
    <w:rsid w:val="005330CC"/>
    <w:rsid w:val="005332EB"/>
    <w:rsid w:val="00533536"/>
    <w:rsid w:val="005336A8"/>
    <w:rsid w:val="00533A86"/>
    <w:rsid w:val="00533BF8"/>
    <w:rsid w:val="00534404"/>
    <w:rsid w:val="00534515"/>
    <w:rsid w:val="005348A0"/>
    <w:rsid w:val="0053528F"/>
    <w:rsid w:val="00535F02"/>
    <w:rsid w:val="00535FF6"/>
    <w:rsid w:val="00536315"/>
    <w:rsid w:val="00536362"/>
    <w:rsid w:val="00536637"/>
    <w:rsid w:val="00536B42"/>
    <w:rsid w:val="00537775"/>
    <w:rsid w:val="00537781"/>
    <w:rsid w:val="005377EA"/>
    <w:rsid w:val="0053784B"/>
    <w:rsid w:val="00537BA9"/>
    <w:rsid w:val="005401AA"/>
    <w:rsid w:val="00540476"/>
    <w:rsid w:val="005404FE"/>
    <w:rsid w:val="00540BCA"/>
    <w:rsid w:val="00540E6E"/>
    <w:rsid w:val="0054148A"/>
    <w:rsid w:val="005414DA"/>
    <w:rsid w:val="00541825"/>
    <w:rsid w:val="00541B50"/>
    <w:rsid w:val="00541D70"/>
    <w:rsid w:val="00541FC4"/>
    <w:rsid w:val="00542063"/>
    <w:rsid w:val="0054213F"/>
    <w:rsid w:val="005421E8"/>
    <w:rsid w:val="005428A2"/>
    <w:rsid w:val="00542B7D"/>
    <w:rsid w:val="00542C45"/>
    <w:rsid w:val="00542D62"/>
    <w:rsid w:val="00542F75"/>
    <w:rsid w:val="00543072"/>
    <w:rsid w:val="0054344F"/>
    <w:rsid w:val="00543700"/>
    <w:rsid w:val="00543818"/>
    <w:rsid w:val="005441B0"/>
    <w:rsid w:val="00544569"/>
    <w:rsid w:val="00544655"/>
    <w:rsid w:val="00544A5D"/>
    <w:rsid w:val="00544BC9"/>
    <w:rsid w:val="00544DAE"/>
    <w:rsid w:val="00544F56"/>
    <w:rsid w:val="005455C1"/>
    <w:rsid w:val="005457F0"/>
    <w:rsid w:val="0054585F"/>
    <w:rsid w:val="00545B05"/>
    <w:rsid w:val="00545B21"/>
    <w:rsid w:val="00545B72"/>
    <w:rsid w:val="0054615F"/>
    <w:rsid w:val="00546427"/>
    <w:rsid w:val="0054674E"/>
    <w:rsid w:val="00546851"/>
    <w:rsid w:val="00546868"/>
    <w:rsid w:val="0054750A"/>
    <w:rsid w:val="00547893"/>
    <w:rsid w:val="00547A70"/>
    <w:rsid w:val="00547A8E"/>
    <w:rsid w:val="00547B35"/>
    <w:rsid w:val="00547B42"/>
    <w:rsid w:val="00550495"/>
    <w:rsid w:val="005507F2"/>
    <w:rsid w:val="00550B0A"/>
    <w:rsid w:val="00550B4C"/>
    <w:rsid w:val="00550D5E"/>
    <w:rsid w:val="00550FB6"/>
    <w:rsid w:val="00550FDD"/>
    <w:rsid w:val="00551695"/>
    <w:rsid w:val="00551D55"/>
    <w:rsid w:val="00551D5C"/>
    <w:rsid w:val="00551F5A"/>
    <w:rsid w:val="00551FC6"/>
    <w:rsid w:val="00552077"/>
    <w:rsid w:val="0055233C"/>
    <w:rsid w:val="00552374"/>
    <w:rsid w:val="005524DF"/>
    <w:rsid w:val="00552516"/>
    <w:rsid w:val="0055274A"/>
    <w:rsid w:val="00552876"/>
    <w:rsid w:val="005529A0"/>
    <w:rsid w:val="00552ABE"/>
    <w:rsid w:val="00552D04"/>
    <w:rsid w:val="0055339A"/>
    <w:rsid w:val="005537A5"/>
    <w:rsid w:val="005538DB"/>
    <w:rsid w:val="00553949"/>
    <w:rsid w:val="0055406E"/>
    <w:rsid w:val="00554240"/>
    <w:rsid w:val="00554A8C"/>
    <w:rsid w:val="00554B01"/>
    <w:rsid w:val="00554F16"/>
    <w:rsid w:val="005553DF"/>
    <w:rsid w:val="00555873"/>
    <w:rsid w:val="0055619C"/>
    <w:rsid w:val="005562D5"/>
    <w:rsid w:val="00556B3C"/>
    <w:rsid w:val="00556F93"/>
    <w:rsid w:val="00557CAA"/>
    <w:rsid w:val="00557DC6"/>
    <w:rsid w:val="005607B6"/>
    <w:rsid w:val="00560CD6"/>
    <w:rsid w:val="005610B6"/>
    <w:rsid w:val="0056124D"/>
    <w:rsid w:val="00561263"/>
    <w:rsid w:val="00561AC7"/>
    <w:rsid w:val="00561B63"/>
    <w:rsid w:val="00562197"/>
    <w:rsid w:val="005621D4"/>
    <w:rsid w:val="00562922"/>
    <w:rsid w:val="005629E7"/>
    <w:rsid w:val="00562A24"/>
    <w:rsid w:val="00562CB0"/>
    <w:rsid w:val="00562DBE"/>
    <w:rsid w:val="00562FD5"/>
    <w:rsid w:val="00563059"/>
    <w:rsid w:val="00563685"/>
    <w:rsid w:val="005636C8"/>
    <w:rsid w:val="00563752"/>
    <w:rsid w:val="0056378F"/>
    <w:rsid w:val="00563B99"/>
    <w:rsid w:val="00563BD3"/>
    <w:rsid w:val="00563EE6"/>
    <w:rsid w:val="00564199"/>
    <w:rsid w:val="005641EF"/>
    <w:rsid w:val="005642B4"/>
    <w:rsid w:val="0056430B"/>
    <w:rsid w:val="005644CD"/>
    <w:rsid w:val="00564918"/>
    <w:rsid w:val="00565447"/>
    <w:rsid w:val="0056555C"/>
    <w:rsid w:val="00565964"/>
    <w:rsid w:val="00565A76"/>
    <w:rsid w:val="0056637D"/>
    <w:rsid w:val="00566518"/>
    <w:rsid w:val="00566B1D"/>
    <w:rsid w:val="005671D9"/>
    <w:rsid w:val="005671F2"/>
    <w:rsid w:val="0056780E"/>
    <w:rsid w:val="00567B0D"/>
    <w:rsid w:val="005703D9"/>
    <w:rsid w:val="00571100"/>
    <w:rsid w:val="005712EB"/>
    <w:rsid w:val="005719EB"/>
    <w:rsid w:val="00571AE6"/>
    <w:rsid w:val="00571E22"/>
    <w:rsid w:val="00571FBA"/>
    <w:rsid w:val="005720BF"/>
    <w:rsid w:val="00572729"/>
    <w:rsid w:val="005729BF"/>
    <w:rsid w:val="00572FE9"/>
    <w:rsid w:val="00573193"/>
    <w:rsid w:val="0057323E"/>
    <w:rsid w:val="00573521"/>
    <w:rsid w:val="0057385B"/>
    <w:rsid w:val="005739C4"/>
    <w:rsid w:val="00573E58"/>
    <w:rsid w:val="0057428B"/>
    <w:rsid w:val="005745D3"/>
    <w:rsid w:val="00574629"/>
    <w:rsid w:val="005748E7"/>
    <w:rsid w:val="00574E3E"/>
    <w:rsid w:val="0057514C"/>
    <w:rsid w:val="00575155"/>
    <w:rsid w:val="005754FC"/>
    <w:rsid w:val="005756EB"/>
    <w:rsid w:val="005757AF"/>
    <w:rsid w:val="00576023"/>
    <w:rsid w:val="0057630C"/>
    <w:rsid w:val="0057641E"/>
    <w:rsid w:val="00576678"/>
    <w:rsid w:val="005769A0"/>
    <w:rsid w:val="00576E45"/>
    <w:rsid w:val="00576FB0"/>
    <w:rsid w:val="0057734E"/>
    <w:rsid w:val="005777E2"/>
    <w:rsid w:val="005778ED"/>
    <w:rsid w:val="00577C1D"/>
    <w:rsid w:val="00580946"/>
    <w:rsid w:val="0058097A"/>
    <w:rsid w:val="005809B6"/>
    <w:rsid w:val="005810DD"/>
    <w:rsid w:val="005810F3"/>
    <w:rsid w:val="0058135D"/>
    <w:rsid w:val="00581824"/>
    <w:rsid w:val="00581B40"/>
    <w:rsid w:val="00581E9D"/>
    <w:rsid w:val="0058205F"/>
    <w:rsid w:val="005820A2"/>
    <w:rsid w:val="0058226A"/>
    <w:rsid w:val="00582418"/>
    <w:rsid w:val="00582A25"/>
    <w:rsid w:val="00582C47"/>
    <w:rsid w:val="00583050"/>
    <w:rsid w:val="0058316E"/>
    <w:rsid w:val="005834C8"/>
    <w:rsid w:val="00583522"/>
    <w:rsid w:val="00583D7B"/>
    <w:rsid w:val="0058454D"/>
    <w:rsid w:val="00584742"/>
    <w:rsid w:val="00584AEF"/>
    <w:rsid w:val="00584BC4"/>
    <w:rsid w:val="005851C0"/>
    <w:rsid w:val="00585907"/>
    <w:rsid w:val="00585A6A"/>
    <w:rsid w:val="00585C46"/>
    <w:rsid w:val="00585EF3"/>
    <w:rsid w:val="00586078"/>
    <w:rsid w:val="005860FF"/>
    <w:rsid w:val="00586460"/>
    <w:rsid w:val="00586547"/>
    <w:rsid w:val="00586A14"/>
    <w:rsid w:val="00586E40"/>
    <w:rsid w:val="00587207"/>
    <w:rsid w:val="005873B3"/>
    <w:rsid w:val="005874FE"/>
    <w:rsid w:val="00587A63"/>
    <w:rsid w:val="00587BC4"/>
    <w:rsid w:val="00587BDA"/>
    <w:rsid w:val="0059089C"/>
    <w:rsid w:val="005911E9"/>
    <w:rsid w:val="005912D3"/>
    <w:rsid w:val="0059135E"/>
    <w:rsid w:val="00591976"/>
    <w:rsid w:val="00591A98"/>
    <w:rsid w:val="00591C6D"/>
    <w:rsid w:val="00592391"/>
    <w:rsid w:val="005923CB"/>
    <w:rsid w:val="00592401"/>
    <w:rsid w:val="00592768"/>
    <w:rsid w:val="00592CFA"/>
    <w:rsid w:val="005932B0"/>
    <w:rsid w:val="005932EE"/>
    <w:rsid w:val="005933A4"/>
    <w:rsid w:val="00593B83"/>
    <w:rsid w:val="00593CD5"/>
    <w:rsid w:val="00593E9C"/>
    <w:rsid w:val="0059421A"/>
    <w:rsid w:val="005947B3"/>
    <w:rsid w:val="00595004"/>
    <w:rsid w:val="00595A3A"/>
    <w:rsid w:val="00595C0F"/>
    <w:rsid w:val="00595E52"/>
    <w:rsid w:val="00596021"/>
    <w:rsid w:val="005960CB"/>
    <w:rsid w:val="005962BE"/>
    <w:rsid w:val="00596609"/>
    <w:rsid w:val="00597370"/>
    <w:rsid w:val="00597973"/>
    <w:rsid w:val="005A143F"/>
    <w:rsid w:val="005A18EA"/>
    <w:rsid w:val="005A1CD8"/>
    <w:rsid w:val="005A1E1F"/>
    <w:rsid w:val="005A22E4"/>
    <w:rsid w:val="005A2D39"/>
    <w:rsid w:val="005A2DB3"/>
    <w:rsid w:val="005A2DF6"/>
    <w:rsid w:val="005A3049"/>
    <w:rsid w:val="005A3306"/>
    <w:rsid w:val="005A3406"/>
    <w:rsid w:val="005A38D6"/>
    <w:rsid w:val="005A4184"/>
    <w:rsid w:val="005A4780"/>
    <w:rsid w:val="005A4BCE"/>
    <w:rsid w:val="005A4D7F"/>
    <w:rsid w:val="005A4EA5"/>
    <w:rsid w:val="005A501E"/>
    <w:rsid w:val="005A5389"/>
    <w:rsid w:val="005A5856"/>
    <w:rsid w:val="005A585A"/>
    <w:rsid w:val="005A5AB2"/>
    <w:rsid w:val="005A5CA2"/>
    <w:rsid w:val="005A60EB"/>
    <w:rsid w:val="005A75B1"/>
    <w:rsid w:val="005A7AAD"/>
    <w:rsid w:val="005A7E78"/>
    <w:rsid w:val="005B020D"/>
    <w:rsid w:val="005B047C"/>
    <w:rsid w:val="005B10CB"/>
    <w:rsid w:val="005B121D"/>
    <w:rsid w:val="005B150C"/>
    <w:rsid w:val="005B16DF"/>
    <w:rsid w:val="005B2635"/>
    <w:rsid w:val="005B2CF0"/>
    <w:rsid w:val="005B2E57"/>
    <w:rsid w:val="005B338D"/>
    <w:rsid w:val="005B39DF"/>
    <w:rsid w:val="005B3A75"/>
    <w:rsid w:val="005B3D42"/>
    <w:rsid w:val="005B3F08"/>
    <w:rsid w:val="005B3FCB"/>
    <w:rsid w:val="005B40D8"/>
    <w:rsid w:val="005B486F"/>
    <w:rsid w:val="005B49F6"/>
    <w:rsid w:val="005B5078"/>
    <w:rsid w:val="005B526F"/>
    <w:rsid w:val="005B5389"/>
    <w:rsid w:val="005B567D"/>
    <w:rsid w:val="005B5D50"/>
    <w:rsid w:val="005B639C"/>
    <w:rsid w:val="005B6764"/>
    <w:rsid w:val="005B6B6B"/>
    <w:rsid w:val="005B6C31"/>
    <w:rsid w:val="005B6DE4"/>
    <w:rsid w:val="005B6E88"/>
    <w:rsid w:val="005B6F75"/>
    <w:rsid w:val="005B7363"/>
    <w:rsid w:val="005B736B"/>
    <w:rsid w:val="005B76CF"/>
    <w:rsid w:val="005B7BBB"/>
    <w:rsid w:val="005B7F43"/>
    <w:rsid w:val="005C07E6"/>
    <w:rsid w:val="005C0E12"/>
    <w:rsid w:val="005C10C7"/>
    <w:rsid w:val="005C1159"/>
    <w:rsid w:val="005C20BC"/>
    <w:rsid w:val="005C2156"/>
    <w:rsid w:val="005C254C"/>
    <w:rsid w:val="005C25AC"/>
    <w:rsid w:val="005C2B04"/>
    <w:rsid w:val="005C3076"/>
    <w:rsid w:val="005C3215"/>
    <w:rsid w:val="005C3478"/>
    <w:rsid w:val="005C36ED"/>
    <w:rsid w:val="005C38AA"/>
    <w:rsid w:val="005C3984"/>
    <w:rsid w:val="005C3A65"/>
    <w:rsid w:val="005C41CA"/>
    <w:rsid w:val="005C4406"/>
    <w:rsid w:val="005C44B9"/>
    <w:rsid w:val="005C46E9"/>
    <w:rsid w:val="005C46FB"/>
    <w:rsid w:val="005C4B55"/>
    <w:rsid w:val="005C4D49"/>
    <w:rsid w:val="005C5107"/>
    <w:rsid w:val="005C51EE"/>
    <w:rsid w:val="005C5B88"/>
    <w:rsid w:val="005C5E9F"/>
    <w:rsid w:val="005C61AE"/>
    <w:rsid w:val="005C64EE"/>
    <w:rsid w:val="005C6566"/>
    <w:rsid w:val="005C6ED4"/>
    <w:rsid w:val="005C6F0E"/>
    <w:rsid w:val="005C7123"/>
    <w:rsid w:val="005C747A"/>
    <w:rsid w:val="005C7718"/>
    <w:rsid w:val="005C779C"/>
    <w:rsid w:val="005C77AD"/>
    <w:rsid w:val="005C78B7"/>
    <w:rsid w:val="005C79A0"/>
    <w:rsid w:val="005D0071"/>
    <w:rsid w:val="005D025D"/>
    <w:rsid w:val="005D02DD"/>
    <w:rsid w:val="005D0834"/>
    <w:rsid w:val="005D0962"/>
    <w:rsid w:val="005D0C52"/>
    <w:rsid w:val="005D0DFF"/>
    <w:rsid w:val="005D1436"/>
    <w:rsid w:val="005D1449"/>
    <w:rsid w:val="005D149D"/>
    <w:rsid w:val="005D14F8"/>
    <w:rsid w:val="005D174B"/>
    <w:rsid w:val="005D1BB0"/>
    <w:rsid w:val="005D1EB4"/>
    <w:rsid w:val="005D200F"/>
    <w:rsid w:val="005D2675"/>
    <w:rsid w:val="005D27D1"/>
    <w:rsid w:val="005D2AD0"/>
    <w:rsid w:val="005D2B6F"/>
    <w:rsid w:val="005D2BB1"/>
    <w:rsid w:val="005D2BB5"/>
    <w:rsid w:val="005D2DE1"/>
    <w:rsid w:val="005D2EE7"/>
    <w:rsid w:val="005D3D41"/>
    <w:rsid w:val="005D4530"/>
    <w:rsid w:val="005D4904"/>
    <w:rsid w:val="005D4A61"/>
    <w:rsid w:val="005D4AD6"/>
    <w:rsid w:val="005D55D3"/>
    <w:rsid w:val="005D5790"/>
    <w:rsid w:val="005D5C1C"/>
    <w:rsid w:val="005D63DA"/>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E74"/>
    <w:rsid w:val="005D7FBF"/>
    <w:rsid w:val="005E0938"/>
    <w:rsid w:val="005E1673"/>
    <w:rsid w:val="005E1786"/>
    <w:rsid w:val="005E1CEA"/>
    <w:rsid w:val="005E2129"/>
    <w:rsid w:val="005E2150"/>
    <w:rsid w:val="005E262D"/>
    <w:rsid w:val="005E287E"/>
    <w:rsid w:val="005E2F8E"/>
    <w:rsid w:val="005E35B3"/>
    <w:rsid w:val="005E3BA1"/>
    <w:rsid w:val="005E3C66"/>
    <w:rsid w:val="005E3DD1"/>
    <w:rsid w:val="005E48AA"/>
    <w:rsid w:val="005E4BDC"/>
    <w:rsid w:val="005E51EC"/>
    <w:rsid w:val="005E536F"/>
    <w:rsid w:val="005E5652"/>
    <w:rsid w:val="005E5790"/>
    <w:rsid w:val="005E588A"/>
    <w:rsid w:val="005E58AA"/>
    <w:rsid w:val="005E5C7E"/>
    <w:rsid w:val="005E65C0"/>
    <w:rsid w:val="005E6B16"/>
    <w:rsid w:val="005E6E01"/>
    <w:rsid w:val="005E7032"/>
    <w:rsid w:val="005E70D3"/>
    <w:rsid w:val="005E7452"/>
    <w:rsid w:val="005F01FB"/>
    <w:rsid w:val="005F0B7D"/>
    <w:rsid w:val="005F0CE6"/>
    <w:rsid w:val="005F0FB1"/>
    <w:rsid w:val="005F114E"/>
    <w:rsid w:val="005F13AB"/>
    <w:rsid w:val="005F15FB"/>
    <w:rsid w:val="005F2429"/>
    <w:rsid w:val="005F274F"/>
    <w:rsid w:val="005F27AE"/>
    <w:rsid w:val="005F285F"/>
    <w:rsid w:val="005F2E87"/>
    <w:rsid w:val="005F3050"/>
    <w:rsid w:val="005F321C"/>
    <w:rsid w:val="005F3350"/>
    <w:rsid w:val="005F34A4"/>
    <w:rsid w:val="005F3561"/>
    <w:rsid w:val="005F3920"/>
    <w:rsid w:val="005F39B6"/>
    <w:rsid w:val="005F3F39"/>
    <w:rsid w:val="005F41A2"/>
    <w:rsid w:val="005F4706"/>
    <w:rsid w:val="005F4A18"/>
    <w:rsid w:val="005F4C07"/>
    <w:rsid w:val="005F4D4A"/>
    <w:rsid w:val="005F50BA"/>
    <w:rsid w:val="005F52E4"/>
    <w:rsid w:val="005F536D"/>
    <w:rsid w:val="005F57E1"/>
    <w:rsid w:val="005F5AFE"/>
    <w:rsid w:val="005F5C22"/>
    <w:rsid w:val="005F5C79"/>
    <w:rsid w:val="005F5E57"/>
    <w:rsid w:val="005F5EDF"/>
    <w:rsid w:val="005F5F5C"/>
    <w:rsid w:val="005F6183"/>
    <w:rsid w:val="005F62B6"/>
    <w:rsid w:val="005F6480"/>
    <w:rsid w:val="005F6842"/>
    <w:rsid w:val="005F6ED8"/>
    <w:rsid w:val="005F7039"/>
    <w:rsid w:val="005F7809"/>
    <w:rsid w:val="005F783A"/>
    <w:rsid w:val="005F7B41"/>
    <w:rsid w:val="005F7D0E"/>
    <w:rsid w:val="005F7F36"/>
    <w:rsid w:val="00600371"/>
    <w:rsid w:val="00600462"/>
    <w:rsid w:val="006005CA"/>
    <w:rsid w:val="0060090C"/>
    <w:rsid w:val="00600E75"/>
    <w:rsid w:val="00600F2E"/>
    <w:rsid w:val="006011CA"/>
    <w:rsid w:val="006017BC"/>
    <w:rsid w:val="006017FE"/>
    <w:rsid w:val="006018B6"/>
    <w:rsid w:val="00601A8A"/>
    <w:rsid w:val="00601B5D"/>
    <w:rsid w:val="00601CEB"/>
    <w:rsid w:val="00602099"/>
    <w:rsid w:val="006021F3"/>
    <w:rsid w:val="006025A2"/>
    <w:rsid w:val="00602964"/>
    <w:rsid w:val="006029E9"/>
    <w:rsid w:val="00602AB1"/>
    <w:rsid w:val="00602AF4"/>
    <w:rsid w:val="00603633"/>
    <w:rsid w:val="00603696"/>
    <w:rsid w:val="0060373A"/>
    <w:rsid w:val="00603A0F"/>
    <w:rsid w:val="00603C76"/>
    <w:rsid w:val="00603DCC"/>
    <w:rsid w:val="00603E0F"/>
    <w:rsid w:val="00603E5F"/>
    <w:rsid w:val="00603FC8"/>
    <w:rsid w:val="006044FB"/>
    <w:rsid w:val="006046D0"/>
    <w:rsid w:val="00604B2B"/>
    <w:rsid w:val="00604FFD"/>
    <w:rsid w:val="00605439"/>
    <w:rsid w:val="006055D6"/>
    <w:rsid w:val="00605930"/>
    <w:rsid w:val="00605C47"/>
    <w:rsid w:val="00605CBD"/>
    <w:rsid w:val="0060607D"/>
    <w:rsid w:val="006061F9"/>
    <w:rsid w:val="006069D1"/>
    <w:rsid w:val="00606C49"/>
    <w:rsid w:val="00606E67"/>
    <w:rsid w:val="0060760E"/>
    <w:rsid w:val="006078FA"/>
    <w:rsid w:val="00610ED1"/>
    <w:rsid w:val="00611445"/>
    <w:rsid w:val="00611BC7"/>
    <w:rsid w:val="00611F42"/>
    <w:rsid w:val="00611FC2"/>
    <w:rsid w:val="006122DF"/>
    <w:rsid w:val="006123FE"/>
    <w:rsid w:val="00612622"/>
    <w:rsid w:val="0061263E"/>
    <w:rsid w:val="00612A69"/>
    <w:rsid w:val="00612BE6"/>
    <w:rsid w:val="00612E46"/>
    <w:rsid w:val="00613131"/>
    <w:rsid w:val="006132AD"/>
    <w:rsid w:val="006132B6"/>
    <w:rsid w:val="00613393"/>
    <w:rsid w:val="0061347C"/>
    <w:rsid w:val="00613838"/>
    <w:rsid w:val="00613CB4"/>
    <w:rsid w:val="00613E94"/>
    <w:rsid w:val="00613F9B"/>
    <w:rsid w:val="00614245"/>
    <w:rsid w:val="006145D6"/>
    <w:rsid w:val="00614ED6"/>
    <w:rsid w:val="00615141"/>
    <w:rsid w:val="00615609"/>
    <w:rsid w:val="00615882"/>
    <w:rsid w:val="006159EC"/>
    <w:rsid w:val="00615C61"/>
    <w:rsid w:val="00615DC5"/>
    <w:rsid w:val="0061656E"/>
    <w:rsid w:val="00616875"/>
    <w:rsid w:val="0061747B"/>
    <w:rsid w:val="006176E8"/>
    <w:rsid w:val="00617885"/>
    <w:rsid w:val="00620068"/>
    <w:rsid w:val="00620121"/>
    <w:rsid w:val="006201C8"/>
    <w:rsid w:val="00620541"/>
    <w:rsid w:val="006208F8"/>
    <w:rsid w:val="00620CBA"/>
    <w:rsid w:val="00620D68"/>
    <w:rsid w:val="00621754"/>
    <w:rsid w:val="006218AB"/>
    <w:rsid w:val="006218C5"/>
    <w:rsid w:val="00621C08"/>
    <w:rsid w:val="0062248D"/>
    <w:rsid w:val="00622496"/>
    <w:rsid w:val="00622978"/>
    <w:rsid w:val="00622CE0"/>
    <w:rsid w:val="00622E40"/>
    <w:rsid w:val="00622ED3"/>
    <w:rsid w:val="00623146"/>
    <w:rsid w:val="00623271"/>
    <w:rsid w:val="00623C25"/>
    <w:rsid w:val="006240C0"/>
    <w:rsid w:val="006247C6"/>
    <w:rsid w:val="0062480D"/>
    <w:rsid w:val="00624B0A"/>
    <w:rsid w:val="00624B65"/>
    <w:rsid w:val="00624C30"/>
    <w:rsid w:val="006251CC"/>
    <w:rsid w:val="00625367"/>
    <w:rsid w:val="0062554B"/>
    <w:rsid w:val="00625F92"/>
    <w:rsid w:val="00626E22"/>
    <w:rsid w:val="00626E78"/>
    <w:rsid w:val="006277F0"/>
    <w:rsid w:val="00627E1A"/>
    <w:rsid w:val="00630263"/>
    <w:rsid w:val="0063079A"/>
    <w:rsid w:val="00630BB7"/>
    <w:rsid w:val="00630D2E"/>
    <w:rsid w:val="006313F5"/>
    <w:rsid w:val="00631A22"/>
    <w:rsid w:val="00632098"/>
    <w:rsid w:val="006326B6"/>
    <w:rsid w:val="00632A7C"/>
    <w:rsid w:val="006337CF"/>
    <w:rsid w:val="006339CF"/>
    <w:rsid w:val="00633A4D"/>
    <w:rsid w:val="00633DCA"/>
    <w:rsid w:val="00633EBC"/>
    <w:rsid w:val="0063407D"/>
    <w:rsid w:val="00634093"/>
    <w:rsid w:val="006341EE"/>
    <w:rsid w:val="006342E7"/>
    <w:rsid w:val="0063466E"/>
    <w:rsid w:val="006346DA"/>
    <w:rsid w:val="00634E6E"/>
    <w:rsid w:val="006350DD"/>
    <w:rsid w:val="006351FE"/>
    <w:rsid w:val="006359A0"/>
    <w:rsid w:val="00636106"/>
    <w:rsid w:val="00636671"/>
    <w:rsid w:val="00636E8C"/>
    <w:rsid w:val="00636EBB"/>
    <w:rsid w:val="006374D2"/>
    <w:rsid w:val="00637509"/>
    <w:rsid w:val="006377DF"/>
    <w:rsid w:val="00637BC3"/>
    <w:rsid w:val="006401DE"/>
    <w:rsid w:val="00640336"/>
    <w:rsid w:val="00640382"/>
    <w:rsid w:val="006404D3"/>
    <w:rsid w:val="006404E8"/>
    <w:rsid w:val="00640515"/>
    <w:rsid w:val="006406C5"/>
    <w:rsid w:val="0064077B"/>
    <w:rsid w:val="006407D9"/>
    <w:rsid w:val="006409BE"/>
    <w:rsid w:val="00640C41"/>
    <w:rsid w:val="00640E88"/>
    <w:rsid w:val="006410E4"/>
    <w:rsid w:val="0064117F"/>
    <w:rsid w:val="006412EE"/>
    <w:rsid w:val="006414AF"/>
    <w:rsid w:val="00641630"/>
    <w:rsid w:val="00641B27"/>
    <w:rsid w:val="00641E96"/>
    <w:rsid w:val="00642308"/>
    <w:rsid w:val="0064262F"/>
    <w:rsid w:val="00642693"/>
    <w:rsid w:val="00642D37"/>
    <w:rsid w:val="00642E4F"/>
    <w:rsid w:val="00642F62"/>
    <w:rsid w:val="00643006"/>
    <w:rsid w:val="00643180"/>
    <w:rsid w:val="00643A18"/>
    <w:rsid w:val="00643BE2"/>
    <w:rsid w:val="00643D49"/>
    <w:rsid w:val="00643D90"/>
    <w:rsid w:val="0064455F"/>
    <w:rsid w:val="00644868"/>
    <w:rsid w:val="00644A3B"/>
    <w:rsid w:val="00644C14"/>
    <w:rsid w:val="00644C9F"/>
    <w:rsid w:val="00645472"/>
    <w:rsid w:val="00645637"/>
    <w:rsid w:val="006459E2"/>
    <w:rsid w:val="00645FD6"/>
    <w:rsid w:val="00646150"/>
    <w:rsid w:val="0064663C"/>
    <w:rsid w:val="006469D6"/>
    <w:rsid w:val="00646D13"/>
    <w:rsid w:val="00647BC9"/>
    <w:rsid w:val="00647D67"/>
    <w:rsid w:val="00650173"/>
    <w:rsid w:val="006502E3"/>
    <w:rsid w:val="00650E77"/>
    <w:rsid w:val="0065101E"/>
    <w:rsid w:val="006512C1"/>
    <w:rsid w:val="006512CB"/>
    <w:rsid w:val="0065142A"/>
    <w:rsid w:val="00651688"/>
    <w:rsid w:val="0065178C"/>
    <w:rsid w:val="006518B7"/>
    <w:rsid w:val="00651AEA"/>
    <w:rsid w:val="00651B15"/>
    <w:rsid w:val="00652043"/>
    <w:rsid w:val="00652356"/>
    <w:rsid w:val="006527C9"/>
    <w:rsid w:val="00652FD7"/>
    <w:rsid w:val="00653188"/>
    <w:rsid w:val="006545D7"/>
    <w:rsid w:val="00654BAE"/>
    <w:rsid w:val="00654BDE"/>
    <w:rsid w:val="00654EF6"/>
    <w:rsid w:val="00655CCC"/>
    <w:rsid w:val="0065616D"/>
    <w:rsid w:val="006562D0"/>
    <w:rsid w:val="006563F3"/>
    <w:rsid w:val="00656491"/>
    <w:rsid w:val="006566AA"/>
    <w:rsid w:val="0065671C"/>
    <w:rsid w:val="00656F28"/>
    <w:rsid w:val="006573BE"/>
    <w:rsid w:val="0066038B"/>
    <w:rsid w:val="00660BFA"/>
    <w:rsid w:val="00661066"/>
    <w:rsid w:val="00661608"/>
    <w:rsid w:val="006616EA"/>
    <w:rsid w:val="00661BE7"/>
    <w:rsid w:val="00662949"/>
    <w:rsid w:val="00662CA5"/>
    <w:rsid w:val="0066355E"/>
    <w:rsid w:val="00663580"/>
    <w:rsid w:val="00663607"/>
    <w:rsid w:val="00663DFF"/>
    <w:rsid w:val="00663E55"/>
    <w:rsid w:val="00663E99"/>
    <w:rsid w:val="00664277"/>
    <w:rsid w:val="006644BB"/>
    <w:rsid w:val="0066452B"/>
    <w:rsid w:val="006647A8"/>
    <w:rsid w:val="00664A2C"/>
    <w:rsid w:val="00664AA1"/>
    <w:rsid w:val="00664FE6"/>
    <w:rsid w:val="0066581A"/>
    <w:rsid w:val="006659AB"/>
    <w:rsid w:val="006659D5"/>
    <w:rsid w:val="006659F6"/>
    <w:rsid w:val="00665BF8"/>
    <w:rsid w:val="00665CD1"/>
    <w:rsid w:val="00665D7A"/>
    <w:rsid w:val="00665E22"/>
    <w:rsid w:val="0066673C"/>
    <w:rsid w:val="006669AB"/>
    <w:rsid w:val="00666B88"/>
    <w:rsid w:val="00666D8E"/>
    <w:rsid w:val="0066721F"/>
    <w:rsid w:val="006672F9"/>
    <w:rsid w:val="00667310"/>
    <w:rsid w:val="006676A1"/>
    <w:rsid w:val="0066775D"/>
    <w:rsid w:val="00667EC1"/>
    <w:rsid w:val="0067002B"/>
    <w:rsid w:val="0067038F"/>
    <w:rsid w:val="00670C2F"/>
    <w:rsid w:val="00670F32"/>
    <w:rsid w:val="006712F9"/>
    <w:rsid w:val="006717F3"/>
    <w:rsid w:val="0067190B"/>
    <w:rsid w:val="00671994"/>
    <w:rsid w:val="00671EA0"/>
    <w:rsid w:val="00671EF1"/>
    <w:rsid w:val="00672307"/>
    <w:rsid w:val="00672A76"/>
    <w:rsid w:val="006730F1"/>
    <w:rsid w:val="00673763"/>
    <w:rsid w:val="006738EC"/>
    <w:rsid w:val="00673905"/>
    <w:rsid w:val="006739B9"/>
    <w:rsid w:val="00673C8D"/>
    <w:rsid w:val="0067480B"/>
    <w:rsid w:val="006750FE"/>
    <w:rsid w:val="00675229"/>
    <w:rsid w:val="0067525C"/>
    <w:rsid w:val="00675345"/>
    <w:rsid w:val="00675504"/>
    <w:rsid w:val="0067554D"/>
    <w:rsid w:val="00675A2C"/>
    <w:rsid w:val="006765D1"/>
    <w:rsid w:val="006766BB"/>
    <w:rsid w:val="006767A3"/>
    <w:rsid w:val="00676984"/>
    <w:rsid w:val="00676ADC"/>
    <w:rsid w:val="00676B91"/>
    <w:rsid w:val="0067704A"/>
    <w:rsid w:val="006772D2"/>
    <w:rsid w:val="006773DB"/>
    <w:rsid w:val="0067754A"/>
    <w:rsid w:val="00677650"/>
    <w:rsid w:val="00677A30"/>
    <w:rsid w:val="00677D1E"/>
    <w:rsid w:val="006800A3"/>
    <w:rsid w:val="00680295"/>
    <w:rsid w:val="006806EE"/>
    <w:rsid w:val="0068092A"/>
    <w:rsid w:val="00680A23"/>
    <w:rsid w:val="00680AF6"/>
    <w:rsid w:val="00680E3C"/>
    <w:rsid w:val="006819B7"/>
    <w:rsid w:val="006820D2"/>
    <w:rsid w:val="00682544"/>
    <w:rsid w:val="006825B6"/>
    <w:rsid w:val="00682846"/>
    <w:rsid w:val="00683246"/>
    <w:rsid w:val="006834D6"/>
    <w:rsid w:val="0068360F"/>
    <w:rsid w:val="006840E5"/>
    <w:rsid w:val="006840ED"/>
    <w:rsid w:val="006843CF"/>
    <w:rsid w:val="00684486"/>
    <w:rsid w:val="00684686"/>
    <w:rsid w:val="00684742"/>
    <w:rsid w:val="0068474B"/>
    <w:rsid w:val="00684E8F"/>
    <w:rsid w:val="006854AB"/>
    <w:rsid w:val="00685D68"/>
    <w:rsid w:val="00686786"/>
    <w:rsid w:val="00686C3D"/>
    <w:rsid w:val="006871EE"/>
    <w:rsid w:val="0068782D"/>
    <w:rsid w:val="00687A7F"/>
    <w:rsid w:val="00687AE3"/>
    <w:rsid w:val="00687CC2"/>
    <w:rsid w:val="00687E95"/>
    <w:rsid w:val="00690729"/>
    <w:rsid w:val="00690CB1"/>
    <w:rsid w:val="00690FC4"/>
    <w:rsid w:val="006910DB"/>
    <w:rsid w:val="0069138B"/>
    <w:rsid w:val="006913A8"/>
    <w:rsid w:val="006914A3"/>
    <w:rsid w:val="0069174B"/>
    <w:rsid w:val="00691B12"/>
    <w:rsid w:val="00691C64"/>
    <w:rsid w:val="00691E79"/>
    <w:rsid w:val="00692332"/>
    <w:rsid w:val="006926EB"/>
    <w:rsid w:val="00692D73"/>
    <w:rsid w:val="00693130"/>
    <w:rsid w:val="00693853"/>
    <w:rsid w:val="00693ABF"/>
    <w:rsid w:val="00693B86"/>
    <w:rsid w:val="00694914"/>
    <w:rsid w:val="00694E22"/>
    <w:rsid w:val="00695271"/>
    <w:rsid w:val="00695359"/>
    <w:rsid w:val="006959B5"/>
    <w:rsid w:val="00695B0E"/>
    <w:rsid w:val="00696061"/>
    <w:rsid w:val="0069699C"/>
    <w:rsid w:val="006969DB"/>
    <w:rsid w:val="00696A4A"/>
    <w:rsid w:val="00697554"/>
    <w:rsid w:val="00697A80"/>
    <w:rsid w:val="00697CCF"/>
    <w:rsid w:val="00697CE8"/>
    <w:rsid w:val="00697DE5"/>
    <w:rsid w:val="00697FA5"/>
    <w:rsid w:val="006A092C"/>
    <w:rsid w:val="006A0A75"/>
    <w:rsid w:val="006A1646"/>
    <w:rsid w:val="006A175A"/>
    <w:rsid w:val="006A24A8"/>
    <w:rsid w:val="006A29AB"/>
    <w:rsid w:val="006A3412"/>
    <w:rsid w:val="006A36FA"/>
    <w:rsid w:val="006A40A6"/>
    <w:rsid w:val="006A464C"/>
    <w:rsid w:val="006A4651"/>
    <w:rsid w:val="006A4916"/>
    <w:rsid w:val="006A4B26"/>
    <w:rsid w:val="006A4C58"/>
    <w:rsid w:val="006A4CD3"/>
    <w:rsid w:val="006A5414"/>
    <w:rsid w:val="006A55A3"/>
    <w:rsid w:val="006A5CA7"/>
    <w:rsid w:val="006A5DBD"/>
    <w:rsid w:val="006A5E6B"/>
    <w:rsid w:val="006A5EBB"/>
    <w:rsid w:val="006A6273"/>
    <w:rsid w:val="006A6605"/>
    <w:rsid w:val="006A668B"/>
    <w:rsid w:val="006A66BD"/>
    <w:rsid w:val="006A6962"/>
    <w:rsid w:val="006A6B8A"/>
    <w:rsid w:val="006A6D1E"/>
    <w:rsid w:val="006A6DAE"/>
    <w:rsid w:val="006A74C1"/>
    <w:rsid w:val="006A7648"/>
    <w:rsid w:val="006A76A7"/>
    <w:rsid w:val="006A7800"/>
    <w:rsid w:val="006A789B"/>
    <w:rsid w:val="006A78D9"/>
    <w:rsid w:val="006B00D5"/>
    <w:rsid w:val="006B0358"/>
    <w:rsid w:val="006B0F30"/>
    <w:rsid w:val="006B11FA"/>
    <w:rsid w:val="006B1360"/>
    <w:rsid w:val="006B1392"/>
    <w:rsid w:val="006B1855"/>
    <w:rsid w:val="006B1D7E"/>
    <w:rsid w:val="006B231E"/>
    <w:rsid w:val="006B25A9"/>
    <w:rsid w:val="006B2877"/>
    <w:rsid w:val="006B2893"/>
    <w:rsid w:val="006B2A6B"/>
    <w:rsid w:val="006B38FD"/>
    <w:rsid w:val="006B3CDF"/>
    <w:rsid w:val="006B3E5B"/>
    <w:rsid w:val="006B456F"/>
    <w:rsid w:val="006B49F1"/>
    <w:rsid w:val="006B4AA2"/>
    <w:rsid w:val="006B4C6E"/>
    <w:rsid w:val="006B5413"/>
    <w:rsid w:val="006B5414"/>
    <w:rsid w:val="006B5769"/>
    <w:rsid w:val="006B5F44"/>
    <w:rsid w:val="006B619C"/>
    <w:rsid w:val="006B61A4"/>
    <w:rsid w:val="006B6C73"/>
    <w:rsid w:val="006B7026"/>
    <w:rsid w:val="006B7331"/>
    <w:rsid w:val="006B7353"/>
    <w:rsid w:val="006B73D7"/>
    <w:rsid w:val="006B7491"/>
    <w:rsid w:val="006B7561"/>
    <w:rsid w:val="006B783F"/>
    <w:rsid w:val="006B7896"/>
    <w:rsid w:val="006B7AA0"/>
    <w:rsid w:val="006C0766"/>
    <w:rsid w:val="006C0E2F"/>
    <w:rsid w:val="006C0EC1"/>
    <w:rsid w:val="006C0F5D"/>
    <w:rsid w:val="006C1227"/>
    <w:rsid w:val="006C12B6"/>
    <w:rsid w:val="006C137C"/>
    <w:rsid w:val="006C1412"/>
    <w:rsid w:val="006C14DD"/>
    <w:rsid w:val="006C177D"/>
    <w:rsid w:val="006C19E5"/>
    <w:rsid w:val="006C1DFC"/>
    <w:rsid w:val="006C1FDD"/>
    <w:rsid w:val="006C247C"/>
    <w:rsid w:val="006C2599"/>
    <w:rsid w:val="006C29FE"/>
    <w:rsid w:val="006C2D56"/>
    <w:rsid w:val="006C2E2C"/>
    <w:rsid w:val="006C3583"/>
    <w:rsid w:val="006C393A"/>
    <w:rsid w:val="006C437E"/>
    <w:rsid w:val="006C4B18"/>
    <w:rsid w:val="006C4C17"/>
    <w:rsid w:val="006C5571"/>
    <w:rsid w:val="006C5904"/>
    <w:rsid w:val="006C5B9B"/>
    <w:rsid w:val="006C5CC4"/>
    <w:rsid w:val="006C6454"/>
    <w:rsid w:val="006C685E"/>
    <w:rsid w:val="006C6904"/>
    <w:rsid w:val="006C697F"/>
    <w:rsid w:val="006C6B15"/>
    <w:rsid w:val="006C6B2D"/>
    <w:rsid w:val="006C6E1C"/>
    <w:rsid w:val="006C6EC7"/>
    <w:rsid w:val="006C72DD"/>
    <w:rsid w:val="006C73D3"/>
    <w:rsid w:val="006C7507"/>
    <w:rsid w:val="006C7771"/>
    <w:rsid w:val="006C791E"/>
    <w:rsid w:val="006C7BE5"/>
    <w:rsid w:val="006C7D05"/>
    <w:rsid w:val="006C7F94"/>
    <w:rsid w:val="006D09EA"/>
    <w:rsid w:val="006D0BDE"/>
    <w:rsid w:val="006D0CF1"/>
    <w:rsid w:val="006D0F26"/>
    <w:rsid w:val="006D0F7A"/>
    <w:rsid w:val="006D1527"/>
    <w:rsid w:val="006D15FC"/>
    <w:rsid w:val="006D1612"/>
    <w:rsid w:val="006D1B21"/>
    <w:rsid w:val="006D1BF5"/>
    <w:rsid w:val="006D20D6"/>
    <w:rsid w:val="006D245A"/>
    <w:rsid w:val="006D2624"/>
    <w:rsid w:val="006D276D"/>
    <w:rsid w:val="006D2795"/>
    <w:rsid w:val="006D289D"/>
    <w:rsid w:val="006D2984"/>
    <w:rsid w:val="006D29C4"/>
    <w:rsid w:val="006D2D35"/>
    <w:rsid w:val="006D2E17"/>
    <w:rsid w:val="006D38E4"/>
    <w:rsid w:val="006D3C67"/>
    <w:rsid w:val="006D3E32"/>
    <w:rsid w:val="006D4A20"/>
    <w:rsid w:val="006D4B11"/>
    <w:rsid w:val="006D4CF0"/>
    <w:rsid w:val="006D4DFF"/>
    <w:rsid w:val="006D550F"/>
    <w:rsid w:val="006D5568"/>
    <w:rsid w:val="006D5571"/>
    <w:rsid w:val="006D56D0"/>
    <w:rsid w:val="006D572D"/>
    <w:rsid w:val="006D5B6A"/>
    <w:rsid w:val="006D5EDF"/>
    <w:rsid w:val="006D62B8"/>
    <w:rsid w:val="006D6525"/>
    <w:rsid w:val="006D759E"/>
    <w:rsid w:val="006D75DB"/>
    <w:rsid w:val="006D76E6"/>
    <w:rsid w:val="006D7819"/>
    <w:rsid w:val="006D7FAE"/>
    <w:rsid w:val="006E00CA"/>
    <w:rsid w:val="006E022E"/>
    <w:rsid w:val="006E05E3"/>
    <w:rsid w:val="006E08ED"/>
    <w:rsid w:val="006E097F"/>
    <w:rsid w:val="006E0F8D"/>
    <w:rsid w:val="006E1369"/>
    <w:rsid w:val="006E159C"/>
    <w:rsid w:val="006E1FF5"/>
    <w:rsid w:val="006E22DB"/>
    <w:rsid w:val="006E2771"/>
    <w:rsid w:val="006E2992"/>
    <w:rsid w:val="006E2CC6"/>
    <w:rsid w:val="006E2F1D"/>
    <w:rsid w:val="006E2F6C"/>
    <w:rsid w:val="006E301B"/>
    <w:rsid w:val="006E3113"/>
    <w:rsid w:val="006E38BA"/>
    <w:rsid w:val="006E38C9"/>
    <w:rsid w:val="006E3A3B"/>
    <w:rsid w:val="006E3FC3"/>
    <w:rsid w:val="006E4116"/>
    <w:rsid w:val="006E47E7"/>
    <w:rsid w:val="006E4980"/>
    <w:rsid w:val="006E4EC9"/>
    <w:rsid w:val="006E50B3"/>
    <w:rsid w:val="006E55B1"/>
    <w:rsid w:val="006E55DF"/>
    <w:rsid w:val="006E5CE9"/>
    <w:rsid w:val="006E5DF8"/>
    <w:rsid w:val="006E5E74"/>
    <w:rsid w:val="006E659F"/>
    <w:rsid w:val="006E6BCB"/>
    <w:rsid w:val="006E6CDD"/>
    <w:rsid w:val="006E7211"/>
    <w:rsid w:val="006E7383"/>
    <w:rsid w:val="006E758C"/>
    <w:rsid w:val="006E769B"/>
    <w:rsid w:val="006E77B9"/>
    <w:rsid w:val="006E79CE"/>
    <w:rsid w:val="006F01B1"/>
    <w:rsid w:val="006F0510"/>
    <w:rsid w:val="006F06B8"/>
    <w:rsid w:val="006F0AF2"/>
    <w:rsid w:val="006F0F39"/>
    <w:rsid w:val="006F0F5C"/>
    <w:rsid w:val="006F0F97"/>
    <w:rsid w:val="006F0F9E"/>
    <w:rsid w:val="006F15FC"/>
    <w:rsid w:val="006F1B12"/>
    <w:rsid w:val="006F1D69"/>
    <w:rsid w:val="006F20F6"/>
    <w:rsid w:val="006F21F6"/>
    <w:rsid w:val="006F2283"/>
    <w:rsid w:val="006F22B9"/>
    <w:rsid w:val="006F2469"/>
    <w:rsid w:val="006F26A9"/>
    <w:rsid w:val="006F2738"/>
    <w:rsid w:val="006F2B76"/>
    <w:rsid w:val="006F3100"/>
    <w:rsid w:val="006F325F"/>
    <w:rsid w:val="006F3367"/>
    <w:rsid w:val="006F3422"/>
    <w:rsid w:val="006F3593"/>
    <w:rsid w:val="006F383D"/>
    <w:rsid w:val="006F391B"/>
    <w:rsid w:val="006F3A9D"/>
    <w:rsid w:val="006F3CE8"/>
    <w:rsid w:val="006F41AF"/>
    <w:rsid w:val="006F42DC"/>
    <w:rsid w:val="006F4714"/>
    <w:rsid w:val="006F4B59"/>
    <w:rsid w:val="006F5356"/>
    <w:rsid w:val="006F577D"/>
    <w:rsid w:val="006F585E"/>
    <w:rsid w:val="006F5919"/>
    <w:rsid w:val="006F7B86"/>
    <w:rsid w:val="006F7CD7"/>
    <w:rsid w:val="0070030A"/>
    <w:rsid w:val="0070074B"/>
    <w:rsid w:val="0070088A"/>
    <w:rsid w:val="00700D8E"/>
    <w:rsid w:val="00700F26"/>
    <w:rsid w:val="00700F9A"/>
    <w:rsid w:val="007011C5"/>
    <w:rsid w:val="0070121F"/>
    <w:rsid w:val="00701A32"/>
    <w:rsid w:val="00701C0D"/>
    <w:rsid w:val="00701C2C"/>
    <w:rsid w:val="00701ED8"/>
    <w:rsid w:val="00701EFE"/>
    <w:rsid w:val="0070227C"/>
    <w:rsid w:val="00702317"/>
    <w:rsid w:val="007024BF"/>
    <w:rsid w:val="007027E3"/>
    <w:rsid w:val="007027E9"/>
    <w:rsid w:val="0070287F"/>
    <w:rsid w:val="007028CD"/>
    <w:rsid w:val="00702C9F"/>
    <w:rsid w:val="00702FD5"/>
    <w:rsid w:val="007032CA"/>
    <w:rsid w:val="007035DC"/>
    <w:rsid w:val="007038F8"/>
    <w:rsid w:val="00703BAB"/>
    <w:rsid w:val="00703D6E"/>
    <w:rsid w:val="00704124"/>
    <w:rsid w:val="00704AB3"/>
    <w:rsid w:val="00704CB5"/>
    <w:rsid w:val="00704EFA"/>
    <w:rsid w:val="00704F37"/>
    <w:rsid w:val="00706225"/>
    <w:rsid w:val="00706419"/>
    <w:rsid w:val="00706638"/>
    <w:rsid w:val="007074BF"/>
    <w:rsid w:val="007100C5"/>
    <w:rsid w:val="00710166"/>
    <w:rsid w:val="0071024B"/>
    <w:rsid w:val="007104B1"/>
    <w:rsid w:val="007108F4"/>
    <w:rsid w:val="007109A3"/>
    <w:rsid w:val="00710F38"/>
    <w:rsid w:val="00711410"/>
    <w:rsid w:val="007116C1"/>
    <w:rsid w:val="007117A0"/>
    <w:rsid w:val="00711941"/>
    <w:rsid w:val="00711F0F"/>
    <w:rsid w:val="007125A4"/>
    <w:rsid w:val="007125E4"/>
    <w:rsid w:val="00712889"/>
    <w:rsid w:val="007128DE"/>
    <w:rsid w:val="0071290D"/>
    <w:rsid w:val="00712B40"/>
    <w:rsid w:val="00712B9E"/>
    <w:rsid w:val="00713E18"/>
    <w:rsid w:val="00714093"/>
    <w:rsid w:val="00714478"/>
    <w:rsid w:val="00714593"/>
    <w:rsid w:val="00714598"/>
    <w:rsid w:val="00714F53"/>
    <w:rsid w:val="00715076"/>
    <w:rsid w:val="00715326"/>
    <w:rsid w:val="0071538F"/>
    <w:rsid w:val="007153BB"/>
    <w:rsid w:val="007153C7"/>
    <w:rsid w:val="007154B1"/>
    <w:rsid w:val="00715799"/>
    <w:rsid w:val="00715B99"/>
    <w:rsid w:val="0071645D"/>
    <w:rsid w:val="00716730"/>
    <w:rsid w:val="0071711A"/>
    <w:rsid w:val="0071791A"/>
    <w:rsid w:val="00717D16"/>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905"/>
    <w:rsid w:val="00722915"/>
    <w:rsid w:val="007229BA"/>
    <w:rsid w:val="00722EB4"/>
    <w:rsid w:val="00722EBA"/>
    <w:rsid w:val="00723170"/>
    <w:rsid w:val="00723504"/>
    <w:rsid w:val="0072353A"/>
    <w:rsid w:val="00723794"/>
    <w:rsid w:val="00723B70"/>
    <w:rsid w:val="007240FC"/>
    <w:rsid w:val="007244BA"/>
    <w:rsid w:val="00724CDE"/>
    <w:rsid w:val="00724E53"/>
    <w:rsid w:val="0072535D"/>
    <w:rsid w:val="00725689"/>
    <w:rsid w:val="007259EF"/>
    <w:rsid w:val="0072652D"/>
    <w:rsid w:val="00726603"/>
    <w:rsid w:val="00726F58"/>
    <w:rsid w:val="007276FE"/>
    <w:rsid w:val="0073012E"/>
    <w:rsid w:val="00730518"/>
    <w:rsid w:val="007306CA"/>
    <w:rsid w:val="00730817"/>
    <w:rsid w:val="00730BA6"/>
    <w:rsid w:val="00730F79"/>
    <w:rsid w:val="00730FFE"/>
    <w:rsid w:val="007312E9"/>
    <w:rsid w:val="00731650"/>
    <w:rsid w:val="00731EC8"/>
    <w:rsid w:val="00732055"/>
    <w:rsid w:val="0073232E"/>
    <w:rsid w:val="007325BF"/>
    <w:rsid w:val="007326C6"/>
    <w:rsid w:val="00732BD7"/>
    <w:rsid w:val="007335E0"/>
    <w:rsid w:val="00733611"/>
    <w:rsid w:val="00733709"/>
    <w:rsid w:val="007337F7"/>
    <w:rsid w:val="0073399D"/>
    <w:rsid w:val="00733DFE"/>
    <w:rsid w:val="0073444E"/>
    <w:rsid w:val="00734496"/>
    <w:rsid w:val="007344C9"/>
    <w:rsid w:val="0073497F"/>
    <w:rsid w:val="00734A05"/>
    <w:rsid w:val="00734D12"/>
    <w:rsid w:val="00734EEB"/>
    <w:rsid w:val="00734EF2"/>
    <w:rsid w:val="00734FA4"/>
    <w:rsid w:val="0073554E"/>
    <w:rsid w:val="0073559A"/>
    <w:rsid w:val="00735786"/>
    <w:rsid w:val="007357AB"/>
    <w:rsid w:val="007359E3"/>
    <w:rsid w:val="00735EAA"/>
    <w:rsid w:val="0073610B"/>
    <w:rsid w:val="00736944"/>
    <w:rsid w:val="00736A63"/>
    <w:rsid w:val="00736D76"/>
    <w:rsid w:val="00737085"/>
    <w:rsid w:val="00737A0A"/>
    <w:rsid w:val="00737AB0"/>
    <w:rsid w:val="00737DA8"/>
    <w:rsid w:val="007406E8"/>
    <w:rsid w:val="00740905"/>
    <w:rsid w:val="00740D08"/>
    <w:rsid w:val="0074132B"/>
    <w:rsid w:val="0074155B"/>
    <w:rsid w:val="00741B84"/>
    <w:rsid w:val="00741CA7"/>
    <w:rsid w:val="007421B8"/>
    <w:rsid w:val="00742419"/>
    <w:rsid w:val="007427BF"/>
    <w:rsid w:val="00742CE6"/>
    <w:rsid w:val="00743AE4"/>
    <w:rsid w:val="00743D6F"/>
    <w:rsid w:val="0074495E"/>
    <w:rsid w:val="007449A5"/>
    <w:rsid w:val="00744A17"/>
    <w:rsid w:val="00744C0B"/>
    <w:rsid w:val="00744E23"/>
    <w:rsid w:val="00744F08"/>
    <w:rsid w:val="00745192"/>
    <w:rsid w:val="00745421"/>
    <w:rsid w:val="00745502"/>
    <w:rsid w:val="00745F15"/>
    <w:rsid w:val="00745FC7"/>
    <w:rsid w:val="00746185"/>
    <w:rsid w:val="00746482"/>
    <w:rsid w:val="0074655C"/>
    <w:rsid w:val="00746634"/>
    <w:rsid w:val="00746A18"/>
    <w:rsid w:val="00746DCD"/>
    <w:rsid w:val="00747053"/>
    <w:rsid w:val="00747106"/>
    <w:rsid w:val="0074733C"/>
    <w:rsid w:val="00747738"/>
    <w:rsid w:val="00747F08"/>
    <w:rsid w:val="00747F28"/>
    <w:rsid w:val="00747F8A"/>
    <w:rsid w:val="00747FB9"/>
    <w:rsid w:val="0075028D"/>
    <w:rsid w:val="007507AB"/>
    <w:rsid w:val="007507C6"/>
    <w:rsid w:val="00750DBD"/>
    <w:rsid w:val="00751024"/>
    <w:rsid w:val="007512CE"/>
    <w:rsid w:val="00751FE8"/>
    <w:rsid w:val="007527D2"/>
    <w:rsid w:val="007528F7"/>
    <w:rsid w:val="00752AC2"/>
    <w:rsid w:val="00752B9E"/>
    <w:rsid w:val="0075321D"/>
    <w:rsid w:val="00753FA6"/>
    <w:rsid w:val="007541E6"/>
    <w:rsid w:val="00754472"/>
    <w:rsid w:val="007547DE"/>
    <w:rsid w:val="00754C17"/>
    <w:rsid w:val="007554E8"/>
    <w:rsid w:val="00755890"/>
    <w:rsid w:val="007559F3"/>
    <w:rsid w:val="00755B76"/>
    <w:rsid w:val="007563C9"/>
    <w:rsid w:val="0075662D"/>
    <w:rsid w:val="00756BA2"/>
    <w:rsid w:val="00756C45"/>
    <w:rsid w:val="007578FE"/>
    <w:rsid w:val="00757B85"/>
    <w:rsid w:val="00757CA5"/>
    <w:rsid w:val="00757E63"/>
    <w:rsid w:val="00760577"/>
    <w:rsid w:val="0076068E"/>
    <w:rsid w:val="0076072A"/>
    <w:rsid w:val="007608C3"/>
    <w:rsid w:val="00761B13"/>
    <w:rsid w:val="00761B1E"/>
    <w:rsid w:val="00761DB5"/>
    <w:rsid w:val="00761E62"/>
    <w:rsid w:val="007623EB"/>
    <w:rsid w:val="0076258B"/>
    <w:rsid w:val="00762CE9"/>
    <w:rsid w:val="00762E2C"/>
    <w:rsid w:val="00762F17"/>
    <w:rsid w:val="00763A71"/>
    <w:rsid w:val="00763D02"/>
    <w:rsid w:val="007642C0"/>
    <w:rsid w:val="007649BC"/>
    <w:rsid w:val="007656A8"/>
    <w:rsid w:val="00765759"/>
    <w:rsid w:val="00765764"/>
    <w:rsid w:val="00765780"/>
    <w:rsid w:val="00765B97"/>
    <w:rsid w:val="00765F75"/>
    <w:rsid w:val="007662B2"/>
    <w:rsid w:val="0076672A"/>
    <w:rsid w:val="007667A1"/>
    <w:rsid w:val="007669E0"/>
    <w:rsid w:val="00766DB0"/>
    <w:rsid w:val="00766F78"/>
    <w:rsid w:val="00767B0F"/>
    <w:rsid w:val="00767CEB"/>
    <w:rsid w:val="00767D45"/>
    <w:rsid w:val="00767E82"/>
    <w:rsid w:val="007703FD"/>
    <w:rsid w:val="00770695"/>
    <w:rsid w:val="007709DA"/>
    <w:rsid w:val="00770B47"/>
    <w:rsid w:val="00770C53"/>
    <w:rsid w:val="00770C60"/>
    <w:rsid w:val="00770D51"/>
    <w:rsid w:val="00770E20"/>
    <w:rsid w:val="00771135"/>
    <w:rsid w:val="0077131C"/>
    <w:rsid w:val="0077131F"/>
    <w:rsid w:val="007713EE"/>
    <w:rsid w:val="0077143B"/>
    <w:rsid w:val="00771DB2"/>
    <w:rsid w:val="007722A8"/>
    <w:rsid w:val="00772654"/>
    <w:rsid w:val="00772D23"/>
    <w:rsid w:val="00772FEB"/>
    <w:rsid w:val="0077344F"/>
    <w:rsid w:val="00773788"/>
    <w:rsid w:val="00773C2C"/>
    <w:rsid w:val="007740C8"/>
    <w:rsid w:val="00774441"/>
    <w:rsid w:val="007746BC"/>
    <w:rsid w:val="00774B23"/>
    <w:rsid w:val="007752A9"/>
    <w:rsid w:val="007754A4"/>
    <w:rsid w:val="0077573C"/>
    <w:rsid w:val="00775746"/>
    <w:rsid w:val="007758E2"/>
    <w:rsid w:val="00775AAC"/>
    <w:rsid w:val="00775B76"/>
    <w:rsid w:val="00775C07"/>
    <w:rsid w:val="00775F9F"/>
    <w:rsid w:val="00776211"/>
    <w:rsid w:val="0077650C"/>
    <w:rsid w:val="00776590"/>
    <w:rsid w:val="0077677F"/>
    <w:rsid w:val="00776EE9"/>
    <w:rsid w:val="007778C5"/>
    <w:rsid w:val="00780091"/>
    <w:rsid w:val="007800A3"/>
    <w:rsid w:val="007800A6"/>
    <w:rsid w:val="007804F8"/>
    <w:rsid w:val="0078103E"/>
    <w:rsid w:val="007811CE"/>
    <w:rsid w:val="00781BDB"/>
    <w:rsid w:val="00781BFB"/>
    <w:rsid w:val="00781C30"/>
    <w:rsid w:val="007825C0"/>
    <w:rsid w:val="007830EB"/>
    <w:rsid w:val="007835AF"/>
    <w:rsid w:val="007836FD"/>
    <w:rsid w:val="00783725"/>
    <w:rsid w:val="007837C5"/>
    <w:rsid w:val="0078384C"/>
    <w:rsid w:val="00783D36"/>
    <w:rsid w:val="007845A5"/>
    <w:rsid w:val="007846A1"/>
    <w:rsid w:val="007849FE"/>
    <w:rsid w:val="00785009"/>
    <w:rsid w:val="007850CC"/>
    <w:rsid w:val="0078594D"/>
    <w:rsid w:val="00785B98"/>
    <w:rsid w:val="0078602F"/>
    <w:rsid w:val="00786288"/>
    <w:rsid w:val="007863E4"/>
    <w:rsid w:val="007867C4"/>
    <w:rsid w:val="0078697E"/>
    <w:rsid w:val="00786A90"/>
    <w:rsid w:val="00786FC1"/>
    <w:rsid w:val="0078797B"/>
    <w:rsid w:val="007905AE"/>
    <w:rsid w:val="007907AE"/>
    <w:rsid w:val="00790966"/>
    <w:rsid w:val="007909A2"/>
    <w:rsid w:val="00790F7F"/>
    <w:rsid w:val="00791055"/>
    <w:rsid w:val="00791068"/>
    <w:rsid w:val="0079115E"/>
    <w:rsid w:val="00791663"/>
    <w:rsid w:val="00791923"/>
    <w:rsid w:val="00791ADB"/>
    <w:rsid w:val="00791C11"/>
    <w:rsid w:val="007921AC"/>
    <w:rsid w:val="007924C4"/>
    <w:rsid w:val="00792A77"/>
    <w:rsid w:val="00792C19"/>
    <w:rsid w:val="00792D43"/>
    <w:rsid w:val="007930C3"/>
    <w:rsid w:val="00793574"/>
    <w:rsid w:val="00793942"/>
    <w:rsid w:val="007939AE"/>
    <w:rsid w:val="00793A5A"/>
    <w:rsid w:val="00793C6B"/>
    <w:rsid w:val="0079400C"/>
    <w:rsid w:val="007941A4"/>
    <w:rsid w:val="00794A2E"/>
    <w:rsid w:val="00794AA0"/>
    <w:rsid w:val="00794EA4"/>
    <w:rsid w:val="00794FC8"/>
    <w:rsid w:val="007950E3"/>
    <w:rsid w:val="0079527C"/>
    <w:rsid w:val="0079545D"/>
    <w:rsid w:val="007954C1"/>
    <w:rsid w:val="00795694"/>
    <w:rsid w:val="0079574A"/>
    <w:rsid w:val="00795A6B"/>
    <w:rsid w:val="00795CC9"/>
    <w:rsid w:val="0079658D"/>
    <w:rsid w:val="00796895"/>
    <w:rsid w:val="007969A7"/>
    <w:rsid w:val="00796AA4"/>
    <w:rsid w:val="00796DBE"/>
    <w:rsid w:val="00797135"/>
    <w:rsid w:val="00797BD3"/>
    <w:rsid w:val="00797F24"/>
    <w:rsid w:val="007A01DE"/>
    <w:rsid w:val="007A0A3B"/>
    <w:rsid w:val="007A13F1"/>
    <w:rsid w:val="007A143E"/>
    <w:rsid w:val="007A1619"/>
    <w:rsid w:val="007A1B4C"/>
    <w:rsid w:val="007A1D8A"/>
    <w:rsid w:val="007A2778"/>
    <w:rsid w:val="007A2A31"/>
    <w:rsid w:val="007A2E9B"/>
    <w:rsid w:val="007A3837"/>
    <w:rsid w:val="007A3CBC"/>
    <w:rsid w:val="007A3E3E"/>
    <w:rsid w:val="007A3F44"/>
    <w:rsid w:val="007A41A6"/>
    <w:rsid w:val="007A45EF"/>
    <w:rsid w:val="007A4896"/>
    <w:rsid w:val="007A5C98"/>
    <w:rsid w:val="007A5CA4"/>
    <w:rsid w:val="007A5E38"/>
    <w:rsid w:val="007A6005"/>
    <w:rsid w:val="007A6050"/>
    <w:rsid w:val="007A618F"/>
    <w:rsid w:val="007A63BE"/>
    <w:rsid w:val="007A688C"/>
    <w:rsid w:val="007A715D"/>
    <w:rsid w:val="007A721A"/>
    <w:rsid w:val="007A7446"/>
    <w:rsid w:val="007A7525"/>
    <w:rsid w:val="007A7D60"/>
    <w:rsid w:val="007A7E49"/>
    <w:rsid w:val="007A7E56"/>
    <w:rsid w:val="007A7E9B"/>
    <w:rsid w:val="007B02DA"/>
    <w:rsid w:val="007B03F4"/>
    <w:rsid w:val="007B07AE"/>
    <w:rsid w:val="007B0869"/>
    <w:rsid w:val="007B0B81"/>
    <w:rsid w:val="007B0CF4"/>
    <w:rsid w:val="007B103F"/>
    <w:rsid w:val="007B1100"/>
    <w:rsid w:val="007B11D4"/>
    <w:rsid w:val="007B1478"/>
    <w:rsid w:val="007B1764"/>
    <w:rsid w:val="007B1DF4"/>
    <w:rsid w:val="007B1F6F"/>
    <w:rsid w:val="007B2D9F"/>
    <w:rsid w:val="007B2F75"/>
    <w:rsid w:val="007B3489"/>
    <w:rsid w:val="007B39F5"/>
    <w:rsid w:val="007B3A96"/>
    <w:rsid w:val="007B3AC3"/>
    <w:rsid w:val="007B3F6C"/>
    <w:rsid w:val="007B4685"/>
    <w:rsid w:val="007B468B"/>
    <w:rsid w:val="007B48AA"/>
    <w:rsid w:val="007B48AC"/>
    <w:rsid w:val="007B4F6F"/>
    <w:rsid w:val="007B4FFA"/>
    <w:rsid w:val="007B5201"/>
    <w:rsid w:val="007B54D2"/>
    <w:rsid w:val="007B55D6"/>
    <w:rsid w:val="007B58BF"/>
    <w:rsid w:val="007B5A6D"/>
    <w:rsid w:val="007B5BBD"/>
    <w:rsid w:val="007B6092"/>
    <w:rsid w:val="007B66DA"/>
    <w:rsid w:val="007B6949"/>
    <w:rsid w:val="007B6987"/>
    <w:rsid w:val="007B6B93"/>
    <w:rsid w:val="007B6F05"/>
    <w:rsid w:val="007B70F5"/>
    <w:rsid w:val="007B71A6"/>
    <w:rsid w:val="007B7398"/>
    <w:rsid w:val="007B772F"/>
    <w:rsid w:val="007B790E"/>
    <w:rsid w:val="007B7960"/>
    <w:rsid w:val="007B7963"/>
    <w:rsid w:val="007B7A8B"/>
    <w:rsid w:val="007B7D17"/>
    <w:rsid w:val="007B7EA1"/>
    <w:rsid w:val="007C0076"/>
    <w:rsid w:val="007C0463"/>
    <w:rsid w:val="007C0C7D"/>
    <w:rsid w:val="007C0DF2"/>
    <w:rsid w:val="007C1043"/>
    <w:rsid w:val="007C11E9"/>
    <w:rsid w:val="007C1293"/>
    <w:rsid w:val="007C17E4"/>
    <w:rsid w:val="007C1B87"/>
    <w:rsid w:val="007C1E6F"/>
    <w:rsid w:val="007C2157"/>
    <w:rsid w:val="007C236A"/>
    <w:rsid w:val="007C2429"/>
    <w:rsid w:val="007C2609"/>
    <w:rsid w:val="007C282B"/>
    <w:rsid w:val="007C28A6"/>
    <w:rsid w:val="007C28B1"/>
    <w:rsid w:val="007C32CF"/>
    <w:rsid w:val="007C32D4"/>
    <w:rsid w:val="007C334A"/>
    <w:rsid w:val="007C34C8"/>
    <w:rsid w:val="007C35E6"/>
    <w:rsid w:val="007C4317"/>
    <w:rsid w:val="007C4484"/>
    <w:rsid w:val="007C46C7"/>
    <w:rsid w:val="007C47CB"/>
    <w:rsid w:val="007C483E"/>
    <w:rsid w:val="007C4CBC"/>
    <w:rsid w:val="007C4DC7"/>
    <w:rsid w:val="007C55B9"/>
    <w:rsid w:val="007C56F8"/>
    <w:rsid w:val="007C58AF"/>
    <w:rsid w:val="007C5D70"/>
    <w:rsid w:val="007C5F8D"/>
    <w:rsid w:val="007C5FC3"/>
    <w:rsid w:val="007C634C"/>
    <w:rsid w:val="007C651F"/>
    <w:rsid w:val="007C6543"/>
    <w:rsid w:val="007C73EA"/>
    <w:rsid w:val="007C794C"/>
    <w:rsid w:val="007C7FC9"/>
    <w:rsid w:val="007C7FCC"/>
    <w:rsid w:val="007D011F"/>
    <w:rsid w:val="007D09E0"/>
    <w:rsid w:val="007D0E69"/>
    <w:rsid w:val="007D12C0"/>
    <w:rsid w:val="007D13F7"/>
    <w:rsid w:val="007D1917"/>
    <w:rsid w:val="007D1EAC"/>
    <w:rsid w:val="007D202E"/>
    <w:rsid w:val="007D2867"/>
    <w:rsid w:val="007D29E3"/>
    <w:rsid w:val="007D29F7"/>
    <w:rsid w:val="007D2ACF"/>
    <w:rsid w:val="007D34E0"/>
    <w:rsid w:val="007D3A2E"/>
    <w:rsid w:val="007D3AAB"/>
    <w:rsid w:val="007D40B5"/>
    <w:rsid w:val="007D4144"/>
    <w:rsid w:val="007D4641"/>
    <w:rsid w:val="007D55B1"/>
    <w:rsid w:val="007D57CD"/>
    <w:rsid w:val="007D5844"/>
    <w:rsid w:val="007D63C8"/>
    <w:rsid w:val="007D65A0"/>
    <w:rsid w:val="007D6AEE"/>
    <w:rsid w:val="007D6C63"/>
    <w:rsid w:val="007D6FED"/>
    <w:rsid w:val="007D7110"/>
    <w:rsid w:val="007D733F"/>
    <w:rsid w:val="007D7343"/>
    <w:rsid w:val="007D74B7"/>
    <w:rsid w:val="007D7A7C"/>
    <w:rsid w:val="007D7D82"/>
    <w:rsid w:val="007D7E2C"/>
    <w:rsid w:val="007E013D"/>
    <w:rsid w:val="007E0233"/>
    <w:rsid w:val="007E08DF"/>
    <w:rsid w:val="007E0E82"/>
    <w:rsid w:val="007E124E"/>
    <w:rsid w:val="007E16A0"/>
    <w:rsid w:val="007E1703"/>
    <w:rsid w:val="007E18DB"/>
    <w:rsid w:val="007E1A61"/>
    <w:rsid w:val="007E1F52"/>
    <w:rsid w:val="007E2278"/>
    <w:rsid w:val="007E2500"/>
    <w:rsid w:val="007E2961"/>
    <w:rsid w:val="007E31A2"/>
    <w:rsid w:val="007E3DF7"/>
    <w:rsid w:val="007E3F5C"/>
    <w:rsid w:val="007E4433"/>
    <w:rsid w:val="007E4530"/>
    <w:rsid w:val="007E5149"/>
    <w:rsid w:val="007E5332"/>
    <w:rsid w:val="007E53F0"/>
    <w:rsid w:val="007E554B"/>
    <w:rsid w:val="007E562A"/>
    <w:rsid w:val="007E58C5"/>
    <w:rsid w:val="007E5958"/>
    <w:rsid w:val="007E5D35"/>
    <w:rsid w:val="007E5DA7"/>
    <w:rsid w:val="007E5F51"/>
    <w:rsid w:val="007E6A7A"/>
    <w:rsid w:val="007E6AD8"/>
    <w:rsid w:val="007E7380"/>
    <w:rsid w:val="007E7C28"/>
    <w:rsid w:val="007E7C34"/>
    <w:rsid w:val="007E7D4F"/>
    <w:rsid w:val="007E7DEE"/>
    <w:rsid w:val="007F0108"/>
    <w:rsid w:val="007F02E5"/>
    <w:rsid w:val="007F0439"/>
    <w:rsid w:val="007F04ED"/>
    <w:rsid w:val="007F076F"/>
    <w:rsid w:val="007F0B5C"/>
    <w:rsid w:val="007F1042"/>
    <w:rsid w:val="007F11E4"/>
    <w:rsid w:val="007F144B"/>
    <w:rsid w:val="007F14F6"/>
    <w:rsid w:val="007F22BD"/>
    <w:rsid w:val="007F232B"/>
    <w:rsid w:val="007F27A9"/>
    <w:rsid w:val="007F2EAE"/>
    <w:rsid w:val="007F2FDA"/>
    <w:rsid w:val="007F3353"/>
    <w:rsid w:val="007F3412"/>
    <w:rsid w:val="007F36F0"/>
    <w:rsid w:val="007F3847"/>
    <w:rsid w:val="007F3A9C"/>
    <w:rsid w:val="007F3DD7"/>
    <w:rsid w:val="007F3E20"/>
    <w:rsid w:val="007F41DC"/>
    <w:rsid w:val="007F4991"/>
    <w:rsid w:val="007F4ABA"/>
    <w:rsid w:val="007F4ED5"/>
    <w:rsid w:val="007F5575"/>
    <w:rsid w:val="007F590E"/>
    <w:rsid w:val="007F59E8"/>
    <w:rsid w:val="007F5E12"/>
    <w:rsid w:val="007F607E"/>
    <w:rsid w:val="007F62C7"/>
    <w:rsid w:val="007F630C"/>
    <w:rsid w:val="007F6397"/>
    <w:rsid w:val="007F63CC"/>
    <w:rsid w:val="007F66C0"/>
    <w:rsid w:val="007F6926"/>
    <w:rsid w:val="007F6A16"/>
    <w:rsid w:val="007F7532"/>
    <w:rsid w:val="007F7737"/>
    <w:rsid w:val="007F785F"/>
    <w:rsid w:val="007F7BB0"/>
    <w:rsid w:val="008005A4"/>
    <w:rsid w:val="00800D74"/>
    <w:rsid w:val="008012B4"/>
    <w:rsid w:val="008014F8"/>
    <w:rsid w:val="00801798"/>
    <w:rsid w:val="00801A66"/>
    <w:rsid w:val="00801D3E"/>
    <w:rsid w:val="00801DDC"/>
    <w:rsid w:val="00802705"/>
    <w:rsid w:val="00802832"/>
    <w:rsid w:val="00802A9F"/>
    <w:rsid w:val="00802CA4"/>
    <w:rsid w:val="008030CA"/>
    <w:rsid w:val="008030D8"/>
    <w:rsid w:val="008031BA"/>
    <w:rsid w:val="00803278"/>
    <w:rsid w:val="00803317"/>
    <w:rsid w:val="0080347A"/>
    <w:rsid w:val="0080350F"/>
    <w:rsid w:val="0080351E"/>
    <w:rsid w:val="00803792"/>
    <w:rsid w:val="00803AA5"/>
    <w:rsid w:val="00803BFA"/>
    <w:rsid w:val="00803C1E"/>
    <w:rsid w:val="00803FE1"/>
    <w:rsid w:val="00804092"/>
    <w:rsid w:val="00804242"/>
    <w:rsid w:val="00804330"/>
    <w:rsid w:val="00804441"/>
    <w:rsid w:val="0080457B"/>
    <w:rsid w:val="00804A51"/>
    <w:rsid w:val="00804C78"/>
    <w:rsid w:val="00804F7C"/>
    <w:rsid w:val="008057CD"/>
    <w:rsid w:val="00805D34"/>
    <w:rsid w:val="00805F9F"/>
    <w:rsid w:val="00805FEE"/>
    <w:rsid w:val="008060E8"/>
    <w:rsid w:val="00806438"/>
    <w:rsid w:val="008066CB"/>
    <w:rsid w:val="008069EA"/>
    <w:rsid w:val="00806D82"/>
    <w:rsid w:val="00806F50"/>
    <w:rsid w:val="00807166"/>
    <w:rsid w:val="008072EF"/>
    <w:rsid w:val="0080732E"/>
    <w:rsid w:val="00807412"/>
    <w:rsid w:val="00807414"/>
    <w:rsid w:val="00807763"/>
    <w:rsid w:val="008077F3"/>
    <w:rsid w:val="00810220"/>
    <w:rsid w:val="00810479"/>
    <w:rsid w:val="0081062E"/>
    <w:rsid w:val="00810ACB"/>
    <w:rsid w:val="00811310"/>
    <w:rsid w:val="00811A5C"/>
    <w:rsid w:val="00811C9D"/>
    <w:rsid w:val="00811D74"/>
    <w:rsid w:val="0081209B"/>
    <w:rsid w:val="008121E3"/>
    <w:rsid w:val="00812D9E"/>
    <w:rsid w:val="00812E19"/>
    <w:rsid w:val="00812E80"/>
    <w:rsid w:val="00812E9C"/>
    <w:rsid w:val="00813713"/>
    <w:rsid w:val="0081372B"/>
    <w:rsid w:val="008137A8"/>
    <w:rsid w:val="00813D34"/>
    <w:rsid w:val="0081417C"/>
    <w:rsid w:val="00814322"/>
    <w:rsid w:val="008145B1"/>
    <w:rsid w:val="008146A2"/>
    <w:rsid w:val="00814E53"/>
    <w:rsid w:val="00815058"/>
    <w:rsid w:val="00815271"/>
    <w:rsid w:val="008152E0"/>
    <w:rsid w:val="00816152"/>
    <w:rsid w:val="0081675F"/>
    <w:rsid w:val="00816949"/>
    <w:rsid w:val="00816984"/>
    <w:rsid w:val="00817787"/>
    <w:rsid w:val="00820151"/>
    <w:rsid w:val="0082055C"/>
    <w:rsid w:val="008206FE"/>
    <w:rsid w:val="00820E08"/>
    <w:rsid w:val="00820E48"/>
    <w:rsid w:val="00821122"/>
    <w:rsid w:val="008213DC"/>
    <w:rsid w:val="0082174E"/>
    <w:rsid w:val="0082287F"/>
    <w:rsid w:val="00822F1E"/>
    <w:rsid w:val="00822FAF"/>
    <w:rsid w:val="008230F8"/>
    <w:rsid w:val="008237B4"/>
    <w:rsid w:val="00823BCC"/>
    <w:rsid w:val="00823C1F"/>
    <w:rsid w:val="00824868"/>
    <w:rsid w:val="00824DBC"/>
    <w:rsid w:val="00824FD2"/>
    <w:rsid w:val="008250E0"/>
    <w:rsid w:val="008254FB"/>
    <w:rsid w:val="00825680"/>
    <w:rsid w:val="008258B0"/>
    <w:rsid w:val="00825E8F"/>
    <w:rsid w:val="00825FD4"/>
    <w:rsid w:val="008260FA"/>
    <w:rsid w:val="00826374"/>
    <w:rsid w:val="0082675E"/>
    <w:rsid w:val="00826D9D"/>
    <w:rsid w:val="00827083"/>
    <w:rsid w:val="00827136"/>
    <w:rsid w:val="008275D5"/>
    <w:rsid w:val="008275F9"/>
    <w:rsid w:val="00827A84"/>
    <w:rsid w:val="00827AEC"/>
    <w:rsid w:val="008302B3"/>
    <w:rsid w:val="008302C6"/>
    <w:rsid w:val="008303C3"/>
    <w:rsid w:val="008304F7"/>
    <w:rsid w:val="0083078D"/>
    <w:rsid w:val="00830D84"/>
    <w:rsid w:val="008314E2"/>
    <w:rsid w:val="0083198D"/>
    <w:rsid w:val="00831BC2"/>
    <w:rsid w:val="008321D8"/>
    <w:rsid w:val="008324A4"/>
    <w:rsid w:val="00832564"/>
    <w:rsid w:val="00832C15"/>
    <w:rsid w:val="00832C19"/>
    <w:rsid w:val="00832D9B"/>
    <w:rsid w:val="00833020"/>
    <w:rsid w:val="0083328B"/>
    <w:rsid w:val="00833425"/>
    <w:rsid w:val="00833719"/>
    <w:rsid w:val="00833957"/>
    <w:rsid w:val="00833AC6"/>
    <w:rsid w:val="00834200"/>
    <w:rsid w:val="0083475B"/>
    <w:rsid w:val="008347EA"/>
    <w:rsid w:val="00834EA9"/>
    <w:rsid w:val="0083552A"/>
    <w:rsid w:val="0083583A"/>
    <w:rsid w:val="00835903"/>
    <w:rsid w:val="00835BD3"/>
    <w:rsid w:val="0083619E"/>
    <w:rsid w:val="008362DC"/>
    <w:rsid w:val="00836799"/>
    <w:rsid w:val="008367CE"/>
    <w:rsid w:val="00836A40"/>
    <w:rsid w:val="00836EFA"/>
    <w:rsid w:val="00837452"/>
    <w:rsid w:val="0083752B"/>
    <w:rsid w:val="0083761A"/>
    <w:rsid w:val="008376EB"/>
    <w:rsid w:val="008378F7"/>
    <w:rsid w:val="008402CC"/>
    <w:rsid w:val="0084076B"/>
    <w:rsid w:val="00840BBA"/>
    <w:rsid w:val="0084121E"/>
    <w:rsid w:val="00841923"/>
    <w:rsid w:val="00841B2E"/>
    <w:rsid w:val="0084237F"/>
    <w:rsid w:val="00842869"/>
    <w:rsid w:val="00842BE1"/>
    <w:rsid w:val="00842CD6"/>
    <w:rsid w:val="00842F01"/>
    <w:rsid w:val="008434FC"/>
    <w:rsid w:val="00843A46"/>
    <w:rsid w:val="00844297"/>
    <w:rsid w:val="00844314"/>
    <w:rsid w:val="0084459A"/>
    <w:rsid w:val="008445B5"/>
    <w:rsid w:val="008446F3"/>
    <w:rsid w:val="008447BB"/>
    <w:rsid w:val="00844A9A"/>
    <w:rsid w:val="00844EDC"/>
    <w:rsid w:val="00844F8A"/>
    <w:rsid w:val="008453AD"/>
    <w:rsid w:val="008455CB"/>
    <w:rsid w:val="00845673"/>
    <w:rsid w:val="00845A62"/>
    <w:rsid w:val="00846048"/>
    <w:rsid w:val="00846312"/>
    <w:rsid w:val="008463AC"/>
    <w:rsid w:val="00846654"/>
    <w:rsid w:val="00846FF8"/>
    <w:rsid w:val="008474C2"/>
    <w:rsid w:val="00847669"/>
    <w:rsid w:val="0084795A"/>
    <w:rsid w:val="00847A90"/>
    <w:rsid w:val="00847B64"/>
    <w:rsid w:val="00847E0D"/>
    <w:rsid w:val="00847F3D"/>
    <w:rsid w:val="008504C9"/>
    <w:rsid w:val="0085051B"/>
    <w:rsid w:val="008506B4"/>
    <w:rsid w:val="00850EE9"/>
    <w:rsid w:val="0085101D"/>
    <w:rsid w:val="0085125A"/>
    <w:rsid w:val="0085169D"/>
    <w:rsid w:val="00851A37"/>
    <w:rsid w:val="00851AA5"/>
    <w:rsid w:val="00852369"/>
    <w:rsid w:val="008526FA"/>
    <w:rsid w:val="00852887"/>
    <w:rsid w:val="00852BA9"/>
    <w:rsid w:val="00852C1E"/>
    <w:rsid w:val="00852E8E"/>
    <w:rsid w:val="00852ECE"/>
    <w:rsid w:val="00853651"/>
    <w:rsid w:val="008539A9"/>
    <w:rsid w:val="00853A9F"/>
    <w:rsid w:val="00853CDA"/>
    <w:rsid w:val="00853DE9"/>
    <w:rsid w:val="00853E14"/>
    <w:rsid w:val="00853EED"/>
    <w:rsid w:val="00854544"/>
    <w:rsid w:val="008547D1"/>
    <w:rsid w:val="008549AF"/>
    <w:rsid w:val="00855637"/>
    <w:rsid w:val="008557D6"/>
    <w:rsid w:val="00855A74"/>
    <w:rsid w:val="00855E2E"/>
    <w:rsid w:val="00855E33"/>
    <w:rsid w:val="00856459"/>
    <w:rsid w:val="00856B7D"/>
    <w:rsid w:val="00856FC1"/>
    <w:rsid w:val="00857272"/>
    <w:rsid w:val="00857331"/>
    <w:rsid w:val="0085748B"/>
    <w:rsid w:val="00857548"/>
    <w:rsid w:val="00860077"/>
    <w:rsid w:val="0086010B"/>
    <w:rsid w:val="00860283"/>
    <w:rsid w:val="0086058E"/>
    <w:rsid w:val="00860C34"/>
    <w:rsid w:val="00861196"/>
    <w:rsid w:val="0086129E"/>
    <w:rsid w:val="008616A5"/>
    <w:rsid w:val="00861DF7"/>
    <w:rsid w:val="00862630"/>
    <w:rsid w:val="0086263A"/>
    <w:rsid w:val="00862D54"/>
    <w:rsid w:val="00862F65"/>
    <w:rsid w:val="00862FC7"/>
    <w:rsid w:val="0086342F"/>
    <w:rsid w:val="0086360A"/>
    <w:rsid w:val="008638F0"/>
    <w:rsid w:val="00863A21"/>
    <w:rsid w:val="00863B9C"/>
    <w:rsid w:val="00864760"/>
    <w:rsid w:val="00864A63"/>
    <w:rsid w:val="00864A7D"/>
    <w:rsid w:val="00864FB8"/>
    <w:rsid w:val="00865721"/>
    <w:rsid w:val="008658E1"/>
    <w:rsid w:val="00865C99"/>
    <w:rsid w:val="00865D9B"/>
    <w:rsid w:val="0086614C"/>
    <w:rsid w:val="0086638D"/>
    <w:rsid w:val="00866472"/>
    <w:rsid w:val="0086659C"/>
    <w:rsid w:val="008665C3"/>
    <w:rsid w:val="008666EC"/>
    <w:rsid w:val="00866F64"/>
    <w:rsid w:val="00867060"/>
    <w:rsid w:val="00867137"/>
    <w:rsid w:val="0086785E"/>
    <w:rsid w:val="00867997"/>
    <w:rsid w:val="00867FBB"/>
    <w:rsid w:val="00867FC8"/>
    <w:rsid w:val="0087073A"/>
    <w:rsid w:val="00870B96"/>
    <w:rsid w:val="0087115D"/>
    <w:rsid w:val="008711EA"/>
    <w:rsid w:val="00871235"/>
    <w:rsid w:val="00871244"/>
    <w:rsid w:val="00871396"/>
    <w:rsid w:val="00871AC9"/>
    <w:rsid w:val="00871C5A"/>
    <w:rsid w:val="00871C73"/>
    <w:rsid w:val="00871CED"/>
    <w:rsid w:val="00871DC9"/>
    <w:rsid w:val="00871E74"/>
    <w:rsid w:val="00872119"/>
    <w:rsid w:val="008721DC"/>
    <w:rsid w:val="0087221C"/>
    <w:rsid w:val="0087260B"/>
    <w:rsid w:val="0087262F"/>
    <w:rsid w:val="008726DF"/>
    <w:rsid w:val="00872BAD"/>
    <w:rsid w:val="00872F22"/>
    <w:rsid w:val="00872F59"/>
    <w:rsid w:val="00873133"/>
    <w:rsid w:val="00873403"/>
    <w:rsid w:val="00873909"/>
    <w:rsid w:val="0087404B"/>
    <w:rsid w:val="00874583"/>
    <w:rsid w:val="00874A5E"/>
    <w:rsid w:val="00874B4C"/>
    <w:rsid w:val="00874F29"/>
    <w:rsid w:val="00875351"/>
    <w:rsid w:val="0087541F"/>
    <w:rsid w:val="00875D4D"/>
    <w:rsid w:val="00875F28"/>
    <w:rsid w:val="008764A6"/>
    <w:rsid w:val="00876903"/>
    <w:rsid w:val="00876AEB"/>
    <w:rsid w:val="00876BEF"/>
    <w:rsid w:val="00876E27"/>
    <w:rsid w:val="008770BD"/>
    <w:rsid w:val="008773DD"/>
    <w:rsid w:val="008779C5"/>
    <w:rsid w:val="00877C13"/>
    <w:rsid w:val="00880FA5"/>
    <w:rsid w:val="008811CC"/>
    <w:rsid w:val="0088175C"/>
    <w:rsid w:val="008818EB"/>
    <w:rsid w:val="00881E57"/>
    <w:rsid w:val="00882A3B"/>
    <w:rsid w:val="008839A8"/>
    <w:rsid w:val="00883F3D"/>
    <w:rsid w:val="0088441D"/>
    <w:rsid w:val="00884539"/>
    <w:rsid w:val="008845B3"/>
    <w:rsid w:val="00884630"/>
    <w:rsid w:val="00884FAA"/>
    <w:rsid w:val="008851D2"/>
    <w:rsid w:val="00885467"/>
    <w:rsid w:val="00885BA7"/>
    <w:rsid w:val="00885BD3"/>
    <w:rsid w:val="008861A9"/>
    <w:rsid w:val="008862AF"/>
    <w:rsid w:val="00886964"/>
    <w:rsid w:val="00886DC6"/>
    <w:rsid w:val="00886F07"/>
    <w:rsid w:val="00886F21"/>
    <w:rsid w:val="00890E77"/>
    <w:rsid w:val="00890E81"/>
    <w:rsid w:val="00890FE6"/>
    <w:rsid w:val="008910FD"/>
    <w:rsid w:val="00891130"/>
    <w:rsid w:val="008913E0"/>
    <w:rsid w:val="00891454"/>
    <w:rsid w:val="00891595"/>
    <w:rsid w:val="00891EEF"/>
    <w:rsid w:val="008920E9"/>
    <w:rsid w:val="008926DA"/>
    <w:rsid w:val="00892C82"/>
    <w:rsid w:val="00892CB0"/>
    <w:rsid w:val="00892E08"/>
    <w:rsid w:val="00892E89"/>
    <w:rsid w:val="008932D5"/>
    <w:rsid w:val="00893493"/>
    <w:rsid w:val="00893686"/>
    <w:rsid w:val="008937BA"/>
    <w:rsid w:val="00893B68"/>
    <w:rsid w:val="00893B79"/>
    <w:rsid w:val="00894190"/>
    <w:rsid w:val="0089431A"/>
    <w:rsid w:val="0089442D"/>
    <w:rsid w:val="00894710"/>
    <w:rsid w:val="00894E93"/>
    <w:rsid w:val="00895253"/>
    <w:rsid w:val="0089537D"/>
    <w:rsid w:val="00895896"/>
    <w:rsid w:val="008959BF"/>
    <w:rsid w:val="00895C85"/>
    <w:rsid w:val="00895CF0"/>
    <w:rsid w:val="00895FFA"/>
    <w:rsid w:val="0089630C"/>
    <w:rsid w:val="00896666"/>
    <w:rsid w:val="00896AB5"/>
    <w:rsid w:val="00897630"/>
    <w:rsid w:val="008977AF"/>
    <w:rsid w:val="008A004D"/>
    <w:rsid w:val="008A0167"/>
    <w:rsid w:val="008A01F7"/>
    <w:rsid w:val="008A06A1"/>
    <w:rsid w:val="008A0B6B"/>
    <w:rsid w:val="008A10DB"/>
    <w:rsid w:val="008A11E3"/>
    <w:rsid w:val="008A1319"/>
    <w:rsid w:val="008A1855"/>
    <w:rsid w:val="008A1E33"/>
    <w:rsid w:val="008A1FAD"/>
    <w:rsid w:val="008A23E6"/>
    <w:rsid w:val="008A2715"/>
    <w:rsid w:val="008A2B9F"/>
    <w:rsid w:val="008A3048"/>
    <w:rsid w:val="008A31C9"/>
    <w:rsid w:val="008A31DB"/>
    <w:rsid w:val="008A3C6A"/>
    <w:rsid w:val="008A3CFB"/>
    <w:rsid w:val="008A3D5E"/>
    <w:rsid w:val="008A3D9C"/>
    <w:rsid w:val="008A3FD4"/>
    <w:rsid w:val="008A409C"/>
    <w:rsid w:val="008A48C5"/>
    <w:rsid w:val="008A5647"/>
    <w:rsid w:val="008A56E6"/>
    <w:rsid w:val="008A5DB5"/>
    <w:rsid w:val="008A5DEE"/>
    <w:rsid w:val="008A609B"/>
    <w:rsid w:val="008A717A"/>
    <w:rsid w:val="008A721A"/>
    <w:rsid w:val="008A7260"/>
    <w:rsid w:val="008A7706"/>
    <w:rsid w:val="008A7866"/>
    <w:rsid w:val="008A7C8D"/>
    <w:rsid w:val="008A7E22"/>
    <w:rsid w:val="008B008A"/>
    <w:rsid w:val="008B0368"/>
    <w:rsid w:val="008B0376"/>
    <w:rsid w:val="008B0414"/>
    <w:rsid w:val="008B0CDC"/>
    <w:rsid w:val="008B0F2C"/>
    <w:rsid w:val="008B1299"/>
    <w:rsid w:val="008B13D9"/>
    <w:rsid w:val="008B158E"/>
    <w:rsid w:val="008B171F"/>
    <w:rsid w:val="008B219F"/>
    <w:rsid w:val="008B2ECE"/>
    <w:rsid w:val="008B3041"/>
    <w:rsid w:val="008B3407"/>
    <w:rsid w:val="008B42B9"/>
    <w:rsid w:val="008B4312"/>
    <w:rsid w:val="008B47F0"/>
    <w:rsid w:val="008B48DB"/>
    <w:rsid w:val="008B4BF0"/>
    <w:rsid w:val="008B4FDC"/>
    <w:rsid w:val="008B5078"/>
    <w:rsid w:val="008B51FF"/>
    <w:rsid w:val="008B521F"/>
    <w:rsid w:val="008B5235"/>
    <w:rsid w:val="008B52AB"/>
    <w:rsid w:val="008B598F"/>
    <w:rsid w:val="008B5B97"/>
    <w:rsid w:val="008B5C19"/>
    <w:rsid w:val="008B5EA8"/>
    <w:rsid w:val="008B6130"/>
    <w:rsid w:val="008B621E"/>
    <w:rsid w:val="008B6536"/>
    <w:rsid w:val="008B6735"/>
    <w:rsid w:val="008B6977"/>
    <w:rsid w:val="008B6B7F"/>
    <w:rsid w:val="008B70BD"/>
    <w:rsid w:val="008B710F"/>
    <w:rsid w:val="008B7129"/>
    <w:rsid w:val="008B72F8"/>
    <w:rsid w:val="008B748A"/>
    <w:rsid w:val="008B7683"/>
    <w:rsid w:val="008C0C29"/>
    <w:rsid w:val="008C0F4C"/>
    <w:rsid w:val="008C1510"/>
    <w:rsid w:val="008C26B2"/>
    <w:rsid w:val="008C2955"/>
    <w:rsid w:val="008C29DD"/>
    <w:rsid w:val="008C2A3F"/>
    <w:rsid w:val="008C2EAC"/>
    <w:rsid w:val="008C322F"/>
    <w:rsid w:val="008C3287"/>
    <w:rsid w:val="008C34B6"/>
    <w:rsid w:val="008C3773"/>
    <w:rsid w:val="008C3806"/>
    <w:rsid w:val="008C3AE0"/>
    <w:rsid w:val="008C3C72"/>
    <w:rsid w:val="008C3DBA"/>
    <w:rsid w:val="008C3F0B"/>
    <w:rsid w:val="008C3F7C"/>
    <w:rsid w:val="008C42BB"/>
    <w:rsid w:val="008C4844"/>
    <w:rsid w:val="008C5B54"/>
    <w:rsid w:val="008C5C83"/>
    <w:rsid w:val="008C64AD"/>
    <w:rsid w:val="008C6762"/>
    <w:rsid w:val="008C7537"/>
    <w:rsid w:val="008C7892"/>
    <w:rsid w:val="008C79B0"/>
    <w:rsid w:val="008C7C99"/>
    <w:rsid w:val="008C7CBE"/>
    <w:rsid w:val="008C7E8C"/>
    <w:rsid w:val="008D09E4"/>
    <w:rsid w:val="008D126E"/>
    <w:rsid w:val="008D129B"/>
    <w:rsid w:val="008D15E2"/>
    <w:rsid w:val="008D195A"/>
    <w:rsid w:val="008D19FC"/>
    <w:rsid w:val="008D208A"/>
    <w:rsid w:val="008D258E"/>
    <w:rsid w:val="008D2725"/>
    <w:rsid w:val="008D2732"/>
    <w:rsid w:val="008D2767"/>
    <w:rsid w:val="008D2C43"/>
    <w:rsid w:val="008D3242"/>
    <w:rsid w:val="008D3C38"/>
    <w:rsid w:val="008D3C74"/>
    <w:rsid w:val="008D3F63"/>
    <w:rsid w:val="008D4597"/>
    <w:rsid w:val="008D4656"/>
    <w:rsid w:val="008D4AE9"/>
    <w:rsid w:val="008D4F97"/>
    <w:rsid w:val="008D514B"/>
    <w:rsid w:val="008D552B"/>
    <w:rsid w:val="008D5804"/>
    <w:rsid w:val="008D5DEB"/>
    <w:rsid w:val="008D6553"/>
    <w:rsid w:val="008D663D"/>
    <w:rsid w:val="008D68F2"/>
    <w:rsid w:val="008D6B90"/>
    <w:rsid w:val="008D6B9B"/>
    <w:rsid w:val="008D75D3"/>
    <w:rsid w:val="008D77E3"/>
    <w:rsid w:val="008D7B53"/>
    <w:rsid w:val="008D7E24"/>
    <w:rsid w:val="008D7F03"/>
    <w:rsid w:val="008E018E"/>
    <w:rsid w:val="008E05DB"/>
    <w:rsid w:val="008E06E8"/>
    <w:rsid w:val="008E0789"/>
    <w:rsid w:val="008E0A8C"/>
    <w:rsid w:val="008E0B9E"/>
    <w:rsid w:val="008E1600"/>
    <w:rsid w:val="008E1C2A"/>
    <w:rsid w:val="008E1E30"/>
    <w:rsid w:val="008E2493"/>
    <w:rsid w:val="008E2576"/>
    <w:rsid w:val="008E30B6"/>
    <w:rsid w:val="008E3533"/>
    <w:rsid w:val="008E3594"/>
    <w:rsid w:val="008E3968"/>
    <w:rsid w:val="008E3A27"/>
    <w:rsid w:val="008E3AF1"/>
    <w:rsid w:val="008E4091"/>
    <w:rsid w:val="008E43CA"/>
    <w:rsid w:val="008E44D2"/>
    <w:rsid w:val="008E4761"/>
    <w:rsid w:val="008E4A8A"/>
    <w:rsid w:val="008E4B64"/>
    <w:rsid w:val="008E4D07"/>
    <w:rsid w:val="008E58B9"/>
    <w:rsid w:val="008E5A5A"/>
    <w:rsid w:val="008E5B41"/>
    <w:rsid w:val="008E5F5E"/>
    <w:rsid w:val="008E6483"/>
    <w:rsid w:val="008E66C1"/>
    <w:rsid w:val="008E6B02"/>
    <w:rsid w:val="008E6CDB"/>
    <w:rsid w:val="008E6FA3"/>
    <w:rsid w:val="008E732D"/>
    <w:rsid w:val="008E74EE"/>
    <w:rsid w:val="008E78F4"/>
    <w:rsid w:val="008E7ABD"/>
    <w:rsid w:val="008E7C30"/>
    <w:rsid w:val="008E7CDF"/>
    <w:rsid w:val="008E7D53"/>
    <w:rsid w:val="008F00CC"/>
    <w:rsid w:val="008F02A3"/>
    <w:rsid w:val="008F054E"/>
    <w:rsid w:val="008F0AA6"/>
    <w:rsid w:val="008F0C8B"/>
    <w:rsid w:val="008F0FAE"/>
    <w:rsid w:val="008F1006"/>
    <w:rsid w:val="008F14CF"/>
    <w:rsid w:val="008F1512"/>
    <w:rsid w:val="008F1761"/>
    <w:rsid w:val="008F1887"/>
    <w:rsid w:val="008F26A5"/>
    <w:rsid w:val="008F27DA"/>
    <w:rsid w:val="008F28BB"/>
    <w:rsid w:val="008F2B79"/>
    <w:rsid w:val="008F2DA1"/>
    <w:rsid w:val="008F37DA"/>
    <w:rsid w:val="008F38D0"/>
    <w:rsid w:val="008F3B8B"/>
    <w:rsid w:val="008F3FAC"/>
    <w:rsid w:val="008F4B52"/>
    <w:rsid w:val="008F4E09"/>
    <w:rsid w:val="008F53BA"/>
    <w:rsid w:val="008F546B"/>
    <w:rsid w:val="008F55B0"/>
    <w:rsid w:val="008F61EA"/>
    <w:rsid w:val="008F6729"/>
    <w:rsid w:val="008F6768"/>
    <w:rsid w:val="008F67F4"/>
    <w:rsid w:val="008F686A"/>
    <w:rsid w:val="008F6DC3"/>
    <w:rsid w:val="008F71FA"/>
    <w:rsid w:val="008F72BB"/>
    <w:rsid w:val="008F7515"/>
    <w:rsid w:val="008F7547"/>
    <w:rsid w:val="0090064D"/>
    <w:rsid w:val="0090088A"/>
    <w:rsid w:val="009008A3"/>
    <w:rsid w:val="009008E8"/>
    <w:rsid w:val="00900B9A"/>
    <w:rsid w:val="00900DA2"/>
    <w:rsid w:val="00900EB4"/>
    <w:rsid w:val="009011AE"/>
    <w:rsid w:val="009011B7"/>
    <w:rsid w:val="00901970"/>
    <w:rsid w:val="00901D44"/>
    <w:rsid w:val="009021D0"/>
    <w:rsid w:val="009021D7"/>
    <w:rsid w:val="0090269C"/>
    <w:rsid w:val="0090278B"/>
    <w:rsid w:val="00902B00"/>
    <w:rsid w:val="00902BCF"/>
    <w:rsid w:val="00902D2E"/>
    <w:rsid w:val="00903338"/>
    <w:rsid w:val="00903D2A"/>
    <w:rsid w:val="009041B3"/>
    <w:rsid w:val="00904A93"/>
    <w:rsid w:val="00904B95"/>
    <w:rsid w:val="00904CBE"/>
    <w:rsid w:val="00905146"/>
    <w:rsid w:val="009051D6"/>
    <w:rsid w:val="0090527B"/>
    <w:rsid w:val="0090532F"/>
    <w:rsid w:val="009059FD"/>
    <w:rsid w:val="00905A4C"/>
    <w:rsid w:val="00906319"/>
    <w:rsid w:val="00906580"/>
    <w:rsid w:val="00906775"/>
    <w:rsid w:val="009069CF"/>
    <w:rsid w:val="00907024"/>
    <w:rsid w:val="0090733B"/>
    <w:rsid w:val="00907703"/>
    <w:rsid w:val="00907EEB"/>
    <w:rsid w:val="009102EF"/>
    <w:rsid w:val="009103F1"/>
    <w:rsid w:val="00911195"/>
    <w:rsid w:val="00911340"/>
    <w:rsid w:val="009114DD"/>
    <w:rsid w:val="00911957"/>
    <w:rsid w:val="00911B7D"/>
    <w:rsid w:val="00911C72"/>
    <w:rsid w:val="009123D2"/>
    <w:rsid w:val="0091276A"/>
    <w:rsid w:val="00912899"/>
    <w:rsid w:val="00912B40"/>
    <w:rsid w:val="00912D86"/>
    <w:rsid w:val="009131B7"/>
    <w:rsid w:val="009131C5"/>
    <w:rsid w:val="0091366D"/>
    <w:rsid w:val="0091381D"/>
    <w:rsid w:val="009138BF"/>
    <w:rsid w:val="00913A49"/>
    <w:rsid w:val="00913AD8"/>
    <w:rsid w:val="00913F55"/>
    <w:rsid w:val="00914201"/>
    <w:rsid w:val="0091433A"/>
    <w:rsid w:val="00914494"/>
    <w:rsid w:val="009152EC"/>
    <w:rsid w:val="0091544B"/>
    <w:rsid w:val="009157F2"/>
    <w:rsid w:val="00915AAF"/>
    <w:rsid w:val="00915EE7"/>
    <w:rsid w:val="009165C1"/>
    <w:rsid w:val="00916814"/>
    <w:rsid w:val="0091691D"/>
    <w:rsid w:val="00916F57"/>
    <w:rsid w:val="00917388"/>
    <w:rsid w:val="00917888"/>
    <w:rsid w:val="00917925"/>
    <w:rsid w:val="00917961"/>
    <w:rsid w:val="00920A39"/>
    <w:rsid w:val="00920F25"/>
    <w:rsid w:val="00921252"/>
    <w:rsid w:val="00921528"/>
    <w:rsid w:val="00921872"/>
    <w:rsid w:val="00921E5A"/>
    <w:rsid w:val="00921EC9"/>
    <w:rsid w:val="00921FF2"/>
    <w:rsid w:val="0092246D"/>
    <w:rsid w:val="00922919"/>
    <w:rsid w:val="00922A7C"/>
    <w:rsid w:val="00922C4B"/>
    <w:rsid w:val="00922C7B"/>
    <w:rsid w:val="00922EE3"/>
    <w:rsid w:val="0092300C"/>
    <w:rsid w:val="00923082"/>
    <w:rsid w:val="0092380B"/>
    <w:rsid w:val="00923A59"/>
    <w:rsid w:val="00923C96"/>
    <w:rsid w:val="00924157"/>
    <w:rsid w:val="00924290"/>
    <w:rsid w:val="0092437C"/>
    <w:rsid w:val="0092479E"/>
    <w:rsid w:val="00924806"/>
    <w:rsid w:val="00924B1A"/>
    <w:rsid w:val="00924B5F"/>
    <w:rsid w:val="00924CF3"/>
    <w:rsid w:val="00924DFB"/>
    <w:rsid w:val="00924E58"/>
    <w:rsid w:val="00925F10"/>
    <w:rsid w:val="0092621F"/>
    <w:rsid w:val="0092692E"/>
    <w:rsid w:val="00927516"/>
    <w:rsid w:val="00927930"/>
    <w:rsid w:val="0092797D"/>
    <w:rsid w:val="00927A37"/>
    <w:rsid w:val="0093008A"/>
    <w:rsid w:val="009302D5"/>
    <w:rsid w:val="00930394"/>
    <w:rsid w:val="00930488"/>
    <w:rsid w:val="00930674"/>
    <w:rsid w:val="0093129E"/>
    <w:rsid w:val="00931519"/>
    <w:rsid w:val="00931889"/>
    <w:rsid w:val="009318E2"/>
    <w:rsid w:val="00931DB8"/>
    <w:rsid w:val="00931E9A"/>
    <w:rsid w:val="00931EF6"/>
    <w:rsid w:val="00931EF8"/>
    <w:rsid w:val="009320B7"/>
    <w:rsid w:val="00932375"/>
    <w:rsid w:val="009323BE"/>
    <w:rsid w:val="009323D9"/>
    <w:rsid w:val="00932BFE"/>
    <w:rsid w:val="00932C1A"/>
    <w:rsid w:val="00932CEB"/>
    <w:rsid w:val="009330DF"/>
    <w:rsid w:val="00933656"/>
    <w:rsid w:val="00933B80"/>
    <w:rsid w:val="00933CB6"/>
    <w:rsid w:val="0093415B"/>
    <w:rsid w:val="009341A0"/>
    <w:rsid w:val="009341D8"/>
    <w:rsid w:val="009349A1"/>
    <w:rsid w:val="0093508E"/>
    <w:rsid w:val="0093520C"/>
    <w:rsid w:val="0093552B"/>
    <w:rsid w:val="00935867"/>
    <w:rsid w:val="009358A9"/>
    <w:rsid w:val="00936218"/>
    <w:rsid w:val="009378CD"/>
    <w:rsid w:val="00937975"/>
    <w:rsid w:val="00940654"/>
    <w:rsid w:val="0094067B"/>
    <w:rsid w:val="00940746"/>
    <w:rsid w:val="00940890"/>
    <w:rsid w:val="00940C04"/>
    <w:rsid w:val="0094106C"/>
    <w:rsid w:val="00941297"/>
    <w:rsid w:val="00941BA3"/>
    <w:rsid w:val="00942798"/>
    <w:rsid w:val="00942BC1"/>
    <w:rsid w:val="00942DB0"/>
    <w:rsid w:val="009433FC"/>
    <w:rsid w:val="009436EA"/>
    <w:rsid w:val="0094370A"/>
    <w:rsid w:val="00943783"/>
    <w:rsid w:val="009438A4"/>
    <w:rsid w:val="009438E3"/>
    <w:rsid w:val="0094411A"/>
    <w:rsid w:val="009444C2"/>
    <w:rsid w:val="009445D8"/>
    <w:rsid w:val="00944AE7"/>
    <w:rsid w:val="00944B5A"/>
    <w:rsid w:val="00944B7A"/>
    <w:rsid w:val="00944C2C"/>
    <w:rsid w:val="00944FA1"/>
    <w:rsid w:val="0094565C"/>
    <w:rsid w:val="0094594F"/>
    <w:rsid w:val="00945D9A"/>
    <w:rsid w:val="009462BB"/>
    <w:rsid w:val="00946360"/>
    <w:rsid w:val="0094665B"/>
    <w:rsid w:val="00946B20"/>
    <w:rsid w:val="009473DA"/>
    <w:rsid w:val="00947464"/>
    <w:rsid w:val="00950077"/>
    <w:rsid w:val="0095015A"/>
    <w:rsid w:val="00950547"/>
    <w:rsid w:val="0095066B"/>
    <w:rsid w:val="00950DC6"/>
    <w:rsid w:val="00950EA7"/>
    <w:rsid w:val="00950EFD"/>
    <w:rsid w:val="0095149D"/>
    <w:rsid w:val="009514FA"/>
    <w:rsid w:val="009517EA"/>
    <w:rsid w:val="009518F2"/>
    <w:rsid w:val="00951A3C"/>
    <w:rsid w:val="00951B60"/>
    <w:rsid w:val="00951CC7"/>
    <w:rsid w:val="00951FB0"/>
    <w:rsid w:val="0095252E"/>
    <w:rsid w:val="009528A1"/>
    <w:rsid w:val="009528C9"/>
    <w:rsid w:val="00952CC5"/>
    <w:rsid w:val="00952CCE"/>
    <w:rsid w:val="009531BD"/>
    <w:rsid w:val="009532B7"/>
    <w:rsid w:val="009536B6"/>
    <w:rsid w:val="009536E6"/>
    <w:rsid w:val="0095387A"/>
    <w:rsid w:val="00953886"/>
    <w:rsid w:val="00953A01"/>
    <w:rsid w:val="00953B99"/>
    <w:rsid w:val="00953F9D"/>
    <w:rsid w:val="009544CB"/>
    <w:rsid w:val="00955113"/>
    <w:rsid w:val="009554C1"/>
    <w:rsid w:val="00955613"/>
    <w:rsid w:val="009559B4"/>
    <w:rsid w:val="00955A63"/>
    <w:rsid w:val="00955A6B"/>
    <w:rsid w:val="00955A7D"/>
    <w:rsid w:val="00955B9C"/>
    <w:rsid w:val="00955E00"/>
    <w:rsid w:val="00955E61"/>
    <w:rsid w:val="009560B3"/>
    <w:rsid w:val="00956235"/>
    <w:rsid w:val="00956969"/>
    <w:rsid w:val="00956C16"/>
    <w:rsid w:val="00956ED4"/>
    <w:rsid w:val="0095710B"/>
    <w:rsid w:val="00957207"/>
    <w:rsid w:val="0095727A"/>
    <w:rsid w:val="009575C4"/>
    <w:rsid w:val="009578AA"/>
    <w:rsid w:val="00957B07"/>
    <w:rsid w:val="00960A50"/>
    <w:rsid w:val="00960B83"/>
    <w:rsid w:val="0096104E"/>
    <w:rsid w:val="00961291"/>
    <w:rsid w:val="0096133D"/>
    <w:rsid w:val="0096227F"/>
    <w:rsid w:val="009623C9"/>
    <w:rsid w:val="009623D4"/>
    <w:rsid w:val="00962651"/>
    <w:rsid w:val="00962731"/>
    <w:rsid w:val="00962EE1"/>
    <w:rsid w:val="00962F16"/>
    <w:rsid w:val="00962FE2"/>
    <w:rsid w:val="00963ABD"/>
    <w:rsid w:val="00963ACA"/>
    <w:rsid w:val="00963BFA"/>
    <w:rsid w:val="0096447C"/>
    <w:rsid w:val="00964499"/>
    <w:rsid w:val="009644BF"/>
    <w:rsid w:val="009645BF"/>
    <w:rsid w:val="00964E2F"/>
    <w:rsid w:val="0096527C"/>
    <w:rsid w:val="009654AF"/>
    <w:rsid w:val="009659B2"/>
    <w:rsid w:val="00965A1D"/>
    <w:rsid w:val="00965D4F"/>
    <w:rsid w:val="009661AB"/>
    <w:rsid w:val="00966511"/>
    <w:rsid w:val="009669B0"/>
    <w:rsid w:val="00966CFF"/>
    <w:rsid w:val="00966E9E"/>
    <w:rsid w:val="00966F17"/>
    <w:rsid w:val="009676BA"/>
    <w:rsid w:val="00967793"/>
    <w:rsid w:val="00967C5E"/>
    <w:rsid w:val="00967DFA"/>
    <w:rsid w:val="0097038D"/>
    <w:rsid w:val="0097047C"/>
    <w:rsid w:val="00970627"/>
    <w:rsid w:val="00970C56"/>
    <w:rsid w:val="00970D04"/>
    <w:rsid w:val="009713FE"/>
    <w:rsid w:val="00971566"/>
    <w:rsid w:val="009719C1"/>
    <w:rsid w:val="00971E19"/>
    <w:rsid w:val="00972166"/>
    <w:rsid w:val="00972484"/>
    <w:rsid w:val="009725CE"/>
    <w:rsid w:val="0097277B"/>
    <w:rsid w:val="00972DAD"/>
    <w:rsid w:val="00973047"/>
    <w:rsid w:val="009734E7"/>
    <w:rsid w:val="00973873"/>
    <w:rsid w:val="00973D52"/>
    <w:rsid w:val="00973E9B"/>
    <w:rsid w:val="00974A0D"/>
    <w:rsid w:val="00975374"/>
    <w:rsid w:val="009753E4"/>
    <w:rsid w:val="009756A8"/>
    <w:rsid w:val="009756DC"/>
    <w:rsid w:val="009758A9"/>
    <w:rsid w:val="00975A47"/>
    <w:rsid w:val="00975E26"/>
    <w:rsid w:val="00976109"/>
    <w:rsid w:val="0097630B"/>
    <w:rsid w:val="00976320"/>
    <w:rsid w:val="00976695"/>
    <w:rsid w:val="00976749"/>
    <w:rsid w:val="00976D66"/>
    <w:rsid w:val="00977BC7"/>
    <w:rsid w:val="00980088"/>
    <w:rsid w:val="009801CE"/>
    <w:rsid w:val="009802BE"/>
    <w:rsid w:val="00980680"/>
    <w:rsid w:val="00980797"/>
    <w:rsid w:val="00980AE9"/>
    <w:rsid w:val="00981022"/>
    <w:rsid w:val="009811B6"/>
    <w:rsid w:val="009812A4"/>
    <w:rsid w:val="009815ED"/>
    <w:rsid w:val="00981CE4"/>
    <w:rsid w:val="00981EE5"/>
    <w:rsid w:val="00981EF8"/>
    <w:rsid w:val="0098227B"/>
    <w:rsid w:val="00982413"/>
    <w:rsid w:val="0098252D"/>
    <w:rsid w:val="009826E4"/>
    <w:rsid w:val="00982C74"/>
    <w:rsid w:val="009830B8"/>
    <w:rsid w:val="00983300"/>
    <w:rsid w:val="009834C6"/>
    <w:rsid w:val="00983722"/>
    <w:rsid w:val="009837CE"/>
    <w:rsid w:val="009838B0"/>
    <w:rsid w:val="00983BB5"/>
    <w:rsid w:val="00984BD6"/>
    <w:rsid w:val="00984D06"/>
    <w:rsid w:val="00984DAA"/>
    <w:rsid w:val="00985131"/>
    <w:rsid w:val="00985713"/>
    <w:rsid w:val="0098657E"/>
    <w:rsid w:val="0098699F"/>
    <w:rsid w:val="009869B5"/>
    <w:rsid w:val="00986C76"/>
    <w:rsid w:val="00986F4F"/>
    <w:rsid w:val="0098791E"/>
    <w:rsid w:val="00987C10"/>
    <w:rsid w:val="009901E7"/>
    <w:rsid w:val="00990290"/>
    <w:rsid w:val="0099071D"/>
    <w:rsid w:val="00990B0C"/>
    <w:rsid w:val="00991369"/>
    <w:rsid w:val="009919CD"/>
    <w:rsid w:val="00991CD6"/>
    <w:rsid w:val="0099210B"/>
    <w:rsid w:val="009937D3"/>
    <w:rsid w:val="009939A1"/>
    <w:rsid w:val="00994057"/>
    <w:rsid w:val="00994286"/>
    <w:rsid w:val="009945AF"/>
    <w:rsid w:val="0099470F"/>
    <w:rsid w:val="00994D65"/>
    <w:rsid w:val="0099537E"/>
    <w:rsid w:val="009964EA"/>
    <w:rsid w:val="00996716"/>
    <w:rsid w:val="009967D6"/>
    <w:rsid w:val="00996B27"/>
    <w:rsid w:val="00996D56"/>
    <w:rsid w:val="00996DBB"/>
    <w:rsid w:val="009974F4"/>
    <w:rsid w:val="0099766E"/>
    <w:rsid w:val="00997CBE"/>
    <w:rsid w:val="009A0794"/>
    <w:rsid w:val="009A07E9"/>
    <w:rsid w:val="009A0C4F"/>
    <w:rsid w:val="009A0C92"/>
    <w:rsid w:val="009A0CB4"/>
    <w:rsid w:val="009A17FB"/>
    <w:rsid w:val="009A18C3"/>
    <w:rsid w:val="009A191D"/>
    <w:rsid w:val="009A1E12"/>
    <w:rsid w:val="009A39E8"/>
    <w:rsid w:val="009A3C7B"/>
    <w:rsid w:val="009A405A"/>
    <w:rsid w:val="009A4150"/>
    <w:rsid w:val="009A43FD"/>
    <w:rsid w:val="009A4A1D"/>
    <w:rsid w:val="009A4E04"/>
    <w:rsid w:val="009A5678"/>
    <w:rsid w:val="009A5751"/>
    <w:rsid w:val="009A583C"/>
    <w:rsid w:val="009A58B2"/>
    <w:rsid w:val="009A5D84"/>
    <w:rsid w:val="009A60D0"/>
    <w:rsid w:val="009A60D8"/>
    <w:rsid w:val="009A65CC"/>
    <w:rsid w:val="009A65D1"/>
    <w:rsid w:val="009A6671"/>
    <w:rsid w:val="009A6783"/>
    <w:rsid w:val="009A6CE5"/>
    <w:rsid w:val="009A6E7C"/>
    <w:rsid w:val="009A7810"/>
    <w:rsid w:val="009B0249"/>
    <w:rsid w:val="009B03E6"/>
    <w:rsid w:val="009B08A9"/>
    <w:rsid w:val="009B1151"/>
    <w:rsid w:val="009B154E"/>
    <w:rsid w:val="009B18A7"/>
    <w:rsid w:val="009B1996"/>
    <w:rsid w:val="009B2949"/>
    <w:rsid w:val="009B2AF4"/>
    <w:rsid w:val="009B31BF"/>
    <w:rsid w:val="009B34C7"/>
    <w:rsid w:val="009B3592"/>
    <w:rsid w:val="009B3C51"/>
    <w:rsid w:val="009B3FD0"/>
    <w:rsid w:val="009B438C"/>
    <w:rsid w:val="009B43CA"/>
    <w:rsid w:val="009B4AAC"/>
    <w:rsid w:val="009B4B40"/>
    <w:rsid w:val="009B4BB8"/>
    <w:rsid w:val="009B4C32"/>
    <w:rsid w:val="009B4CF4"/>
    <w:rsid w:val="009B4F00"/>
    <w:rsid w:val="009B55F7"/>
    <w:rsid w:val="009B5670"/>
    <w:rsid w:val="009B6387"/>
    <w:rsid w:val="009B6FF9"/>
    <w:rsid w:val="009B70CF"/>
    <w:rsid w:val="009B72CE"/>
    <w:rsid w:val="009B78BB"/>
    <w:rsid w:val="009C009D"/>
    <w:rsid w:val="009C0245"/>
    <w:rsid w:val="009C0563"/>
    <w:rsid w:val="009C0AC2"/>
    <w:rsid w:val="009C0D72"/>
    <w:rsid w:val="009C0E26"/>
    <w:rsid w:val="009C0E59"/>
    <w:rsid w:val="009C1AD3"/>
    <w:rsid w:val="009C21F4"/>
    <w:rsid w:val="009C254D"/>
    <w:rsid w:val="009C278B"/>
    <w:rsid w:val="009C2A92"/>
    <w:rsid w:val="009C2B18"/>
    <w:rsid w:val="009C332F"/>
    <w:rsid w:val="009C3688"/>
    <w:rsid w:val="009C3750"/>
    <w:rsid w:val="009C38B3"/>
    <w:rsid w:val="009C4106"/>
    <w:rsid w:val="009C41CC"/>
    <w:rsid w:val="009C4268"/>
    <w:rsid w:val="009C4631"/>
    <w:rsid w:val="009C4C72"/>
    <w:rsid w:val="009C4C78"/>
    <w:rsid w:val="009C4FC1"/>
    <w:rsid w:val="009C53DA"/>
    <w:rsid w:val="009C55B3"/>
    <w:rsid w:val="009C574A"/>
    <w:rsid w:val="009C6966"/>
    <w:rsid w:val="009C6A0E"/>
    <w:rsid w:val="009C6A2C"/>
    <w:rsid w:val="009C6A44"/>
    <w:rsid w:val="009C6C76"/>
    <w:rsid w:val="009C6D2D"/>
    <w:rsid w:val="009C6FF8"/>
    <w:rsid w:val="009C7161"/>
    <w:rsid w:val="009C72DF"/>
    <w:rsid w:val="009C77CF"/>
    <w:rsid w:val="009C7A5C"/>
    <w:rsid w:val="009C7A61"/>
    <w:rsid w:val="009C7ED1"/>
    <w:rsid w:val="009C7EF3"/>
    <w:rsid w:val="009D035E"/>
    <w:rsid w:val="009D09E9"/>
    <w:rsid w:val="009D0A5C"/>
    <w:rsid w:val="009D0A99"/>
    <w:rsid w:val="009D0E73"/>
    <w:rsid w:val="009D16FC"/>
    <w:rsid w:val="009D17F5"/>
    <w:rsid w:val="009D19F9"/>
    <w:rsid w:val="009D2282"/>
    <w:rsid w:val="009D2551"/>
    <w:rsid w:val="009D2E2C"/>
    <w:rsid w:val="009D34E7"/>
    <w:rsid w:val="009D355E"/>
    <w:rsid w:val="009D3B21"/>
    <w:rsid w:val="009D3BDB"/>
    <w:rsid w:val="009D3FC3"/>
    <w:rsid w:val="009D457B"/>
    <w:rsid w:val="009D483E"/>
    <w:rsid w:val="009D4BF2"/>
    <w:rsid w:val="009D4CFD"/>
    <w:rsid w:val="009D55A7"/>
    <w:rsid w:val="009D5985"/>
    <w:rsid w:val="009D59AB"/>
    <w:rsid w:val="009D5BA1"/>
    <w:rsid w:val="009D5CA2"/>
    <w:rsid w:val="009D5E33"/>
    <w:rsid w:val="009D5F8E"/>
    <w:rsid w:val="009D601F"/>
    <w:rsid w:val="009D632B"/>
    <w:rsid w:val="009D6D87"/>
    <w:rsid w:val="009D6EEA"/>
    <w:rsid w:val="009D6FAD"/>
    <w:rsid w:val="009D7163"/>
    <w:rsid w:val="009D749D"/>
    <w:rsid w:val="009D7A63"/>
    <w:rsid w:val="009D7DE9"/>
    <w:rsid w:val="009D7FD6"/>
    <w:rsid w:val="009E0411"/>
    <w:rsid w:val="009E077F"/>
    <w:rsid w:val="009E0BDC"/>
    <w:rsid w:val="009E0D89"/>
    <w:rsid w:val="009E134F"/>
    <w:rsid w:val="009E16A1"/>
    <w:rsid w:val="009E1B14"/>
    <w:rsid w:val="009E1DC4"/>
    <w:rsid w:val="009E1FC4"/>
    <w:rsid w:val="009E203F"/>
    <w:rsid w:val="009E2064"/>
    <w:rsid w:val="009E2088"/>
    <w:rsid w:val="009E2401"/>
    <w:rsid w:val="009E2936"/>
    <w:rsid w:val="009E2CDB"/>
    <w:rsid w:val="009E3373"/>
    <w:rsid w:val="009E34D7"/>
    <w:rsid w:val="009E3506"/>
    <w:rsid w:val="009E3570"/>
    <w:rsid w:val="009E36A0"/>
    <w:rsid w:val="009E3CB6"/>
    <w:rsid w:val="009E4884"/>
    <w:rsid w:val="009E48EB"/>
    <w:rsid w:val="009E4AA8"/>
    <w:rsid w:val="009E4D0E"/>
    <w:rsid w:val="009E5180"/>
    <w:rsid w:val="009E5380"/>
    <w:rsid w:val="009E543E"/>
    <w:rsid w:val="009E5490"/>
    <w:rsid w:val="009E55CF"/>
    <w:rsid w:val="009E568A"/>
    <w:rsid w:val="009E5850"/>
    <w:rsid w:val="009E58BD"/>
    <w:rsid w:val="009E59AE"/>
    <w:rsid w:val="009E5C2A"/>
    <w:rsid w:val="009E5E55"/>
    <w:rsid w:val="009E6073"/>
    <w:rsid w:val="009E65B9"/>
    <w:rsid w:val="009E69AB"/>
    <w:rsid w:val="009E6ABC"/>
    <w:rsid w:val="009E7191"/>
    <w:rsid w:val="009E74CF"/>
    <w:rsid w:val="009E7AF4"/>
    <w:rsid w:val="009E7CEE"/>
    <w:rsid w:val="009E7CFF"/>
    <w:rsid w:val="009E7EC6"/>
    <w:rsid w:val="009E7F33"/>
    <w:rsid w:val="009F03D6"/>
    <w:rsid w:val="009F0D0E"/>
    <w:rsid w:val="009F1267"/>
    <w:rsid w:val="009F1418"/>
    <w:rsid w:val="009F1867"/>
    <w:rsid w:val="009F1A40"/>
    <w:rsid w:val="009F20A2"/>
    <w:rsid w:val="009F2282"/>
    <w:rsid w:val="009F243B"/>
    <w:rsid w:val="009F2A71"/>
    <w:rsid w:val="009F2CEC"/>
    <w:rsid w:val="009F2FC4"/>
    <w:rsid w:val="009F31C2"/>
    <w:rsid w:val="009F3292"/>
    <w:rsid w:val="009F37B5"/>
    <w:rsid w:val="009F3F39"/>
    <w:rsid w:val="009F418F"/>
    <w:rsid w:val="009F4407"/>
    <w:rsid w:val="009F4815"/>
    <w:rsid w:val="009F4A6E"/>
    <w:rsid w:val="009F4DC0"/>
    <w:rsid w:val="009F502C"/>
    <w:rsid w:val="009F50A5"/>
    <w:rsid w:val="009F5151"/>
    <w:rsid w:val="009F5767"/>
    <w:rsid w:val="009F5AC0"/>
    <w:rsid w:val="009F5AD0"/>
    <w:rsid w:val="009F5CED"/>
    <w:rsid w:val="009F634F"/>
    <w:rsid w:val="009F65B7"/>
    <w:rsid w:val="009F69B9"/>
    <w:rsid w:val="009F6A26"/>
    <w:rsid w:val="009F6C0F"/>
    <w:rsid w:val="009F7915"/>
    <w:rsid w:val="009F7F65"/>
    <w:rsid w:val="00A004EE"/>
    <w:rsid w:val="00A00D88"/>
    <w:rsid w:val="00A01108"/>
    <w:rsid w:val="00A0129A"/>
    <w:rsid w:val="00A01304"/>
    <w:rsid w:val="00A01B0F"/>
    <w:rsid w:val="00A01CAF"/>
    <w:rsid w:val="00A01CF8"/>
    <w:rsid w:val="00A02115"/>
    <w:rsid w:val="00A022FA"/>
    <w:rsid w:val="00A02667"/>
    <w:rsid w:val="00A02CAF"/>
    <w:rsid w:val="00A02EF1"/>
    <w:rsid w:val="00A03205"/>
    <w:rsid w:val="00A034B4"/>
    <w:rsid w:val="00A036F4"/>
    <w:rsid w:val="00A037CA"/>
    <w:rsid w:val="00A037EC"/>
    <w:rsid w:val="00A03BCA"/>
    <w:rsid w:val="00A03E8F"/>
    <w:rsid w:val="00A03EC1"/>
    <w:rsid w:val="00A0429A"/>
    <w:rsid w:val="00A046A3"/>
    <w:rsid w:val="00A04D4D"/>
    <w:rsid w:val="00A051A6"/>
    <w:rsid w:val="00A053E1"/>
    <w:rsid w:val="00A0544B"/>
    <w:rsid w:val="00A05CC0"/>
    <w:rsid w:val="00A05FB8"/>
    <w:rsid w:val="00A066C9"/>
    <w:rsid w:val="00A0675B"/>
    <w:rsid w:val="00A06775"/>
    <w:rsid w:val="00A06BED"/>
    <w:rsid w:val="00A07616"/>
    <w:rsid w:val="00A07B83"/>
    <w:rsid w:val="00A10779"/>
    <w:rsid w:val="00A10A1A"/>
    <w:rsid w:val="00A110AF"/>
    <w:rsid w:val="00A11A80"/>
    <w:rsid w:val="00A11AC5"/>
    <w:rsid w:val="00A11BC6"/>
    <w:rsid w:val="00A11D5F"/>
    <w:rsid w:val="00A11E9A"/>
    <w:rsid w:val="00A121B0"/>
    <w:rsid w:val="00A12332"/>
    <w:rsid w:val="00A12367"/>
    <w:rsid w:val="00A124EF"/>
    <w:rsid w:val="00A12BF2"/>
    <w:rsid w:val="00A12C60"/>
    <w:rsid w:val="00A13154"/>
    <w:rsid w:val="00A13448"/>
    <w:rsid w:val="00A146EA"/>
    <w:rsid w:val="00A1478E"/>
    <w:rsid w:val="00A1495C"/>
    <w:rsid w:val="00A149E6"/>
    <w:rsid w:val="00A14C95"/>
    <w:rsid w:val="00A14EE6"/>
    <w:rsid w:val="00A14F77"/>
    <w:rsid w:val="00A14F88"/>
    <w:rsid w:val="00A14F8D"/>
    <w:rsid w:val="00A15058"/>
    <w:rsid w:val="00A15090"/>
    <w:rsid w:val="00A1513E"/>
    <w:rsid w:val="00A155BB"/>
    <w:rsid w:val="00A15919"/>
    <w:rsid w:val="00A15F91"/>
    <w:rsid w:val="00A15FD9"/>
    <w:rsid w:val="00A16145"/>
    <w:rsid w:val="00A1642B"/>
    <w:rsid w:val="00A1667B"/>
    <w:rsid w:val="00A167F5"/>
    <w:rsid w:val="00A1743B"/>
    <w:rsid w:val="00A17500"/>
    <w:rsid w:val="00A175FA"/>
    <w:rsid w:val="00A202ED"/>
    <w:rsid w:val="00A2077F"/>
    <w:rsid w:val="00A209FA"/>
    <w:rsid w:val="00A20AEA"/>
    <w:rsid w:val="00A20B3E"/>
    <w:rsid w:val="00A20B90"/>
    <w:rsid w:val="00A20BB9"/>
    <w:rsid w:val="00A210D8"/>
    <w:rsid w:val="00A21126"/>
    <w:rsid w:val="00A21BA3"/>
    <w:rsid w:val="00A21DEA"/>
    <w:rsid w:val="00A21EC1"/>
    <w:rsid w:val="00A22495"/>
    <w:rsid w:val="00A224AE"/>
    <w:rsid w:val="00A224D9"/>
    <w:rsid w:val="00A22501"/>
    <w:rsid w:val="00A2255C"/>
    <w:rsid w:val="00A2257B"/>
    <w:rsid w:val="00A228DC"/>
    <w:rsid w:val="00A22A45"/>
    <w:rsid w:val="00A22B95"/>
    <w:rsid w:val="00A22C40"/>
    <w:rsid w:val="00A230E4"/>
    <w:rsid w:val="00A231C3"/>
    <w:rsid w:val="00A23809"/>
    <w:rsid w:val="00A23A2A"/>
    <w:rsid w:val="00A23DDA"/>
    <w:rsid w:val="00A2449B"/>
    <w:rsid w:val="00A24828"/>
    <w:rsid w:val="00A24D10"/>
    <w:rsid w:val="00A24E85"/>
    <w:rsid w:val="00A250A2"/>
    <w:rsid w:val="00A25793"/>
    <w:rsid w:val="00A2583C"/>
    <w:rsid w:val="00A258BA"/>
    <w:rsid w:val="00A25A5C"/>
    <w:rsid w:val="00A25D37"/>
    <w:rsid w:val="00A25E0F"/>
    <w:rsid w:val="00A25FA6"/>
    <w:rsid w:val="00A2609C"/>
    <w:rsid w:val="00A2630F"/>
    <w:rsid w:val="00A265DF"/>
    <w:rsid w:val="00A26770"/>
    <w:rsid w:val="00A268B0"/>
    <w:rsid w:val="00A26D6D"/>
    <w:rsid w:val="00A271A2"/>
    <w:rsid w:val="00A2742C"/>
    <w:rsid w:val="00A27501"/>
    <w:rsid w:val="00A30449"/>
    <w:rsid w:val="00A305C7"/>
    <w:rsid w:val="00A309C0"/>
    <w:rsid w:val="00A30CE6"/>
    <w:rsid w:val="00A30F5E"/>
    <w:rsid w:val="00A31196"/>
    <w:rsid w:val="00A317E2"/>
    <w:rsid w:val="00A319BC"/>
    <w:rsid w:val="00A31A4A"/>
    <w:rsid w:val="00A31C4C"/>
    <w:rsid w:val="00A31EBD"/>
    <w:rsid w:val="00A31F25"/>
    <w:rsid w:val="00A32332"/>
    <w:rsid w:val="00A32C2C"/>
    <w:rsid w:val="00A32D11"/>
    <w:rsid w:val="00A32EF3"/>
    <w:rsid w:val="00A338DA"/>
    <w:rsid w:val="00A33D39"/>
    <w:rsid w:val="00A33E06"/>
    <w:rsid w:val="00A3404D"/>
    <w:rsid w:val="00A34061"/>
    <w:rsid w:val="00A343BC"/>
    <w:rsid w:val="00A348CD"/>
    <w:rsid w:val="00A34BF7"/>
    <w:rsid w:val="00A34DE4"/>
    <w:rsid w:val="00A3507F"/>
    <w:rsid w:val="00A354C9"/>
    <w:rsid w:val="00A356FA"/>
    <w:rsid w:val="00A357E2"/>
    <w:rsid w:val="00A35807"/>
    <w:rsid w:val="00A35CE4"/>
    <w:rsid w:val="00A35EE4"/>
    <w:rsid w:val="00A36625"/>
    <w:rsid w:val="00A3678C"/>
    <w:rsid w:val="00A374E1"/>
    <w:rsid w:val="00A376E6"/>
    <w:rsid w:val="00A3791D"/>
    <w:rsid w:val="00A37984"/>
    <w:rsid w:val="00A37AC9"/>
    <w:rsid w:val="00A37D52"/>
    <w:rsid w:val="00A4022B"/>
    <w:rsid w:val="00A405BA"/>
    <w:rsid w:val="00A4067F"/>
    <w:rsid w:val="00A40A25"/>
    <w:rsid w:val="00A40C69"/>
    <w:rsid w:val="00A40F0D"/>
    <w:rsid w:val="00A41056"/>
    <w:rsid w:val="00A41207"/>
    <w:rsid w:val="00A4149C"/>
    <w:rsid w:val="00A41857"/>
    <w:rsid w:val="00A41D88"/>
    <w:rsid w:val="00A41F8C"/>
    <w:rsid w:val="00A42132"/>
    <w:rsid w:val="00A42691"/>
    <w:rsid w:val="00A42CD1"/>
    <w:rsid w:val="00A43091"/>
    <w:rsid w:val="00A4347A"/>
    <w:rsid w:val="00A43945"/>
    <w:rsid w:val="00A439D0"/>
    <w:rsid w:val="00A43CE7"/>
    <w:rsid w:val="00A441EA"/>
    <w:rsid w:val="00A444C2"/>
    <w:rsid w:val="00A4466A"/>
    <w:rsid w:val="00A44ACC"/>
    <w:rsid w:val="00A44B08"/>
    <w:rsid w:val="00A44B23"/>
    <w:rsid w:val="00A453F3"/>
    <w:rsid w:val="00A45BDD"/>
    <w:rsid w:val="00A45CE8"/>
    <w:rsid w:val="00A46091"/>
    <w:rsid w:val="00A461D3"/>
    <w:rsid w:val="00A4629B"/>
    <w:rsid w:val="00A46391"/>
    <w:rsid w:val="00A46F0A"/>
    <w:rsid w:val="00A46FCC"/>
    <w:rsid w:val="00A470D1"/>
    <w:rsid w:val="00A470FB"/>
    <w:rsid w:val="00A4768D"/>
    <w:rsid w:val="00A4781D"/>
    <w:rsid w:val="00A47A32"/>
    <w:rsid w:val="00A50494"/>
    <w:rsid w:val="00A50DA3"/>
    <w:rsid w:val="00A50FA0"/>
    <w:rsid w:val="00A512D8"/>
    <w:rsid w:val="00A51441"/>
    <w:rsid w:val="00A51CB7"/>
    <w:rsid w:val="00A52DCC"/>
    <w:rsid w:val="00A52EC8"/>
    <w:rsid w:val="00A52FBB"/>
    <w:rsid w:val="00A530CB"/>
    <w:rsid w:val="00A53144"/>
    <w:rsid w:val="00A532E7"/>
    <w:rsid w:val="00A53819"/>
    <w:rsid w:val="00A53E58"/>
    <w:rsid w:val="00A544FE"/>
    <w:rsid w:val="00A545A7"/>
    <w:rsid w:val="00A545C1"/>
    <w:rsid w:val="00A54B42"/>
    <w:rsid w:val="00A55981"/>
    <w:rsid w:val="00A55B02"/>
    <w:rsid w:val="00A55D6D"/>
    <w:rsid w:val="00A55FD3"/>
    <w:rsid w:val="00A56266"/>
    <w:rsid w:val="00A564E8"/>
    <w:rsid w:val="00A56632"/>
    <w:rsid w:val="00A56EBD"/>
    <w:rsid w:val="00A5756B"/>
    <w:rsid w:val="00A5765C"/>
    <w:rsid w:val="00A57A37"/>
    <w:rsid w:val="00A57D38"/>
    <w:rsid w:val="00A60A1E"/>
    <w:rsid w:val="00A60C96"/>
    <w:rsid w:val="00A60D11"/>
    <w:rsid w:val="00A60F2C"/>
    <w:rsid w:val="00A613B1"/>
    <w:rsid w:val="00A61773"/>
    <w:rsid w:val="00A61D7B"/>
    <w:rsid w:val="00A62188"/>
    <w:rsid w:val="00A62699"/>
    <w:rsid w:val="00A62731"/>
    <w:rsid w:val="00A62C5D"/>
    <w:rsid w:val="00A636FC"/>
    <w:rsid w:val="00A6386C"/>
    <w:rsid w:val="00A638B5"/>
    <w:rsid w:val="00A63DF9"/>
    <w:rsid w:val="00A6486F"/>
    <w:rsid w:val="00A64FFD"/>
    <w:rsid w:val="00A6520F"/>
    <w:rsid w:val="00A652B3"/>
    <w:rsid w:val="00A6545D"/>
    <w:rsid w:val="00A65566"/>
    <w:rsid w:val="00A66663"/>
    <w:rsid w:val="00A6706E"/>
    <w:rsid w:val="00A671B2"/>
    <w:rsid w:val="00A671F3"/>
    <w:rsid w:val="00A6733E"/>
    <w:rsid w:val="00A679D7"/>
    <w:rsid w:val="00A67D09"/>
    <w:rsid w:val="00A70077"/>
    <w:rsid w:val="00A70B34"/>
    <w:rsid w:val="00A70BF9"/>
    <w:rsid w:val="00A71081"/>
    <w:rsid w:val="00A71583"/>
    <w:rsid w:val="00A71D4E"/>
    <w:rsid w:val="00A71E6A"/>
    <w:rsid w:val="00A71ED3"/>
    <w:rsid w:val="00A71FEF"/>
    <w:rsid w:val="00A724D9"/>
    <w:rsid w:val="00A7260D"/>
    <w:rsid w:val="00A73042"/>
    <w:rsid w:val="00A733D7"/>
    <w:rsid w:val="00A73492"/>
    <w:rsid w:val="00A73689"/>
    <w:rsid w:val="00A73B3F"/>
    <w:rsid w:val="00A73ECE"/>
    <w:rsid w:val="00A73F81"/>
    <w:rsid w:val="00A740B0"/>
    <w:rsid w:val="00A74B08"/>
    <w:rsid w:val="00A74C31"/>
    <w:rsid w:val="00A74F0A"/>
    <w:rsid w:val="00A74F2B"/>
    <w:rsid w:val="00A7544B"/>
    <w:rsid w:val="00A7561F"/>
    <w:rsid w:val="00A764FD"/>
    <w:rsid w:val="00A76542"/>
    <w:rsid w:val="00A76582"/>
    <w:rsid w:val="00A76A57"/>
    <w:rsid w:val="00A76AF3"/>
    <w:rsid w:val="00A76CA6"/>
    <w:rsid w:val="00A76D6A"/>
    <w:rsid w:val="00A771E7"/>
    <w:rsid w:val="00A77391"/>
    <w:rsid w:val="00A77435"/>
    <w:rsid w:val="00A7744B"/>
    <w:rsid w:val="00A77522"/>
    <w:rsid w:val="00A775DE"/>
    <w:rsid w:val="00A77B76"/>
    <w:rsid w:val="00A77D13"/>
    <w:rsid w:val="00A77E27"/>
    <w:rsid w:val="00A77F41"/>
    <w:rsid w:val="00A8030D"/>
    <w:rsid w:val="00A80357"/>
    <w:rsid w:val="00A80650"/>
    <w:rsid w:val="00A80679"/>
    <w:rsid w:val="00A80739"/>
    <w:rsid w:val="00A80819"/>
    <w:rsid w:val="00A80B2F"/>
    <w:rsid w:val="00A80DD2"/>
    <w:rsid w:val="00A810B2"/>
    <w:rsid w:val="00A8136E"/>
    <w:rsid w:val="00A815A3"/>
    <w:rsid w:val="00A81635"/>
    <w:rsid w:val="00A81848"/>
    <w:rsid w:val="00A8204E"/>
    <w:rsid w:val="00A823C1"/>
    <w:rsid w:val="00A8247C"/>
    <w:rsid w:val="00A8254C"/>
    <w:rsid w:val="00A826A7"/>
    <w:rsid w:val="00A827C4"/>
    <w:rsid w:val="00A829FA"/>
    <w:rsid w:val="00A82FF1"/>
    <w:rsid w:val="00A831AB"/>
    <w:rsid w:val="00A8391D"/>
    <w:rsid w:val="00A846F4"/>
    <w:rsid w:val="00A84D67"/>
    <w:rsid w:val="00A84DFE"/>
    <w:rsid w:val="00A85036"/>
    <w:rsid w:val="00A85343"/>
    <w:rsid w:val="00A853A3"/>
    <w:rsid w:val="00A85766"/>
    <w:rsid w:val="00A85817"/>
    <w:rsid w:val="00A85DBC"/>
    <w:rsid w:val="00A862BF"/>
    <w:rsid w:val="00A862F6"/>
    <w:rsid w:val="00A863B6"/>
    <w:rsid w:val="00A863E0"/>
    <w:rsid w:val="00A86682"/>
    <w:rsid w:val="00A86D8F"/>
    <w:rsid w:val="00A86FBA"/>
    <w:rsid w:val="00A87910"/>
    <w:rsid w:val="00A87B77"/>
    <w:rsid w:val="00A87BDD"/>
    <w:rsid w:val="00A901FD"/>
    <w:rsid w:val="00A90783"/>
    <w:rsid w:val="00A907F4"/>
    <w:rsid w:val="00A90A42"/>
    <w:rsid w:val="00A90D80"/>
    <w:rsid w:val="00A912F1"/>
    <w:rsid w:val="00A9146B"/>
    <w:rsid w:val="00A9196A"/>
    <w:rsid w:val="00A91BA0"/>
    <w:rsid w:val="00A91CDF"/>
    <w:rsid w:val="00A9316B"/>
    <w:rsid w:val="00A93A32"/>
    <w:rsid w:val="00A93C7D"/>
    <w:rsid w:val="00A93DD1"/>
    <w:rsid w:val="00A93ED0"/>
    <w:rsid w:val="00A943ED"/>
    <w:rsid w:val="00A9478B"/>
    <w:rsid w:val="00A949DB"/>
    <w:rsid w:val="00A94B3F"/>
    <w:rsid w:val="00A95004"/>
    <w:rsid w:val="00A953A4"/>
    <w:rsid w:val="00A955C9"/>
    <w:rsid w:val="00A958D5"/>
    <w:rsid w:val="00A95AA0"/>
    <w:rsid w:val="00A95B32"/>
    <w:rsid w:val="00A95BC5"/>
    <w:rsid w:val="00A962A4"/>
    <w:rsid w:val="00A962C2"/>
    <w:rsid w:val="00A962E6"/>
    <w:rsid w:val="00A969BF"/>
    <w:rsid w:val="00A974BB"/>
    <w:rsid w:val="00A97A57"/>
    <w:rsid w:val="00A97D9F"/>
    <w:rsid w:val="00AA0121"/>
    <w:rsid w:val="00AA019F"/>
    <w:rsid w:val="00AA0268"/>
    <w:rsid w:val="00AA0DE7"/>
    <w:rsid w:val="00AA0EB9"/>
    <w:rsid w:val="00AA1075"/>
    <w:rsid w:val="00AA12D4"/>
    <w:rsid w:val="00AA1809"/>
    <w:rsid w:val="00AA194B"/>
    <w:rsid w:val="00AA214F"/>
    <w:rsid w:val="00AA225E"/>
    <w:rsid w:val="00AA2272"/>
    <w:rsid w:val="00AA2382"/>
    <w:rsid w:val="00AA26AE"/>
    <w:rsid w:val="00AA2B6B"/>
    <w:rsid w:val="00AA390E"/>
    <w:rsid w:val="00AA3AE0"/>
    <w:rsid w:val="00AA413A"/>
    <w:rsid w:val="00AA4242"/>
    <w:rsid w:val="00AA4344"/>
    <w:rsid w:val="00AA4702"/>
    <w:rsid w:val="00AA4718"/>
    <w:rsid w:val="00AA4887"/>
    <w:rsid w:val="00AA4899"/>
    <w:rsid w:val="00AA4D13"/>
    <w:rsid w:val="00AA4F2E"/>
    <w:rsid w:val="00AA4FC6"/>
    <w:rsid w:val="00AA5100"/>
    <w:rsid w:val="00AA5911"/>
    <w:rsid w:val="00AA59BF"/>
    <w:rsid w:val="00AA5C21"/>
    <w:rsid w:val="00AA5C4A"/>
    <w:rsid w:val="00AA5F38"/>
    <w:rsid w:val="00AA60C2"/>
    <w:rsid w:val="00AA6367"/>
    <w:rsid w:val="00AA63D2"/>
    <w:rsid w:val="00AA67B3"/>
    <w:rsid w:val="00AA67B7"/>
    <w:rsid w:val="00AA6893"/>
    <w:rsid w:val="00AA6C18"/>
    <w:rsid w:val="00AA72CF"/>
    <w:rsid w:val="00AA7A05"/>
    <w:rsid w:val="00AA7D67"/>
    <w:rsid w:val="00AB015C"/>
    <w:rsid w:val="00AB0569"/>
    <w:rsid w:val="00AB0B98"/>
    <w:rsid w:val="00AB0D93"/>
    <w:rsid w:val="00AB0FF4"/>
    <w:rsid w:val="00AB103B"/>
    <w:rsid w:val="00AB132C"/>
    <w:rsid w:val="00AB152A"/>
    <w:rsid w:val="00AB18C2"/>
    <w:rsid w:val="00AB1FFB"/>
    <w:rsid w:val="00AB2716"/>
    <w:rsid w:val="00AB2A29"/>
    <w:rsid w:val="00AB2B14"/>
    <w:rsid w:val="00AB2B91"/>
    <w:rsid w:val="00AB31A7"/>
    <w:rsid w:val="00AB33B6"/>
    <w:rsid w:val="00AB3422"/>
    <w:rsid w:val="00AB37BB"/>
    <w:rsid w:val="00AB395A"/>
    <w:rsid w:val="00AB3E57"/>
    <w:rsid w:val="00AB403C"/>
    <w:rsid w:val="00AB40DD"/>
    <w:rsid w:val="00AB4B3A"/>
    <w:rsid w:val="00AB4BE9"/>
    <w:rsid w:val="00AB4DB4"/>
    <w:rsid w:val="00AB4DF7"/>
    <w:rsid w:val="00AB4F84"/>
    <w:rsid w:val="00AB4FD6"/>
    <w:rsid w:val="00AB5357"/>
    <w:rsid w:val="00AB5FC2"/>
    <w:rsid w:val="00AB63A9"/>
    <w:rsid w:val="00AB641A"/>
    <w:rsid w:val="00AB68C4"/>
    <w:rsid w:val="00AB7378"/>
    <w:rsid w:val="00AB743B"/>
    <w:rsid w:val="00AB78CD"/>
    <w:rsid w:val="00AB792A"/>
    <w:rsid w:val="00AC01DB"/>
    <w:rsid w:val="00AC0202"/>
    <w:rsid w:val="00AC0218"/>
    <w:rsid w:val="00AC041F"/>
    <w:rsid w:val="00AC064B"/>
    <w:rsid w:val="00AC0DF3"/>
    <w:rsid w:val="00AC1105"/>
    <w:rsid w:val="00AC15B2"/>
    <w:rsid w:val="00AC1AF7"/>
    <w:rsid w:val="00AC1F50"/>
    <w:rsid w:val="00AC2226"/>
    <w:rsid w:val="00AC27EA"/>
    <w:rsid w:val="00AC29F8"/>
    <w:rsid w:val="00AC2F8D"/>
    <w:rsid w:val="00AC34BD"/>
    <w:rsid w:val="00AC350C"/>
    <w:rsid w:val="00AC3976"/>
    <w:rsid w:val="00AC3E8A"/>
    <w:rsid w:val="00AC41B4"/>
    <w:rsid w:val="00AC460D"/>
    <w:rsid w:val="00AC469E"/>
    <w:rsid w:val="00AC4921"/>
    <w:rsid w:val="00AC4E36"/>
    <w:rsid w:val="00AC50BE"/>
    <w:rsid w:val="00AC50F7"/>
    <w:rsid w:val="00AC5299"/>
    <w:rsid w:val="00AC59C2"/>
    <w:rsid w:val="00AC5F49"/>
    <w:rsid w:val="00AC5FF4"/>
    <w:rsid w:val="00AC60E9"/>
    <w:rsid w:val="00AC698A"/>
    <w:rsid w:val="00AC7042"/>
    <w:rsid w:val="00AC75A7"/>
    <w:rsid w:val="00AC7EFD"/>
    <w:rsid w:val="00AC7FB9"/>
    <w:rsid w:val="00AD009A"/>
    <w:rsid w:val="00AD00E6"/>
    <w:rsid w:val="00AD02AF"/>
    <w:rsid w:val="00AD02D3"/>
    <w:rsid w:val="00AD03CF"/>
    <w:rsid w:val="00AD0470"/>
    <w:rsid w:val="00AD0493"/>
    <w:rsid w:val="00AD0530"/>
    <w:rsid w:val="00AD055C"/>
    <w:rsid w:val="00AD05DE"/>
    <w:rsid w:val="00AD06C3"/>
    <w:rsid w:val="00AD0911"/>
    <w:rsid w:val="00AD0B88"/>
    <w:rsid w:val="00AD0C33"/>
    <w:rsid w:val="00AD0E01"/>
    <w:rsid w:val="00AD11D4"/>
    <w:rsid w:val="00AD11FA"/>
    <w:rsid w:val="00AD1204"/>
    <w:rsid w:val="00AD139A"/>
    <w:rsid w:val="00AD15EE"/>
    <w:rsid w:val="00AD173A"/>
    <w:rsid w:val="00AD181B"/>
    <w:rsid w:val="00AD1E90"/>
    <w:rsid w:val="00AD1F8F"/>
    <w:rsid w:val="00AD2AFB"/>
    <w:rsid w:val="00AD2C41"/>
    <w:rsid w:val="00AD2D97"/>
    <w:rsid w:val="00AD2FC7"/>
    <w:rsid w:val="00AD2FF3"/>
    <w:rsid w:val="00AD3371"/>
    <w:rsid w:val="00AD3680"/>
    <w:rsid w:val="00AD3975"/>
    <w:rsid w:val="00AD3A33"/>
    <w:rsid w:val="00AD40B9"/>
    <w:rsid w:val="00AD44BD"/>
    <w:rsid w:val="00AD44EE"/>
    <w:rsid w:val="00AD4655"/>
    <w:rsid w:val="00AD470B"/>
    <w:rsid w:val="00AD4FFB"/>
    <w:rsid w:val="00AD550E"/>
    <w:rsid w:val="00AD5630"/>
    <w:rsid w:val="00AD5714"/>
    <w:rsid w:val="00AD59B0"/>
    <w:rsid w:val="00AD5B3C"/>
    <w:rsid w:val="00AD5BE7"/>
    <w:rsid w:val="00AD5F2F"/>
    <w:rsid w:val="00AD618E"/>
    <w:rsid w:val="00AD658E"/>
    <w:rsid w:val="00AD6DFE"/>
    <w:rsid w:val="00AD6E7C"/>
    <w:rsid w:val="00AD752B"/>
    <w:rsid w:val="00AD7569"/>
    <w:rsid w:val="00AD78AF"/>
    <w:rsid w:val="00AD7A3A"/>
    <w:rsid w:val="00AD7D86"/>
    <w:rsid w:val="00AD7DC2"/>
    <w:rsid w:val="00AE05EF"/>
    <w:rsid w:val="00AE0A60"/>
    <w:rsid w:val="00AE0CB0"/>
    <w:rsid w:val="00AE0FC2"/>
    <w:rsid w:val="00AE0FF1"/>
    <w:rsid w:val="00AE1470"/>
    <w:rsid w:val="00AE1710"/>
    <w:rsid w:val="00AE1A9F"/>
    <w:rsid w:val="00AE1B44"/>
    <w:rsid w:val="00AE1D35"/>
    <w:rsid w:val="00AE1FB1"/>
    <w:rsid w:val="00AE20D0"/>
    <w:rsid w:val="00AE2386"/>
    <w:rsid w:val="00AE27DE"/>
    <w:rsid w:val="00AE297C"/>
    <w:rsid w:val="00AE2AEE"/>
    <w:rsid w:val="00AE2E32"/>
    <w:rsid w:val="00AE2E35"/>
    <w:rsid w:val="00AE30C8"/>
    <w:rsid w:val="00AE33CB"/>
    <w:rsid w:val="00AE3A95"/>
    <w:rsid w:val="00AE3D09"/>
    <w:rsid w:val="00AE4F58"/>
    <w:rsid w:val="00AE596B"/>
    <w:rsid w:val="00AE5C10"/>
    <w:rsid w:val="00AE5C9D"/>
    <w:rsid w:val="00AE5D9C"/>
    <w:rsid w:val="00AE5EBB"/>
    <w:rsid w:val="00AE6012"/>
    <w:rsid w:val="00AE68E2"/>
    <w:rsid w:val="00AE6ADF"/>
    <w:rsid w:val="00AE703D"/>
    <w:rsid w:val="00AE7480"/>
    <w:rsid w:val="00AE7B86"/>
    <w:rsid w:val="00AE7EF6"/>
    <w:rsid w:val="00AF005D"/>
    <w:rsid w:val="00AF041E"/>
    <w:rsid w:val="00AF04ED"/>
    <w:rsid w:val="00AF0690"/>
    <w:rsid w:val="00AF0A1D"/>
    <w:rsid w:val="00AF0CC6"/>
    <w:rsid w:val="00AF1BC5"/>
    <w:rsid w:val="00AF1C33"/>
    <w:rsid w:val="00AF1F2C"/>
    <w:rsid w:val="00AF21EC"/>
    <w:rsid w:val="00AF2397"/>
    <w:rsid w:val="00AF2D3C"/>
    <w:rsid w:val="00AF3309"/>
    <w:rsid w:val="00AF364F"/>
    <w:rsid w:val="00AF36FD"/>
    <w:rsid w:val="00AF3761"/>
    <w:rsid w:val="00AF37E8"/>
    <w:rsid w:val="00AF39CE"/>
    <w:rsid w:val="00AF3E81"/>
    <w:rsid w:val="00AF43D5"/>
    <w:rsid w:val="00AF4654"/>
    <w:rsid w:val="00AF4661"/>
    <w:rsid w:val="00AF47E7"/>
    <w:rsid w:val="00AF4A5F"/>
    <w:rsid w:val="00AF4E7A"/>
    <w:rsid w:val="00AF4F56"/>
    <w:rsid w:val="00AF50DA"/>
    <w:rsid w:val="00AF544F"/>
    <w:rsid w:val="00AF5522"/>
    <w:rsid w:val="00AF554E"/>
    <w:rsid w:val="00AF5A12"/>
    <w:rsid w:val="00AF5DB7"/>
    <w:rsid w:val="00AF5F65"/>
    <w:rsid w:val="00AF5FA5"/>
    <w:rsid w:val="00AF630B"/>
    <w:rsid w:val="00AF6CA2"/>
    <w:rsid w:val="00AF6D72"/>
    <w:rsid w:val="00AF6F55"/>
    <w:rsid w:val="00AF6F57"/>
    <w:rsid w:val="00AF7A9D"/>
    <w:rsid w:val="00B00D2D"/>
    <w:rsid w:val="00B00F85"/>
    <w:rsid w:val="00B00FBC"/>
    <w:rsid w:val="00B0122F"/>
    <w:rsid w:val="00B012F4"/>
    <w:rsid w:val="00B014A4"/>
    <w:rsid w:val="00B014D4"/>
    <w:rsid w:val="00B01532"/>
    <w:rsid w:val="00B016B8"/>
    <w:rsid w:val="00B01721"/>
    <w:rsid w:val="00B017F6"/>
    <w:rsid w:val="00B01F39"/>
    <w:rsid w:val="00B03A5D"/>
    <w:rsid w:val="00B03F6E"/>
    <w:rsid w:val="00B0409E"/>
    <w:rsid w:val="00B0464D"/>
    <w:rsid w:val="00B04BAD"/>
    <w:rsid w:val="00B04F22"/>
    <w:rsid w:val="00B04FF0"/>
    <w:rsid w:val="00B054EA"/>
    <w:rsid w:val="00B05852"/>
    <w:rsid w:val="00B05B19"/>
    <w:rsid w:val="00B0615B"/>
    <w:rsid w:val="00B06BE2"/>
    <w:rsid w:val="00B0735F"/>
    <w:rsid w:val="00B0746F"/>
    <w:rsid w:val="00B07D7C"/>
    <w:rsid w:val="00B07E63"/>
    <w:rsid w:val="00B108C5"/>
    <w:rsid w:val="00B11596"/>
    <w:rsid w:val="00B11D0C"/>
    <w:rsid w:val="00B120C1"/>
    <w:rsid w:val="00B12100"/>
    <w:rsid w:val="00B12179"/>
    <w:rsid w:val="00B12889"/>
    <w:rsid w:val="00B12AAA"/>
    <w:rsid w:val="00B12C47"/>
    <w:rsid w:val="00B12C58"/>
    <w:rsid w:val="00B12F35"/>
    <w:rsid w:val="00B13141"/>
    <w:rsid w:val="00B131F5"/>
    <w:rsid w:val="00B1330C"/>
    <w:rsid w:val="00B13331"/>
    <w:rsid w:val="00B13B7E"/>
    <w:rsid w:val="00B13E87"/>
    <w:rsid w:val="00B1424B"/>
    <w:rsid w:val="00B142DE"/>
    <w:rsid w:val="00B14377"/>
    <w:rsid w:val="00B14495"/>
    <w:rsid w:val="00B14B79"/>
    <w:rsid w:val="00B15202"/>
    <w:rsid w:val="00B15321"/>
    <w:rsid w:val="00B15684"/>
    <w:rsid w:val="00B1593E"/>
    <w:rsid w:val="00B15ABC"/>
    <w:rsid w:val="00B15AE0"/>
    <w:rsid w:val="00B15E87"/>
    <w:rsid w:val="00B15F51"/>
    <w:rsid w:val="00B1649D"/>
    <w:rsid w:val="00B16A40"/>
    <w:rsid w:val="00B16F09"/>
    <w:rsid w:val="00B170D8"/>
    <w:rsid w:val="00B1732E"/>
    <w:rsid w:val="00B17440"/>
    <w:rsid w:val="00B176F5"/>
    <w:rsid w:val="00B17A42"/>
    <w:rsid w:val="00B17D52"/>
    <w:rsid w:val="00B2040C"/>
    <w:rsid w:val="00B2063E"/>
    <w:rsid w:val="00B20F73"/>
    <w:rsid w:val="00B215FB"/>
    <w:rsid w:val="00B21AA3"/>
    <w:rsid w:val="00B2248F"/>
    <w:rsid w:val="00B22599"/>
    <w:rsid w:val="00B22644"/>
    <w:rsid w:val="00B22C00"/>
    <w:rsid w:val="00B22D32"/>
    <w:rsid w:val="00B22E0A"/>
    <w:rsid w:val="00B22E59"/>
    <w:rsid w:val="00B23038"/>
    <w:rsid w:val="00B233E0"/>
    <w:rsid w:val="00B2467D"/>
    <w:rsid w:val="00B2483F"/>
    <w:rsid w:val="00B24E89"/>
    <w:rsid w:val="00B2592F"/>
    <w:rsid w:val="00B25B6A"/>
    <w:rsid w:val="00B25E48"/>
    <w:rsid w:val="00B25E77"/>
    <w:rsid w:val="00B26359"/>
    <w:rsid w:val="00B26C38"/>
    <w:rsid w:val="00B26FEF"/>
    <w:rsid w:val="00B274ED"/>
    <w:rsid w:val="00B2771D"/>
    <w:rsid w:val="00B279EA"/>
    <w:rsid w:val="00B307F6"/>
    <w:rsid w:val="00B30B7E"/>
    <w:rsid w:val="00B30C5F"/>
    <w:rsid w:val="00B30E80"/>
    <w:rsid w:val="00B3105D"/>
    <w:rsid w:val="00B31069"/>
    <w:rsid w:val="00B3149A"/>
    <w:rsid w:val="00B316D7"/>
    <w:rsid w:val="00B31901"/>
    <w:rsid w:val="00B31EBC"/>
    <w:rsid w:val="00B3228F"/>
    <w:rsid w:val="00B324D0"/>
    <w:rsid w:val="00B330FB"/>
    <w:rsid w:val="00B3344B"/>
    <w:rsid w:val="00B339AB"/>
    <w:rsid w:val="00B33D3B"/>
    <w:rsid w:val="00B33EFA"/>
    <w:rsid w:val="00B3443B"/>
    <w:rsid w:val="00B34CF7"/>
    <w:rsid w:val="00B35677"/>
    <w:rsid w:val="00B35C88"/>
    <w:rsid w:val="00B3642C"/>
    <w:rsid w:val="00B3655A"/>
    <w:rsid w:val="00B36703"/>
    <w:rsid w:val="00B3677B"/>
    <w:rsid w:val="00B368FE"/>
    <w:rsid w:val="00B36AE3"/>
    <w:rsid w:val="00B3745E"/>
    <w:rsid w:val="00B375CF"/>
    <w:rsid w:val="00B375EE"/>
    <w:rsid w:val="00B37741"/>
    <w:rsid w:val="00B37873"/>
    <w:rsid w:val="00B40176"/>
    <w:rsid w:val="00B411AC"/>
    <w:rsid w:val="00B416C6"/>
    <w:rsid w:val="00B42586"/>
    <w:rsid w:val="00B42BBA"/>
    <w:rsid w:val="00B42BC5"/>
    <w:rsid w:val="00B42D26"/>
    <w:rsid w:val="00B42F6B"/>
    <w:rsid w:val="00B431BD"/>
    <w:rsid w:val="00B4325E"/>
    <w:rsid w:val="00B43810"/>
    <w:rsid w:val="00B43B7D"/>
    <w:rsid w:val="00B43C08"/>
    <w:rsid w:val="00B43D36"/>
    <w:rsid w:val="00B43FEC"/>
    <w:rsid w:val="00B441F3"/>
    <w:rsid w:val="00B447FA"/>
    <w:rsid w:val="00B44A84"/>
    <w:rsid w:val="00B4521B"/>
    <w:rsid w:val="00B4554E"/>
    <w:rsid w:val="00B45904"/>
    <w:rsid w:val="00B45A02"/>
    <w:rsid w:val="00B45C67"/>
    <w:rsid w:val="00B45CF8"/>
    <w:rsid w:val="00B45FD1"/>
    <w:rsid w:val="00B46006"/>
    <w:rsid w:val="00B46374"/>
    <w:rsid w:val="00B4661A"/>
    <w:rsid w:val="00B46C25"/>
    <w:rsid w:val="00B46F16"/>
    <w:rsid w:val="00B47BD2"/>
    <w:rsid w:val="00B5007C"/>
    <w:rsid w:val="00B504DA"/>
    <w:rsid w:val="00B50D42"/>
    <w:rsid w:val="00B50FC4"/>
    <w:rsid w:val="00B5112D"/>
    <w:rsid w:val="00B51510"/>
    <w:rsid w:val="00B51611"/>
    <w:rsid w:val="00B5173B"/>
    <w:rsid w:val="00B51BF1"/>
    <w:rsid w:val="00B51CED"/>
    <w:rsid w:val="00B5227A"/>
    <w:rsid w:val="00B5228A"/>
    <w:rsid w:val="00B52440"/>
    <w:rsid w:val="00B524F2"/>
    <w:rsid w:val="00B526F1"/>
    <w:rsid w:val="00B5274C"/>
    <w:rsid w:val="00B52B61"/>
    <w:rsid w:val="00B5317B"/>
    <w:rsid w:val="00B531A1"/>
    <w:rsid w:val="00B53D00"/>
    <w:rsid w:val="00B53D9A"/>
    <w:rsid w:val="00B53E2E"/>
    <w:rsid w:val="00B54496"/>
    <w:rsid w:val="00B54A6B"/>
    <w:rsid w:val="00B55334"/>
    <w:rsid w:val="00B55344"/>
    <w:rsid w:val="00B5588A"/>
    <w:rsid w:val="00B55B94"/>
    <w:rsid w:val="00B55C61"/>
    <w:rsid w:val="00B5602E"/>
    <w:rsid w:val="00B56213"/>
    <w:rsid w:val="00B564F7"/>
    <w:rsid w:val="00B5664F"/>
    <w:rsid w:val="00B5677E"/>
    <w:rsid w:val="00B56E27"/>
    <w:rsid w:val="00B56F6D"/>
    <w:rsid w:val="00B570EE"/>
    <w:rsid w:val="00B5726B"/>
    <w:rsid w:val="00B572E1"/>
    <w:rsid w:val="00B57391"/>
    <w:rsid w:val="00B57791"/>
    <w:rsid w:val="00B57E69"/>
    <w:rsid w:val="00B61097"/>
    <w:rsid w:val="00B610A2"/>
    <w:rsid w:val="00B61319"/>
    <w:rsid w:val="00B613D4"/>
    <w:rsid w:val="00B617B7"/>
    <w:rsid w:val="00B61FC9"/>
    <w:rsid w:val="00B622BB"/>
    <w:rsid w:val="00B622D7"/>
    <w:rsid w:val="00B62687"/>
    <w:rsid w:val="00B627F2"/>
    <w:rsid w:val="00B62B13"/>
    <w:rsid w:val="00B62CAC"/>
    <w:rsid w:val="00B62D3B"/>
    <w:rsid w:val="00B62FA3"/>
    <w:rsid w:val="00B632EE"/>
    <w:rsid w:val="00B635CF"/>
    <w:rsid w:val="00B63751"/>
    <w:rsid w:val="00B637DE"/>
    <w:rsid w:val="00B63D0B"/>
    <w:rsid w:val="00B63F83"/>
    <w:rsid w:val="00B64056"/>
    <w:rsid w:val="00B645FF"/>
    <w:rsid w:val="00B64646"/>
    <w:rsid w:val="00B65C7D"/>
    <w:rsid w:val="00B65D1F"/>
    <w:rsid w:val="00B6681A"/>
    <w:rsid w:val="00B66ADF"/>
    <w:rsid w:val="00B66D11"/>
    <w:rsid w:val="00B6710F"/>
    <w:rsid w:val="00B67146"/>
    <w:rsid w:val="00B6722E"/>
    <w:rsid w:val="00B67607"/>
    <w:rsid w:val="00B67809"/>
    <w:rsid w:val="00B70F0F"/>
    <w:rsid w:val="00B7109C"/>
    <w:rsid w:val="00B710B7"/>
    <w:rsid w:val="00B711B7"/>
    <w:rsid w:val="00B712E9"/>
    <w:rsid w:val="00B71840"/>
    <w:rsid w:val="00B71B2C"/>
    <w:rsid w:val="00B71C28"/>
    <w:rsid w:val="00B71CD0"/>
    <w:rsid w:val="00B7216E"/>
    <w:rsid w:val="00B721C1"/>
    <w:rsid w:val="00B722E2"/>
    <w:rsid w:val="00B7237B"/>
    <w:rsid w:val="00B7295A"/>
    <w:rsid w:val="00B729ED"/>
    <w:rsid w:val="00B72C53"/>
    <w:rsid w:val="00B72CB5"/>
    <w:rsid w:val="00B72E78"/>
    <w:rsid w:val="00B73149"/>
    <w:rsid w:val="00B73154"/>
    <w:rsid w:val="00B731FE"/>
    <w:rsid w:val="00B73801"/>
    <w:rsid w:val="00B738B5"/>
    <w:rsid w:val="00B73E3F"/>
    <w:rsid w:val="00B742B7"/>
    <w:rsid w:val="00B74330"/>
    <w:rsid w:val="00B74755"/>
    <w:rsid w:val="00B74A4E"/>
    <w:rsid w:val="00B74B99"/>
    <w:rsid w:val="00B74BBF"/>
    <w:rsid w:val="00B75217"/>
    <w:rsid w:val="00B75D76"/>
    <w:rsid w:val="00B76069"/>
    <w:rsid w:val="00B76161"/>
    <w:rsid w:val="00B76283"/>
    <w:rsid w:val="00B76A77"/>
    <w:rsid w:val="00B775A2"/>
    <w:rsid w:val="00B77B6F"/>
    <w:rsid w:val="00B77E22"/>
    <w:rsid w:val="00B80053"/>
    <w:rsid w:val="00B80B4B"/>
    <w:rsid w:val="00B80EBF"/>
    <w:rsid w:val="00B81017"/>
    <w:rsid w:val="00B81A70"/>
    <w:rsid w:val="00B81C07"/>
    <w:rsid w:val="00B81C94"/>
    <w:rsid w:val="00B81CB9"/>
    <w:rsid w:val="00B81F2D"/>
    <w:rsid w:val="00B820CA"/>
    <w:rsid w:val="00B8244A"/>
    <w:rsid w:val="00B826AE"/>
    <w:rsid w:val="00B82994"/>
    <w:rsid w:val="00B82AD1"/>
    <w:rsid w:val="00B83046"/>
    <w:rsid w:val="00B83716"/>
    <w:rsid w:val="00B83C1E"/>
    <w:rsid w:val="00B840D4"/>
    <w:rsid w:val="00B84428"/>
    <w:rsid w:val="00B844E1"/>
    <w:rsid w:val="00B84A37"/>
    <w:rsid w:val="00B85392"/>
    <w:rsid w:val="00B8569B"/>
    <w:rsid w:val="00B85A05"/>
    <w:rsid w:val="00B85CED"/>
    <w:rsid w:val="00B85D54"/>
    <w:rsid w:val="00B86096"/>
    <w:rsid w:val="00B864B6"/>
    <w:rsid w:val="00B864CA"/>
    <w:rsid w:val="00B864CD"/>
    <w:rsid w:val="00B864F6"/>
    <w:rsid w:val="00B86585"/>
    <w:rsid w:val="00B865F0"/>
    <w:rsid w:val="00B8694B"/>
    <w:rsid w:val="00B86AB5"/>
    <w:rsid w:val="00B86BAC"/>
    <w:rsid w:val="00B86C4D"/>
    <w:rsid w:val="00B86C6E"/>
    <w:rsid w:val="00B873A6"/>
    <w:rsid w:val="00B87494"/>
    <w:rsid w:val="00B87871"/>
    <w:rsid w:val="00B878FA"/>
    <w:rsid w:val="00B879C3"/>
    <w:rsid w:val="00B87F32"/>
    <w:rsid w:val="00B87F6D"/>
    <w:rsid w:val="00B90146"/>
    <w:rsid w:val="00B9086F"/>
    <w:rsid w:val="00B908BC"/>
    <w:rsid w:val="00B909E2"/>
    <w:rsid w:val="00B90A53"/>
    <w:rsid w:val="00B90B28"/>
    <w:rsid w:val="00B90E8B"/>
    <w:rsid w:val="00B915C3"/>
    <w:rsid w:val="00B921E4"/>
    <w:rsid w:val="00B92206"/>
    <w:rsid w:val="00B9230F"/>
    <w:rsid w:val="00B92320"/>
    <w:rsid w:val="00B92444"/>
    <w:rsid w:val="00B92750"/>
    <w:rsid w:val="00B92BC8"/>
    <w:rsid w:val="00B92CDE"/>
    <w:rsid w:val="00B93521"/>
    <w:rsid w:val="00B937EC"/>
    <w:rsid w:val="00B93D6C"/>
    <w:rsid w:val="00B946D9"/>
    <w:rsid w:val="00B94752"/>
    <w:rsid w:val="00B947BB"/>
    <w:rsid w:val="00B9485D"/>
    <w:rsid w:val="00B94A00"/>
    <w:rsid w:val="00B94F30"/>
    <w:rsid w:val="00B94FA7"/>
    <w:rsid w:val="00B9507A"/>
    <w:rsid w:val="00B950A8"/>
    <w:rsid w:val="00B9510F"/>
    <w:rsid w:val="00B95244"/>
    <w:rsid w:val="00B95A41"/>
    <w:rsid w:val="00B95B20"/>
    <w:rsid w:val="00B95BD2"/>
    <w:rsid w:val="00B96269"/>
    <w:rsid w:val="00B962C7"/>
    <w:rsid w:val="00B96407"/>
    <w:rsid w:val="00B96468"/>
    <w:rsid w:val="00B96A3E"/>
    <w:rsid w:val="00B96C1F"/>
    <w:rsid w:val="00B96FB0"/>
    <w:rsid w:val="00B970FC"/>
    <w:rsid w:val="00B977D0"/>
    <w:rsid w:val="00B97810"/>
    <w:rsid w:val="00B97BC3"/>
    <w:rsid w:val="00BA001D"/>
    <w:rsid w:val="00BA0360"/>
    <w:rsid w:val="00BA07DA"/>
    <w:rsid w:val="00BA12DD"/>
    <w:rsid w:val="00BA14D8"/>
    <w:rsid w:val="00BA155C"/>
    <w:rsid w:val="00BA16DC"/>
    <w:rsid w:val="00BA1C8A"/>
    <w:rsid w:val="00BA1CFA"/>
    <w:rsid w:val="00BA1EB8"/>
    <w:rsid w:val="00BA26D9"/>
    <w:rsid w:val="00BA2773"/>
    <w:rsid w:val="00BA2B93"/>
    <w:rsid w:val="00BA37AC"/>
    <w:rsid w:val="00BA3AC2"/>
    <w:rsid w:val="00BA3CD9"/>
    <w:rsid w:val="00BA3D08"/>
    <w:rsid w:val="00BA3E72"/>
    <w:rsid w:val="00BA3FAE"/>
    <w:rsid w:val="00BA416B"/>
    <w:rsid w:val="00BA4A97"/>
    <w:rsid w:val="00BA4B2D"/>
    <w:rsid w:val="00BA4F09"/>
    <w:rsid w:val="00BA5077"/>
    <w:rsid w:val="00BA5453"/>
    <w:rsid w:val="00BA54BF"/>
    <w:rsid w:val="00BA5607"/>
    <w:rsid w:val="00BA5B05"/>
    <w:rsid w:val="00BA5C56"/>
    <w:rsid w:val="00BA5D57"/>
    <w:rsid w:val="00BA6738"/>
    <w:rsid w:val="00BA77E9"/>
    <w:rsid w:val="00BA79B5"/>
    <w:rsid w:val="00BA7A2B"/>
    <w:rsid w:val="00BB00D2"/>
    <w:rsid w:val="00BB01A4"/>
    <w:rsid w:val="00BB0388"/>
    <w:rsid w:val="00BB03A5"/>
    <w:rsid w:val="00BB03BF"/>
    <w:rsid w:val="00BB06D1"/>
    <w:rsid w:val="00BB09C9"/>
    <w:rsid w:val="00BB0EE7"/>
    <w:rsid w:val="00BB0F45"/>
    <w:rsid w:val="00BB1066"/>
    <w:rsid w:val="00BB119F"/>
    <w:rsid w:val="00BB1341"/>
    <w:rsid w:val="00BB141D"/>
    <w:rsid w:val="00BB1A0F"/>
    <w:rsid w:val="00BB1B0E"/>
    <w:rsid w:val="00BB1EB6"/>
    <w:rsid w:val="00BB1F22"/>
    <w:rsid w:val="00BB1FE1"/>
    <w:rsid w:val="00BB2479"/>
    <w:rsid w:val="00BB2A0F"/>
    <w:rsid w:val="00BB355C"/>
    <w:rsid w:val="00BB3999"/>
    <w:rsid w:val="00BB3B82"/>
    <w:rsid w:val="00BB3CDD"/>
    <w:rsid w:val="00BB41C9"/>
    <w:rsid w:val="00BB4350"/>
    <w:rsid w:val="00BB4553"/>
    <w:rsid w:val="00BB463E"/>
    <w:rsid w:val="00BB46A2"/>
    <w:rsid w:val="00BB4F2C"/>
    <w:rsid w:val="00BB5054"/>
    <w:rsid w:val="00BB521F"/>
    <w:rsid w:val="00BB58F3"/>
    <w:rsid w:val="00BB5CE6"/>
    <w:rsid w:val="00BB5CEE"/>
    <w:rsid w:val="00BB62AF"/>
    <w:rsid w:val="00BB6393"/>
    <w:rsid w:val="00BB64A2"/>
    <w:rsid w:val="00BB6883"/>
    <w:rsid w:val="00BB6914"/>
    <w:rsid w:val="00BB7258"/>
    <w:rsid w:val="00BB73FD"/>
    <w:rsid w:val="00BB7629"/>
    <w:rsid w:val="00BB7991"/>
    <w:rsid w:val="00BC004C"/>
    <w:rsid w:val="00BC0126"/>
    <w:rsid w:val="00BC0359"/>
    <w:rsid w:val="00BC0432"/>
    <w:rsid w:val="00BC083A"/>
    <w:rsid w:val="00BC0AE8"/>
    <w:rsid w:val="00BC13BD"/>
    <w:rsid w:val="00BC1B87"/>
    <w:rsid w:val="00BC1CB9"/>
    <w:rsid w:val="00BC1DEC"/>
    <w:rsid w:val="00BC2233"/>
    <w:rsid w:val="00BC266B"/>
    <w:rsid w:val="00BC279E"/>
    <w:rsid w:val="00BC2A03"/>
    <w:rsid w:val="00BC2B8C"/>
    <w:rsid w:val="00BC30C7"/>
    <w:rsid w:val="00BC32D1"/>
    <w:rsid w:val="00BC3CF6"/>
    <w:rsid w:val="00BC3D7B"/>
    <w:rsid w:val="00BC40CA"/>
    <w:rsid w:val="00BC4273"/>
    <w:rsid w:val="00BC45DB"/>
    <w:rsid w:val="00BC49B6"/>
    <w:rsid w:val="00BC4E65"/>
    <w:rsid w:val="00BC4EAB"/>
    <w:rsid w:val="00BC50E5"/>
    <w:rsid w:val="00BC5110"/>
    <w:rsid w:val="00BC54CF"/>
    <w:rsid w:val="00BC55CC"/>
    <w:rsid w:val="00BC5661"/>
    <w:rsid w:val="00BC586C"/>
    <w:rsid w:val="00BC5C3F"/>
    <w:rsid w:val="00BC5CD5"/>
    <w:rsid w:val="00BC629F"/>
    <w:rsid w:val="00BC650D"/>
    <w:rsid w:val="00BC6709"/>
    <w:rsid w:val="00BC6776"/>
    <w:rsid w:val="00BC68BB"/>
    <w:rsid w:val="00BC7050"/>
    <w:rsid w:val="00BC707F"/>
    <w:rsid w:val="00BC71B2"/>
    <w:rsid w:val="00BC71D2"/>
    <w:rsid w:val="00BC720F"/>
    <w:rsid w:val="00BC726F"/>
    <w:rsid w:val="00BC7B34"/>
    <w:rsid w:val="00BC7C97"/>
    <w:rsid w:val="00BD006A"/>
    <w:rsid w:val="00BD012A"/>
    <w:rsid w:val="00BD154B"/>
    <w:rsid w:val="00BD1B09"/>
    <w:rsid w:val="00BD1BB7"/>
    <w:rsid w:val="00BD1F8B"/>
    <w:rsid w:val="00BD1F98"/>
    <w:rsid w:val="00BD202B"/>
    <w:rsid w:val="00BD20E7"/>
    <w:rsid w:val="00BD26ED"/>
    <w:rsid w:val="00BD2A49"/>
    <w:rsid w:val="00BD2ED8"/>
    <w:rsid w:val="00BD3338"/>
    <w:rsid w:val="00BD3954"/>
    <w:rsid w:val="00BD3A50"/>
    <w:rsid w:val="00BD3DF5"/>
    <w:rsid w:val="00BD4615"/>
    <w:rsid w:val="00BD46F3"/>
    <w:rsid w:val="00BD4B1E"/>
    <w:rsid w:val="00BD4BCC"/>
    <w:rsid w:val="00BD5332"/>
    <w:rsid w:val="00BD604B"/>
    <w:rsid w:val="00BD60A0"/>
    <w:rsid w:val="00BD6183"/>
    <w:rsid w:val="00BD6591"/>
    <w:rsid w:val="00BD659D"/>
    <w:rsid w:val="00BD6D2D"/>
    <w:rsid w:val="00BD6DF6"/>
    <w:rsid w:val="00BD737B"/>
    <w:rsid w:val="00BD7999"/>
    <w:rsid w:val="00BD7AB6"/>
    <w:rsid w:val="00BD7D14"/>
    <w:rsid w:val="00BD7DE3"/>
    <w:rsid w:val="00BE00C9"/>
    <w:rsid w:val="00BE010F"/>
    <w:rsid w:val="00BE0906"/>
    <w:rsid w:val="00BE0B40"/>
    <w:rsid w:val="00BE180F"/>
    <w:rsid w:val="00BE1B91"/>
    <w:rsid w:val="00BE1EBC"/>
    <w:rsid w:val="00BE21D1"/>
    <w:rsid w:val="00BE223F"/>
    <w:rsid w:val="00BE23EF"/>
    <w:rsid w:val="00BE2565"/>
    <w:rsid w:val="00BE25F2"/>
    <w:rsid w:val="00BE2BFC"/>
    <w:rsid w:val="00BE2D2E"/>
    <w:rsid w:val="00BE2EEF"/>
    <w:rsid w:val="00BE3041"/>
    <w:rsid w:val="00BE3B9C"/>
    <w:rsid w:val="00BE3E56"/>
    <w:rsid w:val="00BE3F5E"/>
    <w:rsid w:val="00BE45EE"/>
    <w:rsid w:val="00BE4764"/>
    <w:rsid w:val="00BE4EB9"/>
    <w:rsid w:val="00BE502D"/>
    <w:rsid w:val="00BE53FF"/>
    <w:rsid w:val="00BE5571"/>
    <w:rsid w:val="00BE57DB"/>
    <w:rsid w:val="00BE67D3"/>
    <w:rsid w:val="00BE6C76"/>
    <w:rsid w:val="00BE6E8C"/>
    <w:rsid w:val="00BE7596"/>
    <w:rsid w:val="00BE7681"/>
    <w:rsid w:val="00BE78B9"/>
    <w:rsid w:val="00BE7E9E"/>
    <w:rsid w:val="00BF02F3"/>
    <w:rsid w:val="00BF0518"/>
    <w:rsid w:val="00BF0E98"/>
    <w:rsid w:val="00BF0F00"/>
    <w:rsid w:val="00BF1466"/>
    <w:rsid w:val="00BF178F"/>
    <w:rsid w:val="00BF1A35"/>
    <w:rsid w:val="00BF1CCE"/>
    <w:rsid w:val="00BF1E82"/>
    <w:rsid w:val="00BF2045"/>
    <w:rsid w:val="00BF2E71"/>
    <w:rsid w:val="00BF3335"/>
    <w:rsid w:val="00BF3340"/>
    <w:rsid w:val="00BF33FD"/>
    <w:rsid w:val="00BF386B"/>
    <w:rsid w:val="00BF3B2C"/>
    <w:rsid w:val="00BF3E55"/>
    <w:rsid w:val="00BF42B9"/>
    <w:rsid w:val="00BF4654"/>
    <w:rsid w:val="00BF47D6"/>
    <w:rsid w:val="00BF4816"/>
    <w:rsid w:val="00BF491F"/>
    <w:rsid w:val="00BF49C5"/>
    <w:rsid w:val="00BF4DA3"/>
    <w:rsid w:val="00BF4E96"/>
    <w:rsid w:val="00BF4FF6"/>
    <w:rsid w:val="00BF5528"/>
    <w:rsid w:val="00BF5569"/>
    <w:rsid w:val="00BF6052"/>
    <w:rsid w:val="00BF6098"/>
    <w:rsid w:val="00BF60FC"/>
    <w:rsid w:val="00BF643B"/>
    <w:rsid w:val="00BF6873"/>
    <w:rsid w:val="00BF69A5"/>
    <w:rsid w:val="00BF6CBD"/>
    <w:rsid w:val="00BF6E5C"/>
    <w:rsid w:val="00BF6FF1"/>
    <w:rsid w:val="00BF701C"/>
    <w:rsid w:val="00BF72AB"/>
    <w:rsid w:val="00BF72B5"/>
    <w:rsid w:val="00BF7497"/>
    <w:rsid w:val="00BF770E"/>
    <w:rsid w:val="00BF7BC9"/>
    <w:rsid w:val="00BF7F78"/>
    <w:rsid w:val="00C00552"/>
    <w:rsid w:val="00C00891"/>
    <w:rsid w:val="00C00D48"/>
    <w:rsid w:val="00C0100F"/>
    <w:rsid w:val="00C01F38"/>
    <w:rsid w:val="00C02147"/>
    <w:rsid w:val="00C0216B"/>
    <w:rsid w:val="00C021AE"/>
    <w:rsid w:val="00C0255B"/>
    <w:rsid w:val="00C028E8"/>
    <w:rsid w:val="00C02A94"/>
    <w:rsid w:val="00C02CC5"/>
    <w:rsid w:val="00C02E9B"/>
    <w:rsid w:val="00C0326B"/>
    <w:rsid w:val="00C0342E"/>
    <w:rsid w:val="00C0351A"/>
    <w:rsid w:val="00C03804"/>
    <w:rsid w:val="00C03B71"/>
    <w:rsid w:val="00C03C44"/>
    <w:rsid w:val="00C04231"/>
    <w:rsid w:val="00C043C9"/>
    <w:rsid w:val="00C044D6"/>
    <w:rsid w:val="00C046A0"/>
    <w:rsid w:val="00C04927"/>
    <w:rsid w:val="00C04A07"/>
    <w:rsid w:val="00C052FF"/>
    <w:rsid w:val="00C0535A"/>
    <w:rsid w:val="00C055F4"/>
    <w:rsid w:val="00C05818"/>
    <w:rsid w:val="00C06951"/>
    <w:rsid w:val="00C07342"/>
    <w:rsid w:val="00C07553"/>
    <w:rsid w:val="00C07DCB"/>
    <w:rsid w:val="00C10831"/>
    <w:rsid w:val="00C10F01"/>
    <w:rsid w:val="00C11047"/>
    <w:rsid w:val="00C111A1"/>
    <w:rsid w:val="00C1176D"/>
    <w:rsid w:val="00C11A09"/>
    <w:rsid w:val="00C12105"/>
    <w:rsid w:val="00C125F5"/>
    <w:rsid w:val="00C126B6"/>
    <w:rsid w:val="00C126CB"/>
    <w:rsid w:val="00C12942"/>
    <w:rsid w:val="00C129DE"/>
    <w:rsid w:val="00C12ACC"/>
    <w:rsid w:val="00C12DCE"/>
    <w:rsid w:val="00C13031"/>
    <w:rsid w:val="00C136F2"/>
    <w:rsid w:val="00C13734"/>
    <w:rsid w:val="00C13D56"/>
    <w:rsid w:val="00C140E0"/>
    <w:rsid w:val="00C1434A"/>
    <w:rsid w:val="00C147AC"/>
    <w:rsid w:val="00C1537A"/>
    <w:rsid w:val="00C1548A"/>
    <w:rsid w:val="00C15677"/>
    <w:rsid w:val="00C15FB8"/>
    <w:rsid w:val="00C15FBE"/>
    <w:rsid w:val="00C16468"/>
    <w:rsid w:val="00C16672"/>
    <w:rsid w:val="00C168B2"/>
    <w:rsid w:val="00C16B84"/>
    <w:rsid w:val="00C16CF1"/>
    <w:rsid w:val="00C1704E"/>
    <w:rsid w:val="00C171A3"/>
    <w:rsid w:val="00C17233"/>
    <w:rsid w:val="00C17453"/>
    <w:rsid w:val="00C175F2"/>
    <w:rsid w:val="00C17942"/>
    <w:rsid w:val="00C1795B"/>
    <w:rsid w:val="00C179C4"/>
    <w:rsid w:val="00C179E6"/>
    <w:rsid w:val="00C17C40"/>
    <w:rsid w:val="00C17CE1"/>
    <w:rsid w:val="00C20097"/>
    <w:rsid w:val="00C20158"/>
    <w:rsid w:val="00C20369"/>
    <w:rsid w:val="00C20CBA"/>
    <w:rsid w:val="00C20CEC"/>
    <w:rsid w:val="00C20DA3"/>
    <w:rsid w:val="00C20DAE"/>
    <w:rsid w:val="00C20E20"/>
    <w:rsid w:val="00C210C2"/>
    <w:rsid w:val="00C21146"/>
    <w:rsid w:val="00C212DD"/>
    <w:rsid w:val="00C215AA"/>
    <w:rsid w:val="00C21775"/>
    <w:rsid w:val="00C21784"/>
    <w:rsid w:val="00C21E30"/>
    <w:rsid w:val="00C22278"/>
    <w:rsid w:val="00C22325"/>
    <w:rsid w:val="00C2245D"/>
    <w:rsid w:val="00C22701"/>
    <w:rsid w:val="00C2283E"/>
    <w:rsid w:val="00C22EEC"/>
    <w:rsid w:val="00C23006"/>
    <w:rsid w:val="00C23090"/>
    <w:rsid w:val="00C2333D"/>
    <w:rsid w:val="00C23713"/>
    <w:rsid w:val="00C237EE"/>
    <w:rsid w:val="00C23B06"/>
    <w:rsid w:val="00C23E99"/>
    <w:rsid w:val="00C2404A"/>
    <w:rsid w:val="00C24160"/>
    <w:rsid w:val="00C244D8"/>
    <w:rsid w:val="00C246D6"/>
    <w:rsid w:val="00C24D06"/>
    <w:rsid w:val="00C24FF7"/>
    <w:rsid w:val="00C251E6"/>
    <w:rsid w:val="00C25316"/>
    <w:rsid w:val="00C25F3D"/>
    <w:rsid w:val="00C25F7F"/>
    <w:rsid w:val="00C26493"/>
    <w:rsid w:val="00C269F2"/>
    <w:rsid w:val="00C26B77"/>
    <w:rsid w:val="00C26BB6"/>
    <w:rsid w:val="00C27466"/>
    <w:rsid w:val="00C27697"/>
    <w:rsid w:val="00C27C9F"/>
    <w:rsid w:val="00C30A93"/>
    <w:rsid w:val="00C30ABC"/>
    <w:rsid w:val="00C30B7F"/>
    <w:rsid w:val="00C31109"/>
    <w:rsid w:val="00C31760"/>
    <w:rsid w:val="00C31EE5"/>
    <w:rsid w:val="00C320F2"/>
    <w:rsid w:val="00C322C9"/>
    <w:rsid w:val="00C322E5"/>
    <w:rsid w:val="00C3248F"/>
    <w:rsid w:val="00C32E68"/>
    <w:rsid w:val="00C3312E"/>
    <w:rsid w:val="00C3348B"/>
    <w:rsid w:val="00C33749"/>
    <w:rsid w:val="00C33797"/>
    <w:rsid w:val="00C33B9A"/>
    <w:rsid w:val="00C345B5"/>
    <w:rsid w:val="00C3474B"/>
    <w:rsid w:val="00C34A6C"/>
    <w:rsid w:val="00C34AAE"/>
    <w:rsid w:val="00C34B7B"/>
    <w:rsid w:val="00C353BB"/>
    <w:rsid w:val="00C353D3"/>
    <w:rsid w:val="00C3547E"/>
    <w:rsid w:val="00C358B7"/>
    <w:rsid w:val="00C35AC4"/>
    <w:rsid w:val="00C35B04"/>
    <w:rsid w:val="00C35B58"/>
    <w:rsid w:val="00C35E80"/>
    <w:rsid w:val="00C35FA6"/>
    <w:rsid w:val="00C3635F"/>
    <w:rsid w:val="00C364C5"/>
    <w:rsid w:val="00C366E0"/>
    <w:rsid w:val="00C36739"/>
    <w:rsid w:val="00C368B9"/>
    <w:rsid w:val="00C36B36"/>
    <w:rsid w:val="00C36F1C"/>
    <w:rsid w:val="00C37A99"/>
    <w:rsid w:val="00C37F12"/>
    <w:rsid w:val="00C37F2D"/>
    <w:rsid w:val="00C400D0"/>
    <w:rsid w:val="00C40489"/>
    <w:rsid w:val="00C409F6"/>
    <w:rsid w:val="00C40D00"/>
    <w:rsid w:val="00C40E08"/>
    <w:rsid w:val="00C41190"/>
    <w:rsid w:val="00C414A0"/>
    <w:rsid w:val="00C4160D"/>
    <w:rsid w:val="00C41B5C"/>
    <w:rsid w:val="00C41C47"/>
    <w:rsid w:val="00C42284"/>
    <w:rsid w:val="00C427B5"/>
    <w:rsid w:val="00C42A1F"/>
    <w:rsid w:val="00C42B0F"/>
    <w:rsid w:val="00C42B2F"/>
    <w:rsid w:val="00C42C3F"/>
    <w:rsid w:val="00C42F09"/>
    <w:rsid w:val="00C43293"/>
    <w:rsid w:val="00C43A0A"/>
    <w:rsid w:val="00C43B99"/>
    <w:rsid w:val="00C43BFE"/>
    <w:rsid w:val="00C43DE6"/>
    <w:rsid w:val="00C44018"/>
    <w:rsid w:val="00C442B6"/>
    <w:rsid w:val="00C449DE"/>
    <w:rsid w:val="00C44ABB"/>
    <w:rsid w:val="00C44EEF"/>
    <w:rsid w:val="00C45077"/>
    <w:rsid w:val="00C4509C"/>
    <w:rsid w:val="00C45421"/>
    <w:rsid w:val="00C454D4"/>
    <w:rsid w:val="00C45545"/>
    <w:rsid w:val="00C45B73"/>
    <w:rsid w:val="00C45C2F"/>
    <w:rsid w:val="00C45F38"/>
    <w:rsid w:val="00C4608B"/>
    <w:rsid w:val="00C4624E"/>
    <w:rsid w:val="00C468D5"/>
    <w:rsid w:val="00C46AF2"/>
    <w:rsid w:val="00C46C1A"/>
    <w:rsid w:val="00C46EB8"/>
    <w:rsid w:val="00C47193"/>
    <w:rsid w:val="00C471B9"/>
    <w:rsid w:val="00C477AE"/>
    <w:rsid w:val="00C47993"/>
    <w:rsid w:val="00C47C63"/>
    <w:rsid w:val="00C50262"/>
    <w:rsid w:val="00C50694"/>
    <w:rsid w:val="00C508C5"/>
    <w:rsid w:val="00C50AB2"/>
    <w:rsid w:val="00C50C30"/>
    <w:rsid w:val="00C510E8"/>
    <w:rsid w:val="00C513A8"/>
    <w:rsid w:val="00C5172F"/>
    <w:rsid w:val="00C51B4B"/>
    <w:rsid w:val="00C51DB6"/>
    <w:rsid w:val="00C51FDE"/>
    <w:rsid w:val="00C52079"/>
    <w:rsid w:val="00C5267B"/>
    <w:rsid w:val="00C527E5"/>
    <w:rsid w:val="00C52D3A"/>
    <w:rsid w:val="00C5343B"/>
    <w:rsid w:val="00C53460"/>
    <w:rsid w:val="00C53477"/>
    <w:rsid w:val="00C5391F"/>
    <w:rsid w:val="00C5393E"/>
    <w:rsid w:val="00C53977"/>
    <w:rsid w:val="00C53CAE"/>
    <w:rsid w:val="00C53DCD"/>
    <w:rsid w:val="00C54070"/>
    <w:rsid w:val="00C545D9"/>
    <w:rsid w:val="00C54641"/>
    <w:rsid w:val="00C54BEA"/>
    <w:rsid w:val="00C54D15"/>
    <w:rsid w:val="00C55629"/>
    <w:rsid w:val="00C55BEB"/>
    <w:rsid w:val="00C564CB"/>
    <w:rsid w:val="00C5698E"/>
    <w:rsid w:val="00C56C9D"/>
    <w:rsid w:val="00C56CE0"/>
    <w:rsid w:val="00C5710C"/>
    <w:rsid w:val="00C572DE"/>
    <w:rsid w:val="00C57377"/>
    <w:rsid w:val="00C574BF"/>
    <w:rsid w:val="00C5758D"/>
    <w:rsid w:val="00C575D8"/>
    <w:rsid w:val="00C5763C"/>
    <w:rsid w:val="00C5784D"/>
    <w:rsid w:val="00C602B9"/>
    <w:rsid w:val="00C60342"/>
    <w:rsid w:val="00C604D4"/>
    <w:rsid w:val="00C604DC"/>
    <w:rsid w:val="00C609ED"/>
    <w:rsid w:val="00C60B8C"/>
    <w:rsid w:val="00C60BCA"/>
    <w:rsid w:val="00C60CD5"/>
    <w:rsid w:val="00C610A7"/>
    <w:rsid w:val="00C6163F"/>
    <w:rsid w:val="00C61A7C"/>
    <w:rsid w:val="00C61F65"/>
    <w:rsid w:val="00C6231D"/>
    <w:rsid w:val="00C62D57"/>
    <w:rsid w:val="00C63094"/>
    <w:rsid w:val="00C635F3"/>
    <w:rsid w:val="00C637EF"/>
    <w:rsid w:val="00C638DD"/>
    <w:rsid w:val="00C63F92"/>
    <w:rsid w:val="00C646DB"/>
    <w:rsid w:val="00C64FA6"/>
    <w:rsid w:val="00C64FBF"/>
    <w:rsid w:val="00C6531B"/>
    <w:rsid w:val="00C65505"/>
    <w:rsid w:val="00C656B5"/>
    <w:rsid w:val="00C65930"/>
    <w:rsid w:val="00C65A63"/>
    <w:rsid w:val="00C65A82"/>
    <w:rsid w:val="00C65A98"/>
    <w:rsid w:val="00C65FBD"/>
    <w:rsid w:val="00C6697E"/>
    <w:rsid w:val="00C67146"/>
    <w:rsid w:val="00C67501"/>
    <w:rsid w:val="00C67758"/>
    <w:rsid w:val="00C67AAB"/>
    <w:rsid w:val="00C70082"/>
    <w:rsid w:val="00C70250"/>
    <w:rsid w:val="00C704A4"/>
    <w:rsid w:val="00C707EA"/>
    <w:rsid w:val="00C707FA"/>
    <w:rsid w:val="00C70A5C"/>
    <w:rsid w:val="00C70BC8"/>
    <w:rsid w:val="00C70BFA"/>
    <w:rsid w:val="00C70C0D"/>
    <w:rsid w:val="00C7192B"/>
    <w:rsid w:val="00C71CC7"/>
    <w:rsid w:val="00C72141"/>
    <w:rsid w:val="00C7241B"/>
    <w:rsid w:val="00C72554"/>
    <w:rsid w:val="00C7255A"/>
    <w:rsid w:val="00C72B92"/>
    <w:rsid w:val="00C7305F"/>
    <w:rsid w:val="00C7325E"/>
    <w:rsid w:val="00C735B9"/>
    <w:rsid w:val="00C73C46"/>
    <w:rsid w:val="00C7452A"/>
    <w:rsid w:val="00C749C9"/>
    <w:rsid w:val="00C74C29"/>
    <w:rsid w:val="00C74FDA"/>
    <w:rsid w:val="00C75518"/>
    <w:rsid w:val="00C75896"/>
    <w:rsid w:val="00C768B8"/>
    <w:rsid w:val="00C76EAE"/>
    <w:rsid w:val="00C7714F"/>
    <w:rsid w:val="00C77152"/>
    <w:rsid w:val="00C77366"/>
    <w:rsid w:val="00C77627"/>
    <w:rsid w:val="00C77A33"/>
    <w:rsid w:val="00C77B1D"/>
    <w:rsid w:val="00C77FA9"/>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400"/>
    <w:rsid w:val="00C84C56"/>
    <w:rsid w:val="00C84E78"/>
    <w:rsid w:val="00C85774"/>
    <w:rsid w:val="00C85A2E"/>
    <w:rsid w:val="00C861A6"/>
    <w:rsid w:val="00C862BB"/>
    <w:rsid w:val="00C8656D"/>
    <w:rsid w:val="00C8670F"/>
    <w:rsid w:val="00C868D8"/>
    <w:rsid w:val="00C86CC9"/>
    <w:rsid w:val="00C86FD9"/>
    <w:rsid w:val="00C8717D"/>
    <w:rsid w:val="00C872BB"/>
    <w:rsid w:val="00C872E1"/>
    <w:rsid w:val="00C876B2"/>
    <w:rsid w:val="00C87A3F"/>
    <w:rsid w:val="00C87B97"/>
    <w:rsid w:val="00C90135"/>
    <w:rsid w:val="00C90189"/>
    <w:rsid w:val="00C90337"/>
    <w:rsid w:val="00C904D6"/>
    <w:rsid w:val="00C905C7"/>
    <w:rsid w:val="00C91A09"/>
    <w:rsid w:val="00C91A7B"/>
    <w:rsid w:val="00C91F63"/>
    <w:rsid w:val="00C92804"/>
    <w:rsid w:val="00C92CCE"/>
    <w:rsid w:val="00C9320F"/>
    <w:rsid w:val="00C93A92"/>
    <w:rsid w:val="00C93ADA"/>
    <w:rsid w:val="00C93DAF"/>
    <w:rsid w:val="00C93EFA"/>
    <w:rsid w:val="00C9412E"/>
    <w:rsid w:val="00C94657"/>
    <w:rsid w:val="00C94955"/>
    <w:rsid w:val="00C94AE9"/>
    <w:rsid w:val="00C950E1"/>
    <w:rsid w:val="00C9516E"/>
    <w:rsid w:val="00C9544C"/>
    <w:rsid w:val="00C95668"/>
    <w:rsid w:val="00C95800"/>
    <w:rsid w:val="00C959DF"/>
    <w:rsid w:val="00C95AE1"/>
    <w:rsid w:val="00C95B42"/>
    <w:rsid w:val="00C95EBC"/>
    <w:rsid w:val="00C964FD"/>
    <w:rsid w:val="00C9659D"/>
    <w:rsid w:val="00C965B2"/>
    <w:rsid w:val="00C96C86"/>
    <w:rsid w:val="00C96DF2"/>
    <w:rsid w:val="00C97183"/>
    <w:rsid w:val="00C97427"/>
    <w:rsid w:val="00C979C5"/>
    <w:rsid w:val="00C97F8D"/>
    <w:rsid w:val="00CA00D8"/>
    <w:rsid w:val="00CA0157"/>
    <w:rsid w:val="00CA047F"/>
    <w:rsid w:val="00CA05B3"/>
    <w:rsid w:val="00CA0A11"/>
    <w:rsid w:val="00CA0DB9"/>
    <w:rsid w:val="00CA10B1"/>
    <w:rsid w:val="00CA148B"/>
    <w:rsid w:val="00CA1A6A"/>
    <w:rsid w:val="00CA1DD8"/>
    <w:rsid w:val="00CA202C"/>
    <w:rsid w:val="00CA2264"/>
    <w:rsid w:val="00CA2374"/>
    <w:rsid w:val="00CA2A90"/>
    <w:rsid w:val="00CA2AFC"/>
    <w:rsid w:val="00CA2C80"/>
    <w:rsid w:val="00CA2E2B"/>
    <w:rsid w:val="00CA2F8A"/>
    <w:rsid w:val="00CA383E"/>
    <w:rsid w:val="00CA39FD"/>
    <w:rsid w:val="00CA3BE7"/>
    <w:rsid w:val="00CA3F97"/>
    <w:rsid w:val="00CA3FF1"/>
    <w:rsid w:val="00CA467D"/>
    <w:rsid w:val="00CA47C7"/>
    <w:rsid w:val="00CA4CD9"/>
    <w:rsid w:val="00CA4D54"/>
    <w:rsid w:val="00CA4D76"/>
    <w:rsid w:val="00CA4F92"/>
    <w:rsid w:val="00CA4FD1"/>
    <w:rsid w:val="00CA5133"/>
    <w:rsid w:val="00CA550F"/>
    <w:rsid w:val="00CA5666"/>
    <w:rsid w:val="00CA5BB7"/>
    <w:rsid w:val="00CA7297"/>
    <w:rsid w:val="00CA796E"/>
    <w:rsid w:val="00CA7A89"/>
    <w:rsid w:val="00CA7CD5"/>
    <w:rsid w:val="00CA7E99"/>
    <w:rsid w:val="00CB017E"/>
    <w:rsid w:val="00CB0AAA"/>
    <w:rsid w:val="00CB0EAA"/>
    <w:rsid w:val="00CB12EE"/>
    <w:rsid w:val="00CB187C"/>
    <w:rsid w:val="00CB1935"/>
    <w:rsid w:val="00CB1DC2"/>
    <w:rsid w:val="00CB1EDC"/>
    <w:rsid w:val="00CB217A"/>
    <w:rsid w:val="00CB2680"/>
    <w:rsid w:val="00CB3139"/>
    <w:rsid w:val="00CB3248"/>
    <w:rsid w:val="00CB3284"/>
    <w:rsid w:val="00CB35A0"/>
    <w:rsid w:val="00CB3756"/>
    <w:rsid w:val="00CB3C23"/>
    <w:rsid w:val="00CB3E76"/>
    <w:rsid w:val="00CB4273"/>
    <w:rsid w:val="00CB477D"/>
    <w:rsid w:val="00CB4A37"/>
    <w:rsid w:val="00CB4DFE"/>
    <w:rsid w:val="00CB50D4"/>
    <w:rsid w:val="00CB567B"/>
    <w:rsid w:val="00CB5EBF"/>
    <w:rsid w:val="00CB5FB2"/>
    <w:rsid w:val="00CB606B"/>
    <w:rsid w:val="00CB60BC"/>
    <w:rsid w:val="00CB63D6"/>
    <w:rsid w:val="00CB6417"/>
    <w:rsid w:val="00CB68F4"/>
    <w:rsid w:val="00CB6A1F"/>
    <w:rsid w:val="00CB6A51"/>
    <w:rsid w:val="00CB6DC2"/>
    <w:rsid w:val="00CB71EB"/>
    <w:rsid w:val="00CB75E1"/>
    <w:rsid w:val="00CB7D73"/>
    <w:rsid w:val="00CB7DA8"/>
    <w:rsid w:val="00CB7E15"/>
    <w:rsid w:val="00CC028B"/>
    <w:rsid w:val="00CC05C4"/>
    <w:rsid w:val="00CC063C"/>
    <w:rsid w:val="00CC0763"/>
    <w:rsid w:val="00CC0B03"/>
    <w:rsid w:val="00CC1071"/>
    <w:rsid w:val="00CC10F9"/>
    <w:rsid w:val="00CC1155"/>
    <w:rsid w:val="00CC11DD"/>
    <w:rsid w:val="00CC12A1"/>
    <w:rsid w:val="00CC1469"/>
    <w:rsid w:val="00CC1C1A"/>
    <w:rsid w:val="00CC1D82"/>
    <w:rsid w:val="00CC296B"/>
    <w:rsid w:val="00CC2E51"/>
    <w:rsid w:val="00CC2E9D"/>
    <w:rsid w:val="00CC342D"/>
    <w:rsid w:val="00CC369B"/>
    <w:rsid w:val="00CC37A4"/>
    <w:rsid w:val="00CC41DD"/>
    <w:rsid w:val="00CC46AA"/>
    <w:rsid w:val="00CC4A40"/>
    <w:rsid w:val="00CC4B60"/>
    <w:rsid w:val="00CC4D5B"/>
    <w:rsid w:val="00CC5665"/>
    <w:rsid w:val="00CC5710"/>
    <w:rsid w:val="00CC5A69"/>
    <w:rsid w:val="00CC6682"/>
    <w:rsid w:val="00CC6977"/>
    <w:rsid w:val="00CC6C7B"/>
    <w:rsid w:val="00CC71AB"/>
    <w:rsid w:val="00CC7402"/>
    <w:rsid w:val="00CC7C47"/>
    <w:rsid w:val="00CD0D77"/>
    <w:rsid w:val="00CD0FB3"/>
    <w:rsid w:val="00CD139C"/>
    <w:rsid w:val="00CD1B95"/>
    <w:rsid w:val="00CD1BDF"/>
    <w:rsid w:val="00CD1E04"/>
    <w:rsid w:val="00CD25F6"/>
    <w:rsid w:val="00CD2A0D"/>
    <w:rsid w:val="00CD2B5B"/>
    <w:rsid w:val="00CD3593"/>
    <w:rsid w:val="00CD3604"/>
    <w:rsid w:val="00CD3909"/>
    <w:rsid w:val="00CD3AAA"/>
    <w:rsid w:val="00CD435D"/>
    <w:rsid w:val="00CD498F"/>
    <w:rsid w:val="00CD4B8D"/>
    <w:rsid w:val="00CD4BB1"/>
    <w:rsid w:val="00CD4EB7"/>
    <w:rsid w:val="00CD5175"/>
    <w:rsid w:val="00CD550C"/>
    <w:rsid w:val="00CD5CB0"/>
    <w:rsid w:val="00CD5E5D"/>
    <w:rsid w:val="00CD623B"/>
    <w:rsid w:val="00CD62C6"/>
    <w:rsid w:val="00CD6440"/>
    <w:rsid w:val="00CD65E9"/>
    <w:rsid w:val="00CD685F"/>
    <w:rsid w:val="00CD68D0"/>
    <w:rsid w:val="00CD6BD0"/>
    <w:rsid w:val="00CD6F3E"/>
    <w:rsid w:val="00CD77EA"/>
    <w:rsid w:val="00CE09C2"/>
    <w:rsid w:val="00CE0A59"/>
    <w:rsid w:val="00CE0A95"/>
    <w:rsid w:val="00CE0CE4"/>
    <w:rsid w:val="00CE0D8E"/>
    <w:rsid w:val="00CE0D8F"/>
    <w:rsid w:val="00CE0E56"/>
    <w:rsid w:val="00CE10A4"/>
    <w:rsid w:val="00CE17DD"/>
    <w:rsid w:val="00CE1A52"/>
    <w:rsid w:val="00CE1BEC"/>
    <w:rsid w:val="00CE1F85"/>
    <w:rsid w:val="00CE1FF3"/>
    <w:rsid w:val="00CE212B"/>
    <w:rsid w:val="00CE219F"/>
    <w:rsid w:val="00CE22BE"/>
    <w:rsid w:val="00CE2448"/>
    <w:rsid w:val="00CE2FF0"/>
    <w:rsid w:val="00CE32C6"/>
    <w:rsid w:val="00CE3322"/>
    <w:rsid w:val="00CE3773"/>
    <w:rsid w:val="00CE420A"/>
    <w:rsid w:val="00CE4780"/>
    <w:rsid w:val="00CE5087"/>
    <w:rsid w:val="00CE520F"/>
    <w:rsid w:val="00CE5938"/>
    <w:rsid w:val="00CE5BC9"/>
    <w:rsid w:val="00CE6922"/>
    <w:rsid w:val="00CE720B"/>
    <w:rsid w:val="00CE72A6"/>
    <w:rsid w:val="00CE7505"/>
    <w:rsid w:val="00CE7642"/>
    <w:rsid w:val="00CE7927"/>
    <w:rsid w:val="00CE7FCD"/>
    <w:rsid w:val="00CF05D5"/>
    <w:rsid w:val="00CF0E55"/>
    <w:rsid w:val="00CF0FBD"/>
    <w:rsid w:val="00CF17A6"/>
    <w:rsid w:val="00CF18D2"/>
    <w:rsid w:val="00CF1941"/>
    <w:rsid w:val="00CF263B"/>
    <w:rsid w:val="00CF2783"/>
    <w:rsid w:val="00CF294E"/>
    <w:rsid w:val="00CF29B6"/>
    <w:rsid w:val="00CF2A1A"/>
    <w:rsid w:val="00CF2ACE"/>
    <w:rsid w:val="00CF2C34"/>
    <w:rsid w:val="00CF3446"/>
    <w:rsid w:val="00CF3458"/>
    <w:rsid w:val="00CF3507"/>
    <w:rsid w:val="00CF3526"/>
    <w:rsid w:val="00CF3E86"/>
    <w:rsid w:val="00CF3E93"/>
    <w:rsid w:val="00CF5012"/>
    <w:rsid w:val="00CF5AA9"/>
    <w:rsid w:val="00CF5E6F"/>
    <w:rsid w:val="00CF692D"/>
    <w:rsid w:val="00CF6AF0"/>
    <w:rsid w:val="00CF6B9C"/>
    <w:rsid w:val="00CF6BD3"/>
    <w:rsid w:val="00CF6FBD"/>
    <w:rsid w:val="00CF7110"/>
    <w:rsid w:val="00CF7220"/>
    <w:rsid w:val="00CF722A"/>
    <w:rsid w:val="00CF739C"/>
    <w:rsid w:val="00CF7630"/>
    <w:rsid w:val="00CF7788"/>
    <w:rsid w:val="00CF7BBE"/>
    <w:rsid w:val="00D00891"/>
    <w:rsid w:val="00D00C14"/>
    <w:rsid w:val="00D00D39"/>
    <w:rsid w:val="00D00D87"/>
    <w:rsid w:val="00D0155A"/>
    <w:rsid w:val="00D018AA"/>
    <w:rsid w:val="00D01907"/>
    <w:rsid w:val="00D01E24"/>
    <w:rsid w:val="00D01FC0"/>
    <w:rsid w:val="00D02619"/>
    <w:rsid w:val="00D027CA"/>
    <w:rsid w:val="00D02945"/>
    <w:rsid w:val="00D02B57"/>
    <w:rsid w:val="00D02C0B"/>
    <w:rsid w:val="00D02CE3"/>
    <w:rsid w:val="00D032E1"/>
    <w:rsid w:val="00D033A4"/>
    <w:rsid w:val="00D036D7"/>
    <w:rsid w:val="00D03AEC"/>
    <w:rsid w:val="00D04478"/>
    <w:rsid w:val="00D04546"/>
    <w:rsid w:val="00D046B5"/>
    <w:rsid w:val="00D04A4E"/>
    <w:rsid w:val="00D04AE8"/>
    <w:rsid w:val="00D052AB"/>
    <w:rsid w:val="00D0533D"/>
    <w:rsid w:val="00D054A7"/>
    <w:rsid w:val="00D054DD"/>
    <w:rsid w:val="00D05608"/>
    <w:rsid w:val="00D05646"/>
    <w:rsid w:val="00D05800"/>
    <w:rsid w:val="00D05BF2"/>
    <w:rsid w:val="00D05C53"/>
    <w:rsid w:val="00D061B4"/>
    <w:rsid w:val="00D0637F"/>
    <w:rsid w:val="00D0662D"/>
    <w:rsid w:val="00D06785"/>
    <w:rsid w:val="00D067B0"/>
    <w:rsid w:val="00D06E3A"/>
    <w:rsid w:val="00D07498"/>
    <w:rsid w:val="00D076BB"/>
    <w:rsid w:val="00D077F3"/>
    <w:rsid w:val="00D079B6"/>
    <w:rsid w:val="00D07C23"/>
    <w:rsid w:val="00D07C57"/>
    <w:rsid w:val="00D10061"/>
    <w:rsid w:val="00D104DD"/>
    <w:rsid w:val="00D104E3"/>
    <w:rsid w:val="00D105E1"/>
    <w:rsid w:val="00D1089C"/>
    <w:rsid w:val="00D10A4D"/>
    <w:rsid w:val="00D10BE4"/>
    <w:rsid w:val="00D10C04"/>
    <w:rsid w:val="00D10C50"/>
    <w:rsid w:val="00D11029"/>
    <w:rsid w:val="00D11254"/>
    <w:rsid w:val="00D11557"/>
    <w:rsid w:val="00D11784"/>
    <w:rsid w:val="00D11C2D"/>
    <w:rsid w:val="00D120DA"/>
    <w:rsid w:val="00D121FA"/>
    <w:rsid w:val="00D1272F"/>
    <w:rsid w:val="00D12B98"/>
    <w:rsid w:val="00D12D1E"/>
    <w:rsid w:val="00D12F5C"/>
    <w:rsid w:val="00D12FC5"/>
    <w:rsid w:val="00D13021"/>
    <w:rsid w:val="00D13AD2"/>
    <w:rsid w:val="00D13B7E"/>
    <w:rsid w:val="00D13B91"/>
    <w:rsid w:val="00D13E64"/>
    <w:rsid w:val="00D13EB6"/>
    <w:rsid w:val="00D13FFE"/>
    <w:rsid w:val="00D14B98"/>
    <w:rsid w:val="00D14F87"/>
    <w:rsid w:val="00D1526E"/>
    <w:rsid w:val="00D158D8"/>
    <w:rsid w:val="00D15DD9"/>
    <w:rsid w:val="00D160B8"/>
    <w:rsid w:val="00D164A3"/>
    <w:rsid w:val="00D165C4"/>
    <w:rsid w:val="00D166DA"/>
    <w:rsid w:val="00D16C91"/>
    <w:rsid w:val="00D16EAF"/>
    <w:rsid w:val="00D170CB"/>
    <w:rsid w:val="00D1712F"/>
    <w:rsid w:val="00D171B2"/>
    <w:rsid w:val="00D174FE"/>
    <w:rsid w:val="00D1754C"/>
    <w:rsid w:val="00D1763A"/>
    <w:rsid w:val="00D1786F"/>
    <w:rsid w:val="00D17A79"/>
    <w:rsid w:val="00D17AC2"/>
    <w:rsid w:val="00D17AF1"/>
    <w:rsid w:val="00D17DAC"/>
    <w:rsid w:val="00D17F9C"/>
    <w:rsid w:val="00D2007C"/>
    <w:rsid w:val="00D20700"/>
    <w:rsid w:val="00D207D8"/>
    <w:rsid w:val="00D20902"/>
    <w:rsid w:val="00D20A1E"/>
    <w:rsid w:val="00D20FD4"/>
    <w:rsid w:val="00D21086"/>
    <w:rsid w:val="00D21187"/>
    <w:rsid w:val="00D212BF"/>
    <w:rsid w:val="00D2131D"/>
    <w:rsid w:val="00D214DE"/>
    <w:rsid w:val="00D21523"/>
    <w:rsid w:val="00D219CE"/>
    <w:rsid w:val="00D21A24"/>
    <w:rsid w:val="00D21EBF"/>
    <w:rsid w:val="00D22203"/>
    <w:rsid w:val="00D22CD6"/>
    <w:rsid w:val="00D23263"/>
    <w:rsid w:val="00D2345B"/>
    <w:rsid w:val="00D237E2"/>
    <w:rsid w:val="00D23A6F"/>
    <w:rsid w:val="00D23D72"/>
    <w:rsid w:val="00D24145"/>
    <w:rsid w:val="00D24191"/>
    <w:rsid w:val="00D24665"/>
    <w:rsid w:val="00D2467B"/>
    <w:rsid w:val="00D2483C"/>
    <w:rsid w:val="00D24968"/>
    <w:rsid w:val="00D2501F"/>
    <w:rsid w:val="00D25307"/>
    <w:rsid w:val="00D2539C"/>
    <w:rsid w:val="00D253F2"/>
    <w:rsid w:val="00D254E9"/>
    <w:rsid w:val="00D255CF"/>
    <w:rsid w:val="00D255ED"/>
    <w:rsid w:val="00D2678E"/>
    <w:rsid w:val="00D26863"/>
    <w:rsid w:val="00D2694C"/>
    <w:rsid w:val="00D271C9"/>
    <w:rsid w:val="00D276BB"/>
    <w:rsid w:val="00D2773C"/>
    <w:rsid w:val="00D27853"/>
    <w:rsid w:val="00D279DF"/>
    <w:rsid w:val="00D301A2"/>
    <w:rsid w:val="00D301F6"/>
    <w:rsid w:val="00D30AE0"/>
    <w:rsid w:val="00D30AE8"/>
    <w:rsid w:val="00D30BB3"/>
    <w:rsid w:val="00D30FAA"/>
    <w:rsid w:val="00D3114C"/>
    <w:rsid w:val="00D32155"/>
    <w:rsid w:val="00D3239C"/>
    <w:rsid w:val="00D3296E"/>
    <w:rsid w:val="00D32D2D"/>
    <w:rsid w:val="00D3307C"/>
    <w:rsid w:val="00D331A9"/>
    <w:rsid w:val="00D331F1"/>
    <w:rsid w:val="00D33452"/>
    <w:rsid w:val="00D33581"/>
    <w:rsid w:val="00D33AC0"/>
    <w:rsid w:val="00D3434A"/>
    <w:rsid w:val="00D34379"/>
    <w:rsid w:val="00D34FB1"/>
    <w:rsid w:val="00D350AF"/>
    <w:rsid w:val="00D3525E"/>
    <w:rsid w:val="00D35339"/>
    <w:rsid w:val="00D3546A"/>
    <w:rsid w:val="00D358BB"/>
    <w:rsid w:val="00D35EFE"/>
    <w:rsid w:val="00D36107"/>
    <w:rsid w:val="00D36132"/>
    <w:rsid w:val="00D36A87"/>
    <w:rsid w:val="00D37058"/>
    <w:rsid w:val="00D376CF"/>
    <w:rsid w:val="00D37B46"/>
    <w:rsid w:val="00D37BDE"/>
    <w:rsid w:val="00D37F37"/>
    <w:rsid w:val="00D40693"/>
    <w:rsid w:val="00D40A0E"/>
    <w:rsid w:val="00D40B8D"/>
    <w:rsid w:val="00D40D1B"/>
    <w:rsid w:val="00D41040"/>
    <w:rsid w:val="00D411B3"/>
    <w:rsid w:val="00D41292"/>
    <w:rsid w:val="00D4131F"/>
    <w:rsid w:val="00D413EC"/>
    <w:rsid w:val="00D41983"/>
    <w:rsid w:val="00D41BDF"/>
    <w:rsid w:val="00D41C99"/>
    <w:rsid w:val="00D41D11"/>
    <w:rsid w:val="00D41E44"/>
    <w:rsid w:val="00D41F1C"/>
    <w:rsid w:val="00D42293"/>
    <w:rsid w:val="00D42591"/>
    <w:rsid w:val="00D42776"/>
    <w:rsid w:val="00D42923"/>
    <w:rsid w:val="00D4312C"/>
    <w:rsid w:val="00D433C8"/>
    <w:rsid w:val="00D43D4D"/>
    <w:rsid w:val="00D4402D"/>
    <w:rsid w:val="00D440A8"/>
    <w:rsid w:val="00D44136"/>
    <w:rsid w:val="00D4421B"/>
    <w:rsid w:val="00D447BF"/>
    <w:rsid w:val="00D4542C"/>
    <w:rsid w:val="00D45F34"/>
    <w:rsid w:val="00D462E4"/>
    <w:rsid w:val="00D4689C"/>
    <w:rsid w:val="00D46CD9"/>
    <w:rsid w:val="00D472FC"/>
    <w:rsid w:val="00D473AE"/>
    <w:rsid w:val="00D476CA"/>
    <w:rsid w:val="00D479BF"/>
    <w:rsid w:val="00D50510"/>
    <w:rsid w:val="00D50DED"/>
    <w:rsid w:val="00D511DD"/>
    <w:rsid w:val="00D516AB"/>
    <w:rsid w:val="00D52593"/>
    <w:rsid w:val="00D5266F"/>
    <w:rsid w:val="00D5282D"/>
    <w:rsid w:val="00D5284B"/>
    <w:rsid w:val="00D52E71"/>
    <w:rsid w:val="00D5302B"/>
    <w:rsid w:val="00D5380F"/>
    <w:rsid w:val="00D53815"/>
    <w:rsid w:val="00D540FA"/>
    <w:rsid w:val="00D54599"/>
    <w:rsid w:val="00D54D41"/>
    <w:rsid w:val="00D551FD"/>
    <w:rsid w:val="00D55561"/>
    <w:rsid w:val="00D55B36"/>
    <w:rsid w:val="00D55CAA"/>
    <w:rsid w:val="00D55CED"/>
    <w:rsid w:val="00D5678D"/>
    <w:rsid w:val="00D56A30"/>
    <w:rsid w:val="00D56CA6"/>
    <w:rsid w:val="00D56E87"/>
    <w:rsid w:val="00D56FD1"/>
    <w:rsid w:val="00D57670"/>
    <w:rsid w:val="00D57701"/>
    <w:rsid w:val="00D5794B"/>
    <w:rsid w:val="00D57A61"/>
    <w:rsid w:val="00D57C03"/>
    <w:rsid w:val="00D60077"/>
    <w:rsid w:val="00D601E6"/>
    <w:rsid w:val="00D60296"/>
    <w:rsid w:val="00D60DE4"/>
    <w:rsid w:val="00D60E3E"/>
    <w:rsid w:val="00D6125B"/>
    <w:rsid w:val="00D613D5"/>
    <w:rsid w:val="00D61583"/>
    <w:rsid w:val="00D61C37"/>
    <w:rsid w:val="00D61F26"/>
    <w:rsid w:val="00D62044"/>
    <w:rsid w:val="00D6224C"/>
    <w:rsid w:val="00D622F2"/>
    <w:rsid w:val="00D6239D"/>
    <w:rsid w:val="00D62412"/>
    <w:rsid w:val="00D62613"/>
    <w:rsid w:val="00D6267B"/>
    <w:rsid w:val="00D62990"/>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6E79"/>
    <w:rsid w:val="00D67439"/>
    <w:rsid w:val="00D67515"/>
    <w:rsid w:val="00D6760A"/>
    <w:rsid w:val="00D67AD0"/>
    <w:rsid w:val="00D67C6B"/>
    <w:rsid w:val="00D67CAC"/>
    <w:rsid w:val="00D70C0A"/>
    <w:rsid w:val="00D717BB"/>
    <w:rsid w:val="00D718B4"/>
    <w:rsid w:val="00D71902"/>
    <w:rsid w:val="00D71D41"/>
    <w:rsid w:val="00D7226F"/>
    <w:rsid w:val="00D722F2"/>
    <w:rsid w:val="00D72391"/>
    <w:rsid w:val="00D7279E"/>
    <w:rsid w:val="00D727F1"/>
    <w:rsid w:val="00D72902"/>
    <w:rsid w:val="00D72D42"/>
    <w:rsid w:val="00D73626"/>
    <w:rsid w:val="00D73795"/>
    <w:rsid w:val="00D73849"/>
    <w:rsid w:val="00D7389B"/>
    <w:rsid w:val="00D738D4"/>
    <w:rsid w:val="00D73926"/>
    <w:rsid w:val="00D73AE7"/>
    <w:rsid w:val="00D73B69"/>
    <w:rsid w:val="00D73B6D"/>
    <w:rsid w:val="00D74197"/>
    <w:rsid w:val="00D74352"/>
    <w:rsid w:val="00D74913"/>
    <w:rsid w:val="00D74EF0"/>
    <w:rsid w:val="00D752C0"/>
    <w:rsid w:val="00D755EE"/>
    <w:rsid w:val="00D75740"/>
    <w:rsid w:val="00D75B73"/>
    <w:rsid w:val="00D75DFA"/>
    <w:rsid w:val="00D75ED5"/>
    <w:rsid w:val="00D76007"/>
    <w:rsid w:val="00D76A39"/>
    <w:rsid w:val="00D76ECB"/>
    <w:rsid w:val="00D76FBD"/>
    <w:rsid w:val="00D77011"/>
    <w:rsid w:val="00D77217"/>
    <w:rsid w:val="00D774A9"/>
    <w:rsid w:val="00D77582"/>
    <w:rsid w:val="00D801B1"/>
    <w:rsid w:val="00D801C7"/>
    <w:rsid w:val="00D80359"/>
    <w:rsid w:val="00D80BB0"/>
    <w:rsid w:val="00D80CC9"/>
    <w:rsid w:val="00D80ECF"/>
    <w:rsid w:val="00D80FF9"/>
    <w:rsid w:val="00D8148B"/>
    <w:rsid w:val="00D8184C"/>
    <w:rsid w:val="00D82110"/>
    <w:rsid w:val="00D823E4"/>
    <w:rsid w:val="00D82472"/>
    <w:rsid w:val="00D82AAF"/>
    <w:rsid w:val="00D83081"/>
    <w:rsid w:val="00D83A5E"/>
    <w:rsid w:val="00D8434E"/>
    <w:rsid w:val="00D843D4"/>
    <w:rsid w:val="00D84418"/>
    <w:rsid w:val="00D84527"/>
    <w:rsid w:val="00D8464A"/>
    <w:rsid w:val="00D84B36"/>
    <w:rsid w:val="00D84D13"/>
    <w:rsid w:val="00D84E86"/>
    <w:rsid w:val="00D8514E"/>
    <w:rsid w:val="00D8592E"/>
    <w:rsid w:val="00D85D8D"/>
    <w:rsid w:val="00D86127"/>
    <w:rsid w:val="00D862A5"/>
    <w:rsid w:val="00D86DAA"/>
    <w:rsid w:val="00D8705E"/>
    <w:rsid w:val="00D871A8"/>
    <w:rsid w:val="00D872AB"/>
    <w:rsid w:val="00D877B9"/>
    <w:rsid w:val="00D87F53"/>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D12"/>
    <w:rsid w:val="00D92E04"/>
    <w:rsid w:val="00D93832"/>
    <w:rsid w:val="00D93C62"/>
    <w:rsid w:val="00D9485C"/>
    <w:rsid w:val="00D948E4"/>
    <w:rsid w:val="00D94BE4"/>
    <w:rsid w:val="00D94C59"/>
    <w:rsid w:val="00D953CC"/>
    <w:rsid w:val="00D953FD"/>
    <w:rsid w:val="00D95578"/>
    <w:rsid w:val="00D9568C"/>
    <w:rsid w:val="00D9623F"/>
    <w:rsid w:val="00D96415"/>
    <w:rsid w:val="00D9648C"/>
    <w:rsid w:val="00D964C0"/>
    <w:rsid w:val="00D9660B"/>
    <w:rsid w:val="00D966FB"/>
    <w:rsid w:val="00D96856"/>
    <w:rsid w:val="00D96946"/>
    <w:rsid w:val="00D96BC1"/>
    <w:rsid w:val="00D96C63"/>
    <w:rsid w:val="00D96CD6"/>
    <w:rsid w:val="00D96EB1"/>
    <w:rsid w:val="00D9710A"/>
    <w:rsid w:val="00D9718F"/>
    <w:rsid w:val="00D971BC"/>
    <w:rsid w:val="00D972D1"/>
    <w:rsid w:val="00D97347"/>
    <w:rsid w:val="00D973CF"/>
    <w:rsid w:val="00DA0018"/>
    <w:rsid w:val="00DA0497"/>
    <w:rsid w:val="00DA0678"/>
    <w:rsid w:val="00DA0CDD"/>
    <w:rsid w:val="00DA1133"/>
    <w:rsid w:val="00DA1A47"/>
    <w:rsid w:val="00DA1C12"/>
    <w:rsid w:val="00DA2519"/>
    <w:rsid w:val="00DA2661"/>
    <w:rsid w:val="00DA2864"/>
    <w:rsid w:val="00DA2FAF"/>
    <w:rsid w:val="00DA356B"/>
    <w:rsid w:val="00DA3584"/>
    <w:rsid w:val="00DA3719"/>
    <w:rsid w:val="00DA399B"/>
    <w:rsid w:val="00DA39AF"/>
    <w:rsid w:val="00DA3DE7"/>
    <w:rsid w:val="00DA41D7"/>
    <w:rsid w:val="00DA4322"/>
    <w:rsid w:val="00DA4548"/>
    <w:rsid w:val="00DA49C7"/>
    <w:rsid w:val="00DA4BA5"/>
    <w:rsid w:val="00DA56EA"/>
    <w:rsid w:val="00DA5848"/>
    <w:rsid w:val="00DA5E25"/>
    <w:rsid w:val="00DA5F3B"/>
    <w:rsid w:val="00DA5FBE"/>
    <w:rsid w:val="00DA5FC3"/>
    <w:rsid w:val="00DA6004"/>
    <w:rsid w:val="00DA6122"/>
    <w:rsid w:val="00DA62F1"/>
    <w:rsid w:val="00DA68C4"/>
    <w:rsid w:val="00DA6D43"/>
    <w:rsid w:val="00DA6DB6"/>
    <w:rsid w:val="00DA7958"/>
    <w:rsid w:val="00DA7E90"/>
    <w:rsid w:val="00DB006F"/>
    <w:rsid w:val="00DB04A8"/>
    <w:rsid w:val="00DB0659"/>
    <w:rsid w:val="00DB0721"/>
    <w:rsid w:val="00DB0851"/>
    <w:rsid w:val="00DB0A25"/>
    <w:rsid w:val="00DB0B74"/>
    <w:rsid w:val="00DB1447"/>
    <w:rsid w:val="00DB1A40"/>
    <w:rsid w:val="00DB2612"/>
    <w:rsid w:val="00DB2745"/>
    <w:rsid w:val="00DB28C9"/>
    <w:rsid w:val="00DB2B5E"/>
    <w:rsid w:val="00DB2E50"/>
    <w:rsid w:val="00DB2E56"/>
    <w:rsid w:val="00DB334F"/>
    <w:rsid w:val="00DB33AC"/>
    <w:rsid w:val="00DB36B3"/>
    <w:rsid w:val="00DB36D3"/>
    <w:rsid w:val="00DB3770"/>
    <w:rsid w:val="00DB3831"/>
    <w:rsid w:val="00DB390C"/>
    <w:rsid w:val="00DB3C4C"/>
    <w:rsid w:val="00DB3EB7"/>
    <w:rsid w:val="00DB410A"/>
    <w:rsid w:val="00DB41E6"/>
    <w:rsid w:val="00DB450A"/>
    <w:rsid w:val="00DB46E1"/>
    <w:rsid w:val="00DB4A63"/>
    <w:rsid w:val="00DB517A"/>
    <w:rsid w:val="00DB5596"/>
    <w:rsid w:val="00DB5C18"/>
    <w:rsid w:val="00DB5C7A"/>
    <w:rsid w:val="00DB5D4E"/>
    <w:rsid w:val="00DB5F08"/>
    <w:rsid w:val="00DB60D5"/>
    <w:rsid w:val="00DB6122"/>
    <w:rsid w:val="00DB627F"/>
    <w:rsid w:val="00DB6463"/>
    <w:rsid w:val="00DB66D5"/>
    <w:rsid w:val="00DB6ADD"/>
    <w:rsid w:val="00DB7236"/>
    <w:rsid w:val="00DB7E4F"/>
    <w:rsid w:val="00DB7E87"/>
    <w:rsid w:val="00DC00C5"/>
    <w:rsid w:val="00DC00ED"/>
    <w:rsid w:val="00DC0453"/>
    <w:rsid w:val="00DC0862"/>
    <w:rsid w:val="00DC0C44"/>
    <w:rsid w:val="00DC1550"/>
    <w:rsid w:val="00DC199A"/>
    <w:rsid w:val="00DC19D3"/>
    <w:rsid w:val="00DC2068"/>
    <w:rsid w:val="00DC22E4"/>
    <w:rsid w:val="00DC231A"/>
    <w:rsid w:val="00DC2675"/>
    <w:rsid w:val="00DC2757"/>
    <w:rsid w:val="00DC28E0"/>
    <w:rsid w:val="00DC2CF9"/>
    <w:rsid w:val="00DC2E05"/>
    <w:rsid w:val="00DC2EF5"/>
    <w:rsid w:val="00DC2F71"/>
    <w:rsid w:val="00DC2F7A"/>
    <w:rsid w:val="00DC30FF"/>
    <w:rsid w:val="00DC3147"/>
    <w:rsid w:val="00DC33A5"/>
    <w:rsid w:val="00DC342A"/>
    <w:rsid w:val="00DC3582"/>
    <w:rsid w:val="00DC3B80"/>
    <w:rsid w:val="00DC3E71"/>
    <w:rsid w:val="00DC3F2C"/>
    <w:rsid w:val="00DC4385"/>
    <w:rsid w:val="00DC451A"/>
    <w:rsid w:val="00DC456C"/>
    <w:rsid w:val="00DC48F4"/>
    <w:rsid w:val="00DC4CA6"/>
    <w:rsid w:val="00DC4DE8"/>
    <w:rsid w:val="00DC5174"/>
    <w:rsid w:val="00DC5295"/>
    <w:rsid w:val="00DC5E34"/>
    <w:rsid w:val="00DC60CC"/>
    <w:rsid w:val="00DC6786"/>
    <w:rsid w:val="00DC6A0C"/>
    <w:rsid w:val="00DC6E69"/>
    <w:rsid w:val="00DC7040"/>
    <w:rsid w:val="00DC725F"/>
    <w:rsid w:val="00DC727A"/>
    <w:rsid w:val="00DC73DA"/>
    <w:rsid w:val="00DC78E1"/>
    <w:rsid w:val="00DC7D98"/>
    <w:rsid w:val="00DC7E68"/>
    <w:rsid w:val="00DD0368"/>
    <w:rsid w:val="00DD0860"/>
    <w:rsid w:val="00DD0FCD"/>
    <w:rsid w:val="00DD10AF"/>
    <w:rsid w:val="00DD17BD"/>
    <w:rsid w:val="00DD1931"/>
    <w:rsid w:val="00DD193F"/>
    <w:rsid w:val="00DD1A4F"/>
    <w:rsid w:val="00DD1C41"/>
    <w:rsid w:val="00DD1EEF"/>
    <w:rsid w:val="00DD1F49"/>
    <w:rsid w:val="00DD256F"/>
    <w:rsid w:val="00DD2D0E"/>
    <w:rsid w:val="00DD35F1"/>
    <w:rsid w:val="00DD401E"/>
    <w:rsid w:val="00DD402C"/>
    <w:rsid w:val="00DD47C9"/>
    <w:rsid w:val="00DD4A14"/>
    <w:rsid w:val="00DD4AB7"/>
    <w:rsid w:val="00DD50C0"/>
    <w:rsid w:val="00DD599B"/>
    <w:rsid w:val="00DD5E51"/>
    <w:rsid w:val="00DD63C8"/>
    <w:rsid w:val="00DD6BDF"/>
    <w:rsid w:val="00DD6D0E"/>
    <w:rsid w:val="00DD76EF"/>
    <w:rsid w:val="00DE0386"/>
    <w:rsid w:val="00DE0635"/>
    <w:rsid w:val="00DE1136"/>
    <w:rsid w:val="00DE1186"/>
    <w:rsid w:val="00DE120C"/>
    <w:rsid w:val="00DE1743"/>
    <w:rsid w:val="00DE19FA"/>
    <w:rsid w:val="00DE2320"/>
    <w:rsid w:val="00DE2958"/>
    <w:rsid w:val="00DE2AD2"/>
    <w:rsid w:val="00DE2D50"/>
    <w:rsid w:val="00DE2F92"/>
    <w:rsid w:val="00DE350A"/>
    <w:rsid w:val="00DE367F"/>
    <w:rsid w:val="00DE3829"/>
    <w:rsid w:val="00DE38AB"/>
    <w:rsid w:val="00DE3AA0"/>
    <w:rsid w:val="00DE3EE9"/>
    <w:rsid w:val="00DE417C"/>
    <w:rsid w:val="00DE4318"/>
    <w:rsid w:val="00DE476D"/>
    <w:rsid w:val="00DE534F"/>
    <w:rsid w:val="00DE5ABB"/>
    <w:rsid w:val="00DE64CA"/>
    <w:rsid w:val="00DE6649"/>
    <w:rsid w:val="00DE6908"/>
    <w:rsid w:val="00DE6A0E"/>
    <w:rsid w:val="00DE6F58"/>
    <w:rsid w:val="00DE7190"/>
    <w:rsid w:val="00DE7306"/>
    <w:rsid w:val="00DE7868"/>
    <w:rsid w:val="00DE788D"/>
    <w:rsid w:val="00DE79BA"/>
    <w:rsid w:val="00DE7A98"/>
    <w:rsid w:val="00DE7CAA"/>
    <w:rsid w:val="00DE7D84"/>
    <w:rsid w:val="00DE7DEE"/>
    <w:rsid w:val="00DE7E8A"/>
    <w:rsid w:val="00DF019D"/>
    <w:rsid w:val="00DF0206"/>
    <w:rsid w:val="00DF0D99"/>
    <w:rsid w:val="00DF12C9"/>
    <w:rsid w:val="00DF13E0"/>
    <w:rsid w:val="00DF1677"/>
    <w:rsid w:val="00DF1E3F"/>
    <w:rsid w:val="00DF1EDD"/>
    <w:rsid w:val="00DF2375"/>
    <w:rsid w:val="00DF271C"/>
    <w:rsid w:val="00DF273A"/>
    <w:rsid w:val="00DF2791"/>
    <w:rsid w:val="00DF279B"/>
    <w:rsid w:val="00DF2941"/>
    <w:rsid w:val="00DF2CBB"/>
    <w:rsid w:val="00DF2FEE"/>
    <w:rsid w:val="00DF35AC"/>
    <w:rsid w:val="00DF35B5"/>
    <w:rsid w:val="00DF3B25"/>
    <w:rsid w:val="00DF3CEC"/>
    <w:rsid w:val="00DF3F04"/>
    <w:rsid w:val="00DF3F7E"/>
    <w:rsid w:val="00DF41D0"/>
    <w:rsid w:val="00DF44F1"/>
    <w:rsid w:val="00DF4698"/>
    <w:rsid w:val="00DF46D8"/>
    <w:rsid w:val="00DF4808"/>
    <w:rsid w:val="00DF4D9C"/>
    <w:rsid w:val="00DF4E30"/>
    <w:rsid w:val="00DF54BA"/>
    <w:rsid w:val="00DF56C1"/>
    <w:rsid w:val="00DF583C"/>
    <w:rsid w:val="00DF596D"/>
    <w:rsid w:val="00DF5A38"/>
    <w:rsid w:val="00DF5BCC"/>
    <w:rsid w:val="00DF5D0E"/>
    <w:rsid w:val="00DF60FF"/>
    <w:rsid w:val="00DF6603"/>
    <w:rsid w:val="00DF6660"/>
    <w:rsid w:val="00DF666E"/>
    <w:rsid w:val="00DF6A01"/>
    <w:rsid w:val="00E00098"/>
    <w:rsid w:val="00E00733"/>
    <w:rsid w:val="00E00749"/>
    <w:rsid w:val="00E00863"/>
    <w:rsid w:val="00E00C2D"/>
    <w:rsid w:val="00E00F61"/>
    <w:rsid w:val="00E010A6"/>
    <w:rsid w:val="00E0145F"/>
    <w:rsid w:val="00E01461"/>
    <w:rsid w:val="00E014D4"/>
    <w:rsid w:val="00E01786"/>
    <w:rsid w:val="00E01AD6"/>
    <w:rsid w:val="00E01F91"/>
    <w:rsid w:val="00E02134"/>
    <w:rsid w:val="00E021BF"/>
    <w:rsid w:val="00E02282"/>
    <w:rsid w:val="00E0272B"/>
    <w:rsid w:val="00E027CF"/>
    <w:rsid w:val="00E02D9E"/>
    <w:rsid w:val="00E03203"/>
    <w:rsid w:val="00E033E5"/>
    <w:rsid w:val="00E03834"/>
    <w:rsid w:val="00E0389D"/>
    <w:rsid w:val="00E03C28"/>
    <w:rsid w:val="00E03CB6"/>
    <w:rsid w:val="00E04537"/>
    <w:rsid w:val="00E045E4"/>
    <w:rsid w:val="00E046F4"/>
    <w:rsid w:val="00E047AF"/>
    <w:rsid w:val="00E04C46"/>
    <w:rsid w:val="00E04CA6"/>
    <w:rsid w:val="00E0561E"/>
    <w:rsid w:val="00E0574C"/>
    <w:rsid w:val="00E05880"/>
    <w:rsid w:val="00E05F4D"/>
    <w:rsid w:val="00E06409"/>
    <w:rsid w:val="00E06615"/>
    <w:rsid w:val="00E06A46"/>
    <w:rsid w:val="00E06A7C"/>
    <w:rsid w:val="00E06FCB"/>
    <w:rsid w:val="00E07227"/>
    <w:rsid w:val="00E07579"/>
    <w:rsid w:val="00E07CCC"/>
    <w:rsid w:val="00E1000D"/>
    <w:rsid w:val="00E1005D"/>
    <w:rsid w:val="00E10595"/>
    <w:rsid w:val="00E10711"/>
    <w:rsid w:val="00E10AF6"/>
    <w:rsid w:val="00E10DA4"/>
    <w:rsid w:val="00E11264"/>
    <w:rsid w:val="00E116D2"/>
    <w:rsid w:val="00E118A2"/>
    <w:rsid w:val="00E11FC1"/>
    <w:rsid w:val="00E121A1"/>
    <w:rsid w:val="00E1246E"/>
    <w:rsid w:val="00E12579"/>
    <w:rsid w:val="00E125D4"/>
    <w:rsid w:val="00E128FD"/>
    <w:rsid w:val="00E12BA1"/>
    <w:rsid w:val="00E12C60"/>
    <w:rsid w:val="00E12F98"/>
    <w:rsid w:val="00E1301E"/>
    <w:rsid w:val="00E136E2"/>
    <w:rsid w:val="00E1376B"/>
    <w:rsid w:val="00E138F6"/>
    <w:rsid w:val="00E141A4"/>
    <w:rsid w:val="00E14302"/>
    <w:rsid w:val="00E14980"/>
    <w:rsid w:val="00E14D8B"/>
    <w:rsid w:val="00E15851"/>
    <w:rsid w:val="00E160D6"/>
    <w:rsid w:val="00E16109"/>
    <w:rsid w:val="00E16427"/>
    <w:rsid w:val="00E170BD"/>
    <w:rsid w:val="00E17ED4"/>
    <w:rsid w:val="00E2002D"/>
    <w:rsid w:val="00E2032D"/>
    <w:rsid w:val="00E20BBC"/>
    <w:rsid w:val="00E20CB9"/>
    <w:rsid w:val="00E20E9A"/>
    <w:rsid w:val="00E211A1"/>
    <w:rsid w:val="00E21450"/>
    <w:rsid w:val="00E214CF"/>
    <w:rsid w:val="00E21E83"/>
    <w:rsid w:val="00E22433"/>
    <w:rsid w:val="00E232E9"/>
    <w:rsid w:val="00E23537"/>
    <w:rsid w:val="00E2392C"/>
    <w:rsid w:val="00E23FA5"/>
    <w:rsid w:val="00E2432B"/>
    <w:rsid w:val="00E243D5"/>
    <w:rsid w:val="00E24566"/>
    <w:rsid w:val="00E24790"/>
    <w:rsid w:val="00E24C59"/>
    <w:rsid w:val="00E24E26"/>
    <w:rsid w:val="00E24F16"/>
    <w:rsid w:val="00E25371"/>
    <w:rsid w:val="00E254E6"/>
    <w:rsid w:val="00E25819"/>
    <w:rsid w:val="00E2593A"/>
    <w:rsid w:val="00E25B68"/>
    <w:rsid w:val="00E2619E"/>
    <w:rsid w:val="00E261B2"/>
    <w:rsid w:val="00E26254"/>
    <w:rsid w:val="00E2651F"/>
    <w:rsid w:val="00E269D1"/>
    <w:rsid w:val="00E26BAA"/>
    <w:rsid w:val="00E26C03"/>
    <w:rsid w:val="00E26CDF"/>
    <w:rsid w:val="00E27D34"/>
    <w:rsid w:val="00E304CA"/>
    <w:rsid w:val="00E307B5"/>
    <w:rsid w:val="00E30A6F"/>
    <w:rsid w:val="00E30C61"/>
    <w:rsid w:val="00E30F62"/>
    <w:rsid w:val="00E30F75"/>
    <w:rsid w:val="00E315F2"/>
    <w:rsid w:val="00E31725"/>
    <w:rsid w:val="00E318E6"/>
    <w:rsid w:val="00E319A3"/>
    <w:rsid w:val="00E31AF9"/>
    <w:rsid w:val="00E31B50"/>
    <w:rsid w:val="00E32294"/>
    <w:rsid w:val="00E32699"/>
    <w:rsid w:val="00E327CC"/>
    <w:rsid w:val="00E32E2C"/>
    <w:rsid w:val="00E33140"/>
    <w:rsid w:val="00E333D8"/>
    <w:rsid w:val="00E336F1"/>
    <w:rsid w:val="00E33BD8"/>
    <w:rsid w:val="00E33C8A"/>
    <w:rsid w:val="00E33E29"/>
    <w:rsid w:val="00E33F61"/>
    <w:rsid w:val="00E34480"/>
    <w:rsid w:val="00E34965"/>
    <w:rsid w:val="00E34E25"/>
    <w:rsid w:val="00E35484"/>
    <w:rsid w:val="00E3616F"/>
    <w:rsid w:val="00E36708"/>
    <w:rsid w:val="00E36723"/>
    <w:rsid w:val="00E36B77"/>
    <w:rsid w:val="00E36F20"/>
    <w:rsid w:val="00E37307"/>
    <w:rsid w:val="00E37A4F"/>
    <w:rsid w:val="00E37B6D"/>
    <w:rsid w:val="00E37D9F"/>
    <w:rsid w:val="00E37DEB"/>
    <w:rsid w:val="00E400F8"/>
    <w:rsid w:val="00E401BA"/>
    <w:rsid w:val="00E40630"/>
    <w:rsid w:val="00E407DE"/>
    <w:rsid w:val="00E40A22"/>
    <w:rsid w:val="00E40AE8"/>
    <w:rsid w:val="00E40CEE"/>
    <w:rsid w:val="00E40DAD"/>
    <w:rsid w:val="00E4142C"/>
    <w:rsid w:val="00E415EA"/>
    <w:rsid w:val="00E4167D"/>
    <w:rsid w:val="00E41853"/>
    <w:rsid w:val="00E418FF"/>
    <w:rsid w:val="00E41923"/>
    <w:rsid w:val="00E419CB"/>
    <w:rsid w:val="00E42757"/>
    <w:rsid w:val="00E42AC8"/>
    <w:rsid w:val="00E42B53"/>
    <w:rsid w:val="00E42BB6"/>
    <w:rsid w:val="00E42CB4"/>
    <w:rsid w:val="00E42FD6"/>
    <w:rsid w:val="00E43074"/>
    <w:rsid w:val="00E43FB3"/>
    <w:rsid w:val="00E445FC"/>
    <w:rsid w:val="00E44A7C"/>
    <w:rsid w:val="00E44EE9"/>
    <w:rsid w:val="00E44F95"/>
    <w:rsid w:val="00E45721"/>
    <w:rsid w:val="00E45B61"/>
    <w:rsid w:val="00E45BBC"/>
    <w:rsid w:val="00E45D44"/>
    <w:rsid w:val="00E45DA8"/>
    <w:rsid w:val="00E45E04"/>
    <w:rsid w:val="00E45F01"/>
    <w:rsid w:val="00E460BE"/>
    <w:rsid w:val="00E46574"/>
    <w:rsid w:val="00E465AD"/>
    <w:rsid w:val="00E468A7"/>
    <w:rsid w:val="00E46AC9"/>
    <w:rsid w:val="00E46E6E"/>
    <w:rsid w:val="00E47079"/>
    <w:rsid w:val="00E47C5D"/>
    <w:rsid w:val="00E47CE8"/>
    <w:rsid w:val="00E50071"/>
    <w:rsid w:val="00E50651"/>
    <w:rsid w:val="00E50A0E"/>
    <w:rsid w:val="00E50B5D"/>
    <w:rsid w:val="00E50DB2"/>
    <w:rsid w:val="00E512FB"/>
    <w:rsid w:val="00E514C6"/>
    <w:rsid w:val="00E51BB6"/>
    <w:rsid w:val="00E521D8"/>
    <w:rsid w:val="00E522B2"/>
    <w:rsid w:val="00E529C3"/>
    <w:rsid w:val="00E52B68"/>
    <w:rsid w:val="00E5340D"/>
    <w:rsid w:val="00E5363B"/>
    <w:rsid w:val="00E539DD"/>
    <w:rsid w:val="00E53DDA"/>
    <w:rsid w:val="00E54169"/>
    <w:rsid w:val="00E543E0"/>
    <w:rsid w:val="00E545C6"/>
    <w:rsid w:val="00E54AAC"/>
    <w:rsid w:val="00E5576B"/>
    <w:rsid w:val="00E5595E"/>
    <w:rsid w:val="00E55AF7"/>
    <w:rsid w:val="00E55E9A"/>
    <w:rsid w:val="00E55F17"/>
    <w:rsid w:val="00E56F6A"/>
    <w:rsid w:val="00E57056"/>
    <w:rsid w:val="00E5764A"/>
    <w:rsid w:val="00E57777"/>
    <w:rsid w:val="00E5793B"/>
    <w:rsid w:val="00E57B75"/>
    <w:rsid w:val="00E57D64"/>
    <w:rsid w:val="00E57E87"/>
    <w:rsid w:val="00E60CDD"/>
    <w:rsid w:val="00E60CF7"/>
    <w:rsid w:val="00E60DDF"/>
    <w:rsid w:val="00E61BEC"/>
    <w:rsid w:val="00E622C3"/>
    <w:rsid w:val="00E6250E"/>
    <w:rsid w:val="00E625CD"/>
    <w:rsid w:val="00E62705"/>
    <w:rsid w:val="00E62BE9"/>
    <w:rsid w:val="00E632BF"/>
    <w:rsid w:val="00E640D4"/>
    <w:rsid w:val="00E6442C"/>
    <w:rsid w:val="00E6453A"/>
    <w:rsid w:val="00E646BE"/>
    <w:rsid w:val="00E648C7"/>
    <w:rsid w:val="00E649E0"/>
    <w:rsid w:val="00E64D22"/>
    <w:rsid w:val="00E64DDF"/>
    <w:rsid w:val="00E6503E"/>
    <w:rsid w:val="00E650AC"/>
    <w:rsid w:val="00E65564"/>
    <w:rsid w:val="00E65587"/>
    <w:rsid w:val="00E65BB4"/>
    <w:rsid w:val="00E65C6C"/>
    <w:rsid w:val="00E66931"/>
    <w:rsid w:val="00E66F88"/>
    <w:rsid w:val="00E67133"/>
    <w:rsid w:val="00E67342"/>
    <w:rsid w:val="00E67616"/>
    <w:rsid w:val="00E67853"/>
    <w:rsid w:val="00E67ADA"/>
    <w:rsid w:val="00E67B81"/>
    <w:rsid w:val="00E67D2A"/>
    <w:rsid w:val="00E70378"/>
    <w:rsid w:val="00E705CC"/>
    <w:rsid w:val="00E7099A"/>
    <w:rsid w:val="00E70B71"/>
    <w:rsid w:val="00E70DED"/>
    <w:rsid w:val="00E7112A"/>
    <w:rsid w:val="00E71220"/>
    <w:rsid w:val="00E71602"/>
    <w:rsid w:val="00E718C9"/>
    <w:rsid w:val="00E71B05"/>
    <w:rsid w:val="00E7244E"/>
    <w:rsid w:val="00E727D2"/>
    <w:rsid w:val="00E72F2B"/>
    <w:rsid w:val="00E73233"/>
    <w:rsid w:val="00E73258"/>
    <w:rsid w:val="00E7337C"/>
    <w:rsid w:val="00E733A0"/>
    <w:rsid w:val="00E73627"/>
    <w:rsid w:val="00E73768"/>
    <w:rsid w:val="00E73A5D"/>
    <w:rsid w:val="00E7461D"/>
    <w:rsid w:val="00E747AC"/>
    <w:rsid w:val="00E74B50"/>
    <w:rsid w:val="00E74CC6"/>
    <w:rsid w:val="00E754E4"/>
    <w:rsid w:val="00E75826"/>
    <w:rsid w:val="00E7583A"/>
    <w:rsid w:val="00E75D52"/>
    <w:rsid w:val="00E75E88"/>
    <w:rsid w:val="00E77038"/>
    <w:rsid w:val="00E77815"/>
    <w:rsid w:val="00E77C00"/>
    <w:rsid w:val="00E77EB8"/>
    <w:rsid w:val="00E77F0A"/>
    <w:rsid w:val="00E800ED"/>
    <w:rsid w:val="00E80590"/>
    <w:rsid w:val="00E8072F"/>
    <w:rsid w:val="00E80D20"/>
    <w:rsid w:val="00E811DB"/>
    <w:rsid w:val="00E812E5"/>
    <w:rsid w:val="00E8171D"/>
    <w:rsid w:val="00E81877"/>
    <w:rsid w:val="00E81BA8"/>
    <w:rsid w:val="00E8212C"/>
    <w:rsid w:val="00E822D9"/>
    <w:rsid w:val="00E823AB"/>
    <w:rsid w:val="00E824D7"/>
    <w:rsid w:val="00E82E5B"/>
    <w:rsid w:val="00E83209"/>
    <w:rsid w:val="00E835B4"/>
    <w:rsid w:val="00E836B2"/>
    <w:rsid w:val="00E83949"/>
    <w:rsid w:val="00E83BFB"/>
    <w:rsid w:val="00E83CFD"/>
    <w:rsid w:val="00E83E67"/>
    <w:rsid w:val="00E842EE"/>
    <w:rsid w:val="00E84598"/>
    <w:rsid w:val="00E848C5"/>
    <w:rsid w:val="00E84A5F"/>
    <w:rsid w:val="00E84C8D"/>
    <w:rsid w:val="00E84EF4"/>
    <w:rsid w:val="00E84FAC"/>
    <w:rsid w:val="00E852CF"/>
    <w:rsid w:val="00E8565A"/>
    <w:rsid w:val="00E85675"/>
    <w:rsid w:val="00E85EE6"/>
    <w:rsid w:val="00E86939"/>
    <w:rsid w:val="00E86A0D"/>
    <w:rsid w:val="00E86AD2"/>
    <w:rsid w:val="00E86C3F"/>
    <w:rsid w:val="00E86CA8"/>
    <w:rsid w:val="00E86E75"/>
    <w:rsid w:val="00E8766F"/>
    <w:rsid w:val="00E90156"/>
    <w:rsid w:val="00E9042B"/>
    <w:rsid w:val="00E909D4"/>
    <w:rsid w:val="00E90A05"/>
    <w:rsid w:val="00E90E1D"/>
    <w:rsid w:val="00E91032"/>
    <w:rsid w:val="00E9112C"/>
    <w:rsid w:val="00E9136C"/>
    <w:rsid w:val="00E9149B"/>
    <w:rsid w:val="00E916BF"/>
    <w:rsid w:val="00E918B9"/>
    <w:rsid w:val="00E91BD2"/>
    <w:rsid w:val="00E91DEC"/>
    <w:rsid w:val="00E91E40"/>
    <w:rsid w:val="00E92BB9"/>
    <w:rsid w:val="00E92BC1"/>
    <w:rsid w:val="00E92C0F"/>
    <w:rsid w:val="00E92C24"/>
    <w:rsid w:val="00E93069"/>
    <w:rsid w:val="00E93143"/>
    <w:rsid w:val="00E934BF"/>
    <w:rsid w:val="00E93772"/>
    <w:rsid w:val="00E939E9"/>
    <w:rsid w:val="00E94187"/>
    <w:rsid w:val="00E9447C"/>
    <w:rsid w:val="00E94CC7"/>
    <w:rsid w:val="00E94D73"/>
    <w:rsid w:val="00E9503B"/>
    <w:rsid w:val="00E9535E"/>
    <w:rsid w:val="00E95695"/>
    <w:rsid w:val="00E95C7C"/>
    <w:rsid w:val="00E96351"/>
    <w:rsid w:val="00E9658E"/>
    <w:rsid w:val="00E9681B"/>
    <w:rsid w:val="00E96B11"/>
    <w:rsid w:val="00E96B58"/>
    <w:rsid w:val="00E96E5B"/>
    <w:rsid w:val="00E97754"/>
    <w:rsid w:val="00E97AC6"/>
    <w:rsid w:val="00E97BD4"/>
    <w:rsid w:val="00EA0135"/>
    <w:rsid w:val="00EA05D5"/>
    <w:rsid w:val="00EA0700"/>
    <w:rsid w:val="00EA0A5B"/>
    <w:rsid w:val="00EA0BC9"/>
    <w:rsid w:val="00EA10A5"/>
    <w:rsid w:val="00EA17B6"/>
    <w:rsid w:val="00EA18F1"/>
    <w:rsid w:val="00EA1945"/>
    <w:rsid w:val="00EA1B17"/>
    <w:rsid w:val="00EA1DBB"/>
    <w:rsid w:val="00EA1E33"/>
    <w:rsid w:val="00EA1E84"/>
    <w:rsid w:val="00EA21B9"/>
    <w:rsid w:val="00EA25FF"/>
    <w:rsid w:val="00EA2AC6"/>
    <w:rsid w:val="00EA2B9F"/>
    <w:rsid w:val="00EA348D"/>
    <w:rsid w:val="00EA35C4"/>
    <w:rsid w:val="00EA3606"/>
    <w:rsid w:val="00EA369E"/>
    <w:rsid w:val="00EA3A34"/>
    <w:rsid w:val="00EA4021"/>
    <w:rsid w:val="00EA4424"/>
    <w:rsid w:val="00EA4475"/>
    <w:rsid w:val="00EA4B34"/>
    <w:rsid w:val="00EA5772"/>
    <w:rsid w:val="00EA5A12"/>
    <w:rsid w:val="00EA5C88"/>
    <w:rsid w:val="00EA619E"/>
    <w:rsid w:val="00EA6445"/>
    <w:rsid w:val="00EA68A4"/>
    <w:rsid w:val="00EA6BAB"/>
    <w:rsid w:val="00EA7284"/>
    <w:rsid w:val="00EA7960"/>
    <w:rsid w:val="00EA7C4C"/>
    <w:rsid w:val="00EB0CC9"/>
    <w:rsid w:val="00EB0CDC"/>
    <w:rsid w:val="00EB0D9A"/>
    <w:rsid w:val="00EB0DC3"/>
    <w:rsid w:val="00EB1098"/>
    <w:rsid w:val="00EB1330"/>
    <w:rsid w:val="00EB1B98"/>
    <w:rsid w:val="00EB2188"/>
    <w:rsid w:val="00EB23AE"/>
    <w:rsid w:val="00EB2B75"/>
    <w:rsid w:val="00EB2E0F"/>
    <w:rsid w:val="00EB2F03"/>
    <w:rsid w:val="00EB30F3"/>
    <w:rsid w:val="00EB3135"/>
    <w:rsid w:val="00EB349D"/>
    <w:rsid w:val="00EB36A9"/>
    <w:rsid w:val="00EB45A7"/>
    <w:rsid w:val="00EB4683"/>
    <w:rsid w:val="00EB4BA3"/>
    <w:rsid w:val="00EB4EA8"/>
    <w:rsid w:val="00EB4FB8"/>
    <w:rsid w:val="00EB5111"/>
    <w:rsid w:val="00EB52BF"/>
    <w:rsid w:val="00EB543F"/>
    <w:rsid w:val="00EB56B1"/>
    <w:rsid w:val="00EB5A30"/>
    <w:rsid w:val="00EB5CF1"/>
    <w:rsid w:val="00EB68F8"/>
    <w:rsid w:val="00EB6A6A"/>
    <w:rsid w:val="00EB6FF2"/>
    <w:rsid w:val="00EB7F43"/>
    <w:rsid w:val="00EC026F"/>
    <w:rsid w:val="00EC0A5C"/>
    <w:rsid w:val="00EC105F"/>
    <w:rsid w:val="00EC1675"/>
    <w:rsid w:val="00EC18E6"/>
    <w:rsid w:val="00EC198B"/>
    <w:rsid w:val="00EC243C"/>
    <w:rsid w:val="00EC25D8"/>
    <w:rsid w:val="00EC2929"/>
    <w:rsid w:val="00EC2A27"/>
    <w:rsid w:val="00EC2BBF"/>
    <w:rsid w:val="00EC33FA"/>
    <w:rsid w:val="00EC36C5"/>
    <w:rsid w:val="00EC3B8D"/>
    <w:rsid w:val="00EC3DDA"/>
    <w:rsid w:val="00EC3EBF"/>
    <w:rsid w:val="00EC3F4B"/>
    <w:rsid w:val="00EC4379"/>
    <w:rsid w:val="00EC442A"/>
    <w:rsid w:val="00EC458C"/>
    <w:rsid w:val="00EC4945"/>
    <w:rsid w:val="00EC4C93"/>
    <w:rsid w:val="00EC56B6"/>
    <w:rsid w:val="00EC5988"/>
    <w:rsid w:val="00EC5CF9"/>
    <w:rsid w:val="00EC5EB6"/>
    <w:rsid w:val="00EC5F1F"/>
    <w:rsid w:val="00EC6474"/>
    <w:rsid w:val="00EC6530"/>
    <w:rsid w:val="00EC6B6B"/>
    <w:rsid w:val="00EC6BC1"/>
    <w:rsid w:val="00EC6C26"/>
    <w:rsid w:val="00EC6F12"/>
    <w:rsid w:val="00EC7257"/>
    <w:rsid w:val="00EC7329"/>
    <w:rsid w:val="00EC7C45"/>
    <w:rsid w:val="00ED0342"/>
    <w:rsid w:val="00ED050A"/>
    <w:rsid w:val="00ED0759"/>
    <w:rsid w:val="00ED10DF"/>
    <w:rsid w:val="00ED1239"/>
    <w:rsid w:val="00ED1806"/>
    <w:rsid w:val="00ED3125"/>
    <w:rsid w:val="00ED31E8"/>
    <w:rsid w:val="00ED372A"/>
    <w:rsid w:val="00ED383D"/>
    <w:rsid w:val="00ED42B5"/>
    <w:rsid w:val="00ED44A3"/>
    <w:rsid w:val="00ED4814"/>
    <w:rsid w:val="00ED50DE"/>
    <w:rsid w:val="00ED513C"/>
    <w:rsid w:val="00ED51C5"/>
    <w:rsid w:val="00ED53EB"/>
    <w:rsid w:val="00ED5415"/>
    <w:rsid w:val="00ED5637"/>
    <w:rsid w:val="00ED5C72"/>
    <w:rsid w:val="00ED5DFB"/>
    <w:rsid w:val="00ED5EA8"/>
    <w:rsid w:val="00ED7034"/>
    <w:rsid w:val="00ED7106"/>
    <w:rsid w:val="00ED71F7"/>
    <w:rsid w:val="00ED74A5"/>
    <w:rsid w:val="00ED7570"/>
    <w:rsid w:val="00ED759E"/>
    <w:rsid w:val="00ED75A9"/>
    <w:rsid w:val="00ED7EEA"/>
    <w:rsid w:val="00EE01DB"/>
    <w:rsid w:val="00EE039E"/>
    <w:rsid w:val="00EE0439"/>
    <w:rsid w:val="00EE0619"/>
    <w:rsid w:val="00EE0A56"/>
    <w:rsid w:val="00EE0AD6"/>
    <w:rsid w:val="00EE0B85"/>
    <w:rsid w:val="00EE0BAC"/>
    <w:rsid w:val="00EE0D36"/>
    <w:rsid w:val="00EE1B6B"/>
    <w:rsid w:val="00EE1DA3"/>
    <w:rsid w:val="00EE23B3"/>
    <w:rsid w:val="00EE252D"/>
    <w:rsid w:val="00EE2DDA"/>
    <w:rsid w:val="00EE2E1D"/>
    <w:rsid w:val="00EE300F"/>
    <w:rsid w:val="00EE3199"/>
    <w:rsid w:val="00EE3B57"/>
    <w:rsid w:val="00EE3E09"/>
    <w:rsid w:val="00EE4103"/>
    <w:rsid w:val="00EE42C3"/>
    <w:rsid w:val="00EE450B"/>
    <w:rsid w:val="00EE4707"/>
    <w:rsid w:val="00EE487A"/>
    <w:rsid w:val="00EE4DB1"/>
    <w:rsid w:val="00EE50EB"/>
    <w:rsid w:val="00EE520D"/>
    <w:rsid w:val="00EE5390"/>
    <w:rsid w:val="00EE5530"/>
    <w:rsid w:val="00EE5AC7"/>
    <w:rsid w:val="00EE6137"/>
    <w:rsid w:val="00EE634C"/>
    <w:rsid w:val="00EE674B"/>
    <w:rsid w:val="00EE7053"/>
    <w:rsid w:val="00EE70EA"/>
    <w:rsid w:val="00EE71C8"/>
    <w:rsid w:val="00EE71DA"/>
    <w:rsid w:val="00EE737F"/>
    <w:rsid w:val="00EE767B"/>
    <w:rsid w:val="00EE767E"/>
    <w:rsid w:val="00EE76ED"/>
    <w:rsid w:val="00EE7B24"/>
    <w:rsid w:val="00EF0013"/>
    <w:rsid w:val="00EF0BC9"/>
    <w:rsid w:val="00EF0C92"/>
    <w:rsid w:val="00EF11D4"/>
    <w:rsid w:val="00EF1526"/>
    <w:rsid w:val="00EF2092"/>
    <w:rsid w:val="00EF24B9"/>
    <w:rsid w:val="00EF2575"/>
    <w:rsid w:val="00EF29FE"/>
    <w:rsid w:val="00EF2F49"/>
    <w:rsid w:val="00EF310B"/>
    <w:rsid w:val="00EF363C"/>
    <w:rsid w:val="00EF399E"/>
    <w:rsid w:val="00EF3A75"/>
    <w:rsid w:val="00EF3D0C"/>
    <w:rsid w:val="00EF450D"/>
    <w:rsid w:val="00EF45D7"/>
    <w:rsid w:val="00EF4611"/>
    <w:rsid w:val="00EF47C3"/>
    <w:rsid w:val="00EF48BC"/>
    <w:rsid w:val="00EF4967"/>
    <w:rsid w:val="00EF49D5"/>
    <w:rsid w:val="00EF4B4A"/>
    <w:rsid w:val="00EF541C"/>
    <w:rsid w:val="00EF5484"/>
    <w:rsid w:val="00EF5A9C"/>
    <w:rsid w:val="00EF5C74"/>
    <w:rsid w:val="00EF5D21"/>
    <w:rsid w:val="00EF60D2"/>
    <w:rsid w:val="00EF6D17"/>
    <w:rsid w:val="00EF6F71"/>
    <w:rsid w:val="00EF6FB7"/>
    <w:rsid w:val="00EF6FC3"/>
    <w:rsid w:val="00EF71BD"/>
    <w:rsid w:val="00EF72CB"/>
    <w:rsid w:val="00EF736B"/>
    <w:rsid w:val="00EF74A5"/>
    <w:rsid w:val="00EF7AA8"/>
    <w:rsid w:val="00F0029E"/>
    <w:rsid w:val="00F0039A"/>
    <w:rsid w:val="00F008B6"/>
    <w:rsid w:val="00F0093A"/>
    <w:rsid w:val="00F00CD6"/>
    <w:rsid w:val="00F00F8C"/>
    <w:rsid w:val="00F011DD"/>
    <w:rsid w:val="00F01233"/>
    <w:rsid w:val="00F01548"/>
    <w:rsid w:val="00F017E4"/>
    <w:rsid w:val="00F01F50"/>
    <w:rsid w:val="00F02261"/>
    <w:rsid w:val="00F02370"/>
    <w:rsid w:val="00F02871"/>
    <w:rsid w:val="00F029BA"/>
    <w:rsid w:val="00F02AC7"/>
    <w:rsid w:val="00F02C83"/>
    <w:rsid w:val="00F02F62"/>
    <w:rsid w:val="00F0301F"/>
    <w:rsid w:val="00F032DC"/>
    <w:rsid w:val="00F03DFF"/>
    <w:rsid w:val="00F03E8D"/>
    <w:rsid w:val="00F0422A"/>
    <w:rsid w:val="00F049F3"/>
    <w:rsid w:val="00F04AF2"/>
    <w:rsid w:val="00F04E85"/>
    <w:rsid w:val="00F04EE0"/>
    <w:rsid w:val="00F050AF"/>
    <w:rsid w:val="00F05C75"/>
    <w:rsid w:val="00F05E31"/>
    <w:rsid w:val="00F05E9D"/>
    <w:rsid w:val="00F066D7"/>
    <w:rsid w:val="00F0681C"/>
    <w:rsid w:val="00F06B37"/>
    <w:rsid w:val="00F06CD6"/>
    <w:rsid w:val="00F06DF9"/>
    <w:rsid w:val="00F06F97"/>
    <w:rsid w:val="00F07174"/>
    <w:rsid w:val="00F0728D"/>
    <w:rsid w:val="00F07843"/>
    <w:rsid w:val="00F07F57"/>
    <w:rsid w:val="00F10131"/>
    <w:rsid w:val="00F107B8"/>
    <w:rsid w:val="00F10BFD"/>
    <w:rsid w:val="00F10D66"/>
    <w:rsid w:val="00F10E33"/>
    <w:rsid w:val="00F10FBB"/>
    <w:rsid w:val="00F112BC"/>
    <w:rsid w:val="00F1166E"/>
    <w:rsid w:val="00F11EC8"/>
    <w:rsid w:val="00F12084"/>
    <w:rsid w:val="00F12702"/>
    <w:rsid w:val="00F128CE"/>
    <w:rsid w:val="00F12C6F"/>
    <w:rsid w:val="00F1319A"/>
    <w:rsid w:val="00F13286"/>
    <w:rsid w:val="00F137DE"/>
    <w:rsid w:val="00F13872"/>
    <w:rsid w:val="00F139B0"/>
    <w:rsid w:val="00F1423D"/>
    <w:rsid w:val="00F145A5"/>
    <w:rsid w:val="00F1478E"/>
    <w:rsid w:val="00F14858"/>
    <w:rsid w:val="00F14A28"/>
    <w:rsid w:val="00F14A98"/>
    <w:rsid w:val="00F14C76"/>
    <w:rsid w:val="00F14CBB"/>
    <w:rsid w:val="00F15510"/>
    <w:rsid w:val="00F15596"/>
    <w:rsid w:val="00F15AD5"/>
    <w:rsid w:val="00F15AFF"/>
    <w:rsid w:val="00F15F0F"/>
    <w:rsid w:val="00F161E1"/>
    <w:rsid w:val="00F1621C"/>
    <w:rsid w:val="00F164D6"/>
    <w:rsid w:val="00F1697A"/>
    <w:rsid w:val="00F16BFF"/>
    <w:rsid w:val="00F16C56"/>
    <w:rsid w:val="00F17518"/>
    <w:rsid w:val="00F17B92"/>
    <w:rsid w:val="00F17E92"/>
    <w:rsid w:val="00F20241"/>
    <w:rsid w:val="00F20D01"/>
    <w:rsid w:val="00F21296"/>
    <w:rsid w:val="00F21311"/>
    <w:rsid w:val="00F21486"/>
    <w:rsid w:val="00F217FD"/>
    <w:rsid w:val="00F2182A"/>
    <w:rsid w:val="00F218DE"/>
    <w:rsid w:val="00F21906"/>
    <w:rsid w:val="00F2193C"/>
    <w:rsid w:val="00F21E9D"/>
    <w:rsid w:val="00F22117"/>
    <w:rsid w:val="00F221BC"/>
    <w:rsid w:val="00F2235F"/>
    <w:rsid w:val="00F224A8"/>
    <w:rsid w:val="00F22726"/>
    <w:rsid w:val="00F228E8"/>
    <w:rsid w:val="00F22AAC"/>
    <w:rsid w:val="00F22D56"/>
    <w:rsid w:val="00F23340"/>
    <w:rsid w:val="00F23397"/>
    <w:rsid w:val="00F2356E"/>
    <w:rsid w:val="00F23B36"/>
    <w:rsid w:val="00F23D17"/>
    <w:rsid w:val="00F2482F"/>
    <w:rsid w:val="00F25323"/>
    <w:rsid w:val="00F2554E"/>
    <w:rsid w:val="00F25BC2"/>
    <w:rsid w:val="00F25C23"/>
    <w:rsid w:val="00F2604A"/>
    <w:rsid w:val="00F2609C"/>
    <w:rsid w:val="00F26501"/>
    <w:rsid w:val="00F265E6"/>
    <w:rsid w:val="00F26675"/>
    <w:rsid w:val="00F2709B"/>
    <w:rsid w:val="00F27238"/>
    <w:rsid w:val="00F2765F"/>
    <w:rsid w:val="00F27875"/>
    <w:rsid w:val="00F27920"/>
    <w:rsid w:val="00F279CE"/>
    <w:rsid w:val="00F27D2B"/>
    <w:rsid w:val="00F301ED"/>
    <w:rsid w:val="00F302FE"/>
    <w:rsid w:val="00F303E3"/>
    <w:rsid w:val="00F30D13"/>
    <w:rsid w:val="00F30E7E"/>
    <w:rsid w:val="00F30E8A"/>
    <w:rsid w:val="00F30F46"/>
    <w:rsid w:val="00F30F77"/>
    <w:rsid w:val="00F31123"/>
    <w:rsid w:val="00F3147C"/>
    <w:rsid w:val="00F314C5"/>
    <w:rsid w:val="00F320F1"/>
    <w:rsid w:val="00F3226F"/>
    <w:rsid w:val="00F32DAB"/>
    <w:rsid w:val="00F33051"/>
    <w:rsid w:val="00F33233"/>
    <w:rsid w:val="00F3371B"/>
    <w:rsid w:val="00F33744"/>
    <w:rsid w:val="00F33B90"/>
    <w:rsid w:val="00F33F0C"/>
    <w:rsid w:val="00F3431C"/>
    <w:rsid w:val="00F35D62"/>
    <w:rsid w:val="00F36097"/>
    <w:rsid w:val="00F36151"/>
    <w:rsid w:val="00F363AB"/>
    <w:rsid w:val="00F3664C"/>
    <w:rsid w:val="00F36826"/>
    <w:rsid w:val="00F36AF3"/>
    <w:rsid w:val="00F3706B"/>
    <w:rsid w:val="00F37149"/>
    <w:rsid w:val="00F3745C"/>
    <w:rsid w:val="00F3748B"/>
    <w:rsid w:val="00F3772C"/>
    <w:rsid w:val="00F37B45"/>
    <w:rsid w:val="00F37C4B"/>
    <w:rsid w:val="00F400D4"/>
    <w:rsid w:val="00F40220"/>
    <w:rsid w:val="00F4046C"/>
    <w:rsid w:val="00F406F8"/>
    <w:rsid w:val="00F4077C"/>
    <w:rsid w:val="00F40D4A"/>
    <w:rsid w:val="00F40F3E"/>
    <w:rsid w:val="00F416A5"/>
    <w:rsid w:val="00F41BD5"/>
    <w:rsid w:val="00F41FAA"/>
    <w:rsid w:val="00F42366"/>
    <w:rsid w:val="00F42C90"/>
    <w:rsid w:val="00F42EA4"/>
    <w:rsid w:val="00F42F9A"/>
    <w:rsid w:val="00F43361"/>
    <w:rsid w:val="00F43508"/>
    <w:rsid w:val="00F43679"/>
    <w:rsid w:val="00F43826"/>
    <w:rsid w:val="00F4388B"/>
    <w:rsid w:val="00F43A6E"/>
    <w:rsid w:val="00F43E2B"/>
    <w:rsid w:val="00F43F8B"/>
    <w:rsid w:val="00F442B1"/>
    <w:rsid w:val="00F44467"/>
    <w:rsid w:val="00F44806"/>
    <w:rsid w:val="00F44AA0"/>
    <w:rsid w:val="00F44C34"/>
    <w:rsid w:val="00F45303"/>
    <w:rsid w:val="00F456A8"/>
    <w:rsid w:val="00F459E9"/>
    <w:rsid w:val="00F45BD1"/>
    <w:rsid w:val="00F45C32"/>
    <w:rsid w:val="00F45CE2"/>
    <w:rsid w:val="00F45D39"/>
    <w:rsid w:val="00F4637F"/>
    <w:rsid w:val="00F46506"/>
    <w:rsid w:val="00F46726"/>
    <w:rsid w:val="00F4689B"/>
    <w:rsid w:val="00F46B54"/>
    <w:rsid w:val="00F46DB4"/>
    <w:rsid w:val="00F46E96"/>
    <w:rsid w:val="00F472F6"/>
    <w:rsid w:val="00F475EE"/>
    <w:rsid w:val="00F4760C"/>
    <w:rsid w:val="00F47660"/>
    <w:rsid w:val="00F4777D"/>
    <w:rsid w:val="00F47A2C"/>
    <w:rsid w:val="00F5009E"/>
    <w:rsid w:val="00F50478"/>
    <w:rsid w:val="00F508C1"/>
    <w:rsid w:val="00F50F36"/>
    <w:rsid w:val="00F512C3"/>
    <w:rsid w:val="00F5138E"/>
    <w:rsid w:val="00F517FD"/>
    <w:rsid w:val="00F51B4E"/>
    <w:rsid w:val="00F51E29"/>
    <w:rsid w:val="00F5204E"/>
    <w:rsid w:val="00F52181"/>
    <w:rsid w:val="00F52372"/>
    <w:rsid w:val="00F529BF"/>
    <w:rsid w:val="00F53903"/>
    <w:rsid w:val="00F53C64"/>
    <w:rsid w:val="00F53DDB"/>
    <w:rsid w:val="00F54060"/>
    <w:rsid w:val="00F5409B"/>
    <w:rsid w:val="00F545FE"/>
    <w:rsid w:val="00F54874"/>
    <w:rsid w:val="00F54942"/>
    <w:rsid w:val="00F54AF1"/>
    <w:rsid w:val="00F54EFC"/>
    <w:rsid w:val="00F55209"/>
    <w:rsid w:val="00F55344"/>
    <w:rsid w:val="00F55C12"/>
    <w:rsid w:val="00F55EC6"/>
    <w:rsid w:val="00F55FF7"/>
    <w:rsid w:val="00F56754"/>
    <w:rsid w:val="00F56AF3"/>
    <w:rsid w:val="00F56D12"/>
    <w:rsid w:val="00F56DD4"/>
    <w:rsid w:val="00F56DFE"/>
    <w:rsid w:val="00F571F2"/>
    <w:rsid w:val="00F574A1"/>
    <w:rsid w:val="00F57B24"/>
    <w:rsid w:val="00F57EB4"/>
    <w:rsid w:val="00F602AB"/>
    <w:rsid w:val="00F603CA"/>
    <w:rsid w:val="00F60852"/>
    <w:rsid w:val="00F60903"/>
    <w:rsid w:val="00F60DC7"/>
    <w:rsid w:val="00F60E89"/>
    <w:rsid w:val="00F61EE4"/>
    <w:rsid w:val="00F621EE"/>
    <w:rsid w:val="00F62EBF"/>
    <w:rsid w:val="00F6318B"/>
    <w:rsid w:val="00F63737"/>
    <w:rsid w:val="00F6377A"/>
    <w:rsid w:val="00F63BDB"/>
    <w:rsid w:val="00F63E22"/>
    <w:rsid w:val="00F642F0"/>
    <w:rsid w:val="00F64703"/>
    <w:rsid w:val="00F647C9"/>
    <w:rsid w:val="00F64887"/>
    <w:rsid w:val="00F64B4C"/>
    <w:rsid w:val="00F64E64"/>
    <w:rsid w:val="00F6615C"/>
    <w:rsid w:val="00F668DF"/>
    <w:rsid w:val="00F66B2E"/>
    <w:rsid w:val="00F66EC1"/>
    <w:rsid w:val="00F673A1"/>
    <w:rsid w:val="00F679C8"/>
    <w:rsid w:val="00F67A7B"/>
    <w:rsid w:val="00F67D61"/>
    <w:rsid w:val="00F700D7"/>
    <w:rsid w:val="00F70486"/>
    <w:rsid w:val="00F7080E"/>
    <w:rsid w:val="00F70862"/>
    <w:rsid w:val="00F70885"/>
    <w:rsid w:val="00F70B38"/>
    <w:rsid w:val="00F70F8D"/>
    <w:rsid w:val="00F710A1"/>
    <w:rsid w:val="00F7121D"/>
    <w:rsid w:val="00F712B8"/>
    <w:rsid w:val="00F7139E"/>
    <w:rsid w:val="00F7144B"/>
    <w:rsid w:val="00F71693"/>
    <w:rsid w:val="00F718A1"/>
    <w:rsid w:val="00F722D9"/>
    <w:rsid w:val="00F722FC"/>
    <w:rsid w:val="00F726E2"/>
    <w:rsid w:val="00F72744"/>
    <w:rsid w:val="00F73121"/>
    <w:rsid w:val="00F73201"/>
    <w:rsid w:val="00F733D8"/>
    <w:rsid w:val="00F73505"/>
    <w:rsid w:val="00F735CD"/>
    <w:rsid w:val="00F736EB"/>
    <w:rsid w:val="00F73A2F"/>
    <w:rsid w:val="00F73C3D"/>
    <w:rsid w:val="00F73CB4"/>
    <w:rsid w:val="00F73E18"/>
    <w:rsid w:val="00F74231"/>
    <w:rsid w:val="00F7437E"/>
    <w:rsid w:val="00F7438A"/>
    <w:rsid w:val="00F746AF"/>
    <w:rsid w:val="00F746FB"/>
    <w:rsid w:val="00F748FD"/>
    <w:rsid w:val="00F74B88"/>
    <w:rsid w:val="00F74F5C"/>
    <w:rsid w:val="00F751FD"/>
    <w:rsid w:val="00F75D5E"/>
    <w:rsid w:val="00F75F63"/>
    <w:rsid w:val="00F7606B"/>
    <w:rsid w:val="00F7637D"/>
    <w:rsid w:val="00F763F3"/>
    <w:rsid w:val="00F7691F"/>
    <w:rsid w:val="00F772D0"/>
    <w:rsid w:val="00F7759D"/>
    <w:rsid w:val="00F77630"/>
    <w:rsid w:val="00F779BA"/>
    <w:rsid w:val="00F77A1B"/>
    <w:rsid w:val="00F77C4D"/>
    <w:rsid w:val="00F77F4A"/>
    <w:rsid w:val="00F807C9"/>
    <w:rsid w:val="00F808FF"/>
    <w:rsid w:val="00F809C1"/>
    <w:rsid w:val="00F80B9E"/>
    <w:rsid w:val="00F80F70"/>
    <w:rsid w:val="00F812FB"/>
    <w:rsid w:val="00F813BA"/>
    <w:rsid w:val="00F81E30"/>
    <w:rsid w:val="00F821B2"/>
    <w:rsid w:val="00F82630"/>
    <w:rsid w:val="00F82C75"/>
    <w:rsid w:val="00F8347D"/>
    <w:rsid w:val="00F83872"/>
    <w:rsid w:val="00F838EB"/>
    <w:rsid w:val="00F83A8A"/>
    <w:rsid w:val="00F83F45"/>
    <w:rsid w:val="00F83FBE"/>
    <w:rsid w:val="00F847EA"/>
    <w:rsid w:val="00F848EF"/>
    <w:rsid w:val="00F849E3"/>
    <w:rsid w:val="00F85102"/>
    <w:rsid w:val="00F852BD"/>
    <w:rsid w:val="00F852F4"/>
    <w:rsid w:val="00F85662"/>
    <w:rsid w:val="00F85CCF"/>
    <w:rsid w:val="00F85F59"/>
    <w:rsid w:val="00F86526"/>
    <w:rsid w:val="00F866A0"/>
    <w:rsid w:val="00F866B1"/>
    <w:rsid w:val="00F8690F"/>
    <w:rsid w:val="00F86F9F"/>
    <w:rsid w:val="00F870E3"/>
    <w:rsid w:val="00F874A9"/>
    <w:rsid w:val="00F877EA"/>
    <w:rsid w:val="00F9068C"/>
    <w:rsid w:val="00F90A38"/>
    <w:rsid w:val="00F90B95"/>
    <w:rsid w:val="00F913CB"/>
    <w:rsid w:val="00F91465"/>
    <w:rsid w:val="00F91683"/>
    <w:rsid w:val="00F91747"/>
    <w:rsid w:val="00F9187E"/>
    <w:rsid w:val="00F91A45"/>
    <w:rsid w:val="00F91D9A"/>
    <w:rsid w:val="00F91E3F"/>
    <w:rsid w:val="00F91E8A"/>
    <w:rsid w:val="00F922F5"/>
    <w:rsid w:val="00F9259F"/>
    <w:rsid w:val="00F92A0C"/>
    <w:rsid w:val="00F92BBE"/>
    <w:rsid w:val="00F92C73"/>
    <w:rsid w:val="00F92E27"/>
    <w:rsid w:val="00F92F24"/>
    <w:rsid w:val="00F93325"/>
    <w:rsid w:val="00F93875"/>
    <w:rsid w:val="00F93EE5"/>
    <w:rsid w:val="00F94026"/>
    <w:rsid w:val="00F94B6A"/>
    <w:rsid w:val="00F94B93"/>
    <w:rsid w:val="00F9523F"/>
    <w:rsid w:val="00F95665"/>
    <w:rsid w:val="00F958E3"/>
    <w:rsid w:val="00F959DB"/>
    <w:rsid w:val="00F95C16"/>
    <w:rsid w:val="00F95F51"/>
    <w:rsid w:val="00F96290"/>
    <w:rsid w:val="00F968AC"/>
    <w:rsid w:val="00F968C9"/>
    <w:rsid w:val="00F96B30"/>
    <w:rsid w:val="00F96FB5"/>
    <w:rsid w:val="00F971FC"/>
    <w:rsid w:val="00F974CE"/>
    <w:rsid w:val="00FA04FF"/>
    <w:rsid w:val="00FA067D"/>
    <w:rsid w:val="00FA0A3D"/>
    <w:rsid w:val="00FA106C"/>
    <w:rsid w:val="00FA12C0"/>
    <w:rsid w:val="00FA17DE"/>
    <w:rsid w:val="00FA1C96"/>
    <w:rsid w:val="00FA20B3"/>
    <w:rsid w:val="00FA2148"/>
    <w:rsid w:val="00FA2344"/>
    <w:rsid w:val="00FA2603"/>
    <w:rsid w:val="00FA2A61"/>
    <w:rsid w:val="00FA2A6E"/>
    <w:rsid w:val="00FA2DB9"/>
    <w:rsid w:val="00FA2E58"/>
    <w:rsid w:val="00FA3237"/>
    <w:rsid w:val="00FA331F"/>
    <w:rsid w:val="00FA3E1D"/>
    <w:rsid w:val="00FA46C1"/>
    <w:rsid w:val="00FA485F"/>
    <w:rsid w:val="00FA4B12"/>
    <w:rsid w:val="00FA4DD8"/>
    <w:rsid w:val="00FA4E1E"/>
    <w:rsid w:val="00FA5411"/>
    <w:rsid w:val="00FA54C8"/>
    <w:rsid w:val="00FA618C"/>
    <w:rsid w:val="00FA61D8"/>
    <w:rsid w:val="00FA6B30"/>
    <w:rsid w:val="00FA6B6A"/>
    <w:rsid w:val="00FA6DEA"/>
    <w:rsid w:val="00FA7277"/>
    <w:rsid w:val="00FA767C"/>
    <w:rsid w:val="00FA77A5"/>
    <w:rsid w:val="00FA7955"/>
    <w:rsid w:val="00FA7B6B"/>
    <w:rsid w:val="00FA7E79"/>
    <w:rsid w:val="00FB05E1"/>
    <w:rsid w:val="00FB0844"/>
    <w:rsid w:val="00FB0C6E"/>
    <w:rsid w:val="00FB125E"/>
    <w:rsid w:val="00FB150D"/>
    <w:rsid w:val="00FB165F"/>
    <w:rsid w:val="00FB1981"/>
    <w:rsid w:val="00FB1BAA"/>
    <w:rsid w:val="00FB1D0B"/>
    <w:rsid w:val="00FB1D57"/>
    <w:rsid w:val="00FB1DCF"/>
    <w:rsid w:val="00FB20CD"/>
    <w:rsid w:val="00FB222A"/>
    <w:rsid w:val="00FB29E3"/>
    <w:rsid w:val="00FB29F6"/>
    <w:rsid w:val="00FB2BA3"/>
    <w:rsid w:val="00FB2FD0"/>
    <w:rsid w:val="00FB33AC"/>
    <w:rsid w:val="00FB3400"/>
    <w:rsid w:val="00FB3509"/>
    <w:rsid w:val="00FB3577"/>
    <w:rsid w:val="00FB3688"/>
    <w:rsid w:val="00FB3D8A"/>
    <w:rsid w:val="00FB3E31"/>
    <w:rsid w:val="00FB43F0"/>
    <w:rsid w:val="00FB486F"/>
    <w:rsid w:val="00FB4913"/>
    <w:rsid w:val="00FB4EF8"/>
    <w:rsid w:val="00FB50A7"/>
    <w:rsid w:val="00FB5CF2"/>
    <w:rsid w:val="00FB5E10"/>
    <w:rsid w:val="00FB624E"/>
    <w:rsid w:val="00FB648A"/>
    <w:rsid w:val="00FB65F9"/>
    <w:rsid w:val="00FB6BC2"/>
    <w:rsid w:val="00FB6D52"/>
    <w:rsid w:val="00FB6DE2"/>
    <w:rsid w:val="00FB6F8A"/>
    <w:rsid w:val="00FB715E"/>
    <w:rsid w:val="00FB72E4"/>
    <w:rsid w:val="00FB73C0"/>
    <w:rsid w:val="00FB7784"/>
    <w:rsid w:val="00FB79DD"/>
    <w:rsid w:val="00FB7F41"/>
    <w:rsid w:val="00FC0206"/>
    <w:rsid w:val="00FC05A3"/>
    <w:rsid w:val="00FC0C72"/>
    <w:rsid w:val="00FC0D62"/>
    <w:rsid w:val="00FC0EB1"/>
    <w:rsid w:val="00FC0F98"/>
    <w:rsid w:val="00FC1549"/>
    <w:rsid w:val="00FC1618"/>
    <w:rsid w:val="00FC18FD"/>
    <w:rsid w:val="00FC19B0"/>
    <w:rsid w:val="00FC1C79"/>
    <w:rsid w:val="00FC23DD"/>
    <w:rsid w:val="00FC2950"/>
    <w:rsid w:val="00FC2CAC"/>
    <w:rsid w:val="00FC330C"/>
    <w:rsid w:val="00FC370B"/>
    <w:rsid w:val="00FC37B9"/>
    <w:rsid w:val="00FC382A"/>
    <w:rsid w:val="00FC38B2"/>
    <w:rsid w:val="00FC3A49"/>
    <w:rsid w:val="00FC3B08"/>
    <w:rsid w:val="00FC40EB"/>
    <w:rsid w:val="00FC42D3"/>
    <w:rsid w:val="00FC486B"/>
    <w:rsid w:val="00FC4C85"/>
    <w:rsid w:val="00FC520C"/>
    <w:rsid w:val="00FC534A"/>
    <w:rsid w:val="00FC54D5"/>
    <w:rsid w:val="00FC5540"/>
    <w:rsid w:val="00FC564A"/>
    <w:rsid w:val="00FC63EA"/>
    <w:rsid w:val="00FC6553"/>
    <w:rsid w:val="00FC6B4A"/>
    <w:rsid w:val="00FC6D1B"/>
    <w:rsid w:val="00FC7375"/>
    <w:rsid w:val="00FC7C90"/>
    <w:rsid w:val="00FD009B"/>
    <w:rsid w:val="00FD0142"/>
    <w:rsid w:val="00FD0291"/>
    <w:rsid w:val="00FD04B7"/>
    <w:rsid w:val="00FD0851"/>
    <w:rsid w:val="00FD0E93"/>
    <w:rsid w:val="00FD0EBA"/>
    <w:rsid w:val="00FD107E"/>
    <w:rsid w:val="00FD1D87"/>
    <w:rsid w:val="00FD252A"/>
    <w:rsid w:val="00FD2F0A"/>
    <w:rsid w:val="00FD338A"/>
    <w:rsid w:val="00FD33B5"/>
    <w:rsid w:val="00FD33D9"/>
    <w:rsid w:val="00FD35CC"/>
    <w:rsid w:val="00FD392F"/>
    <w:rsid w:val="00FD3F5B"/>
    <w:rsid w:val="00FD4191"/>
    <w:rsid w:val="00FD4426"/>
    <w:rsid w:val="00FD447A"/>
    <w:rsid w:val="00FD46A6"/>
    <w:rsid w:val="00FD4887"/>
    <w:rsid w:val="00FD5010"/>
    <w:rsid w:val="00FD508A"/>
    <w:rsid w:val="00FD546D"/>
    <w:rsid w:val="00FD549B"/>
    <w:rsid w:val="00FD57C2"/>
    <w:rsid w:val="00FD584F"/>
    <w:rsid w:val="00FD5A4D"/>
    <w:rsid w:val="00FD6286"/>
    <w:rsid w:val="00FD629F"/>
    <w:rsid w:val="00FD6458"/>
    <w:rsid w:val="00FD645D"/>
    <w:rsid w:val="00FD67AC"/>
    <w:rsid w:val="00FD68DC"/>
    <w:rsid w:val="00FD76C3"/>
    <w:rsid w:val="00FD7B72"/>
    <w:rsid w:val="00FD7BA5"/>
    <w:rsid w:val="00FE0679"/>
    <w:rsid w:val="00FE07ED"/>
    <w:rsid w:val="00FE0844"/>
    <w:rsid w:val="00FE0F1B"/>
    <w:rsid w:val="00FE14CF"/>
    <w:rsid w:val="00FE1528"/>
    <w:rsid w:val="00FE172D"/>
    <w:rsid w:val="00FE1985"/>
    <w:rsid w:val="00FE199C"/>
    <w:rsid w:val="00FE1BE6"/>
    <w:rsid w:val="00FE1E3E"/>
    <w:rsid w:val="00FE2142"/>
    <w:rsid w:val="00FE21D2"/>
    <w:rsid w:val="00FE2375"/>
    <w:rsid w:val="00FE2B13"/>
    <w:rsid w:val="00FE2C1B"/>
    <w:rsid w:val="00FE2C2F"/>
    <w:rsid w:val="00FE2CBB"/>
    <w:rsid w:val="00FE31EB"/>
    <w:rsid w:val="00FE3A1B"/>
    <w:rsid w:val="00FE3AC9"/>
    <w:rsid w:val="00FE3BF0"/>
    <w:rsid w:val="00FE4037"/>
    <w:rsid w:val="00FE416E"/>
    <w:rsid w:val="00FE45C0"/>
    <w:rsid w:val="00FE4640"/>
    <w:rsid w:val="00FE4ED1"/>
    <w:rsid w:val="00FE5244"/>
    <w:rsid w:val="00FE5979"/>
    <w:rsid w:val="00FE5ACA"/>
    <w:rsid w:val="00FE5C42"/>
    <w:rsid w:val="00FE5D19"/>
    <w:rsid w:val="00FE6189"/>
    <w:rsid w:val="00FE666F"/>
    <w:rsid w:val="00FE6915"/>
    <w:rsid w:val="00FE6ACB"/>
    <w:rsid w:val="00FE6B3B"/>
    <w:rsid w:val="00FE6C5B"/>
    <w:rsid w:val="00FE7129"/>
    <w:rsid w:val="00FE767F"/>
    <w:rsid w:val="00FE78FD"/>
    <w:rsid w:val="00FE7BCC"/>
    <w:rsid w:val="00FE7C40"/>
    <w:rsid w:val="00FF022D"/>
    <w:rsid w:val="00FF028A"/>
    <w:rsid w:val="00FF03F3"/>
    <w:rsid w:val="00FF08AB"/>
    <w:rsid w:val="00FF0EE5"/>
    <w:rsid w:val="00FF10F0"/>
    <w:rsid w:val="00FF122A"/>
    <w:rsid w:val="00FF1869"/>
    <w:rsid w:val="00FF1D12"/>
    <w:rsid w:val="00FF1FCB"/>
    <w:rsid w:val="00FF2047"/>
    <w:rsid w:val="00FF26F6"/>
    <w:rsid w:val="00FF291E"/>
    <w:rsid w:val="00FF2C73"/>
    <w:rsid w:val="00FF31F9"/>
    <w:rsid w:val="00FF3517"/>
    <w:rsid w:val="00FF3610"/>
    <w:rsid w:val="00FF3859"/>
    <w:rsid w:val="00FF3BA1"/>
    <w:rsid w:val="00FF433E"/>
    <w:rsid w:val="00FF4458"/>
    <w:rsid w:val="00FF4512"/>
    <w:rsid w:val="00FF4D52"/>
    <w:rsid w:val="00FF4F84"/>
    <w:rsid w:val="00FF55CD"/>
    <w:rsid w:val="00FF618D"/>
    <w:rsid w:val="00FF6388"/>
    <w:rsid w:val="00FF64BD"/>
    <w:rsid w:val="00FF6869"/>
    <w:rsid w:val="00FF6C1C"/>
    <w:rsid w:val="00FF6CB1"/>
    <w:rsid w:val="00FF6F11"/>
    <w:rsid w:val="00FF7537"/>
    <w:rsid w:val="00FF75EC"/>
    <w:rsid w:val="01176EA7"/>
    <w:rsid w:val="02A45CA9"/>
    <w:rsid w:val="03BC3E86"/>
    <w:rsid w:val="041167D5"/>
    <w:rsid w:val="090B5543"/>
    <w:rsid w:val="0B0E226C"/>
    <w:rsid w:val="0B1331E6"/>
    <w:rsid w:val="11AD2965"/>
    <w:rsid w:val="13EF53B7"/>
    <w:rsid w:val="14B920B4"/>
    <w:rsid w:val="14BE7635"/>
    <w:rsid w:val="151407BA"/>
    <w:rsid w:val="16663DB9"/>
    <w:rsid w:val="1737224C"/>
    <w:rsid w:val="19842D42"/>
    <w:rsid w:val="1B4D379A"/>
    <w:rsid w:val="2052478C"/>
    <w:rsid w:val="21BE0F4D"/>
    <w:rsid w:val="22F45A8A"/>
    <w:rsid w:val="25AF342A"/>
    <w:rsid w:val="29B75604"/>
    <w:rsid w:val="2A32072A"/>
    <w:rsid w:val="2AAD7DB1"/>
    <w:rsid w:val="2E825069"/>
    <w:rsid w:val="35AC5BC5"/>
    <w:rsid w:val="35E35DFA"/>
    <w:rsid w:val="363778A2"/>
    <w:rsid w:val="375021F0"/>
    <w:rsid w:val="3766010A"/>
    <w:rsid w:val="39327D89"/>
    <w:rsid w:val="3BC907C3"/>
    <w:rsid w:val="3E330E6F"/>
    <w:rsid w:val="3E506B73"/>
    <w:rsid w:val="3EC5639A"/>
    <w:rsid w:val="3F6525B0"/>
    <w:rsid w:val="430A7B89"/>
    <w:rsid w:val="44DC13B3"/>
    <w:rsid w:val="45572B91"/>
    <w:rsid w:val="46B02CAB"/>
    <w:rsid w:val="46D73BC2"/>
    <w:rsid w:val="48750F30"/>
    <w:rsid w:val="48A13217"/>
    <w:rsid w:val="4A1255DF"/>
    <w:rsid w:val="4AD60D67"/>
    <w:rsid w:val="518A7D4B"/>
    <w:rsid w:val="51CE0489"/>
    <w:rsid w:val="53026E4F"/>
    <w:rsid w:val="53CC0343"/>
    <w:rsid w:val="55951421"/>
    <w:rsid w:val="57C63572"/>
    <w:rsid w:val="5B0D101C"/>
    <w:rsid w:val="5DC222EA"/>
    <w:rsid w:val="5F50072F"/>
    <w:rsid w:val="609154DE"/>
    <w:rsid w:val="60EC6B97"/>
    <w:rsid w:val="634D08CE"/>
    <w:rsid w:val="656767D3"/>
    <w:rsid w:val="66BA2E5F"/>
    <w:rsid w:val="677644BE"/>
    <w:rsid w:val="67CE0D8B"/>
    <w:rsid w:val="6B27192E"/>
    <w:rsid w:val="6BA01234"/>
    <w:rsid w:val="6CF90658"/>
    <w:rsid w:val="6D8034EC"/>
    <w:rsid w:val="6F5B0384"/>
    <w:rsid w:val="702A2365"/>
    <w:rsid w:val="719B79AC"/>
    <w:rsid w:val="72122746"/>
    <w:rsid w:val="733D3E65"/>
    <w:rsid w:val="73E24E54"/>
    <w:rsid w:val="76E5583E"/>
    <w:rsid w:val="78615304"/>
    <w:rsid w:val="78E279F3"/>
    <w:rsid w:val="79227201"/>
    <w:rsid w:val="7A1C5F90"/>
    <w:rsid w:val="7A8203B5"/>
    <w:rsid w:val="7AF05B67"/>
    <w:rsid w:val="7D6F2BA4"/>
    <w:rsid w:val="7E510FF1"/>
    <w:rsid w:val="7F2A3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4850FD65-F636-4D78-88BF-B9DD480F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bCs/>
      <w:sz w:val="21"/>
      <w:szCs w:val="21"/>
    </w:rPr>
  </w:style>
  <w:style w:type="paragraph" w:styleId="1">
    <w:name w:val="heading 1"/>
    <w:basedOn w:val="a"/>
    <w:next w:val="a"/>
    <w:link w:val="10"/>
    <w:uiPriority w:val="99"/>
    <w:qFormat/>
    <w:pPr>
      <w:keepNext/>
      <w:keepLines/>
      <w:widowControl w:val="0"/>
      <w:spacing w:before="60" w:after="60" w:line="360" w:lineRule="auto"/>
      <w:jc w:val="center"/>
      <w:outlineLvl w:val="0"/>
    </w:pPr>
    <w:rPr>
      <w:rFonts w:ascii="Calibri" w:eastAsia="黑体" w:hAnsi="Calibri" w:cs="Times New Roman"/>
      <w:b/>
      <w:bCs w:val="0"/>
      <w:kern w:val="44"/>
      <w:sz w:val="28"/>
      <w:szCs w:val="44"/>
    </w:rPr>
  </w:style>
  <w:style w:type="paragraph" w:styleId="2">
    <w:name w:val="heading 2"/>
    <w:basedOn w:val="a"/>
    <w:next w:val="a"/>
    <w:link w:val="20"/>
    <w:qFormat/>
    <w:pPr>
      <w:keepNext/>
      <w:keepLines/>
      <w:widowControl w:val="0"/>
      <w:spacing w:before="60" w:after="60"/>
      <w:ind w:left="200" w:hangingChars="200" w:hanging="200"/>
      <w:jc w:val="both"/>
      <w:outlineLvl w:val="1"/>
    </w:pPr>
    <w:rPr>
      <w:rFonts w:ascii="Arial" w:hAnsi="Arial" w:cs="Times New Roman"/>
      <w:b/>
      <w:bCs w:val="0"/>
      <w:kern w:val="2"/>
    </w:rPr>
  </w:style>
  <w:style w:type="paragraph" w:styleId="3">
    <w:name w:val="heading 3"/>
    <w:basedOn w:val="a"/>
    <w:next w:val="a"/>
    <w:link w:val="30"/>
    <w:uiPriority w:val="9"/>
    <w:qFormat/>
    <w:pPr>
      <w:keepNext/>
      <w:keepLines/>
      <w:widowControl w:val="0"/>
      <w:spacing w:before="60" w:after="60"/>
      <w:jc w:val="both"/>
      <w:outlineLvl w:val="2"/>
    </w:pPr>
    <w:rPr>
      <w:rFonts w:ascii="Calibri" w:hAnsi="Calibri" w:cs="Times New Roman"/>
      <w:b/>
      <w:bCs w:val="0"/>
      <w:kern w:val="2"/>
      <w:szCs w:val="32"/>
    </w:rPr>
  </w:style>
  <w:style w:type="paragraph" w:styleId="4">
    <w:name w:val="heading 4"/>
    <w:basedOn w:val="a"/>
    <w:next w:val="a"/>
    <w:link w:val="40"/>
    <w:uiPriority w:val="9"/>
    <w:qFormat/>
    <w:pPr>
      <w:keepNext/>
      <w:keepLines/>
      <w:widowControl w:val="0"/>
      <w:spacing w:before="60" w:after="60"/>
      <w:jc w:val="both"/>
      <w:outlineLvl w:val="3"/>
    </w:pPr>
    <w:rPr>
      <w:rFonts w:ascii="Cambria" w:hAnsi="Cambria" w:cs="Times New Roman"/>
      <w:b/>
      <w:bCs w:val="0"/>
      <w:kern w:val="2"/>
      <w:szCs w:val="28"/>
    </w:rPr>
  </w:style>
  <w:style w:type="paragraph" w:styleId="5">
    <w:name w:val="heading 5"/>
    <w:basedOn w:val="a"/>
    <w:next w:val="a"/>
    <w:link w:val="50"/>
    <w:uiPriority w:val="9"/>
    <w:qFormat/>
    <w:pPr>
      <w:keepNext/>
      <w:keepLines/>
      <w:widowControl w:val="0"/>
      <w:spacing w:before="60" w:after="60"/>
      <w:jc w:val="both"/>
      <w:outlineLvl w:val="4"/>
    </w:pPr>
    <w:rPr>
      <w:rFonts w:ascii="Calibri" w:hAnsi="Calibri" w:cs="Times New Roman"/>
      <w:b/>
      <w:bCs w:val="0"/>
      <w:kern w:val="2"/>
      <w:szCs w:val="28"/>
    </w:rPr>
  </w:style>
  <w:style w:type="paragraph" w:styleId="6">
    <w:name w:val="heading 6"/>
    <w:basedOn w:val="a"/>
    <w:next w:val="a"/>
    <w:link w:val="60"/>
    <w:uiPriority w:val="9"/>
    <w:unhideWhenUsed/>
    <w:qFormat/>
    <w:pPr>
      <w:keepNext/>
      <w:keepLines/>
      <w:spacing w:before="60" w:after="60"/>
      <w:outlineLvl w:val="5"/>
    </w:pPr>
    <w:rPr>
      <w:rFonts w:asciiTheme="majorHAnsi" w:hAnsiTheme="majorHAnsi" w:cstheme="majorBidi"/>
      <w:b/>
      <w:bCs w:val="0"/>
    </w:rPr>
  </w:style>
  <w:style w:type="paragraph" w:styleId="7">
    <w:name w:val="heading 7"/>
    <w:basedOn w:val="a"/>
    <w:next w:val="a"/>
    <w:link w:val="70"/>
    <w:uiPriority w:val="9"/>
    <w:unhideWhenUsed/>
    <w:qFormat/>
    <w:pPr>
      <w:keepNext/>
      <w:keepLines/>
      <w:spacing w:before="240" w:after="64" w:line="320" w:lineRule="auto"/>
      <w:outlineLvl w:val="6"/>
    </w:pPr>
    <w:rPr>
      <w:b/>
      <w:bCs w:val="0"/>
      <w:sz w:val="24"/>
    </w:rPr>
  </w:style>
  <w:style w:type="paragraph" w:styleId="9">
    <w:name w:val="heading 9"/>
    <w:basedOn w:val="a"/>
    <w:next w:val="a"/>
    <w:link w:val="90"/>
    <w:uiPriority w:val="9"/>
    <w:semiHidden/>
    <w:unhideWhenUsed/>
    <w:qFormat/>
    <w:pPr>
      <w:keepNext/>
      <w:keepLines/>
      <w:spacing w:before="240" w:after="64" w:line="32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autoRedefine/>
    <w:uiPriority w:val="39"/>
    <w:unhideWhenUsed/>
    <w:qFormat/>
    <w:pPr>
      <w:ind w:left="1260"/>
    </w:pPr>
    <w:rPr>
      <w:rFonts w:asciiTheme="minorHAnsi" w:hAnsiTheme="minorHAnsi" w:cstheme="minorHAnsi"/>
      <w:bCs w:val="0"/>
      <w:sz w:val="18"/>
      <w:szCs w:val="18"/>
    </w:rPr>
  </w:style>
  <w:style w:type="paragraph" w:styleId="a3">
    <w:name w:val="Note Heading"/>
    <w:basedOn w:val="a"/>
    <w:next w:val="a"/>
    <w:link w:val="a4"/>
    <w:uiPriority w:val="99"/>
    <w:qFormat/>
    <w:pPr>
      <w:widowControl w:val="0"/>
      <w:jc w:val="center"/>
    </w:pPr>
    <w:rPr>
      <w:rFonts w:ascii="Times New Roman" w:hAnsi="Times New Roman" w:cs="Times New Roman"/>
      <w:kern w:val="2"/>
    </w:rPr>
  </w:style>
  <w:style w:type="paragraph" w:styleId="a5">
    <w:name w:val="Normal Indent"/>
    <w:basedOn w:val="a"/>
    <w:qFormat/>
    <w:pPr>
      <w:widowControl w:val="0"/>
      <w:ind w:firstLineChars="200" w:firstLine="420"/>
      <w:jc w:val="both"/>
    </w:pPr>
    <w:rPr>
      <w:rFonts w:ascii="Times New Roman" w:hAnsi="Times New Roman" w:cs="Times New Roman"/>
      <w:kern w:val="2"/>
    </w:rPr>
  </w:style>
  <w:style w:type="paragraph" w:styleId="a6">
    <w:name w:val="Document Map"/>
    <w:basedOn w:val="a"/>
    <w:link w:val="a7"/>
    <w:uiPriority w:val="99"/>
    <w:semiHidden/>
    <w:unhideWhenUsed/>
    <w:qFormat/>
    <w:pPr>
      <w:widowControl w:val="0"/>
      <w:jc w:val="both"/>
    </w:pPr>
    <w:rPr>
      <w:rFonts w:hAnsi="Calibri" w:cs="Times New Roman"/>
      <w:kern w:val="2"/>
      <w:sz w:val="18"/>
      <w:szCs w:val="18"/>
    </w:rPr>
  </w:style>
  <w:style w:type="paragraph" w:styleId="a8">
    <w:name w:val="toa heading"/>
    <w:basedOn w:val="a"/>
    <w:next w:val="a"/>
    <w:semiHidden/>
    <w:qFormat/>
    <w:pPr>
      <w:widowControl w:val="0"/>
      <w:spacing w:before="120"/>
      <w:jc w:val="both"/>
    </w:pPr>
    <w:rPr>
      <w:rFonts w:ascii="Arial" w:hAnsi="Arial" w:cs="Times New Roman"/>
      <w:b/>
      <w:bCs w:val="0"/>
      <w:kern w:val="2"/>
    </w:rPr>
  </w:style>
  <w:style w:type="paragraph" w:styleId="a9">
    <w:name w:val="annotation text"/>
    <w:basedOn w:val="a"/>
    <w:link w:val="aa"/>
    <w:qFormat/>
    <w:pPr>
      <w:widowControl w:val="0"/>
    </w:pPr>
    <w:rPr>
      <w:rFonts w:ascii="Times New Roman" w:hAnsi="Times New Roman" w:cs="Times New Roman"/>
      <w:kern w:val="2"/>
    </w:rPr>
  </w:style>
  <w:style w:type="paragraph" w:styleId="ab">
    <w:name w:val="Salutation"/>
    <w:basedOn w:val="a"/>
    <w:next w:val="a"/>
    <w:link w:val="ac"/>
    <w:uiPriority w:val="99"/>
    <w:qFormat/>
    <w:pPr>
      <w:widowControl w:val="0"/>
      <w:jc w:val="both"/>
    </w:pPr>
    <w:rPr>
      <w:rFonts w:ascii="Times New Roman" w:hAnsi="Times New Roman" w:cs="Times New Roman"/>
      <w:kern w:val="2"/>
    </w:rPr>
  </w:style>
  <w:style w:type="paragraph" w:styleId="31">
    <w:name w:val="List Bullet 3"/>
    <w:basedOn w:val="a"/>
    <w:qFormat/>
    <w:pPr>
      <w:widowControl w:val="0"/>
      <w:tabs>
        <w:tab w:val="left" w:pos="1200"/>
      </w:tabs>
      <w:jc w:val="both"/>
    </w:pPr>
    <w:rPr>
      <w:rFonts w:ascii="Times New Roman" w:hAnsi="Times New Roman" w:cs="Times New Roman"/>
      <w:kern w:val="2"/>
    </w:rPr>
  </w:style>
  <w:style w:type="paragraph" w:styleId="ad">
    <w:name w:val="Body Text"/>
    <w:basedOn w:val="a"/>
    <w:link w:val="ae"/>
    <w:uiPriority w:val="99"/>
    <w:qFormat/>
    <w:pPr>
      <w:widowControl w:val="0"/>
      <w:spacing w:after="120"/>
      <w:jc w:val="both"/>
    </w:pPr>
    <w:rPr>
      <w:rFonts w:ascii="Times New Roman" w:hAnsi="Times New Roman" w:cs="Times New Roman"/>
      <w:kern w:val="2"/>
    </w:rPr>
  </w:style>
  <w:style w:type="paragraph" w:styleId="51">
    <w:name w:val="toc 5"/>
    <w:basedOn w:val="a"/>
    <w:next w:val="a"/>
    <w:autoRedefine/>
    <w:uiPriority w:val="39"/>
    <w:unhideWhenUsed/>
    <w:qFormat/>
    <w:pPr>
      <w:ind w:left="840"/>
    </w:pPr>
    <w:rPr>
      <w:rFonts w:asciiTheme="minorHAnsi" w:hAnsiTheme="minorHAnsi" w:cstheme="minorHAnsi"/>
      <w:bCs w:val="0"/>
      <w:sz w:val="18"/>
      <w:szCs w:val="18"/>
    </w:rPr>
  </w:style>
  <w:style w:type="paragraph" w:styleId="32">
    <w:name w:val="toc 3"/>
    <w:basedOn w:val="a"/>
    <w:next w:val="a"/>
    <w:link w:val="33"/>
    <w:autoRedefine/>
    <w:uiPriority w:val="39"/>
    <w:unhideWhenUsed/>
    <w:qFormat/>
    <w:pPr>
      <w:ind w:left="420"/>
    </w:pPr>
    <w:rPr>
      <w:rFonts w:asciiTheme="minorHAnsi" w:hAnsiTheme="minorHAnsi" w:cstheme="minorHAnsi"/>
      <w:bCs w:val="0"/>
      <w:i/>
      <w:iCs/>
      <w:sz w:val="20"/>
      <w:szCs w:val="20"/>
    </w:rPr>
  </w:style>
  <w:style w:type="paragraph" w:styleId="af">
    <w:name w:val="Plain Text"/>
    <w:basedOn w:val="a"/>
    <w:link w:val="af0"/>
    <w:qFormat/>
    <w:pPr>
      <w:widowControl w:val="0"/>
      <w:jc w:val="both"/>
    </w:pPr>
    <w:rPr>
      <w:rFonts w:hAnsi="Courier New" w:cs="Times New Roman"/>
      <w:kern w:val="2"/>
      <w:szCs w:val="20"/>
    </w:rPr>
  </w:style>
  <w:style w:type="paragraph" w:styleId="8">
    <w:name w:val="toc 8"/>
    <w:basedOn w:val="a"/>
    <w:next w:val="a"/>
    <w:autoRedefine/>
    <w:uiPriority w:val="39"/>
    <w:unhideWhenUsed/>
    <w:qFormat/>
    <w:pPr>
      <w:ind w:left="1470"/>
    </w:pPr>
    <w:rPr>
      <w:rFonts w:asciiTheme="minorHAnsi" w:hAnsiTheme="minorHAnsi" w:cstheme="minorHAnsi"/>
      <w:bCs w:val="0"/>
      <w:sz w:val="18"/>
      <w:szCs w:val="18"/>
    </w:rPr>
  </w:style>
  <w:style w:type="paragraph" w:styleId="af1">
    <w:name w:val="Date"/>
    <w:basedOn w:val="a"/>
    <w:next w:val="a"/>
    <w:link w:val="af2"/>
    <w:uiPriority w:val="99"/>
    <w:qFormat/>
    <w:pPr>
      <w:widowControl w:val="0"/>
      <w:ind w:leftChars="2500" w:left="100"/>
      <w:jc w:val="both"/>
    </w:pPr>
    <w:rPr>
      <w:rFonts w:ascii="Times New Roman" w:hAnsi="Times New Roman" w:cs="Times New Roman"/>
      <w:kern w:val="2"/>
    </w:rPr>
  </w:style>
  <w:style w:type="paragraph" w:styleId="af3">
    <w:name w:val="endnote text"/>
    <w:basedOn w:val="a"/>
    <w:link w:val="af4"/>
    <w:uiPriority w:val="99"/>
    <w:semiHidden/>
    <w:unhideWhenUsed/>
    <w:qFormat/>
    <w:pPr>
      <w:snapToGrid w:val="0"/>
    </w:pPr>
  </w:style>
  <w:style w:type="paragraph" w:styleId="af5">
    <w:name w:val="Balloon Text"/>
    <w:basedOn w:val="a"/>
    <w:link w:val="af6"/>
    <w:uiPriority w:val="99"/>
    <w:unhideWhenUsed/>
    <w:qFormat/>
    <w:pPr>
      <w:widowControl w:val="0"/>
      <w:jc w:val="both"/>
    </w:pPr>
    <w:rPr>
      <w:rFonts w:ascii="Calibri" w:hAnsi="Calibri" w:cs="Times New Roman"/>
      <w:kern w:val="2"/>
      <w:sz w:val="18"/>
      <w:szCs w:val="18"/>
    </w:rPr>
  </w:style>
  <w:style w:type="paragraph" w:styleId="af7">
    <w:name w:val="footer"/>
    <w:basedOn w:val="a"/>
    <w:link w:val="af8"/>
    <w:uiPriority w:val="99"/>
    <w:unhideWhenUsed/>
    <w:qFormat/>
    <w:pPr>
      <w:widowControl w:val="0"/>
      <w:tabs>
        <w:tab w:val="center" w:pos="4153"/>
        <w:tab w:val="right" w:pos="8306"/>
      </w:tabs>
      <w:snapToGrid w:val="0"/>
    </w:pPr>
    <w:rPr>
      <w:rFonts w:ascii="Calibri" w:hAnsi="Calibri" w:cs="Times New Roman"/>
      <w:kern w:val="2"/>
      <w:sz w:val="18"/>
      <w:szCs w:val="18"/>
    </w:rPr>
  </w:style>
  <w:style w:type="paragraph" w:styleId="af9">
    <w:name w:val="header"/>
    <w:basedOn w:val="a"/>
    <w:link w:val="afa"/>
    <w:uiPriority w:val="99"/>
    <w:unhideWhenUsed/>
    <w:qFormat/>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paragraph" w:styleId="11">
    <w:name w:val="toc 1"/>
    <w:basedOn w:val="a"/>
    <w:next w:val="a"/>
    <w:autoRedefine/>
    <w:uiPriority w:val="39"/>
    <w:qFormat/>
    <w:pPr>
      <w:spacing w:line="360" w:lineRule="auto"/>
      <w:ind w:left="200" w:hangingChars="200" w:hanging="200"/>
    </w:pPr>
    <w:rPr>
      <w:rFonts w:ascii="Times New Roman" w:hAnsi="Times New Roman" w:cstheme="minorHAnsi"/>
      <w:b/>
      <w:caps/>
      <w:szCs w:val="20"/>
    </w:rPr>
  </w:style>
  <w:style w:type="paragraph" w:styleId="41">
    <w:name w:val="toc 4"/>
    <w:basedOn w:val="a"/>
    <w:next w:val="a"/>
    <w:autoRedefine/>
    <w:uiPriority w:val="39"/>
    <w:unhideWhenUsed/>
    <w:qFormat/>
    <w:pPr>
      <w:ind w:left="630"/>
    </w:pPr>
    <w:rPr>
      <w:rFonts w:asciiTheme="minorHAnsi" w:hAnsiTheme="minorHAnsi" w:cstheme="minorHAnsi"/>
      <w:bCs w:val="0"/>
      <w:sz w:val="18"/>
      <w:szCs w:val="18"/>
    </w:rPr>
  </w:style>
  <w:style w:type="paragraph" w:styleId="afb">
    <w:name w:val="footnote text"/>
    <w:basedOn w:val="a"/>
    <w:link w:val="afc"/>
    <w:uiPriority w:val="99"/>
    <w:semiHidden/>
    <w:unhideWhenUsed/>
    <w:qFormat/>
    <w:pPr>
      <w:widowControl w:val="0"/>
      <w:snapToGrid w:val="0"/>
    </w:pPr>
    <w:rPr>
      <w:rFonts w:ascii="Calibri" w:hAnsi="Calibri" w:cs="Times New Roman"/>
      <w:bCs w:val="0"/>
      <w:kern w:val="2"/>
      <w:sz w:val="18"/>
      <w:szCs w:val="18"/>
    </w:rPr>
  </w:style>
  <w:style w:type="paragraph" w:styleId="61">
    <w:name w:val="toc 6"/>
    <w:basedOn w:val="a"/>
    <w:next w:val="a"/>
    <w:autoRedefine/>
    <w:uiPriority w:val="39"/>
    <w:unhideWhenUsed/>
    <w:qFormat/>
    <w:pPr>
      <w:ind w:left="1050"/>
    </w:pPr>
    <w:rPr>
      <w:rFonts w:asciiTheme="minorHAnsi" w:hAnsiTheme="minorHAnsi" w:cstheme="minorHAnsi"/>
      <w:bCs w:val="0"/>
      <w:sz w:val="18"/>
      <w:szCs w:val="18"/>
    </w:rPr>
  </w:style>
  <w:style w:type="paragraph" w:styleId="21">
    <w:name w:val="toc 2"/>
    <w:basedOn w:val="a"/>
    <w:next w:val="a"/>
    <w:autoRedefine/>
    <w:uiPriority w:val="39"/>
    <w:qFormat/>
    <w:pPr>
      <w:ind w:left="210"/>
    </w:pPr>
    <w:rPr>
      <w:rFonts w:asciiTheme="minorHAnsi" w:hAnsiTheme="minorHAnsi" w:cstheme="minorHAnsi"/>
      <w:bCs w:val="0"/>
      <w:smallCaps/>
      <w:sz w:val="20"/>
      <w:szCs w:val="20"/>
    </w:rPr>
  </w:style>
  <w:style w:type="paragraph" w:styleId="91">
    <w:name w:val="toc 9"/>
    <w:basedOn w:val="a"/>
    <w:next w:val="a"/>
    <w:autoRedefine/>
    <w:uiPriority w:val="39"/>
    <w:unhideWhenUsed/>
    <w:qFormat/>
    <w:pPr>
      <w:ind w:left="1680"/>
    </w:pPr>
    <w:rPr>
      <w:rFonts w:asciiTheme="minorHAnsi" w:hAnsiTheme="minorHAnsi" w:cstheme="minorHAnsi"/>
      <w:bCs w:val="0"/>
      <w:sz w:val="18"/>
      <w:szCs w:val="18"/>
    </w:rPr>
  </w:style>
  <w:style w:type="paragraph" w:styleId="afd">
    <w:name w:val="Normal (Web)"/>
    <w:basedOn w:val="a"/>
    <w:uiPriority w:val="99"/>
    <w:qFormat/>
    <w:pPr>
      <w:spacing w:before="100" w:beforeAutospacing="1" w:after="100" w:afterAutospacing="1"/>
    </w:pPr>
    <w:rPr>
      <w:sz w:val="24"/>
    </w:rPr>
  </w:style>
  <w:style w:type="paragraph" w:styleId="12">
    <w:name w:val="index 1"/>
    <w:basedOn w:val="a"/>
    <w:next w:val="a"/>
    <w:autoRedefine/>
    <w:semiHidden/>
    <w:qFormat/>
    <w:pPr>
      <w:ind w:firstLineChars="200" w:firstLine="420"/>
    </w:pPr>
    <w:rPr>
      <w:rFonts w:cs="Times New Roman"/>
      <w:color w:val="000000"/>
    </w:rPr>
  </w:style>
  <w:style w:type="paragraph" w:styleId="afe">
    <w:name w:val="Title"/>
    <w:basedOn w:val="a"/>
    <w:next w:val="a"/>
    <w:link w:val="aff"/>
    <w:uiPriority w:val="10"/>
    <w:qFormat/>
    <w:pPr>
      <w:widowControl w:val="0"/>
      <w:spacing w:before="240" w:after="60"/>
      <w:jc w:val="center"/>
      <w:outlineLvl w:val="0"/>
    </w:pPr>
    <w:rPr>
      <w:rFonts w:asciiTheme="majorHAnsi" w:hAnsiTheme="majorHAnsi" w:cstheme="majorBidi"/>
      <w:b/>
      <w:bCs w:val="0"/>
      <w:kern w:val="2"/>
      <w:sz w:val="32"/>
      <w:szCs w:val="32"/>
    </w:rPr>
  </w:style>
  <w:style w:type="paragraph" w:styleId="aff0">
    <w:name w:val="annotation subject"/>
    <w:basedOn w:val="a9"/>
    <w:next w:val="a9"/>
    <w:link w:val="aff1"/>
    <w:uiPriority w:val="99"/>
    <w:unhideWhenUsed/>
    <w:qFormat/>
    <w:rPr>
      <w:rFonts w:ascii="Calibri" w:hAnsi="Calibri"/>
      <w:b/>
      <w:bCs w:val="0"/>
      <w:szCs w:val="22"/>
    </w:rPr>
  </w:style>
  <w:style w:type="table" w:styleId="aff2">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basedOn w:val="a0"/>
    <w:link w:val="Style175"/>
    <w:uiPriority w:val="22"/>
    <w:qFormat/>
    <w:rPr>
      <w:b/>
      <w:bCs/>
    </w:rPr>
  </w:style>
  <w:style w:type="paragraph" w:customStyle="1" w:styleId="Style175">
    <w:name w:val="_Style 175"/>
    <w:basedOn w:val="Style106"/>
    <w:link w:val="aff3"/>
    <w:qFormat/>
    <w:pPr>
      <w:spacing w:line="360" w:lineRule="auto"/>
      <w:ind w:firstLineChars="200" w:firstLine="200"/>
    </w:pPr>
    <w:rPr>
      <w:color w:val="000000" w:themeColor="text1"/>
    </w:rPr>
  </w:style>
  <w:style w:type="paragraph" w:customStyle="1" w:styleId="Style106">
    <w:name w:val="_Style 106"/>
    <w:qFormat/>
    <w:rPr>
      <w:rFonts w:ascii="宋体" w:hAnsi="宋体" w:cs="宋体"/>
      <w:sz w:val="21"/>
      <w:szCs w:val="21"/>
    </w:rPr>
  </w:style>
  <w:style w:type="character" w:styleId="aff4">
    <w:name w:val="endnote reference"/>
    <w:basedOn w:val="a0"/>
    <w:uiPriority w:val="99"/>
    <w:semiHidden/>
    <w:unhideWhenUsed/>
    <w:qFormat/>
    <w:rPr>
      <w:vertAlign w:val="superscript"/>
    </w:rPr>
  </w:style>
  <w:style w:type="character" w:styleId="aff5">
    <w:name w:val="Hyperlink"/>
    <w:basedOn w:val="a0"/>
    <w:uiPriority w:val="99"/>
    <w:qFormat/>
    <w:rPr>
      <w:rFonts w:cs="Times New Roman"/>
      <w:color w:val="0000FF"/>
      <w:u w:val="single"/>
    </w:rPr>
  </w:style>
  <w:style w:type="character" w:styleId="aff6">
    <w:name w:val="annotation reference"/>
    <w:basedOn w:val="a0"/>
    <w:uiPriority w:val="99"/>
    <w:qFormat/>
    <w:rPr>
      <w:rFonts w:eastAsia="宋体" w:cs="Times New Roman"/>
      <w:kern w:val="2"/>
      <w:sz w:val="21"/>
      <w:szCs w:val="21"/>
      <w:lang w:val="en-US" w:eastAsia="zh-CN" w:bidi="ar-SA"/>
    </w:rPr>
  </w:style>
  <w:style w:type="character" w:styleId="aff7">
    <w:name w:val="footnote reference"/>
    <w:uiPriority w:val="99"/>
    <w:semiHidden/>
    <w:unhideWhenUsed/>
    <w:qFormat/>
    <w:rPr>
      <w:vertAlign w:val="superscript"/>
    </w:rPr>
  </w:style>
  <w:style w:type="character" w:customStyle="1" w:styleId="10">
    <w:name w:val="标题 1 字符"/>
    <w:basedOn w:val="a0"/>
    <w:link w:val="1"/>
    <w:uiPriority w:val="99"/>
    <w:qFormat/>
    <w:rPr>
      <w:rFonts w:eastAsia="黑体"/>
      <w:b/>
      <w:kern w:val="44"/>
      <w:sz w:val="28"/>
      <w:szCs w:val="44"/>
    </w:rPr>
  </w:style>
  <w:style w:type="character" w:customStyle="1" w:styleId="20">
    <w:name w:val="标题 2 字符"/>
    <w:basedOn w:val="a0"/>
    <w:link w:val="2"/>
    <w:qFormat/>
    <w:rPr>
      <w:rFonts w:ascii="Arial" w:hAnsi="Arial"/>
      <w:b/>
      <w:kern w:val="2"/>
      <w:sz w:val="21"/>
      <w:szCs w:val="21"/>
    </w:rPr>
  </w:style>
  <w:style w:type="character" w:customStyle="1" w:styleId="30">
    <w:name w:val="标题 3 字符"/>
    <w:basedOn w:val="a0"/>
    <w:link w:val="3"/>
    <w:uiPriority w:val="9"/>
    <w:qFormat/>
    <w:rPr>
      <w:b/>
      <w:kern w:val="2"/>
      <w:sz w:val="21"/>
      <w:szCs w:val="32"/>
    </w:rPr>
  </w:style>
  <w:style w:type="character" w:customStyle="1" w:styleId="40">
    <w:name w:val="标题 4 字符"/>
    <w:basedOn w:val="a0"/>
    <w:link w:val="4"/>
    <w:uiPriority w:val="9"/>
    <w:qFormat/>
    <w:rPr>
      <w:rFonts w:ascii="Cambria" w:hAnsi="Cambria"/>
      <w:b/>
      <w:kern w:val="2"/>
      <w:sz w:val="21"/>
      <w:szCs w:val="28"/>
    </w:rPr>
  </w:style>
  <w:style w:type="character" w:customStyle="1" w:styleId="50">
    <w:name w:val="标题 5 字符"/>
    <w:basedOn w:val="a0"/>
    <w:link w:val="5"/>
    <w:uiPriority w:val="9"/>
    <w:qFormat/>
    <w:rPr>
      <w:b/>
      <w:kern w:val="2"/>
      <w:sz w:val="21"/>
      <w:szCs w:val="28"/>
    </w:rPr>
  </w:style>
  <w:style w:type="character" w:customStyle="1" w:styleId="aa">
    <w:name w:val="批注文字 字符"/>
    <w:basedOn w:val="a0"/>
    <w:link w:val="a9"/>
    <w:qFormat/>
    <w:rPr>
      <w:rFonts w:ascii="Times New Roman" w:eastAsia="宋体" w:hAnsi="Times New Roman" w:cs="Times New Roman"/>
      <w:szCs w:val="21"/>
    </w:rPr>
  </w:style>
  <w:style w:type="character" w:customStyle="1" w:styleId="af6">
    <w:name w:val="批注框文本 字符"/>
    <w:basedOn w:val="a0"/>
    <w:link w:val="af5"/>
    <w:uiPriority w:val="99"/>
    <w:qFormat/>
    <w:rPr>
      <w:rFonts w:ascii="Calibri" w:eastAsia="宋体" w:hAnsi="Calibri" w:cs="Times New Roman"/>
      <w:sz w:val="18"/>
      <w:szCs w:val="18"/>
    </w:rPr>
  </w:style>
  <w:style w:type="character" w:customStyle="1" w:styleId="ac">
    <w:name w:val="称呼 字符"/>
    <w:basedOn w:val="a0"/>
    <w:link w:val="ab"/>
    <w:uiPriority w:val="99"/>
    <w:qFormat/>
    <w:rPr>
      <w:rFonts w:ascii="Times New Roman" w:eastAsia="宋体" w:hAnsi="Times New Roman" w:cs="Times New Roman"/>
      <w:szCs w:val="21"/>
    </w:rPr>
  </w:style>
  <w:style w:type="character" w:customStyle="1" w:styleId="notnullcss1">
    <w:name w:val="notnullcss1"/>
    <w:basedOn w:val="a0"/>
    <w:uiPriority w:val="99"/>
    <w:qFormat/>
    <w:rPr>
      <w:rFonts w:eastAsia="宋体" w:cs="Times New Roman"/>
      <w:color w:val="FF0000"/>
      <w:kern w:val="2"/>
      <w:sz w:val="24"/>
      <w:szCs w:val="24"/>
      <w:lang w:val="en-US" w:eastAsia="zh-CN" w:bidi="ar-SA"/>
    </w:rPr>
  </w:style>
  <w:style w:type="paragraph" w:styleId="aff8">
    <w:name w:val="List Paragraph"/>
    <w:basedOn w:val="a"/>
    <w:uiPriority w:val="34"/>
    <w:qFormat/>
    <w:pPr>
      <w:widowControl w:val="0"/>
      <w:ind w:firstLineChars="200" w:firstLine="420"/>
      <w:jc w:val="both"/>
    </w:pPr>
    <w:rPr>
      <w:rFonts w:ascii="Calibri" w:hAnsi="Calibri" w:cs="Times New Roman"/>
      <w:kern w:val="2"/>
      <w:szCs w:val="22"/>
    </w:rPr>
  </w:style>
  <w:style w:type="character" w:customStyle="1" w:styleId="aff1">
    <w:name w:val="批注主题 字符"/>
    <w:basedOn w:val="aa"/>
    <w:link w:val="aff0"/>
    <w:uiPriority w:val="99"/>
    <w:qFormat/>
    <w:rPr>
      <w:rFonts w:ascii="Calibri" w:eastAsia="宋体" w:hAnsi="Calibri" w:cs="Times New Roman"/>
      <w:b/>
      <w:szCs w:val="21"/>
    </w:rPr>
  </w:style>
  <w:style w:type="character" w:customStyle="1" w:styleId="afa">
    <w:name w:val="页眉 字符"/>
    <w:basedOn w:val="a0"/>
    <w:link w:val="af9"/>
    <w:uiPriority w:val="99"/>
    <w:qFormat/>
    <w:rPr>
      <w:rFonts w:ascii="Calibri" w:eastAsia="宋体" w:hAnsi="Calibri" w:cs="Times New Roman"/>
      <w:sz w:val="18"/>
      <w:szCs w:val="18"/>
    </w:rPr>
  </w:style>
  <w:style w:type="character" w:customStyle="1" w:styleId="af8">
    <w:name w:val="页脚 字符"/>
    <w:basedOn w:val="a0"/>
    <w:link w:val="af7"/>
    <w:uiPriority w:val="99"/>
    <w:qFormat/>
    <w:rPr>
      <w:rFonts w:ascii="Calibri" w:eastAsia="宋体" w:hAnsi="Calibri" w:cs="Times New Roman"/>
      <w:sz w:val="18"/>
      <w:szCs w:val="18"/>
    </w:rPr>
  </w:style>
  <w:style w:type="character" w:customStyle="1" w:styleId="af0">
    <w:name w:val="纯文本 字符"/>
    <w:basedOn w:val="a0"/>
    <w:link w:val="af"/>
    <w:qFormat/>
    <w:rPr>
      <w:rFonts w:ascii="宋体" w:eastAsia="宋体" w:hAnsi="Courier New" w:cs="Times New Roman"/>
      <w:szCs w:val="20"/>
    </w:rPr>
  </w:style>
  <w:style w:type="character" w:customStyle="1" w:styleId="headline-content2">
    <w:name w:val="headline-content2"/>
    <w:basedOn w:val="a0"/>
    <w:qFormat/>
    <w:rPr>
      <w:rFonts w:eastAsia="宋体" w:cs="Times New Roman"/>
      <w:kern w:val="2"/>
      <w:sz w:val="24"/>
      <w:szCs w:val="24"/>
      <w:lang w:val="en-US" w:eastAsia="zh-CN" w:bidi="ar-SA"/>
    </w:rPr>
  </w:style>
  <w:style w:type="character" w:customStyle="1" w:styleId="ae">
    <w:name w:val="正文文本 字符"/>
    <w:basedOn w:val="a0"/>
    <w:link w:val="ad"/>
    <w:uiPriority w:val="99"/>
    <w:qFormat/>
    <w:rPr>
      <w:rFonts w:ascii="Times New Roman" w:eastAsia="宋体" w:hAnsi="Times New Roman" w:cs="Times New Roman"/>
      <w:szCs w:val="21"/>
    </w:rPr>
  </w:style>
  <w:style w:type="character" w:customStyle="1" w:styleId="af2">
    <w:name w:val="日期 字符"/>
    <w:basedOn w:val="a0"/>
    <w:link w:val="af1"/>
    <w:uiPriority w:val="99"/>
    <w:qFormat/>
    <w:rPr>
      <w:rFonts w:ascii="Times New Roman" w:eastAsia="宋体" w:hAnsi="Times New Roman" w:cs="Times New Roman"/>
      <w:szCs w:val="21"/>
    </w:rPr>
  </w:style>
  <w:style w:type="character" w:customStyle="1" w:styleId="a4">
    <w:name w:val="注释标题 字符"/>
    <w:basedOn w:val="a0"/>
    <w:link w:val="a3"/>
    <w:uiPriority w:val="99"/>
    <w:qFormat/>
    <w:rPr>
      <w:rFonts w:ascii="Times New Roman" w:eastAsia="宋体" w:hAnsi="Times New Roman" w:cs="Times New Roman"/>
      <w:szCs w:val="21"/>
    </w:rPr>
  </w:style>
  <w:style w:type="character" w:customStyle="1" w:styleId="Char">
    <w:name w:val="正文的样式 Char"/>
    <w:basedOn w:val="a0"/>
    <w:link w:val="aff9"/>
    <w:qFormat/>
    <w:rPr>
      <w:kern w:val="2"/>
      <w:sz w:val="21"/>
      <w:szCs w:val="24"/>
    </w:rPr>
  </w:style>
  <w:style w:type="paragraph" w:customStyle="1" w:styleId="aff9">
    <w:name w:val="正文的样式"/>
    <w:basedOn w:val="a"/>
    <w:link w:val="Char"/>
    <w:qFormat/>
    <w:pPr>
      <w:widowControl w:val="0"/>
      <w:spacing w:before="100" w:after="100"/>
      <w:jc w:val="both"/>
    </w:pPr>
    <w:rPr>
      <w:rFonts w:ascii="Calibri" w:hAnsi="Calibri" w:cs="Times New Roman"/>
      <w:kern w:val="2"/>
    </w:rPr>
  </w:style>
  <w:style w:type="character" w:customStyle="1" w:styleId="a7">
    <w:name w:val="文档结构图 字符"/>
    <w:basedOn w:val="a0"/>
    <w:link w:val="a6"/>
    <w:uiPriority w:val="99"/>
    <w:semiHidden/>
    <w:qFormat/>
    <w:rPr>
      <w:rFonts w:ascii="宋体"/>
      <w:kern w:val="2"/>
      <w:sz w:val="18"/>
      <w:szCs w:val="18"/>
    </w:rPr>
  </w:style>
  <w:style w:type="character" w:styleId="affa">
    <w:name w:val="Placeholder Text"/>
    <w:basedOn w:val="a0"/>
    <w:link w:val="Style1891"/>
    <w:uiPriority w:val="99"/>
    <w:qFormat/>
    <w:rPr>
      <w:color w:val="auto"/>
    </w:rPr>
  </w:style>
  <w:style w:type="paragraph" w:customStyle="1" w:styleId="Style1891">
    <w:name w:val="_Style 1891"/>
    <w:basedOn w:val="a"/>
    <w:link w:val="affa"/>
    <w:autoRedefine/>
    <w:uiPriority w:val="99"/>
    <w:qFormat/>
    <w:pPr>
      <w:widowControl w:val="0"/>
      <w:snapToGrid w:val="0"/>
      <w:jc w:val="both"/>
    </w:pPr>
    <w:rPr>
      <w:bCs w:val="0"/>
      <w:sz w:val="20"/>
      <w:szCs w:val="20"/>
    </w:rPr>
  </w:style>
  <w:style w:type="character" w:customStyle="1" w:styleId="aff">
    <w:name w:val="标题 字符"/>
    <w:basedOn w:val="a0"/>
    <w:link w:val="afe"/>
    <w:uiPriority w:val="10"/>
    <w:qFormat/>
    <w:rPr>
      <w:rFonts w:asciiTheme="majorHAnsi" w:hAnsiTheme="majorHAnsi" w:cstheme="majorBidi"/>
      <w:b/>
      <w:kern w:val="2"/>
      <w:sz w:val="32"/>
      <w:szCs w:val="32"/>
    </w:rPr>
  </w:style>
  <w:style w:type="paragraph" w:styleId="affb">
    <w:name w:val="No Spacing"/>
    <w:uiPriority w:val="1"/>
    <w:qFormat/>
    <w:pPr>
      <w:widowControl w:val="0"/>
      <w:jc w:val="both"/>
    </w:pPr>
    <w:rPr>
      <w:rFonts w:ascii="宋体" w:hAnsi="宋体" w:cs="宋体"/>
      <w:bCs/>
      <w:kern w:val="2"/>
      <w:sz w:val="21"/>
      <w:szCs w:val="22"/>
    </w:rPr>
  </w:style>
  <w:style w:type="character" w:customStyle="1" w:styleId="60">
    <w:name w:val="标题 6 字符"/>
    <w:basedOn w:val="a0"/>
    <w:link w:val="6"/>
    <w:uiPriority w:val="9"/>
    <w:qFormat/>
    <w:rPr>
      <w:rFonts w:asciiTheme="majorHAnsi" w:hAnsiTheme="majorHAnsi" w:cstheme="majorBidi"/>
      <w:b/>
      <w:sz w:val="21"/>
      <w:szCs w:val="24"/>
    </w:rPr>
  </w:style>
  <w:style w:type="character" w:customStyle="1" w:styleId="af4">
    <w:name w:val="尾注文本 字符"/>
    <w:basedOn w:val="a0"/>
    <w:link w:val="af3"/>
    <w:uiPriority w:val="99"/>
    <w:semiHidden/>
    <w:qFormat/>
    <w:rPr>
      <w:rFonts w:ascii="宋体" w:hAnsi="宋体" w:cs="宋体"/>
      <w:sz w:val="21"/>
      <w:szCs w:val="24"/>
    </w:rPr>
  </w:style>
  <w:style w:type="character" w:customStyle="1" w:styleId="Char1">
    <w:name w:val="批注主题 Char1"/>
    <w:basedOn w:val="aa"/>
    <w:uiPriority w:val="99"/>
    <w:semiHidden/>
    <w:qFormat/>
    <w:rPr>
      <w:rFonts w:ascii="Times New Roman" w:eastAsia="宋体" w:hAnsi="Times New Roman" w:cs="Times New Roman"/>
      <w:b/>
      <w:szCs w:val="21"/>
    </w:rPr>
  </w:style>
  <w:style w:type="paragraph" w:customStyle="1" w:styleId="34">
    <w:name w:val="标题  3"/>
    <w:basedOn w:val="a"/>
    <w:next w:val="a"/>
    <w:link w:val="3Char"/>
    <w:qFormat/>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4"/>
    <w:qFormat/>
    <w:rPr>
      <w:rFonts w:ascii="Times New Roman" w:hAnsi="Times New Roman"/>
      <w:b/>
      <w:kern w:val="2"/>
      <w:sz w:val="21"/>
      <w:szCs w:val="24"/>
    </w:rPr>
  </w:style>
  <w:style w:type="character" w:customStyle="1" w:styleId="13">
    <w:name w:val="批注主题 字符1"/>
    <w:basedOn w:val="aa"/>
    <w:uiPriority w:val="99"/>
    <w:semiHidden/>
    <w:qFormat/>
    <w:rPr>
      <w:rFonts w:ascii="Times New Roman" w:eastAsia="宋体" w:hAnsi="Times New Roman" w:cs="Times New Roman"/>
      <w:b/>
      <w:szCs w:val="21"/>
    </w:rPr>
  </w:style>
  <w:style w:type="character" w:customStyle="1" w:styleId="70">
    <w:name w:val="标题 7 字符"/>
    <w:basedOn w:val="a0"/>
    <w:link w:val="7"/>
    <w:uiPriority w:val="9"/>
    <w:qFormat/>
    <w:rPr>
      <w:rFonts w:ascii="宋体" w:hAnsi="宋体" w:cs="宋体"/>
      <w:b/>
      <w:sz w:val="24"/>
      <w:szCs w:val="24"/>
    </w:rPr>
  </w:style>
  <w:style w:type="character" w:customStyle="1" w:styleId="span">
    <w:name w:val="span_"/>
    <w:basedOn w:val="a0"/>
    <w:qFormat/>
  </w:style>
  <w:style w:type="character" w:customStyle="1" w:styleId="4Char">
    <w:name w:val="标题 4 Char"/>
    <w:uiPriority w:val="9"/>
    <w:qFormat/>
    <w:rPr>
      <w:rFonts w:ascii="Cambria" w:hAnsi="Cambria"/>
      <w:b/>
      <w:kern w:val="2"/>
      <w:sz w:val="21"/>
      <w:szCs w:val="28"/>
    </w:rPr>
  </w:style>
  <w:style w:type="character" w:customStyle="1" w:styleId="3Char0">
    <w:name w:val="标题 3 Char"/>
    <w:uiPriority w:val="9"/>
    <w:qFormat/>
    <w:rPr>
      <w:b/>
      <w:kern w:val="2"/>
      <w:sz w:val="21"/>
      <w:szCs w:val="32"/>
    </w:rPr>
  </w:style>
  <w:style w:type="character" w:customStyle="1" w:styleId="Char0">
    <w:name w:val="批注文字 Char"/>
    <w:qFormat/>
    <w:rPr>
      <w:rFonts w:ascii="Times New Roman" w:hAnsi="Times New Roman"/>
      <w:kern w:val="2"/>
      <w:sz w:val="21"/>
      <w:szCs w:val="21"/>
    </w:rPr>
  </w:style>
  <w:style w:type="character" w:customStyle="1" w:styleId="5Char">
    <w:name w:val="标题 5 Char"/>
    <w:uiPriority w:val="9"/>
    <w:qFormat/>
    <w:rPr>
      <w:b/>
      <w:kern w:val="2"/>
      <w:sz w:val="21"/>
      <w:szCs w:val="28"/>
    </w:rPr>
  </w:style>
  <w:style w:type="paragraph" w:customStyle="1" w:styleId="Style88">
    <w:name w:val="_Style 88"/>
    <w:basedOn w:val="a"/>
    <w:next w:val="aff8"/>
    <w:uiPriority w:val="34"/>
    <w:qFormat/>
    <w:pPr>
      <w:widowControl w:val="0"/>
      <w:ind w:firstLineChars="200" w:firstLine="420"/>
      <w:jc w:val="both"/>
    </w:pPr>
    <w:rPr>
      <w:rFonts w:ascii="Calibri" w:hAnsi="Calibri" w:cs="Times New Roman"/>
      <w:kern w:val="2"/>
      <w:szCs w:val="22"/>
    </w:rPr>
  </w:style>
  <w:style w:type="character" w:customStyle="1" w:styleId="Char10">
    <w:name w:val="批注文字 Char1"/>
    <w:uiPriority w:val="99"/>
    <w:qFormat/>
    <w:rPr>
      <w:rFonts w:ascii="Times New Roman" w:hAnsi="Times New Roman"/>
      <w:kern w:val="2"/>
      <w:sz w:val="21"/>
      <w:szCs w:val="21"/>
    </w:rPr>
  </w:style>
  <w:style w:type="character" w:customStyle="1" w:styleId="3Char1">
    <w:name w:val="标题 3 Char1"/>
    <w:uiPriority w:val="9"/>
    <w:qFormat/>
    <w:rPr>
      <w:b/>
      <w:kern w:val="2"/>
      <w:sz w:val="21"/>
      <w:szCs w:val="32"/>
    </w:rPr>
  </w:style>
  <w:style w:type="character" w:customStyle="1" w:styleId="2Char">
    <w:name w:val="标题 2 Char"/>
    <w:qFormat/>
    <w:rPr>
      <w:rFonts w:ascii="Arial" w:hAnsi="Arial"/>
      <w:b/>
      <w:kern w:val="2"/>
      <w:sz w:val="21"/>
      <w:szCs w:val="21"/>
    </w:rPr>
  </w:style>
  <w:style w:type="character" w:customStyle="1" w:styleId="4Char1">
    <w:name w:val="标题 4 Char1"/>
    <w:uiPriority w:val="9"/>
    <w:qFormat/>
    <w:rPr>
      <w:rFonts w:ascii="Cambria" w:hAnsi="Cambria"/>
      <w:b/>
      <w:kern w:val="2"/>
      <w:sz w:val="21"/>
      <w:szCs w:val="28"/>
    </w:rPr>
  </w:style>
  <w:style w:type="character" w:customStyle="1" w:styleId="5Char1">
    <w:name w:val="标题 5 Char1"/>
    <w:uiPriority w:val="9"/>
    <w:qFormat/>
    <w:rPr>
      <w:b/>
      <w:kern w:val="2"/>
      <w:sz w:val="21"/>
      <w:szCs w:val="28"/>
    </w:rPr>
  </w:style>
  <w:style w:type="character" w:customStyle="1" w:styleId="Char2">
    <w:name w:val="批注文字 Char2"/>
    <w:uiPriority w:val="99"/>
    <w:qFormat/>
    <w:rPr>
      <w:rFonts w:ascii="Times New Roman" w:hAnsi="Times New Roman"/>
      <w:kern w:val="2"/>
      <w:sz w:val="21"/>
      <w:szCs w:val="21"/>
    </w:rPr>
  </w:style>
  <w:style w:type="character" w:customStyle="1" w:styleId="Char3">
    <w:name w:val="批注文字 Char3"/>
    <w:qFormat/>
    <w:rPr>
      <w:rFonts w:ascii="Times New Roman" w:hAnsi="Times New Roman" w:cs="Times New Roman"/>
      <w:kern w:val="2"/>
      <w:sz w:val="21"/>
      <w:szCs w:val="21"/>
    </w:rPr>
  </w:style>
  <w:style w:type="character" w:customStyle="1" w:styleId="Char4">
    <w:name w:val="称呼 Char"/>
    <w:uiPriority w:val="99"/>
    <w:qFormat/>
    <w:rPr>
      <w:rFonts w:ascii="Times New Roman" w:hAnsi="Times New Roman"/>
      <w:kern w:val="2"/>
      <w:sz w:val="21"/>
      <w:szCs w:val="21"/>
    </w:rPr>
  </w:style>
  <w:style w:type="character" w:customStyle="1" w:styleId="fontstyle01">
    <w:name w:val="fontstyle01"/>
    <w:qFormat/>
    <w:rPr>
      <w:rFonts w:ascii="FZLTSK--GBK1-0" w:hAnsi="FZLTSK--GBK1-0" w:hint="default"/>
      <w:bCs/>
      <w:color w:val="000000"/>
      <w:sz w:val="20"/>
      <w:szCs w:val="20"/>
    </w:rPr>
  </w:style>
  <w:style w:type="character" w:customStyle="1" w:styleId="14">
    <w:name w:val="批注文字 字符1"/>
    <w:uiPriority w:val="99"/>
    <w:semiHidden/>
    <w:qFormat/>
    <w:locked/>
    <w:rPr>
      <w:rFonts w:ascii="Times New Roman" w:hAnsi="Times New Roman"/>
      <w:kern w:val="2"/>
      <w:sz w:val="21"/>
      <w:szCs w:val="21"/>
    </w:rPr>
  </w:style>
  <w:style w:type="character" w:customStyle="1" w:styleId="2Char1">
    <w:name w:val="标题 2 Char1"/>
    <w:qFormat/>
    <w:rPr>
      <w:rFonts w:ascii="Arial" w:hAnsi="Arial"/>
      <w:b/>
      <w:kern w:val="2"/>
      <w:sz w:val="21"/>
      <w:szCs w:val="21"/>
    </w:rPr>
  </w:style>
  <w:style w:type="character" w:customStyle="1" w:styleId="5Char2">
    <w:name w:val="标题 5 Char2"/>
    <w:uiPriority w:val="9"/>
    <w:qFormat/>
    <w:rPr>
      <w:b/>
      <w:kern w:val="2"/>
      <w:sz w:val="21"/>
      <w:szCs w:val="28"/>
    </w:rPr>
  </w:style>
  <w:style w:type="character" w:customStyle="1" w:styleId="3Char2">
    <w:name w:val="标题 3 Char2"/>
    <w:uiPriority w:val="9"/>
    <w:qFormat/>
    <w:rPr>
      <w:b/>
      <w:kern w:val="2"/>
      <w:sz w:val="21"/>
      <w:szCs w:val="32"/>
    </w:rPr>
  </w:style>
  <w:style w:type="character" w:customStyle="1" w:styleId="3Char3">
    <w:name w:val="标题 3 Char3"/>
    <w:uiPriority w:val="9"/>
    <w:qFormat/>
    <w:rPr>
      <w:b/>
      <w:kern w:val="2"/>
      <w:sz w:val="21"/>
      <w:szCs w:val="32"/>
    </w:rPr>
  </w:style>
  <w:style w:type="character" w:customStyle="1" w:styleId="afc">
    <w:name w:val="脚注文本 字符"/>
    <w:basedOn w:val="a0"/>
    <w:link w:val="afb"/>
    <w:uiPriority w:val="99"/>
    <w:semiHidden/>
    <w:qFormat/>
    <w:rPr>
      <w:rFonts w:ascii="Calibri" w:hAnsi="Calibri" w:cs="Times New Roman"/>
      <w:kern w:val="2"/>
      <w:sz w:val="18"/>
      <w:szCs w:val="18"/>
    </w:rPr>
  </w:style>
  <w:style w:type="paragraph" w:customStyle="1" w:styleId="15">
    <w:name w:val="正文1"/>
    <w:qFormat/>
    <w:pPr>
      <w:jc w:val="both"/>
    </w:pPr>
    <w:rPr>
      <w:rFonts w:ascii="Calibri" w:hAnsi="Calibri" w:cs="Calibri"/>
      <w:kern w:val="2"/>
      <w:sz w:val="21"/>
      <w:szCs w:val="21"/>
    </w:rPr>
  </w:style>
  <w:style w:type="paragraph" w:customStyle="1" w:styleId="16">
    <w:name w:val="列出段落1"/>
    <w:basedOn w:val="a"/>
    <w:qFormat/>
    <w:pPr>
      <w:widowControl w:val="0"/>
      <w:ind w:firstLineChars="200" w:firstLine="420"/>
      <w:jc w:val="both"/>
    </w:pPr>
    <w:rPr>
      <w:rFonts w:ascii="Calibri" w:hAnsi="Calibri" w:cs="Times New Roman"/>
      <w:kern w:val="2"/>
    </w:rPr>
  </w:style>
  <w:style w:type="paragraph" w:customStyle="1" w:styleId="affc">
    <w:name w:val="年报正文"/>
    <w:basedOn w:val="a"/>
    <w:link w:val="Style176"/>
    <w:qFormat/>
    <w:pPr>
      <w:widowControl w:val="0"/>
      <w:spacing w:beforeLines="50" w:after="100" w:afterAutospacing="1" w:line="360" w:lineRule="auto"/>
      <w:ind w:firstLineChars="200" w:firstLine="480"/>
      <w:jc w:val="both"/>
    </w:pPr>
    <w:rPr>
      <w:bCs w:val="0"/>
    </w:rPr>
  </w:style>
  <w:style w:type="table" w:customStyle="1" w:styleId="g2">
    <w:name w:val="g2"/>
    <w:uiPriority w:val="99"/>
    <w:semiHidden/>
    <w:unhideWhenUsed/>
    <w:qFormat/>
    <w:tblPr>
      <w:tblCellMar>
        <w:top w:w="0" w:type="dxa"/>
        <w:left w:w="108" w:type="dxa"/>
        <w:bottom w:w="0" w:type="dxa"/>
        <w:right w:w="108" w:type="dxa"/>
      </w:tblCellMar>
    </w:tblPr>
  </w:style>
  <w:style w:type="table" w:customStyle="1" w:styleId="g3">
    <w:name w:val="g3"/>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7">
    <w:name w:val="g7"/>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tyle108">
    <w:name w:val="_Style 108"/>
    <w:basedOn w:val="Style106"/>
    <w:next w:val="a"/>
    <w:qFormat/>
    <w:pPr>
      <w:keepNext/>
      <w:keepLines/>
      <w:widowControl w:val="0"/>
      <w:spacing w:before="60" w:after="60"/>
      <w:ind w:left="200" w:hangingChars="200" w:hanging="200"/>
      <w:jc w:val="both"/>
      <w:outlineLvl w:val="1"/>
    </w:pPr>
    <w:rPr>
      <w:rFonts w:ascii="Arial" w:hAnsi="Arial" w:cs="Times New Roman"/>
      <w:b/>
      <w:bCs/>
      <w:kern w:val="2"/>
    </w:rPr>
  </w:style>
  <w:style w:type="paragraph" w:customStyle="1" w:styleId="Style109">
    <w:name w:val="_Style 109"/>
    <w:basedOn w:val="Style106"/>
    <w:next w:val="a"/>
    <w:uiPriority w:val="9"/>
    <w:qFormat/>
    <w:pPr>
      <w:keepNext/>
      <w:keepLines/>
      <w:widowControl w:val="0"/>
      <w:spacing w:before="60" w:after="60"/>
      <w:jc w:val="both"/>
      <w:outlineLvl w:val="2"/>
    </w:pPr>
    <w:rPr>
      <w:rFonts w:ascii="Calibri" w:hAnsi="Calibri" w:cs="Times New Roman"/>
      <w:b/>
      <w:bCs/>
      <w:kern w:val="2"/>
      <w:szCs w:val="32"/>
    </w:rPr>
  </w:style>
  <w:style w:type="paragraph" w:customStyle="1" w:styleId="Style110">
    <w:name w:val="_Style 110"/>
    <w:basedOn w:val="Style106"/>
    <w:next w:val="a"/>
    <w:uiPriority w:val="9"/>
    <w:qFormat/>
    <w:pPr>
      <w:keepNext/>
      <w:keepLines/>
      <w:widowControl w:val="0"/>
      <w:spacing w:before="60" w:after="60"/>
      <w:jc w:val="both"/>
      <w:outlineLvl w:val="3"/>
    </w:pPr>
    <w:rPr>
      <w:rFonts w:ascii="Cambria" w:hAnsi="Cambria" w:cs="Times New Roman"/>
      <w:b/>
      <w:bCs/>
      <w:kern w:val="2"/>
      <w:szCs w:val="28"/>
    </w:rPr>
  </w:style>
  <w:style w:type="paragraph" w:customStyle="1" w:styleId="Style111">
    <w:name w:val="_Style 111"/>
    <w:basedOn w:val="Style106"/>
    <w:next w:val="a"/>
    <w:uiPriority w:val="9"/>
    <w:qFormat/>
    <w:pPr>
      <w:keepNext/>
      <w:keepLines/>
      <w:widowControl w:val="0"/>
      <w:spacing w:before="60" w:after="60"/>
      <w:jc w:val="both"/>
      <w:outlineLvl w:val="4"/>
    </w:pPr>
    <w:rPr>
      <w:rFonts w:ascii="Calibri" w:hAnsi="Calibri" w:cs="Times New Roman"/>
      <w:b/>
      <w:bCs/>
      <w:kern w:val="2"/>
      <w:szCs w:val="28"/>
    </w:rPr>
  </w:style>
  <w:style w:type="paragraph" w:customStyle="1" w:styleId="Style120">
    <w:name w:val="_Style 120"/>
    <w:basedOn w:val="Style106"/>
    <w:next w:val="a"/>
    <w:uiPriority w:val="99"/>
    <w:qFormat/>
    <w:pPr>
      <w:widowControl w:val="0"/>
      <w:jc w:val="both"/>
    </w:pPr>
    <w:rPr>
      <w:rFonts w:ascii="Times New Roman" w:hAnsi="Times New Roman" w:cs="Times New Roman"/>
      <w:kern w:val="2"/>
    </w:rPr>
  </w:style>
  <w:style w:type="paragraph" w:customStyle="1" w:styleId="Style125">
    <w:name w:val="_Style 125"/>
    <w:basedOn w:val="Style106"/>
    <w:qFormat/>
    <w:pPr>
      <w:widowControl w:val="0"/>
      <w:jc w:val="both"/>
    </w:pPr>
    <w:rPr>
      <w:rFonts w:hAnsi="Courier New" w:cs="Times New Roman"/>
      <w:kern w:val="2"/>
      <w:szCs w:val="20"/>
    </w:rPr>
  </w:style>
  <w:style w:type="character" w:customStyle="1" w:styleId="Style142">
    <w:name w:val="_Style 142"/>
    <w:basedOn w:val="a0"/>
    <w:uiPriority w:val="99"/>
    <w:qFormat/>
    <w:rPr>
      <w:rFonts w:eastAsia="黑体"/>
      <w:b/>
      <w:bCs/>
      <w:kern w:val="44"/>
      <w:sz w:val="28"/>
      <w:szCs w:val="44"/>
    </w:rPr>
  </w:style>
  <w:style w:type="character" w:customStyle="1" w:styleId="Style143">
    <w:name w:val="_Style 143"/>
    <w:basedOn w:val="a0"/>
    <w:qFormat/>
    <w:rPr>
      <w:rFonts w:ascii="Arial" w:hAnsi="Arial"/>
      <w:b/>
      <w:bCs/>
      <w:kern w:val="2"/>
      <w:sz w:val="21"/>
      <w:szCs w:val="21"/>
    </w:rPr>
  </w:style>
  <w:style w:type="character" w:customStyle="1" w:styleId="Style144">
    <w:name w:val="_Style 144"/>
    <w:basedOn w:val="a0"/>
    <w:uiPriority w:val="9"/>
    <w:qFormat/>
    <w:rPr>
      <w:b/>
      <w:bCs/>
      <w:kern w:val="2"/>
      <w:sz w:val="21"/>
      <w:szCs w:val="32"/>
    </w:rPr>
  </w:style>
  <w:style w:type="character" w:customStyle="1" w:styleId="Style145">
    <w:name w:val="_Style 145"/>
    <w:basedOn w:val="a0"/>
    <w:uiPriority w:val="9"/>
    <w:qFormat/>
    <w:rPr>
      <w:rFonts w:ascii="Cambria" w:hAnsi="Cambria"/>
      <w:b/>
      <w:bCs/>
      <w:kern w:val="2"/>
      <w:sz w:val="21"/>
      <w:szCs w:val="28"/>
    </w:rPr>
  </w:style>
  <w:style w:type="character" w:customStyle="1" w:styleId="Style146">
    <w:name w:val="_Style 146"/>
    <w:basedOn w:val="a0"/>
    <w:uiPriority w:val="9"/>
    <w:qFormat/>
    <w:rPr>
      <w:b/>
      <w:bCs/>
      <w:kern w:val="2"/>
      <w:sz w:val="21"/>
      <w:szCs w:val="28"/>
    </w:rPr>
  </w:style>
  <w:style w:type="paragraph" w:customStyle="1" w:styleId="Style147">
    <w:name w:val="_Style 147"/>
    <w:basedOn w:val="Style106"/>
    <w:uiPriority w:val="34"/>
    <w:qFormat/>
    <w:pPr>
      <w:widowControl w:val="0"/>
      <w:ind w:firstLineChars="200" w:firstLine="420"/>
      <w:jc w:val="both"/>
    </w:pPr>
    <w:rPr>
      <w:rFonts w:ascii="Calibri" w:hAnsi="Calibri" w:cs="Times New Roman"/>
      <w:kern w:val="2"/>
      <w:szCs w:val="22"/>
    </w:rPr>
  </w:style>
  <w:style w:type="character" w:customStyle="1" w:styleId="Style148">
    <w:name w:val="_Style 148"/>
    <w:basedOn w:val="aa"/>
    <w:uiPriority w:val="99"/>
    <w:qFormat/>
    <w:rPr>
      <w:rFonts w:ascii="Calibri" w:eastAsia="宋体" w:hAnsi="Calibri" w:cs="Times New Roman"/>
      <w:b/>
      <w:bCs/>
      <w:szCs w:val="21"/>
    </w:rPr>
  </w:style>
  <w:style w:type="character" w:customStyle="1" w:styleId="Style149">
    <w:name w:val="_Style 149"/>
    <w:basedOn w:val="a0"/>
    <w:uiPriority w:val="99"/>
    <w:qFormat/>
    <w:rPr>
      <w:color w:val="auto"/>
    </w:rPr>
  </w:style>
  <w:style w:type="character" w:customStyle="1" w:styleId="Style150">
    <w:name w:val="_Style 150"/>
    <w:basedOn w:val="a0"/>
    <w:uiPriority w:val="10"/>
    <w:qFormat/>
    <w:rPr>
      <w:rFonts w:asciiTheme="majorHAnsi" w:hAnsiTheme="majorHAnsi" w:cstheme="majorBidi"/>
      <w:b/>
      <w:bCs/>
      <w:kern w:val="2"/>
      <w:sz w:val="32"/>
      <w:szCs w:val="32"/>
    </w:rPr>
  </w:style>
  <w:style w:type="paragraph" w:customStyle="1" w:styleId="Style151">
    <w:name w:val="_Style 151"/>
    <w:uiPriority w:val="1"/>
    <w:qFormat/>
    <w:pPr>
      <w:widowControl w:val="0"/>
      <w:jc w:val="both"/>
    </w:pPr>
    <w:rPr>
      <w:rFonts w:ascii="宋体" w:hAnsi="宋体" w:cs="宋体"/>
      <w:kern w:val="2"/>
      <w:sz w:val="21"/>
      <w:szCs w:val="22"/>
    </w:rPr>
  </w:style>
  <w:style w:type="character" w:customStyle="1" w:styleId="Style152">
    <w:name w:val="_Style 152"/>
    <w:basedOn w:val="a0"/>
    <w:uiPriority w:val="9"/>
    <w:qFormat/>
    <w:rPr>
      <w:rFonts w:asciiTheme="majorHAnsi" w:hAnsiTheme="majorHAnsi" w:cstheme="majorBidi"/>
      <w:b/>
      <w:bCs/>
      <w:sz w:val="21"/>
      <w:szCs w:val="24"/>
    </w:rPr>
  </w:style>
  <w:style w:type="character" w:customStyle="1" w:styleId="Style153">
    <w:name w:val="_Style 153"/>
    <w:basedOn w:val="aa"/>
    <w:uiPriority w:val="99"/>
    <w:semiHidden/>
    <w:qFormat/>
    <w:rPr>
      <w:rFonts w:ascii="Times New Roman" w:eastAsia="宋体" w:hAnsi="Times New Roman" w:cs="Times New Roman"/>
      <w:b/>
      <w:bCs/>
      <w:szCs w:val="21"/>
    </w:rPr>
  </w:style>
  <w:style w:type="character" w:customStyle="1" w:styleId="33">
    <w:name w:val="目录 3 字符"/>
    <w:basedOn w:val="a0"/>
    <w:link w:val="32"/>
    <w:qFormat/>
    <w:rPr>
      <w:rFonts w:ascii="Times New Roman" w:hAnsi="Times New Roman"/>
      <w:b/>
      <w:kern w:val="2"/>
      <w:sz w:val="21"/>
      <w:szCs w:val="24"/>
    </w:rPr>
  </w:style>
  <w:style w:type="character" w:customStyle="1" w:styleId="Style155">
    <w:name w:val="_Style 155"/>
    <w:basedOn w:val="aa"/>
    <w:uiPriority w:val="99"/>
    <w:semiHidden/>
    <w:qFormat/>
    <w:rPr>
      <w:rFonts w:ascii="Times New Roman" w:eastAsia="宋体" w:hAnsi="Times New Roman" w:cs="Times New Roman"/>
      <w:b/>
      <w:bCs/>
      <w:szCs w:val="21"/>
    </w:rPr>
  </w:style>
  <w:style w:type="character" w:customStyle="1" w:styleId="Style156">
    <w:name w:val="_Style 156"/>
    <w:basedOn w:val="a0"/>
    <w:uiPriority w:val="9"/>
    <w:qFormat/>
    <w:rPr>
      <w:rFonts w:ascii="宋体" w:hAnsi="宋体" w:cs="宋体"/>
      <w:b/>
      <w:bCs/>
      <w:sz w:val="24"/>
      <w:szCs w:val="24"/>
    </w:rPr>
  </w:style>
  <w:style w:type="character" w:customStyle="1" w:styleId="Style157">
    <w:name w:val="_Style 157"/>
    <w:uiPriority w:val="9"/>
    <w:qFormat/>
    <w:rPr>
      <w:rFonts w:ascii="Cambria" w:hAnsi="Cambria"/>
      <w:b/>
      <w:bCs/>
      <w:kern w:val="2"/>
      <w:sz w:val="21"/>
      <w:szCs w:val="28"/>
    </w:rPr>
  </w:style>
  <w:style w:type="paragraph" w:customStyle="1" w:styleId="Style158">
    <w:name w:val="_Style 158"/>
    <w:basedOn w:val="Style106"/>
    <w:next w:val="aff8"/>
    <w:uiPriority w:val="34"/>
    <w:qFormat/>
    <w:pPr>
      <w:widowControl w:val="0"/>
      <w:ind w:firstLineChars="200" w:firstLine="420"/>
      <w:jc w:val="both"/>
    </w:pPr>
    <w:rPr>
      <w:rFonts w:ascii="Calibri" w:hAnsi="Calibri" w:cs="Times New Roman"/>
      <w:kern w:val="2"/>
      <w:szCs w:val="22"/>
    </w:rPr>
  </w:style>
  <w:style w:type="character" w:customStyle="1" w:styleId="Style159">
    <w:name w:val="_Style 159"/>
    <w:uiPriority w:val="9"/>
    <w:qFormat/>
    <w:rPr>
      <w:b/>
      <w:bCs/>
      <w:kern w:val="2"/>
      <w:sz w:val="21"/>
      <w:szCs w:val="32"/>
    </w:rPr>
  </w:style>
  <w:style w:type="paragraph" w:customStyle="1" w:styleId="Style160">
    <w:name w:val="_Style 160"/>
    <w:basedOn w:val="Style106"/>
    <w:next w:val="aff8"/>
    <w:uiPriority w:val="34"/>
    <w:qFormat/>
    <w:pPr>
      <w:widowControl w:val="0"/>
      <w:ind w:firstLineChars="200" w:firstLine="420"/>
      <w:jc w:val="both"/>
    </w:pPr>
    <w:rPr>
      <w:rFonts w:ascii="Calibri" w:hAnsi="Calibri" w:cs="Times New Roman"/>
      <w:kern w:val="2"/>
      <w:szCs w:val="22"/>
    </w:rPr>
  </w:style>
  <w:style w:type="paragraph" w:customStyle="1" w:styleId="Style161">
    <w:name w:val="_Style 161"/>
    <w:basedOn w:val="Style106"/>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Style162">
    <w:name w:val="_Style 162"/>
    <w:uiPriority w:val="9"/>
    <w:qFormat/>
    <w:rPr>
      <w:b/>
      <w:bCs/>
      <w:kern w:val="2"/>
      <w:sz w:val="21"/>
      <w:szCs w:val="28"/>
    </w:rPr>
  </w:style>
  <w:style w:type="character" w:customStyle="1" w:styleId="Style163">
    <w:name w:val="_Style 163"/>
    <w:uiPriority w:val="9"/>
    <w:qFormat/>
    <w:rPr>
      <w:b/>
      <w:bCs/>
      <w:kern w:val="2"/>
      <w:sz w:val="21"/>
      <w:szCs w:val="32"/>
    </w:rPr>
  </w:style>
  <w:style w:type="character" w:customStyle="1" w:styleId="Style164">
    <w:name w:val="_Style 164"/>
    <w:qFormat/>
    <w:rPr>
      <w:rFonts w:ascii="Arial" w:hAnsi="Arial"/>
      <w:b/>
      <w:bCs/>
      <w:kern w:val="2"/>
      <w:sz w:val="21"/>
      <w:szCs w:val="21"/>
    </w:rPr>
  </w:style>
  <w:style w:type="character" w:customStyle="1" w:styleId="Style165">
    <w:name w:val="_Style 165"/>
    <w:uiPriority w:val="9"/>
    <w:qFormat/>
    <w:rPr>
      <w:rFonts w:ascii="Cambria" w:hAnsi="Cambria"/>
      <w:b/>
      <w:bCs/>
      <w:kern w:val="2"/>
      <w:sz w:val="21"/>
      <w:szCs w:val="28"/>
    </w:rPr>
  </w:style>
  <w:style w:type="character" w:customStyle="1" w:styleId="Style166">
    <w:name w:val="_Style 166"/>
    <w:uiPriority w:val="9"/>
    <w:qFormat/>
    <w:rPr>
      <w:b/>
      <w:bCs/>
      <w:kern w:val="2"/>
      <w:sz w:val="21"/>
      <w:szCs w:val="28"/>
    </w:rPr>
  </w:style>
  <w:style w:type="character" w:customStyle="1" w:styleId="Style167">
    <w:name w:val="_Style 167"/>
    <w:qFormat/>
    <w:rPr>
      <w:rFonts w:ascii="Times New Roman" w:hAnsi="Times New Roman" w:cs="Times New Roman"/>
      <w:bCs/>
      <w:kern w:val="2"/>
      <w:sz w:val="21"/>
      <w:szCs w:val="21"/>
    </w:rPr>
  </w:style>
  <w:style w:type="character" w:customStyle="1" w:styleId="Style168">
    <w:name w:val="_Style 168"/>
    <w:qFormat/>
    <w:rPr>
      <w:rFonts w:ascii="FZLTSK--GBK1-0" w:hAnsi="FZLTSK--GBK1-0" w:hint="default"/>
      <w:color w:val="000000"/>
      <w:sz w:val="20"/>
      <w:szCs w:val="20"/>
    </w:rPr>
  </w:style>
  <w:style w:type="character" w:customStyle="1" w:styleId="Style169">
    <w:name w:val="_Style 169"/>
    <w:uiPriority w:val="99"/>
    <w:semiHidden/>
    <w:qFormat/>
    <w:locked/>
    <w:rPr>
      <w:rFonts w:ascii="Times New Roman" w:hAnsi="Times New Roman"/>
      <w:kern w:val="2"/>
      <w:sz w:val="21"/>
      <w:szCs w:val="21"/>
    </w:rPr>
  </w:style>
  <w:style w:type="character" w:customStyle="1" w:styleId="Style170">
    <w:name w:val="_Style 170"/>
    <w:qFormat/>
    <w:rPr>
      <w:rFonts w:ascii="Arial" w:hAnsi="Arial"/>
      <w:b/>
      <w:bCs/>
      <w:kern w:val="2"/>
      <w:sz w:val="21"/>
      <w:szCs w:val="21"/>
    </w:rPr>
  </w:style>
  <w:style w:type="character" w:customStyle="1" w:styleId="Style171">
    <w:name w:val="_Style 171"/>
    <w:uiPriority w:val="9"/>
    <w:qFormat/>
    <w:rPr>
      <w:b/>
      <w:bCs/>
      <w:kern w:val="2"/>
      <w:sz w:val="21"/>
      <w:szCs w:val="28"/>
    </w:rPr>
  </w:style>
  <w:style w:type="character" w:customStyle="1" w:styleId="Style172">
    <w:name w:val="_Style 172"/>
    <w:uiPriority w:val="9"/>
    <w:qFormat/>
    <w:rPr>
      <w:b/>
      <w:bCs/>
      <w:kern w:val="2"/>
      <w:sz w:val="21"/>
      <w:szCs w:val="32"/>
    </w:rPr>
  </w:style>
  <w:style w:type="character" w:customStyle="1" w:styleId="Style173">
    <w:name w:val="_Style 173"/>
    <w:uiPriority w:val="9"/>
    <w:qFormat/>
    <w:rPr>
      <w:b/>
      <w:bCs/>
      <w:kern w:val="2"/>
      <w:sz w:val="21"/>
      <w:szCs w:val="32"/>
    </w:rPr>
  </w:style>
  <w:style w:type="character" w:customStyle="1" w:styleId="Style174">
    <w:name w:val="_Style 174"/>
    <w:basedOn w:val="a0"/>
    <w:uiPriority w:val="99"/>
    <w:semiHidden/>
    <w:qFormat/>
    <w:rPr>
      <w:rFonts w:ascii="Calibri" w:hAnsi="Calibri" w:cs="Times New Roman"/>
      <w:bCs/>
      <w:kern w:val="2"/>
      <w:sz w:val="18"/>
      <w:szCs w:val="18"/>
    </w:rPr>
  </w:style>
  <w:style w:type="character" w:customStyle="1" w:styleId="Style176">
    <w:name w:val="_Style 176"/>
    <w:basedOn w:val="a0"/>
    <w:link w:val="affc"/>
    <w:qFormat/>
    <w:rPr>
      <w:color w:val="000000" w:themeColor="text1"/>
    </w:rPr>
  </w:style>
  <w:style w:type="character" w:customStyle="1" w:styleId="Style177">
    <w:name w:val="_Style 177"/>
    <w:basedOn w:val="a0"/>
    <w:qFormat/>
    <w:rPr>
      <w:szCs w:val="24"/>
    </w:rPr>
  </w:style>
  <w:style w:type="paragraph" w:customStyle="1" w:styleId="Style178">
    <w:name w:val="_Style 178"/>
    <w:qFormat/>
    <w:rPr>
      <w:rFonts w:ascii="宋体" w:hAnsi="宋体" w:cs="宋体"/>
      <w:bCs/>
      <w:sz w:val="21"/>
      <w:szCs w:val="21"/>
    </w:rPr>
  </w:style>
  <w:style w:type="paragraph" w:customStyle="1" w:styleId="Style179">
    <w:name w:val="_Style 179"/>
    <w:qFormat/>
    <w:pPr>
      <w:widowControl w:val="0"/>
      <w:spacing w:line="312" w:lineRule="auto"/>
      <w:jc w:val="both"/>
    </w:pPr>
    <w:rPr>
      <w:rFonts w:ascii="宋体" w:hAnsi="宋体" w:cs="宋体"/>
      <w:sz w:val="24"/>
      <w:szCs w:val="24"/>
    </w:rPr>
  </w:style>
  <w:style w:type="paragraph" w:customStyle="1" w:styleId="Style180">
    <w:name w:val="_Style 180"/>
    <w:basedOn w:val="Style179"/>
    <w:qFormat/>
    <w:pPr>
      <w:spacing w:beforeLines="50" w:line="360" w:lineRule="auto"/>
      <w:ind w:firstLineChars="200" w:firstLine="480"/>
    </w:pPr>
  </w:style>
  <w:style w:type="character" w:customStyle="1" w:styleId="Style181">
    <w:name w:val="_Style 181"/>
    <w:basedOn w:val="a0"/>
    <w:qFormat/>
  </w:style>
  <w:style w:type="character" w:customStyle="1" w:styleId="Style183">
    <w:name w:val="_Style 183"/>
    <w:basedOn w:val="a0"/>
    <w:qFormat/>
    <w:rPr>
      <w:rFonts w:ascii="Calibri" w:hAnsi="Calibri" w:cs="Times New Roman"/>
      <w:kern w:val="2"/>
    </w:rPr>
  </w:style>
  <w:style w:type="character" w:customStyle="1" w:styleId="Style184">
    <w:name w:val="_Style 184"/>
    <w:basedOn w:val="Style183"/>
    <w:qFormat/>
    <w:rPr>
      <w:rFonts w:ascii="Calibri" w:hAnsi="Calibri" w:cs="Times New Roman"/>
      <w:kern w:val="2"/>
    </w:rPr>
  </w:style>
  <w:style w:type="character" w:customStyle="1" w:styleId="Style185">
    <w:name w:val="_Style 185"/>
    <w:basedOn w:val="a0"/>
    <w:qFormat/>
    <w:rPr>
      <w:rFonts w:ascii="宋体" w:eastAsia="宋体" w:hAnsi="宋体" w:hint="eastAsia"/>
      <w:color w:val="000000"/>
      <w:sz w:val="21"/>
      <w:szCs w:val="21"/>
      <w:u w:val="none"/>
    </w:rPr>
  </w:style>
  <w:style w:type="paragraph" w:customStyle="1" w:styleId="Style187">
    <w:name w:val="_Style 187"/>
    <w:basedOn w:val="Style179"/>
    <w:autoRedefine/>
    <w:qFormat/>
    <w:pPr>
      <w:spacing w:line="240" w:lineRule="auto"/>
      <w:jc w:val="right"/>
    </w:pPr>
  </w:style>
  <w:style w:type="paragraph" w:customStyle="1" w:styleId="Style188">
    <w:name w:val="_Style 188"/>
    <w:basedOn w:val="Style106"/>
    <w:autoRedefine/>
    <w:qFormat/>
    <w:pPr>
      <w:widowControl w:val="0"/>
      <w:jc w:val="both"/>
    </w:pPr>
    <w:rPr>
      <w:rFonts w:ascii="Calibri" w:hAnsi="Calibri" w:cs="Times New Roman"/>
      <w:kern w:val="2"/>
      <w:sz w:val="24"/>
      <w:szCs w:val="22"/>
    </w:rPr>
  </w:style>
  <w:style w:type="paragraph" w:customStyle="1" w:styleId="Style189">
    <w:name w:val="_Style 189"/>
    <w:basedOn w:val="Style188"/>
    <w:autoRedefine/>
    <w:uiPriority w:val="99"/>
    <w:qFormat/>
    <w:pPr>
      <w:jc w:val="center"/>
    </w:pPr>
    <w:rPr>
      <w:rFonts w:ascii="宋体" w:hAnsi="宋体"/>
    </w:rPr>
  </w:style>
  <w:style w:type="paragraph" w:customStyle="1" w:styleId="35">
    <w:name w:val="正文3"/>
    <w:qFormat/>
    <w:pPr>
      <w:jc w:val="both"/>
    </w:pPr>
    <w:rPr>
      <w:rFonts w:ascii="宋体" w:hAnsi="宋体" w:cs="宋体"/>
      <w:kern w:val="2"/>
      <w:sz w:val="21"/>
      <w:szCs w:val="21"/>
    </w:rPr>
  </w:style>
  <w:style w:type="character" w:customStyle="1" w:styleId="font11">
    <w:name w:val="font11"/>
    <w:basedOn w:val="a0"/>
    <w:qFormat/>
    <w:rPr>
      <w:rFonts w:ascii="宋体" w:eastAsia="宋体" w:hAnsi="宋体" w:hint="eastAsia"/>
      <w:color w:val="000000"/>
      <w:sz w:val="21"/>
      <w:szCs w:val="21"/>
      <w:u w:val="none"/>
    </w:rPr>
  </w:style>
  <w:style w:type="character" w:customStyle="1" w:styleId="font21">
    <w:name w:val="font21"/>
    <w:basedOn w:val="a0"/>
    <w:qFormat/>
    <w:rPr>
      <w:rFonts w:ascii="宋体" w:eastAsia="宋体" w:hAnsi="宋体" w:hint="eastAsia"/>
      <w:color w:val="000000"/>
      <w:sz w:val="21"/>
      <w:szCs w:val="21"/>
      <w:u w:val="none"/>
    </w:rPr>
  </w:style>
  <w:style w:type="character" w:customStyle="1" w:styleId="150">
    <w:name w:val="15"/>
    <w:basedOn w:val="a0"/>
    <w:qFormat/>
    <w:rPr>
      <w:rFonts w:ascii="Times New Roman" w:hAnsi="Times New Roman" w:cs="Times New Roman" w:hint="default"/>
      <w:kern w:val="2"/>
      <w:sz w:val="21"/>
      <w:szCs w:val="21"/>
    </w:rPr>
  </w:style>
  <w:style w:type="character" w:customStyle="1" w:styleId="90">
    <w:name w:val="标题 9 字符"/>
    <w:basedOn w:val="a0"/>
    <w:link w:val="9"/>
    <w:uiPriority w:val="9"/>
    <w:semiHidden/>
    <w:qFormat/>
    <w:rPr>
      <w:rFonts w:asciiTheme="majorHAnsi" w:eastAsiaTheme="majorEastAsia" w:hAnsiTheme="majorHAnsi" w:cstheme="majorBidi"/>
      <w:bCs/>
      <w:sz w:val="21"/>
      <w:szCs w:val="21"/>
    </w:rPr>
  </w:style>
  <w:style w:type="table" w:customStyle="1" w:styleId="g4">
    <w:name w:val="g4"/>
    <w:uiPriority w:val="99"/>
    <w:semiHidden/>
    <w:unhideWhenUsed/>
    <w:qFormat/>
    <w:tblPr>
      <w:tblCellMar>
        <w:top w:w="0" w:type="dxa"/>
        <w:left w:w="108" w:type="dxa"/>
        <w:bottom w:w="0" w:type="dxa"/>
        <w:right w:w="108" w:type="dxa"/>
      </w:tblCellMar>
    </w:tblPr>
  </w:style>
  <w:style w:type="table" w:customStyle="1" w:styleId="g5">
    <w:name w:val="g5"/>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8">
    <w:name w:val="g8"/>
    <w:basedOn w:val="a1"/>
    <w:semiHidden/>
    <w:qFormat/>
    <w:rPr>
      <w:rFonts w:ascii="Calibri" w:eastAsia="Times New Roman" w:hAnsi="Calibri"/>
    </w:rPr>
    <w:tblPr/>
  </w:style>
  <w:style w:type="table" w:customStyle="1" w:styleId="g9">
    <w:name w:val="g9"/>
    <w:uiPriority w:val="99"/>
    <w:semiHidden/>
    <w:unhideWhenUsed/>
    <w:qFormat/>
    <w:tblPr>
      <w:tblCellMar>
        <w:top w:w="0" w:type="dxa"/>
        <w:left w:w="108" w:type="dxa"/>
        <w:bottom w:w="0" w:type="dxa"/>
        <w:right w:w="108" w:type="dxa"/>
      </w:tblCellMar>
    </w:tblPr>
  </w:style>
  <w:style w:type="table" w:customStyle="1" w:styleId="g13">
    <w:name w:val="g13"/>
    <w:basedOn w:val="a1"/>
    <w:qFormat/>
    <w:rPr>
      <w:rFonts w:ascii="Arial" w:eastAsia="Times New Roman" w:hAnsi="Arial" w:cs="Arial"/>
      <w:color w:val="000000"/>
    </w:rPr>
    <w:tblPr>
      <w:tblCellMar>
        <w:left w:w="0" w:type="dxa"/>
        <w:right w:w="0" w:type="dxa"/>
      </w:tblCellMar>
    </w:tblPr>
  </w:style>
  <w:style w:type="table" w:customStyle="1" w:styleId="g14">
    <w:name w:val="g14"/>
    <w:basedOn w:val="a1"/>
    <w:semiHidden/>
    <w:qFormat/>
    <w:rPr>
      <w:rFonts w:ascii="Calibri" w:eastAsia="Times New Roman" w:hAnsi="Calibri"/>
    </w:rPr>
    <w:tblPr/>
  </w:style>
  <w:style w:type="table" w:customStyle="1" w:styleId="g6">
    <w:name w:val="g6"/>
    <w:uiPriority w:val="99"/>
    <w:semiHidden/>
    <w:unhideWhenUsed/>
    <w:qFormat/>
    <w:tblPr>
      <w:tblCellMar>
        <w:top w:w="0" w:type="dxa"/>
        <w:left w:w="108" w:type="dxa"/>
        <w:bottom w:w="0" w:type="dxa"/>
        <w:right w:w="108" w:type="dxa"/>
      </w:tblCellMar>
    </w:tblPr>
  </w:style>
  <w:style w:type="table" w:customStyle="1" w:styleId="g10">
    <w:name w:val="g10"/>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15">
    <w:name w:val="g15"/>
    <w:uiPriority w:val="99"/>
    <w:semiHidden/>
    <w:unhideWhenUsed/>
    <w:qFormat/>
    <w:tblPr>
      <w:tblCellMar>
        <w:top w:w="0" w:type="dxa"/>
        <w:left w:w="108" w:type="dxa"/>
        <w:bottom w:w="0" w:type="dxa"/>
        <w:right w:w="108" w:type="dxa"/>
      </w:tblCellMar>
    </w:tblPr>
  </w:style>
  <w:style w:type="paragraph" w:customStyle="1" w:styleId="Style1711">
    <w:name w:val="_Style 1711"/>
    <w:basedOn w:val="a"/>
    <w:next w:val="a"/>
    <w:autoRedefine/>
    <w:uiPriority w:val="39"/>
    <w:unhideWhenUsed/>
    <w:qFormat/>
    <w:pPr>
      <w:ind w:left="1260"/>
    </w:pPr>
    <w:rPr>
      <w:rFonts w:asciiTheme="minorHAnsi" w:hAnsiTheme="minorHAnsi" w:cstheme="minorHAnsi"/>
      <w:bCs w:val="0"/>
      <w:sz w:val="18"/>
      <w:szCs w:val="18"/>
    </w:rPr>
  </w:style>
  <w:style w:type="paragraph" w:customStyle="1" w:styleId="Style1721">
    <w:name w:val="_Style 1721"/>
    <w:basedOn w:val="a"/>
    <w:next w:val="a"/>
    <w:autoRedefine/>
    <w:uiPriority w:val="39"/>
    <w:unhideWhenUsed/>
    <w:qFormat/>
    <w:pPr>
      <w:ind w:left="840"/>
    </w:pPr>
    <w:rPr>
      <w:rFonts w:asciiTheme="minorHAnsi" w:hAnsiTheme="minorHAnsi" w:cstheme="minorHAnsi"/>
      <w:bCs w:val="0"/>
      <w:sz w:val="18"/>
      <w:szCs w:val="18"/>
    </w:rPr>
  </w:style>
  <w:style w:type="paragraph" w:customStyle="1" w:styleId="Style1731">
    <w:name w:val="_Style 1731"/>
    <w:basedOn w:val="a"/>
    <w:next w:val="a"/>
    <w:autoRedefine/>
    <w:uiPriority w:val="39"/>
    <w:unhideWhenUsed/>
    <w:qFormat/>
    <w:pPr>
      <w:ind w:left="420"/>
    </w:pPr>
    <w:rPr>
      <w:rFonts w:asciiTheme="minorHAnsi" w:hAnsiTheme="minorHAnsi" w:cstheme="minorHAnsi"/>
      <w:bCs w:val="0"/>
      <w:i/>
      <w:iCs/>
      <w:sz w:val="20"/>
      <w:szCs w:val="20"/>
    </w:rPr>
  </w:style>
  <w:style w:type="paragraph" w:customStyle="1" w:styleId="Style1741">
    <w:name w:val="_Style 1741"/>
    <w:basedOn w:val="a"/>
    <w:next w:val="a"/>
    <w:autoRedefine/>
    <w:uiPriority w:val="39"/>
    <w:unhideWhenUsed/>
    <w:qFormat/>
    <w:pPr>
      <w:ind w:left="1470"/>
    </w:pPr>
    <w:rPr>
      <w:rFonts w:asciiTheme="minorHAnsi" w:hAnsiTheme="minorHAnsi" w:cstheme="minorHAnsi"/>
      <w:bCs w:val="0"/>
      <w:sz w:val="18"/>
      <w:szCs w:val="18"/>
    </w:rPr>
  </w:style>
  <w:style w:type="paragraph" w:customStyle="1" w:styleId="Style1751">
    <w:name w:val="_Style 1751"/>
    <w:basedOn w:val="a"/>
    <w:next w:val="a"/>
    <w:autoRedefine/>
    <w:uiPriority w:val="39"/>
    <w:qFormat/>
    <w:pPr>
      <w:spacing w:line="360" w:lineRule="auto"/>
      <w:ind w:left="200" w:hangingChars="200" w:hanging="200"/>
    </w:pPr>
    <w:rPr>
      <w:rFonts w:ascii="Times New Roman" w:hAnsi="Times New Roman" w:cstheme="minorHAnsi"/>
      <w:b/>
      <w:caps/>
      <w:szCs w:val="20"/>
    </w:rPr>
  </w:style>
  <w:style w:type="paragraph" w:customStyle="1" w:styleId="Style1761">
    <w:name w:val="_Style 1761"/>
    <w:basedOn w:val="a"/>
    <w:next w:val="a"/>
    <w:autoRedefine/>
    <w:uiPriority w:val="39"/>
    <w:unhideWhenUsed/>
    <w:qFormat/>
    <w:pPr>
      <w:ind w:left="630"/>
    </w:pPr>
    <w:rPr>
      <w:rFonts w:asciiTheme="minorHAnsi" w:hAnsiTheme="minorHAnsi" w:cstheme="minorHAnsi"/>
      <w:bCs w:val="0"/>
      <w:sz w:val="18"/>
      <w:szCs w:val="18"/>
    </w:rPr>
  </w:style>
  <w:style w:type="paragraph" w:customStyle="1" w:styleId="Style1771">
    <w:name w:val="_Style 1771"/>
    <w:basedOn w:val="a"/>
    <w:next w:val="a"/>
    <w:autoRedefine/>
    <w:uiPriority w:val="39"/>
    <w:unhideWhenUsed/>
    <w:qFormat/>
    <w:pPr>
      <w:ind w:left="1050"/>
    </w:pPr>
    <w:rPr>
      <w:rFonts w:asciiTheme="minorHAnsi" w:hAnsiTheme="minorHAnsi" w:cstheme="minorHAnsi"/>
      <w:bCs w:val="0"/>
      <w:sz w:val="18"/>
      <w:szCs w:val="18"/>
    </w:rPr>
  </w:style>
  <w:style w:type="paragraph" w:customStyle="1" w:styleId="Style1781">
    <w:name w:val="_Style 1781"/>
    <w:basedOn w:val="a"/>
    <w:next w:val="a"/>
    <w:autoRedefine/>
    <w:uiPriority w:val="39"/>
    <w:qFormat/>
    <w:pPr>
      <w:ind w:left="210"/>
    </w:pPr>
    <w:rPr>
      <w:rFonts w:asciiTheme="minorHAnsi" w:hAnsiTheme="minorHAnsi" w:cstheme="minorHAnsi"/>
      <w:bCs w:val="0"/>
      <w:smallCaps/>
      <w:sz w:val="20"/>
      <w:szCs w:val="20"/>
    </w:rPr>
  </w:style>
  <w:style w:type="paragraph" w:customStyle="1" w:styleId="Style1791">
    <w:name w:val="_Style 1791"/>
    <w:basedOn w:val="a"/>
    <w:next w:val="a"/>
    <w:autoRedefine/>
    <w:uiPriority w:val="39"/>
    <w:unhideWhenUsed/>
    <w:qFormat/>
    <w:pPr>
      <w:ind w:left="1680"/>
    </w:pPr>
    <w:rPr>
      <w:rFonts w:asciiTheme="minorHAnsi" w:hAnsiTheme="minorHAnsi" w:cstheme="minorHAnsi"/>
      <w:bCs w:val="0"/>
      <w:sz w:val="18"/>
      <w:szCs w:val="18"/>
    </w:rPr>
  </w:style>
  <w:style w:type="paragraph" w:customStyle="1" w:styleId="Style1801">
    <w:name w:val="_Style 1801"/>
    <w:basedOn w:val="a"/>
    <w:next w:val="a"/>
    <w:autoRedefine/>
    <w:semiHidden/>
    <w:qFormat/>
    <w:pPr>
      <w:ind w:firstLineChars="200" w:firstLine="420"/>
    </w:pPr>
    <w:rPr>
      <w:rFonts w:cs="Times New Roman"/>
      <w:color w:val="000000"/>
    </w:rPr>
  </w:style>
  <w:style w:type="character" w:customStyle="1" w:styleId="Style1811">
    <w:name w:val="_Style 1811"/>
    <w:basedOn w:val="a0"/>
    <w:qFormat/>
    <w:rPr>
      <w:rFonts w:ascii="Times New Roman" w:hAnsi="Times New Roman"/>
      <w:b/>
      <w:kern w:val="2"/>
      <w:sz w:val="21"/>
      <w:szCs w:val="24"/>
    </w:rPr>
  </w:style>
  <w:style w:type="character" w:customStyle="1" w:styleId="Style182">
    <w:name w:val="_Style 182"/>
    <w:basedOn w:val="aa"/>
    <w:uiPriority w:val="99"/>
    <w:semiHidden/>
    <w:qFormat/>
    <w:rPr>
      <w:rFonts w:ascii="Times New Roman" w:eastAsia="宋体" w:hAnsi="Times New Roman" w:cs="Times New Roman"/>
      <w:b/>
      <w:szCs w:val="21"/>
    </w:rPr>
  </w:style>
  <w:style w:type="character" w:customStyle="1" w:styleId="Style1831">
    <w:name w:val="_Style 1831"/>
    <w:uiPriority w:val="99"/>
    <w:semiHidden/>
    <w:qFormat/>
    <w:locked/>
    <w:rPr>
      <w:rFonts w:ascii="Times New Roman" w:hAnsi="Times New Roman"/>
      <w:kern w:val="2"/>
      <w:sz w:val="21"/>
      <w:szCs w:val="21"/>
    </w:rPr>
  </w:style>
  <w:style w:type="character" w:customStyle="1" w:styleId="Style1841">
    <w:name w:val="_Style 1841"/>
    <w:basedOn w:val="a0"/>
    <w:qFormat/>
    <w:rPr>
      <w:rFonts w:ascii="Times New Roman" w:hAnsi="Times New Roman"/>
      <w:b/>
      <w:kern w:val="2"/>
      <w:sz w:val="21"/>
      <w:szCs w:val="24"/>
    </w:rPr>
  </w:style>
  <w:style w:type="paragraph" w:customStyle="1" w:styleId="Style1851">
    <w:name w:val="_Style 1851"/>
    <w:qFormat/>
    <w:pPr>
      <w:jc w:val="both"/>
    </w:pPr>
    <w:rPr>
      <w:rFonts w:ascii="Calibri"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DC2A9E" w:rsidRDefault="000462A7">
          <w:r>
            <w:rPr>
              <w:rStyle w:val="a3"/>
              <w:rFonts w:hint="eastAsia"/>
              <w:color w:val="333399"/>
              <w:u w:val="single"/>
            </w:rPr>
            <w:t xml:space="preserve">　　　</w:t>
          </w:r>
        </w:p>
      </w:docPartBody>
    </w:docPart>
    <w:docPart>
      <w:docPartPr>
        <w:name w:val="C6BC4CD5D09C47F58ECD675527EA454C"/>
        <w:category>
          <w:name w:val="常规"/>
          <w:gallery w:val="placeholder"/>
        </w:category>
        <w:types>
          <w:type w:val="bbPlcHdr"/>
        </w:types>
        <w:behaviors>
          <w:behavior w:val="content"/>
        </w:behaviors>
        <w:guid w:val="{35E1CB4A-EF84-4148-9D69-8C640113C616}"/>
      </w:docPartPr>
      <w:docPartBody>
        <w:p w:rsidR="00DC2A9E" w:rsidRDefault="000462A7">
          <w:pPr>
            <w:pStyle w:val="C6BC4CD5D09C47F58ECD675527EA454C"/>
          </w:pPr>
          <w:r>
            <w:rPr>
              <w:rStyle w:val="a3"/>
              <w:rFonts w:hint="eastAsia"/>
            </w:rPr>
            <w:t xml:space="preserve">　</w:t>
          </w:r>
        </w:p>
      </w:docPartBody>
    </w:docPart>
    <w:docPart>
      <w:docPartPr>
        <w:name w:val="5A1066504B77472DB592146EE03D66DD"/>
        <w:category>
          <w:name w:val="常规"/>
          <w:gallery w:val="placeholder"/>
        </w:category>
        <w:types>
          <w:type w:val="bbPlcHdr"/>
        </w:types>
        <w:behaviors>
          <w:behavior w:val="content"/>
        </w:behaviors>
        <w:guid w:val="{5E998CF7-F8CC-4E16-9D40-EFFC7EF0BCD8}"/>
      </w:docPartPr>
      <w:docPartBody>
        <w:p w:rsidR="00DC2A9E" w:rsidRDefault="000462A7">
          <w:pPr>
            <w:pStyle w:val="5A1066504B77472DB592146EE03D66DD"/>
          </w:pPr>
          <w:r>
            <w:rPr>
              <w:rStyle w:val="a3"/>
              <w:rFonts w:hint="eastAsia"/>
              <w:color w:val="333399"/>
              <w:u w:val="single"/>
            </w:rPr>
            <w:t xml:space="preserve">　　　</w:t>
          </w:r>
        </w:p>
      </w:docPartBody>
    </w:docPart>
    <w:docPart>
      <w:docPartPr>
        <w:name w:val="2B2298D92C7B45398C42352C63C9A64B"/>
        <w:category>
          <w:name w:val="常规"/>
          <w:gallery w:val="placeholder"/>
        </w:category>
        <w:types>
          <w:type w:val="bbPlcHdr"/>
        </w:types>
        <w:behaviors>
          <w:behavior w:val="content"/>
        </w:behaviors>
        <w:guid w:val="{F9E0E5E4-09B7-4368-B262-15129B42834B}"/>
      </w:docPartPr>
      <w:docPartBody>
        <w:p w:rsidR="00DC2A9E" w:rsidRDefault="000462A7">
          <w:pPr>
            <w:pStyle w:val="2B2298D92C7B45398C42352C63C9A64B"/>
          </w:pPr>
          <w:r>
            <w:rPr>
              <w:rStyle w:val="a3"/>
              <w:rFonts w:hint="eastAsia"/>
              <w:color w:val="333399"/>
              <w:u w:val="single"/>
            </w:rPr>
            <w:t xml:space="preserve">　　　</w:t>
          </w:r>
        </w:p>
      </w:docPartBody>
    </w:docPart>
    <w:docPart>
      <w:docPartPr>
        <w:name w:val="E60CD871DB8C49CCB19DDC6722BD8C0E"/>
        <w:category>
          <w:name w:val="常规"/>
          <w:gallery w:val="placeholder"/>
        </w:category>
        <w:types>
          <w:type w:val="bbPlcHdr"/>
        </w:types>
        <w:behaviors>
          <w:behavior w:val="content"/>
        </w:behaviors>
        <w:guid w:val="{551AC8BC-377D-4444-9441-C34732CE3B96}"/>
      </w:docPartPr>
      <w:docPartBody>
        <w:p w:rsidR="00DC2A9E" w:rsidRDefault="000462A7">
          <w:pPr>
            <w:pStyle w:val="E60CD871DB8C49CCB19DDC6722BD8C0E"/>
          </w:pPr>
          <w:r>
            <w:rPr>
              <w:rStyle w:val="a3"/>
              <w:rFonts w:hint="eastAsia"/>
              <w:color w:val="333399"/>
              <w:u w:val="single"/>
            </w:rPr>
            <w:t xml:space="preserve">　　　</w:t>
          </w:r>
        </w:p>
      </w:docPartBody>
    </w:docPart>
    <w:docPart>
      <w:docPartPr>
        <w:name w:val="201273C5A05B4396A22FF063F645C2F5"/>
        <w:category>
          <w:name w:val="常规"/>
          <w:gallery w:val="placeholder"/>
        </w:category>
        <w:types>
          <w:type w:val="bbPlcHdr"/>
        </w:types>
        <w:behaviors>
          <w:behavior w:val="content"/>
        </w:behaviors>
        <w:guid w:val="{D7EB301B-99DB-445E-B858-552218E829D0}"/>
      </w:docPartPr>
      <w:docPartBody>
        <w:p w:rsidR="00DC2A9E" w:rsidRDefault="000462A7">
          <w:pPr>
            <w:pStyle w:val="201273C5A05B4396A22FF063F645C2F5"/>
          </w:pPr>
          <w:r>
            <w:rPr>
              <w:rStyle w:val="a3"/>
              <w:rFonts w:hint="eastAsia"/>
              <w:color w:val="333399"/>
              <w:u w:val="single"/>
            </w:rPr>
            <w:t xml:space="preserve">　　　</w:t>
          </w:r>
        </w:p>
      </w:docPartBody>
    </w:docPart>
    <w:docPart>
      <w:docPartPr>
        <w:name w:val="7890E0CD696D4731A213B9DB06EA4C6B"/>
        <w:category>
          <w:name w:val="常规"/>
          <w:gallery w:val="placeholder"/>
        </w:category>
        <w:types>
          <w:type w:val="bbPlcHdr"/>
        </w:types>
        <w:behaviors>
          <w:behavior w:val="content"/>
        </w:behaviors>
        <w:guid w:val="{9B172D10-89A3-4282-BCB9-D73B25CF5885}"/>
      </w:docPartPr>
      <w:docPartBody>
        <w:p w:rsidR="00DC2A9E" w:rsidRDefault="000462A7">
          <w:pPr>
            <w:pStyle w:val="7890E0CD696D4731A213B9DB06EA4C6B"/>
          </w:pPr>
          <w:r>
            <w:rPr>
              <w:rStyle w:val="a3"/>
              <w:rFonts w:hint="eastAsia"/>
              <w:color w:val="333399"/>
              <w:u w:val="single"/>
            </w:rPr>
            <w:t xml:space="preserve">　　　</w:t>
          </w:r>
        </w:p>
      </w:docPartBody>
    </w:docPart>
    <w:docPart>
      <w:docPartPr>
        <w:name w:val="34E28A01E71345C782D8CB7154A2181E"/>
        <w:category>
          <w:name w:val="常规"/>
          <w:gallery w:val="placeholder"/>
        </w:category>
        <w:types>
          <w:type w:val="bbPlcHdr"/>
        </w:types>
        <w:behaviors>
          <w:behavior w:val="content"/>
        </w:behaviors>
        <w:guid w:val="{81FB1C54-04A2-4357-90CB-E4F94D0005C4}"/>
      </w:docPartPr>
      <w:docPartBody>
        <w:p w:rsidR="00DC2A9E" w:rsidRDefault="000462A7">
          <w:pPr>
            <w:pStyle w:val="34E28A01E71345C782D8CB7154A2181E"/>
          </w:pPr>
          <w:r>
            <w:rPr>
              <w:rStyle w:val="a3"/>
              <w:rFonts w:hint="eastAsia"/>
              <w:color w:val="333399"/>
              <w:u w:val="single"/>
            </w:rPr>
            <w:t xml:space="preserve">　　　</w:t>
          </w:r>
        </w:p>
      </w:docPartBody>
    </w:docPart>
    <w:docPart>
      <w:docPartPr>
        <w:name w:val="8F964BE149FA46998D947970396091A6"/>
        <w:category>
          <w:name w:val="常规"/>
          <w:gallery w:val="placeholder"/>
        </w:category>
        <w:types>
          <w:type w:val="bbPlcHdr"/>
        </w:types>
        <w:behaviors>
          <w:behavior w:val="content"/>
        </w:behaviors>
        <w:guid w:val="{6AE6E591-0BB3-4890-BF68-40F89A7AE764}"/>
      </w:docPartPr>
      <w:docPartBody>
        <w:p w:rsidR="00DC2A9E" w:rsidRDefault="000462A7">
          <w:pPr>
            <w:pStyle w:val="8F964BE149FA46998D947970396091A6"/>
          </w:pPr>
          <w:r>
            <w:rPr>
              <w:rStyle w:val="a3"/>
              <w:rFonts w:hint="eastAsia"/>
              <w:color w:val="333399"/>
              <w:u w:val="single"/>
            </w:rPr>
            <w:t xml:space="preserve">　　　</w:t>
          </w:r>
        </w:p>
      </w:docPartBody>
    </w:docPart>
    <w:docPart>
      <w:docPartPr>
        <w:name w:val="B84EFCA9D3744B398EA9C8207952BF6E"/>
        <w:category>
          <w:name w:val="常规"/>
          <w:gallery w:val="placeholder"/>
        </w:category>
        <w:types>
          <w:type w:val="bbPlcHdr"/>
        </w:types>
        <w:behaviors>
          <w:behavior w:val="content"/>
        </w:behaviors>
        <w:guid w:val="{8BE5D1EC-A289-4A56-BFF5-BFD8B14C5FFD}"/>
      </w:docPartPr>
      <w:docPartBody>
        <w:p w:rsidR="00DC2A9E" w:rsidRDefault="000462A7">
          <w:pPr>
            <w:pStyle w:val="B84EFCA9D3744B398EA9C8207952BF6E"/>
          </w:pPr>
          <w:r>
            <w:rPr>
              <w:rStyle w:val="a3"/>
              <w:rFonts w:hint="eastAsia"/>
              <w:color w:val="333399"/>
              <w:u w:val="single"/>
            </w:rPr>
            <w:t xml:space="preserve">　　　</w:t>
          </w:r>
        </w:p>
      </w:docPartBody>
    </w:docPart>
    <w:docPart>
      <w:docPartPr>
        <w:name w:val="483A71A1223647F3B45A27FACD00890A"/>
        <w:category>
          <w:name w:val="常规"/>
          <w:gallery w:val="placeholder"/>
        </w:category>
        <w:types>
          <w:type w:val="bbPlcHdr"/>
        </w:types>
        <w:behaviors>
          <w:behavior w:val="content"/>
        </w:behaviors>
        <w:guid w:val="{38963C3B-61FA-404E-B339-A82A913EC31A}"/>
      </w:docPartPr>
      <w:docPartBody>
        <w:p w:rsidR="00DC2A9E" w:rsidRDefault="000462A7">
          <w:pPr>
            <w:pStyle w:val="483A71A1223647F3B45A27FACD00890A"/>
          </w:pPr>
          <w:r>
            <w:rPr>
              <w:rStyle w:val="a3"/>
              <w:rFonts w:hint="eastAsia"/>
              <w:color w:val="333399"/>
              <w:u w:val="single"/>
            </w:rPr>
            <w:t xml:space="preserve">　　　</w:t>
          </w:r>
        </w:p>
      </w:docPartBody>
    </w:docPart>
    <w:docPart>
      <w:docPartPr>
        <w:name w:val="DEF3AC890E794134934294B92F558EDA"/>
        <w:category>
          <w:name w:val="常规"/>
          <w:gallery w:val="placeholder"/>
        </w:category>
        <w:types>
          <w:type w:val="bbPlcHdr"/>
        </w:types>
        <w:behaviors>
          <w:behavior w:val="content"/>
        </w:behaviors>
        <w:guid w:val="{04B879B1-7B7E-4314-8ECB-D506FA21DFBC}"/>
      </w:docPartPr>
      <w:docPartBody>
        <w:p w:rsidR="00DC2A9E" w:rsidRDefault="000462A7">
          <w:pPr>
            <w:pStyle w:val="DEF3AC890E794134934294B92F558EDA"/>
          </w:pPr>
          <w:r>
            <w:rPr>
              <w:rStyle w:val="a3"/>
              <w:rFonts w:hint="eastAsia"/>
              <w:color w:val="333399"/>
              <w:u w:val="single"/>
            </w:rPr>
            <w:t xml:space="preserve">　　　</w:t>
          </w:r>
        </w:p>
      </w:docPartBody>
    </w:docPart>
    <w:docPart>
      <w:docPartPr>
        <w:name w:val="55282F1A612A497FB6C1CE4349397646"/>
        <w:category>
          <w:name w:val="常规"/>
          <w:gallery w:val="placeholder"/>
        </w:category>
        <w:types>
          <w:type w:val="bbPlcHdr"/>
        </w:types>
        <w:behaviors>
          <w:behavior w:val="content"/>
        </w:behaviors>
        <w:guid w:val="{03137679-210A-4C19-BA01-18B8CD55BDA0}"/>
      </w:docPartPr>
      <w:docPartBody>
        <w:p w:rsidR="00DC2A9E" w:rsidRDefault="000462A7">
          <w:pPr>
            <w:pStyle w:val="55282F1A612A497FB6C1CE4349397646"/>
          </w:pPr>
          <w:r>
            <w:rPr>
              <w:rStyle w:val="a3"/>
              <w:rFonts w:hint="eastAsia"/>
              <w:color w:val="333399"/>
              <w:u w:val="single"/>
            </w:rPr>
            <w:t xml:space="preserve">　　　</w:t>
          </w:r>
        </w:p>
      </w:docPartBody>
    </w:docPart>
    <w:docPart>
      <w:docPartPr>
        <w:name w:val="E113EB8FC68F47B5B973668A112737D4"/>
        <w:category>
          <w:name w:val="常规"/>
          <w:gallery w:val="placeholder"/>
        </w:category>
        <w:types>
          <w:type w:val="bbPlcHdr"/>
        </w:types>
        <w:behaviors>
          <w:behavior w:val="content"/>
        </w:behaviors>
        <w:guid w:val="{40B8EA10-1364-4B5D-B4C7-66241334E8EE}"/>
      </w:docPartPr>
      <w:docPartBody>
        <w:p w:rsidR="00DC2A9E" w:rsidRDefault="000462A7">
          <w:pPr>
            <w:pStyle w:val="E113EB8FC68F47B5B973668A112737D4"/>
          </w:pPr>
          <w:r>
            <w:rPr>
              <w:rStyle w:val="a3"/>
              <w:rFonts w:hint="eastAsia"/>
              <w:color w:val="333399"/>
              <w:u w:val="single"/>
            </w:rPr>
            <w:t xml:space="preserve">　　　</w:t>
          </w:r>
        </w:p>
      </w:docPartBody>
    </w:docPart>
    <w:docPart>
      <w:docPartPr>
        <w:name w:val="632EAE0646BC45D19716813B0678B040"/>
        <w:category>
          <w:name w:val="常规"/>
          <w:gallery w:val="placeholder"/>
        </w:category>
        <w:types>
          <w:type w:val="bbPlcHdr"/>
        </w:types>
        <w:behaviors>
          <w:behavior w:val="content"/>
        </w:behaviors>
        <w:guid w:val="{109B079C-9B46-44BC-86AE-794438762811}"/>
      </w:docPartPr>
      <w:docPartBody>
        <w:p w:rsidR="00DC2A9E" w:rsidRDefault="000462A7">
          <w:pPr>
            <w:pStyle w:val="632EAE0646BC45D19716813B0678B040"/>
          </w:pPr>
          <w:r>
            <w:rPr>
              <w:rStyle w:val="a3"/>
              <w:rFonts w:hint="eastAsia"/>
              <w:color w:val="333399"/>
              <w:u w:val="single"/>
            </w:rPr>
            <w:t xml:space="preserve">　　　</w:t>
          </w:r>
        </w:p>
      </w:docPartBody>
    </w:docPart>
    <w:docPart>
      <w:docPartPr>
        <w:name w:val="159E49BFD9874BAD80A2634732FC8ECA"/>
        <w:category>
          <w:name w:val="常规"/>
          <w:gallery w:val="placeholder"/>
        </w:category>
        <w:types>
          <w:type w:val="bbPlcHdr"/>
        </w:types>
        <w:behaviors>
          <w:behavior w:val="content"/>
        </w:behaviors>
        <w:guid w:val="{C3B2F0CA-E5EB-4B3B-A710-DD67C3324CF1}"/>
      </w:docPartPr>
      <w:docPartBody>
        <w:p w:rsidR="00DC2A9E" w:rsidRDefault="000462A7">
          <w:pPr>
            <w:pStyle w:val="159E49BFD9874BAD80A2634732FC8ECA"/>
          </w:pPr>
          <w:r>
            <w:rPr>
              <w:rStyle w:val="a3"/>
              <w:rFonts w:hint="eastAsia"/>
              <w:color w:val="333399"/>
              <w:u w:val="single"/>
            </w:rPr>
            <w:t xml:space="preserve">　　　</w:t>
          </w:r>
        </w:p>
      </w:docPartBody>
    </w:docPart>
    <w:docPart>
      <w:docPartPr>
        <w:name w:val="262EC317A5044E9FB3163D0C6205A131"/>
        <w:category>
          <w:name w:val="常规"/>
          <w:gallery w:val="placeholder"/>
        </w:category>
        <w:types>
          <w:type w:val="bbPlcHdr"/>
        </w:types>
        <w:behaviors>
          <w:behavior w:val="content"/>
        </w:behaviors>
        <w:guid w:val="{A13E6C35-F944-4876-9E97-6F9A3D081E78}"/>
      </w:docPartPr>
      <w:docPartBody>
        <w:p w:rsidR="00DC2A9E" w:rsidRDefault="000462A7">
          <w:pPr>
            <w:pStyle w:val="262EC317A5044E9FB3163D0C6205A131"/>
          </w:pPr>
          <w:r>
            <w:rPr>
              <w:rStyle w:val="a3"/>
              <w:rFonts w:hint="eastAsia"/>
              <w:color w:val="333399"/>
              <w:u w:val="single"/>
            </w:rPr>
            <w:t xml:space="preserve">　　　</w:t>
          </w:r>
        </w:p>
      </w:docPartBody>
    </w:docPart>
    <w:docPart>
      <w:docPartPr>
        <w:name w:val="5C074553206B4925AF0D07CD756CD013"/>
        <w:category>
          <w:name w:val="常规"/>
          <w:gallery w:val="placeholder"/>
        </w:category>
        <w:types>
          <w:type w:val="bbPlcHdr"/>
        </w:types>
        <w:behaviors>
          <w:behavior w:val="content"/>
        </w:behaviors>
        <w:guid w:val="{191A79FE-F879-4927-93C2-1EC368E14B7C}"/>
      </w:docPartPr>
      <w:docPartBody>
        <w:p w:rsidR="00326FEF" w:rsidRDefault="00DC2A9E" w:rsidP="00DC2A9E">
          <w:pPr>
            <w:pStyle w:val="5C074553206B4925AF0D07CD756CD013"/>
          </w:pPr>
          <w:r w:rsidRPr="001852D3">
            <w:rPr>
              <w:rStyle w:val="a3"/>
              <w:rFonts w:hint="eastAsia"/>
            </w:rPr>
            <w:t xml:space="preserve">　</w:t>
          </w:r>
        </w:p>
      </w:docPartBody>
    </w:docPart>
    <w:docPart>
      <w:docPartPr>
        <w:name w:val="07237EC2CC514A42BE287C695F6AF22C"/>
        <w:category>
          <w:name w:val="常规"/>
          <w:gallery w:val="placeholder"/>
        </w:category>
        <w:types>
          <w:type w:val="bbPlcHdr"/>
        </w:types>
        <w:behaviors>
          <w:behavior w:val="content"/>
        </w:behaviors>
        <w:guid w:val="{6EEE87CA-5729-469C-99C9-77CBEFFFEABF}"/>
      </w:docPartPr>
      <w:docPartBody>
        <w:p w:rsidR="00000000" w:rsidRDefault="00E21E5B" w:rsidP="00E21E5B">
          <w:pPr>
            <w:pStyle w:val="07237EC2CC514A42BE287C695F6AF22C"/>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FZLTSK--GBK1-0">
    <w:altName w:val="Times New Roman"/>
    <w:panose1 w:val="00000000000000000000"/>
    <w:charset w:val="00"/>
    <w:family w:val="roman"/>
    <w:notTrueType/>
    <w:pitch w:val="default"/>
  </w:font>
  <w:font w:name="Noto Sans CJK JP Regular">
    <w:altName w:val="宋体"/>
    <w:panose1 w:val="00000000000000000000"/>
    <w:charset w:val="86"/>
    <w:family w:val="swiss"/>
    <w:notTrueType/>
    <w:pitch w:val="variable"/>
    <w:sig w:usb0="30000207" w:usb1="2BDF3C10" w:usb2="00000016" w:usb3="00000000" w:csb0="002E0107" w:csb1="00000000"/>
  </w:font>
  <w:font w:name="Helvetica">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方正超大字符集">
    <w:altName w:val="宋体"/>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E43"/>
    <w:rsid w:val="0000161E"/>
    <w:rsid w:val="00002689"/>
    <w:rsid w:val="0000371B"/>
    <w:rsid w:val="0000578B"/>
    <w:rsid w:val="00006480"/>
    <w:rsid w:val="00006B48"/>
    <w:rsid w:val="00011C18"/>
    <w:rsid w:val="00011E75"/>
    <w:rsid w:val="00012653"/>
    <w:rsid w:val="00012A0F"/>
    <w:rsid w:val="00013B71"/>
    <w:rsid w:val="00013C02"/>
    <w:rsid w:val="00015FD3"/>
    <w:rsid w:val="000171D4"/>
    <w:rsid w:val="00020357"/>
    <w:rsid w:val="00020790"/>
    <w:rsid w:val="00020D37"/>
    <w:rsid w:val="00021BC4"/>
    <w:rsid w:val="000234EA"/>
    <w:rsid w:val="0002361B"/>
    <w:rsid w:val="000236A0"/>
    <w:rsid w:val="0002605F"/>
    <w:rsid w:val="000278B2"/>
    <w:rsid w:val="00031EC1"/>
    <w:rsid w:val="00032504"/>
    <w:rsid w:val="00032ECB"/>
    <w:rsid w:val="000336AB"/>
    <w:rsid w:val="000353DC"/>
    <w:rsid w:val="0003608F"/>
    <w:rsid w:val="000373E9"/>
    <w:rsid w:val="000403D5"/>
    <w:rsid w:val="00040A6F"/>
    <w:rsid w:val="00044179"/>
    <w:rsid w:val="00044916"/>
    <w:rsid w:val="00045444"/>
    <w:rsid w:val="000462A7"/>
    <w:rsid w:val="00051760"/>
    <w:rsid w:val="000554CD"/>
    <w:rsid w:val="00055561"/>
    <w:rsid w:val="000565A1"/>
    <w:rsid w:val="0005740A"/>
    <w:rsid w:val="00060E7E"/>
    <w:rsid w:val="00061F65"/>
    <w:rsid w:val="000633F4"/>
    <w:rsid w:val="0006350E"/>
    <w:rsid w:val="00063874"/>
    <w:rsid w:val="00063A46"/>
    <w:rsid w:val="00063CC6"/>
    <w:rsid w:val="00065B5A"/>
    <w:rsid w:val="00065CB7"/>
    <w:rsid w:val="000667C2"/>
    <w:rsid w:val="00067DCC"/>
    <w:rsid w:val="00070ACB"/>
    <w:rsid w:val="00070BF0"/>
    <w:rsid w:val="000714A0"/>
    <w:rsid w:val="00076D57"/>
    <w:rsid w:val="0007717F"/>
    <w:rsid w:val="00077530"/>
    <w:rsid w:val="00080096"/>
    <w:rsid w:val="000802FD"/>
    <w:rsid w:val="00081D6E"/>
    <w:rsid w:val="00082580"/>
    <w:rsid w:val="00083A50"/>
    <w:rsid w:val="00083B00"/>
    <w:rsid w:val="00083C63"/>
    <w:rsid w:val="00084E8F"/>
    <w:rsid w:val="00085A90"/>
    <w:rsid w:val="00087193"/>
    <w:rsid w:val="00087F7B"/>
    <w:rsid w:val="0009029E"/>
    <w:rsid w:val="00090A6F"/>
    <w:rsid w:val="00091B0E"/>
    <w:rsid w:val="00093BE5"/>
    <w:rsid w:val="000958C3"/>
    <w:rsid w:val="00096466"/>
    <w:rsid w:val="000A1F58"/>
    <w:rsid w:val="000A31F9"/>
    <w:rsid w:val="000B3464"/>
    <w:rsid w:val="000B43A4"/>
    <w:rsid w:val="000B513A"/>
    <w:rsid w:val="000B5761"/>
    <w:rsid w:val="000B5C82"/>
    <w:rsid w:val="000B644E"/>
    <w:rsid w:val="000C50BC"/>
    <w:rsid w:val="000C5E8F"/>
    <w:rsid w:val="000C5F2F"/>
    <w:rsid w:val="000C656D"/>
    <w:rsid w:val="000D0276"/>
    <w:rsid w:val="000D0BC7"/>
    <w:rsid w:val="000E18BB"/>
    <w:rsid w:val="000E3728"/>
    <w:rsid w:val="000E438B"/>
    <w:rsid w:val="000E5940"/>
    <w:rsid w:val="000E7091"/>
    <w:rsid w:val="000E7B4D"/>
    <w:rsid w:val="000F0BE1"/>
    <w:rsid w:val="000F147D"/>
    <w:rsid w:val="000F3B57"/>
    <w:rsid w:val="000F41A3"/>
    <w:rsid w:val="000F440D"/>
    <w:rsid w:val="000F597A"/>
    <w:rsid w:val="000F7993"/>
    <w:rsid w:val="001002C0"/>
    <w:rsid w:val="00101C5F"/>
    <w:rsid w:val="00101EE7"/>
    <w:rsid w:val="00103415"/>
    <w:rsid w:val="00103648"/>
    <w:rsid w:val="00104269"/>
    <w:rsid w:val="00105679"/>
    <w:rsid w:val="00105693"/>
    <w:rsid w:val="00105B3C"/>
    <w:rsid w:val="00110AE1"/>
    <w:rsid w:val="001111ED"/>
    <w:rsid w:val="00112E0D"/>
    <w:rsid w:val="001130FF"/>
    <w:rsid w:val="00114109"/>
    <w:rsid w:val="00114DC0"/>
    <w:rsid w:val="00114EE3"/>
    <w:rsid w:val="00117118"/>
    <w:rsid w:val="0011797F"/>
    <w:rsid w:val="001179BE"/>
    <w:rsid w:val="00122BB8"/>
    <w:rsid w:val="001279CA"/>
    <w:rsid w:val="00132C46"/>
    <w:rsid w:val="00133739"/>
    <w:rsid w:val="00137A92"/>
    <w:rsid w:val="00140824"/>
    <w:rsid w:val="00140AC4"/>
    <w:rsid w:val="0014233D"/>
    <w:rsid w:val="00142487"/>
    <w:rsid w:val="001425FD"/>
    <w:rsid w:val="00142BBE"/>
    <w:rsid w:val="00143BEA"/>
    <w:rsid w:val="00144665"/>
    <w:rsid w:val="00145233"/>
    <w:rsid w:val="00146176"/>
    <w:rsid w:val="001500BB"/>
    <w:rsid w:val="00150BE7"/>
    <w:rsid w:val="00151EE9"/>
    <w:rsid w:val="00152DC3"/>
    <w:rsid w:val="00152F0F"/>
    <w:rsid w:val="0015578A"/>
    <w:rsid w:val="00156761"/>
    <w:rsid w:val="00157128"/>
    <w:rsid w:val="00162B35"/>
    <w:rsid w:val="00164B05"/>
    <w:rsid w:val="00165D2C"/>
    <w:rsid w:val="00167914"/>
    <w:rsid w:val="00167B4F"/>
    <w:rsid w:val="001705F9"/>
    <w:rsid w:val="001722CC"/>
    <w:rsid w:val="00180656"/>
    <w:rsid w:val="001812E2"/>
    <w:rsid w:val="00182C09"/>
    <w:rsid w:val="00183634"/>
    <w:rsid w:val="00184093"/>
    <w:rsid w:val="0018427A"/>
    <w:rsid w:val="00184F9C"/>
    <w:rsid w:val="00186ABA"/>
    <w:rsid w:val="00190BFB"/>
    <w:rsid w:val="00191DA7"/>
    <w:rsid w:val="00191ED7"/>
    <w:rsid w:val="00192056"/>
    <w:rsid w:val="001940A4"/>
    <w:rsid w:val="001967D6"/>
    <w:rsid w:val="00197942"/>
    <w:rsid w:val="001A2D80"/>
    <w:rsid w:val="001A3E54"/>
    <w:rsid w:val="001A4390"/>
    <w:rsid w:val="001A4BF1"/>
    <w:rsid w:val="001A57A7"/>
    <w:rsid w:val="001A5C0B"/>
    <w:rsid w:val="001A79B6"/>
    <w:rsid w:val="001A7DCE"/>
    <w:rsid w:val="001B0449"/>
    <w:rsid w:val="001B1217"/>
    <w:rsid w:val="001B2FBB"/>
    <w:rsid w:val="001B3DB4"/>
    <w:rsid w:val="001B40F8"/>
    <w:rsid w:val="001B64A1"/>
    <w:rsid w:val="001B7441"/>
    <w:rsid w:val="001B7812"/>
    <w:rsid w:val="001B7C3F"/>
    <w:rsid w:val="001C18E2"/>
    <w:rsid w:val="001C2312"/>
    <w:rsid w:val="001C6758"/>
    <w:rsid w:val="001D261F"/>
    <w:rsid w:val="001D2ED1"/>
    <w:rsid w:val="001D4F3B"/>
    <w:rsid w:val="001E2A87"/>
    <w:rsid w:val="001E649A"/>
    <w:rsid w:val="001E6954"/>
    <w:rsid w:val="001E7AC2"/>
    <w:rsid w:val="001F792E"/>
    <w:rsid w:val="001F7AEB"/>
    <w:rsid w:val="00202BF5"/>
    <w:rsid w:val="00203E4B"/>
    <w:rsid w:val="00204019"/>
    <w:rsid w:val="002040F5"/>
    <w:rsid w:val="00211471"/>
    <w:rsid w:val="002118F6"/>
    <w:rsid w:val="0021263E"/>
    <w:rsid w:val="00212FC1"/>
    <w:rsid w:val="00214451"/>
    <w:rsid w:val="002157E5"/>
    <w:rsid w:val="002203AB"/>
    <w:rsid w:val="00222C1F"/>
    <w:rsid w:val="00223F84"/>
    <w:rsid w:val="00224D2C"/>
    <w:rsid w:val="002318AF"/>
    <w:rsid w:val="00235A03"/>
    <w:rsid w:val="00235CE8"/>
    <w:rsid w:val="00236476"/>
    <w:rsid w:val="00237E37"/>
    <w:rsid w:val="00237F24"/>
    <w:rsid w:val="00240BD1"/>
    <w:rsid w:val="00240E59"/>
    <w:rsid w:val="00241AA2"/>
    <w:rsid w:val="002424E5"/>
    <w:rsid w:val="00242BA5"/>
    <w:rsid w:val="00242E13"/>
    <w:rsid w:val="00245E71"/>
    <w:rsid w:val="00246DDB"/>
    <w:rsid w:val="00247189"/>
    <w:rsid w:val="0025162E"/>
    <w:rsid w:val="00252183"/>
    <w:rsid w:val="0025254C"/>
    <w:rsid w:val="00255510"/>
    <w:rsid w:val="0026700C"/>
    <w:rsid w:val="00267758"/>
    <w:rsid w:val="0027269C"/>
    <w:rsid w:val="00275278"/>
    <w:rsid w:val="00277A8A"/>
    <w:rsid w:val="002806A5"/>
    <w:rsid w:val="002819C2"/>
    <w:rsid w:val="00282709"/>
    <w:rsid w:val="00291691"/>
    <w:rsid w:val="002939B4"/>
    <w:rsid w:val="00295B2D"/>
    <w:rsid w:val="00296AA3"/>
    <w:rsid w:val="002A01D2"/>
    <w:rsid w:val="002A047F"/>
    <w:rsid w:val="002A133C"/>
    <w:rsid w:val="002A1B3D"/>
    <w:rsid w:val="002A3B78"/>
    <w:rsid w:val="002A3D43"/>
    <w:rsid w:val="002A71E8"/>
    <w:rsid w:val="002A7833"/>
    <w:rsid w:val="002A7F5F"/>
    <w:rsid w:val="002B0D5C"/>
    <w:rsid w:val="002B2E1D"/>
    <w:rsid w:val="002B2E9D"/>
    <w:rsid w:val="002B6A1A"/>
    <w:rsid w:val="002B7219"/>
    <w:rsid w:val="002C052B"/>
    <w:rsid w:val="002C1384"/>
    <w:rsid w:val="002C1FA8"/>
    <w:rsid w:val="002C4EDD"/>
    <w:rsid w:val="002C60AD"/>
    <w:rsid w:val="002C74B0"/>
    <w:rsid w:val="002C7F45"/>
    <w:rsid w:val="002D1456"/>
    <w:rsid w:val="002D36DA"/>
    <w:rsid w:val="002D3F31"/>
    <w:rsid w:val="002D5902"/>
    <w:rsid w:val="002D5B51"/>
    <w:rsid w:val="002D6E4F"/>
    <w:rsid w:val="002D6EFF"/>
    <w:rsid w:val="002D76CF"/>
    <w:rsid w:val="002E51D6"/>
    <w:rsid w:val="002E52A1"/>
    <w:rsid w:val="002F2BCD"/>
    <w:rsid w:val="003023FA"/>
    <w:rsid w:val="0030473E"/>
    <w:rsid w:val="003052E1"/>
    <w:rsid w:val="00305936"/>
    <w:rsid w:val="003076E0"/>
    <w:rsid w:val="003107C9"/>
    <w:rsid w:val="00311067"/>
    <w:rsid w:val="00313916"/>
    <w:rsid w:val="003145A5"/>
    <w:rsid w:val="003161CE"/>
    <w:rsid w:val="00317DF6"/>
    <w:rsid w:val="00321D6D"/>
    <w:rsid w:val="00323E29"/>
    <w:rsid w:val="0032625F"/>
    <w:rsid w:val="003262C7"/>
    <w:rsid w:val="00326ECB"/>
    <w:rsid w:val="00326FEF"/>
    <w:rsid w:val="00332387"/>
    <w:rsid w:val="003333AF"/>
    <w:rsid w:val="00335DE6"/>
    <w:rsid w:val="00342477"/>
    <w:rsid w:val="00343D04"/>
    <w:rsid w:val="00344D91"/>
    <w:rsid w:val="00347369"/>
    <w:rsid w:val="00353AE0"/>
    <w:rsid w:val="00356A92"/>
    <w:rsid w:val="00357D61"/>
    <w:rsid w:val="0036347B"/>
    <w:rsid w:val="00363E3B"/>
    <w:rsid w:val="00371937"/>
    <w:rsid w:val="0037315D"/>
    <w:rsid w:val="00374D45"/>
    <w:rsid w:val="00377616"/>
    <w:rsid w:val="003804EA"/>
    <w:rsid w:val="00381BC0"/>
    <w:rsid w:val="0038219D"/>
    <w:rsid w:val="00382F4F"/>
    <w:rsid w:val="00386864"/>
    <w:rsid w:val="0039064D"/>
    <w:rsid w:val="003908FA"/>
    <w:rsid w:val="00391982"/>
    <w:rsid w:val="0039324D"/>
    <w:rsid w:val="003962B1"/>
    <w:rsid w:val="003967B0"/>
    <w:rsid w:val="003A17E7"/>
    <w:rsid w:val="003A26AD"/>
    <w:rsid w:val="003A2DE3"/>
    <w:rsid w:val="003A3DBC"/>
    <w:rsid w:val="003A4370"/>
    <w:rsid w:val="003A5ECC"/>
    <w:rsid w:val="003A61DE"/>
    <w:rsid w:val="003A738C"/>
    <w:rsid w:val="003B2E3D"/>
    <w:rsid w:val="003B4A6B"/>
    <w:rsid w:val="003B4D40"/>
    <w:rsid w:val="003B6680"/>
    <w:rsid w:val="003C0C12"/>
    <w:rsid w:val="003C1982"/>
    <w:rsid w:val="003C1EE8"/>
    <w:rsid w:val="003C5569"/>
    <w:rsid w:val="003C56E7"/>
    <w:rsid w:val="003D0725"/>
    <w:rsid w:val="003D26F4"/>
    <w:rsid w:val="003D3FEC"/>
    <w:rsid w:val="003D5E62"/>
    <w:rsid w:val="003D7851"/>
    <w:rsid w:val="003D7CE7"/>
    <w:rsid w:val="003E169C"/>
    <w:rsid w:val="003E248B"/>
    <w:rsid w:val="003E29F3"/>
    <w:rsid w:val="003E3750"/>
    <w:rsid w:val="003E4A55"/>
    <w:rsid w:val="003E7481"/>
    <w:rsid w:val="003F10C8"/>
    <w:rsid w:val="003F1975"/>
    <w:rsid w:val="003F208B"/>
    <w:rsid w:val="003F3961"/>
    <w:rsid w:val="003F3A03"/>
    <w:rsid w:val="003F61C2"/>
    <w:rsid w:val="004011F3"/>
    <w:rsid w:val="0040196D"/>
    <w:rsid w:val="0040199D"/>
    <w:rsid w:val="004024E1"/>
    <w:rsid w:val="0040287B"/>
    <w:rsid w:val="004073B3"/>
    <w:rsid w:val="00410006"/>
    <w:rsid w:val="00410557"/>
    <w:rsid w:val="004140D9"/>
    <w:rsid w:val="004141C4"/>
    <w:rsid w:val="00414CEC"/>
    <w:rsid w:val="004158B7"/>
    <w:rsid w:val="00415A60"/>
    <w:rsid w:val="004223B5"/>
    <w:rsid w:val="00424A0C"/>
    <w:rsid w:val="00425135"/>
    <w:rsid w:val="0043080F"/>
    <w:rsid w:val="00432A1F"/>
    <w:rsid w:val="004336EF"/>
    <w:rsid w:val="0043488A"/>
    <w:rsid w:val="00440F19"/>
    <w:rsid w:val="0044105B"/>
    <w:rsid w:val="00442316"/>
    <w:rsid w:val="00442E13"/>
    <w:rsid w:val="00445A6C"/>
    <w:rsid w:val="00447E3B"/>
    <w:rsid w:val="004506BE"/>
    <w:rsid w:val="00452790"/>
    <w:rsid w:val="00452E3C"/>
    <w:rsid w:val="004533D1"/>
    <w:rsid w:val="00455499"/>
    <w:rsid w:val="00455B73"/>
    <w:rsid w:val="00455C0C"/>
    <w:rsid w:val="00456406"/>
    <w:rsid w:val="004565C9"/>
    <w:rsid w:val="00457596"/>
    <w:rsid w:val="004577FF"/>
    <w:rsid w:val="00462366"/>
    <w:rsid w:val="004629D5"/>
    <w:rsid w:val="00462C4D"/>
    <w:rsid w:val="004668C3"/>
    <w:rsid w:val="00470F61"/>
    <w:rsid w:val="004714A5"/>
    <w:rsid w:val="004714D5"/>
    <w:rsid w:val="004719CF"/>
    <w:rsid w:val="0047340A"/>
    <w:rsid w:val="00474B95"/>
    <w:rsid w:val="00475FC2"/>
    <w:rsid w:val="004808A5"/>
    <w:rsid w:val="00480CD1"/>
    <w:rsid w:val="004814D3"/>
    <w:rsid w:val="00482852"/>
    <w:rsid w:val="00482A9B"/>
    <w:rsid w:val="0048763F"/>
    <w:rsid w:val="00487A62"/>
    <w:rsid w:val="00491337"/>
    <w:rsid w:val="004920AA"/>
    <w:rsid w:val="0049223A"/>
    <w:rsid w:val="00492496"/>
    <w:rsid w:val="00492A9F"/>
    <w:rsid w:val="00493BA3"/>
    <w:rsid w:val="00494271"/>
    <w:rsid w:val="004942F5"/>
    <w:rsid w:val="0049694C"/>
    <w:rsid w:val="004A0313"/>
    <w:rsid w:val="004A20D7"/>
    <w:rsid w:val="004A65BD"/>
    <w:rsid w:val="004B03EC"/>
    <w:rsid w:val="004B276A"/>
    <w:rsid w:val="004B2FA4"/>
    <w:rsid w:val="004B3148"/>
    <w:rsid w:val="004B325E"/>
    <w:rsid w:val="004B44B8"/>
    <w:rsid w:val="004B4CFF"/>
    <w:rsid w:val="004B54E9"/>
    <w:rsid w:val="004B59D6"/>
    <w:rsid w:val="004B653C"/>
    <w:rsid w:val="004B6A92"/>
    <w:rsid w:val="004C0CD8"/>
    <w:rsid w:val="004C13E9"/>
    <w:rsid w:val="004C43A4"/>
    <w:rsid w:val="004C559B"/>
    <w:rsid w:val="004C7259"/>
    <w:rsid w:val="004C73B7"/>
    <w:rsid w:val="004C76CE"/>
    <w:rsid w:val="004D13C4"/>
    <w:rsid w:val="004D1741"/>
    <w:rsid w:val="004D20EE"/>
    <w:rsid w:val="004D2666"/>
    <w:rsid w:val="004D2E52"/>
    <w:rsid w:val="004D6AE4"/>
    <w:rsid w:val="004D7489"/>
    <w:rsid w:val="004D7840"/>
    <w:rsid w:val="004E04F7"/>
    <w:rsid w:val="004E19E9"/>
    <w:rsid w:val="004E1E50"/>
    <w:rsid w:val="004E3AF1"/>
    <w:rsid w:val="004E7288"/>
    <w:rsid w:val="004F009B"/>
    <w:rsid w:val="004F0706"/>
    <w:rsid w:val="004F207A"/>
    <w:rsid w:val="004F2904"/>
    <w:rsid w:val="004F401F"/>
    <w:rsid w:val="004F52CE"/>
    <w:rsid w:val="004F6AED"/>
    <w:rsid w:val="004F7002"/>
    <w:rsid w:val="005027B4"/>
    <w:rsid w:val="005027F0"/>
    <w:rsid w:val="00503995"/>
    <w:rsid w:val="005046FA"/>
    <w:rsid w:val="00504773"/>
    <w:rsid w:val="00506383"/>
    <w:rsid w:val="005068BC"/>
    <w:rsid w:val="00507E3F"/>
    <w:rsid w:val="00511483"/>
    <w:rsid w:val="005127FE"/>
    <w:rsid w:val="00512EE4"/>
    <w:rsid w:val="00516D73"/>
    <w:rsid w:val="00520485"/>
    <w:rsid w:val="00520E6B"/>
    <w:rsid w:val="00522F6B"/>
    <w:rsid w:val="00523110"/>
    <w:rsid w:val="00523875"/>
    <w:rsid w:val="00524D62"/>
    <w:rsid w:val="00525721"/>
    <w:rsid w:val="005264DA"/>
    <w:rsid w:val="00526766"/>
    <w:rsid w:val="005268E0"/>
    <w:rsid w:val="00527DB2"/>
    <w:rsid w:val="005313CD"/>
    <w:rsid w:val="00532BFB"/>
    <w:rsid w:val="005335BB"/>
    <w:rsid w:val="00533650"/>
    <w:rsid w:val="00533F72"/>
    <w:rsid w:val="00536A57"/>
    <w:rsid w:val="00537979"/>
    <w:rsid w:val="005422E3"/>
    <w:rsid w:val="00542A0E"/>
    <w:rsid w:val="0054615B"/>
    <w:rsid w:val="005472A5"/>
    <w:rsid w:val="00550C78"/>
    <w:rsid w:val="00550DEC"/>
    <w:rsid w:val="00551DFD"/>
    <w:rsid w:val="00552952"/>
    <w:rsid w:val="00556A44"/>
    <w:rsid w:val="0055746E"/>
    <w:rsid w:val="00560A87"/>
    <w:rsid w:val="00562685"/>
    <w:rsid w:val="00564CD3"/>
    <w:rsid w:val="0056541D"/>
    <w:rsid w:val="005654AC"/>
    <w:rsid w:val="00565C40"/>
    <w:rsid w:val="00565DA6"/>
    <w:rsid w:val="005670C9"/>
    <w:rsid w:val="00567462"/>
    <w:rsid w:val="00567CB4"/>
    <w:rsid w:val="00567D9E"/>
    <w:rsid w:val="00567F61"/>
    <w:rsid w:val="0057012C"/>
    <w:rsid w:val="00571479"/>
    <w:rsid w:val="00573986"/>
    <w:rsid w:val="00573A32"/>
    <w:rsid w:val="005752A8"/>
    <w:rsid w:val="005759A6"/>
    <w:rsid w:val="00575D97"/>
    <w:rsid w:val="00576019"/>
    <w:rsid w:val="005779AE"/>
    <w:rsid w:val="005821C1"/>
    <w:rsid w:val="005822A8"/>
    <w:rsid w:val="00582E12"/>
    <w:rsid w:val="0058466B"/>
    <w:rsid w:val="005856BC"/>
    <w:rsid w:val="0058588D"/>
    <w:rsid w:val="0059307E"/>
    <w:rsid w:val="0059545D"/>
    <w:rsid w:val="005A2E6F"/>
    <w:rsid w:val="005A6D6C"/>
    <w:rsid w:val="005A6ED8"/>
    <w:rsid w:val="005A7AAD"/>
    <w:rsid w:val="005B2C3C"/>
    <w:rsid w:val="005B3CB6"/>
    <w:rsid w:val="005B5439"/>
    <w:rsid w:val="005C028E"/>
    <w:rsid w:val="005C1A0D"/>
    <w:rsid w:val="005C2D90"/>
    <w:rsid w:val="005C46E9"/>
    <w:rsid w:val="005C4B09"/>
    <w:rsid w:val="005C5DA2"/>
    <w:rsid w:val="005D12C6"/>
    <w:rsid w:val="005D4530"/>
    <w:rsid w:val="005D64A0"/>
    <w:rsid w:val="005D6837"/>
    <w:rsid w:val="005D6C4C"/>
    <w:rsid w:val="005E287E"/>
    <w:rsid w:val="005E2D1E"/>
    <w:rsid w:val="005E3B88"/>
    <w:rsid w:val="005E4703"/>
    <w:rsid w:val="005E5836"/>
    <w:rsid w:val="005E61F9"/>
    <w:rsid w:val="005E63F7"/>
    <w:rsid w:val="005E7CE3"/>
    <w:rsid w:val="005F0430"/>
    <w:rsid w:val="005F1E03"/>
    <w:rsid w:val="005F2F09"/>
    <w:rsid w:val="005F3BA5"/>
    <w:rsid w:val="005F50BA"/>
    <w:rsid w:val="005F589F"/>
    <w:rsid w:val="005F5B34"/>
    <w:rsid w:val="005F5C28"/>
    <w:rsid w:val="006008DC"/>
    <w:rsid w:val="00601FDC"/>
    <w:rsid w:val="00602D35"/>
    <w:rsid w:val="0060301F"/>
    <w:rsid w:val="00603464"/>
    <w:rsid w:val="00610B71"/>
    <w:rsid w:val="006126EC"/>
    <w:rsid w:val="00617EEA"/>
    <w:rsid w:val="0062450B"/>
    <w:rsid w:val="00624AF3"/>
    <w:rsid w:val="00626F2D"/>
    <w:rsid w:val="00626F33"/>
    <w:rsid w:val="006271F1"/>
    <w:rsid w:val="00627316"/>
    <w:rsid w:val="00632279"/>
    <w:rsid w:val="00635AC4"/>
    <w:rsid w:val="00640DE1"/>
    <w:rsid w:val="0064157C"/>
    <w:rsid w:val="006416B8"/>
    <w:rsid w:val="00643180"/>
    <w:rsid w:val="006433CC"/>
    <w:rsid w:val="00643FA8"/>
    <w:rsid w:val="0064473F"/>
    <w:rsid w:val="00644CC2"/>
    <w:rsid w:val="00653689"/>
    <w:rsid w:val="00653904"/>
    <w:rsid w:val="00654ABD"/>
    <w:rsid w:val="0065606C"/>
    <w:rsid w:val="00664757"/>
    <w:rsid w:val="00664E7A"/>
    <w:rsid w:val="0066607A"/>
    <w:rsid w:val="006679B5"/>
    <w:rsid w:val="00667ED8"/>
    <w:rsid w:val="0067183E"/>
    <w:rsid w:val="00671DB1"/>
    <w:rsid w:val="00672440"/>
    <w:rsid w:val="00674994"/>
    <w:rsid w:val="00674B33"/>
    <w:rsid w:val="0067564A"/>
    <w:rsid w:val="00675684"/>
    <w:rsid w:val="00676119"/>
    <w:rsid w:val="0068287F"/>
    <w:rsid w:val="00683837"/>
    <w:rsid w:val="0069152F"/>
    <w:rsid w:val="00696D0B"/>
    <w:rsid w:val="006979F0"/>
    <w:rsid w:val="006A05A7"/>
    <w:rsid w:val="006A10C3"/>
    <w:rsid w:val="006A1BF7"/>
    <w:rsid w:val="006A20D1"/>
    <w:rsid w:val="006A2991"/>
    <w:rsid w:val="006A6E01"/>
    <w:rsid w:val="006A7E2E"/>
    <w:rsid w:val="006B1968"/>
    <w:rsid w:val="006B25FE"/>
    <w:rsid w:val="006B2F1C"/>
    <w:rsid w:val="006B2F7C"/>
    <w:rsid w:val="006B428F"/>
    <w:rsid w:val="006B5B2D"/>
    <w:rsid w:val="006B5E23"/>
    <w:rsid w:val="006B626E"/>
    <w:rsid w:val="006B6DE4"/>
    <w:rsid w:val="006C0371"/>
    <w:rsid w:val="006C425B"/>
    <w:rsid w:val="006C4D76"/>
    <w:rsid w:val="006C4F96"/>
    <w:rsid w:val="006C5037"/>
    <w:rsid w:val="006C59BD"/>
    <w:rsid w:val="006C7603"/>
    <w:rsid w:val="006C7EDF"/>
    <w:rsid w:val="006D0081"/>
    <w:rsid w:val="006D0624"/>
    <w:rsid w:val="006D0751"/>
    <w:rsid w:val="006D2E8E"/>
    <w:rsid w:val="006D61A3"/>
    <w:rsid w:val="006D7274"/>
    <w:rsid w:val="006D7649"/>
    <w:rsid w:val="006E0E56"/>
    <w:rsid w:val="006E5795"/>
    <w:rsid w:val="006E6B2E"/>
    <w:rsid w:val="006E7EC9"/>
    <w:rsid w:val="006F09DE"/>
    <w:rsid w:val="006F13FA"/>
    <w:rsid w:val="006F311E"/>
    <w:rsid w:val="006F39D6"/>
    <w:rsid w:val="006F4FF6"/>
    <w:rsid w:val="00703C57"/>
    <w:rsid w:val="00705C49"/>
    <w:rsid w:val="00710A14"/>
    <w:rsid w:val="00711502"/>
    <w:rsid w:val="00711627"/>
    <w:rsid w:val="00712509"/>
    <w:rsid w:val="0071327A"/>
    <w:rsid w:val="007172CA"/>
    <w:rsid w:val="00731723"/>
    <w:rsid w:val="00732BBD"/>
    <w:rsid w:val="00734566"/>
    <w:rsid w:val="00734B43"/>
    <w:rsid w:val="007355F3"/>
    <w:rsid w:val="00740175"/>
    <w:rsid w:val="00742B8F"/>
    <w:rsid w:val="007433AC"/>
    <w:rsid w:val="00743F53"/>
    <w:rsid w:val="0074529C"/>
    <w:rsid w:val="0074600A"/>
    <w:rsid w:val="007534BD"/>
    <w:rsid w:val="00753789"/>
    <w:rsid w:val="0075396A"/>
    <w:rsid w:val="007559F3"/>
    <w:rsid w:val="007571F3"/>
    <w:rsid w:val="00760883"/>
    <w:rsid w:val="0076283F"/>
    <w:rsid w:val="00764A07"/>
    <w:rsid w:val="00765764"/>
    <w:rsid w:val="00765FF6"/>
    <w:rsid w:val="007662F5"/>
    <w:rsid w:val="007675EA"/>
    <w:rsid w:val="007715AA"/>
    <w:rsid w:val="007729B5"/>
    <w:rsid w:val="00772AF0"/>
    <w:rsid w:val="0077360B"/>
    <w:rsid w:val="0077366C"/>
    <w:rsid w:val="007737FB"/>
    <w:rsid w:val="00774E2F"/>
    <w:rsid w:val="00775421"/>
    <w:rsid w:val="00776D56"/>
    <w:rsid w:val="00780475"/>
    <w:rsid w:val="00781FC8"/>
    <w:rsid w:val="00782C46"/>
    <w:rsid w:val="00784D7A"/>
    <w:rsid w:val="00787316"/>
    <w:rsid w:val="0079002E"/>
    <w:rsid w:val="00790D3F"/>
    <w:rsid w:val="007945B6"/>
    <w:rsid w:val="007967C1"/>
    <w:rsid w:val="007A0A96"/>
    <w:rsid w:val="007B135F"/>
    <w:rsid w:val="007B1B69"/>
    <w:rsid w:val="007B4384"/>
    <w:rsid w:val="007B5F58"/>
    <w:rsid w:val="007C0882"/>
    <w:rsid w:val="007C1043"/>
    <w:rsid w:val="007C4BE1"/>
    <w:rsid w:val="007C57B7"/>
    <w:rsid w:val="007D419F"/>
    <w:rsid w:val="007D6F29"/>
    <w:rsid w:val="007D735A"/>
    <w:rsid w:val="007E2A64"/>
    <w:rsid w:val="007E3A9C"/>
    <w:rsid w:val="007E4C54"/>
    <w:rsid w:val="007E5D8C"/>
    <w:rsid w:val="007F0584"/>
    <w:rsid w:val="007F11B8"/>
    <w:rsid w:val="007F386E"/>
    <w:rsid w:val="007F3ADC"/>
    <w:rsid w:val="007F3EEA"/>
    <w:rsid w:val="007F6D7B"/>
    <w:rsid w:val="007F70E3"/>
    <w:rsid w:val="007F776F"/>
    <w:rsid w:val="0080028E"/>
    <w:rsid w:val="008012B4"/>
    <w:rsid w:val="00801A03"/>
    <w:rsid w:val="00802845"/>
    <w:rsid w:val="00802CB7"/>
    <w:rsid w:val="00803299"/>
    <w:rsid w:val="00804F6D"/>
    <w:rsid w:val="00805068"/>
    <w:rsid w:val="00811EE1"/>
    <w:rsid w:val="008165EA"/>
    <w:rsid w:val="00816907"/>
    <w:rsid w:val="00816CF0"/>
    <w:rsid w:val="0081790A"/>
    <w:rsid w:val="008201BA"/>
    <w:rsid w:val="008213A0"/>
    <w:rsid w:val="00821CF3"/>
    <w:rsid w:val="00822E96"/>
    <w:rsid w:val="00823DE0"/>
    <w:rsid w:val="00825D16"/>
    <w:rsid w:val="0083006E"/>
    <w:rsid w:val="00830A74"/>
    <w:rsid w:val="008325A3"/>
    <w:rsid w:val="008339EF"/>
    <w:rsid w:val="008348F3"/>
    <w:rsid w:val="00837A15"/>
    <w:rsid w:val="00842FF3"/>
    <w:rsid w:val="0084344B"/>
    <w:rsid w:val="00846C3B"/>
    <w:rsid w:val="00850ABF"/>
    <w:rsid w:val="00850C34"/>
    <w:rsid w:val="00850F04"/>
    <w:rsid w:val="008543E1"/>
    <w:rsid w:val="008549B6"/>
    <w:rsid w:val="00856596"/>
    <w:rsid w:val="0086068B"/>
    <w:rsid w:val="008620B4"/>
    <w:rsid w:val="00862630"/>
    <w:rsid w:val="008657EC"/>
    <w:rsid w:val="00865910"/>
    <w:rsid w:val="00867369"/>
    <w:rsid w:val="00870D9D"/>
    <w:rsid w:val="00870DBE"/>
    <w:rsid w:val="0087109B"/>
    <w:rsid w:val="008718D8"/>
    <w:rsid w:val="00873818"/>
    <w:rsid w:val="00873F7F"/>
    <w:rsid w:val="00874239"/>
    <w:rsid w:val="00877A6D"/>
    <w:rsid w:val="00882006"/>
    <w:rsid w:val="00884630"/>
    <w:rsid w:val="00884EC1"/>
    <w:rsid w:val="00885BC5"/>
    <w:rsid w:val="00886903"/>
    <w:rsid w:val="00890F00"/>
    <w:rsid w:val="00891373"/>
    <w:rsid w:val="0089283A"/>
    <w:rsid w:val="0089696C"/>
    <w:rsid w:val="00897A46"/>
    <w:rsid w:val="008A06A1"/>
    <w:rsid w:val="008A1089"/>
    <w:rsid w:val="008A12DA"/>
    <w:rsid w:val="008A5DB2"/>
    <w:rsid w:val="008A6EC4"/>
    <w:rsid w:val="008A704B"/>
    <w:rsid w:val="008B1A1A"/>
    <w:rsid w:val="008B1FF2"/>
    <w:rsid w:val="008B231B"/>
    <w:rsid w:val="008B48AB"/>
    <w:rsid w:val="008B4BFE"/>
    <w:rsid w:val="008B691B"/>
    <w:rsid w:val="008B7C13"/>
    <w:rsid w:val="008C1F44"/>
    <w:rsid w:val="008C255E"/>
    <w:rsid w:val="008C3D5E"/>
    <w:rsid w:val="008D4FC7"/>
    <w:rsid w:val="008D59A1"/>
    <w:rsid w:val="008E0178"/>
    <w:rsid w:val="008E0994"/>
    <w:rsid w:val="008E35F9"/>
    <w:rsid w:val="008E42C5"/>
    <w:rsid w:val="008F0B49"/>
    <w:rsid w:val="008F16CD"/>
    <w:rsid w:val="008F3574"/>
    <w:rsid w:val="008F4EA3"/>
    <w:rsid w:val="00902AB6"/>
    <w:rsid w:val="009036E4"/>
    <w:rsid w:val="00904A3E"/>
    <w:rsid w:val="00904B95"/>
    <w:rsid w:val="009050AC"/>
    <w:rsid w:val="00906D82"/>
    <w:rsid w:val="009078EE"/>
    <w:rsid w:val="00907A65"/>
    <w:rsid w:val="00910497"/>
    <w:rsid w:val="00913362"/>
    <w:rsid w:val="00916593"/>
    <w:rsid w:val="00916DBA"/>
    <w:rsid w:val="009215B7"/>
    <w:rsid w:val="00921CE2"/>
    <w:rsid w:val="00922EF8"/>
    <w:rsid w:val="009242EA"/>
    <w:rsid w:val="00924381"/>
    <w:rsid w:val="0093045C"/>
    <w:rsid w:val="009314BE"/>
    <w:rsid w:val="00932281"/>
    <w:rsid w:val="00934D2C"/>
    <w:rsid w:val="00935407"/>
    <w:rsid w:val="009402A5"/>
    <w:rsid w:val="009406CA"/>
    <w:rsid w:val="00941494"/>
    <w:rsid w:val="00941728"/>
    <w:rsid w:val="009422D4"/>
    <w:rsid w:val="009450E7"/>
    <w:rsid w:val="009457DA"/>
    <w:rsid w:val="00945BA6"/>
    <w:rsid w:val="0095041C"/>
    <w:rsid w:val="00952BD6"/>
    <w:rsid w:val="00952EAE"/>
    <w:rsid w:val="009535A7"/>
    <w:rsid w:val="00953A46"/>
    <w:rsid w:val="0095529C"/>
    <w:rsid w:val="0096111A"/>
    <w:rsid w:val="00967C28"/>
    <w:rsid w:val="00974A56"/>
    <w:rsid w:val="00976D34"/>
    <w:rsid w:val="00976D66"/>
    <w:rsid w:val="009779C3"/>
    <w:rsid w:val="009862E9"/>
    <w:rsid w:val="00986A33"/>
    <w:rsid w:val="00987370"/>
    <w:rsid w:val="00991F79"/>
    <w:rsid w:val="00992658"/>
    <w:rsid w:val="009966D6"/>
    <w:rsid w:val="00996906"/>
    <w:rsid w:val="00997435"/>
    <w:rsid w:val="0099797C"/>
    <w:rsid w:val="009A550B"/>
    <w:rsid w:val="009A58AB"/>
    <w:rsid w:val="009A5B98"/>
    <w:rsid w:val="009A5C95"/>
    <w:rsid w:val="009A67AF"/>
    <w:rsid w:val="009A6C69"/>
    <w:rsid w:val="009A6CCE"/>
    <w:rsid w:val="009B293C"/>
    <w:rsid w:val="009B3A1B"/>
    <w:rsid w:val="009B472A"/>
    <w:rsid w:val="009B55CD"/>
    <w:rsid w:val="009C0F45"/>
    <w:rsid w:val="009C187A"/>
    <w:rsid w:val="009C2F06"/>
    <w:rsid w:val="009C64EC"/>
    <w:rsid w:val="009D05C1"/>
    <w:rsid w:val="009D15B0"/>
    <w:rsid w:val="009D2E2C"/>
    <w:rsid w:val="009D3FDD"/>
    <w:rsid w:val="009D55A7"/>
    <w:rsid w:val="009D6332"/>
    <w:rsid w:val="009D6F4A"/>
    <w:rsid w:val="009D7FA0"/>
    <w:rsid w:val="009E0E59"/>
    <w:rsid w:val="009E0F04"/>
    <w:rsid w:val="009E1A45"/>
    <w:rsid w:val="009E3402"/>
    <w:rsid w:val="009E3473"/>
    <w:rsid w:val="009E4101"/>
    <w:rsid w:val="009E4398"/>
    <w:rsid w:val="009E49FB"/>
    <w:rsid w:val="009E5DAB"/>
    <w:rsid w:val="009F0978"/>
    <w:rsid w:val="009F367F"/>
    <w:rsid w:val="009F5000"/>
    <w:rsid w:val="009F5450"/>
    <w:rsid w:val="009F7222"/>
    <w:rsid w:val="00A01D8D"/>
    <w:rsid w:val="00A02BBC"/>
    <w:rsid w:val="00A02CA0"/>
    <w:rsid w:val="00A02ED9"/>
    <w:rsid w:val="00A044B5"/>
    <w:rsid w:val="00A04892"/>
    <w:rsid w:val="00A04BB1"/>
    <w:rsid w:val="00A07390"/>
    <w:rsid w:val="00A0798E"/>
    <w:rsid w:val="00A10C4B"/>
    <w:rsid w:val="00A13335"/>
    <w:rsid w:val="00A144A5"/>
    <w:rsid w:val="00A15BB3"/>
    <w:rsid w:val="00A16D60"/>
    <w:rsid w:val="00A24107"/>
    <w:rsid w:val="00A24A10"/>
    <w:rsid w:val="00A25B7E"/>
    <w:rsid w:val="00A262B8"/>
    <w:rsid w:val="00A270B9"/>
    <w:rsid w:val="00A27792"/>
    <w:rsid w:val="00A30A00"/>
    <w:rsid w:val="00A32526"/>
    <w:rsid w:val="00A3567A"/>
    <w:rsid w:val="00A3648F"/>
    <w:rsid w:val="00A41AB8"/>
    <w:rsid w:val="00A423C8"/>
    <w:rsid w:val="00A42B52"/>
    <w:rsid w:val="00A52BC4"/>
    <w:rsid w:val="00A5314E"/>
    <w:rsid w:val="00A54F3D"/>
    <w:rsid w:val="00A6203F"/>
    <w:rsid w:val="00A653BB"/>
    <w:rsid w:val="00A65574"/>
    <w:rsid w:val="00A66C21"/>
    <w:rsid w:val="00A677A4"/>
    <w:rsid w:val="00A70728"/>
    <w:rsid w:val="00A73492"/>
    <w:rsid w:val="00A74CBD"/>
    <w:rsid w:val="00A75E22"/>
    <w:rsid w:val="00A76206"/>
    <w:rsid w:val="00A80295"/>
    <w:rsid w:val="00A80F35"/>
    <w:rsid w:val="00A83E9B"/>
    <w:rsid w:val="00A85F54"/>
    <w:rsid w:val="00A90BE8"/>
    <w:rsid w:val="00A93100"/>
    <w:rsid w:val="00A93989"/>
    <w:rsid w:val="00A97852"/>
    <w:rsid w:val="00AA1E6B"/>
    <w:rsid w:val="00AA2031"/>
    <w:rsid w:val="00AA2955"/>
    <w:rsid w:val="00AA407F"/>
    <w:rsid w:val="00AA4A42"/>
    <w:rsid w:val="00AA67B7"/>
    <w:rsid w:val="00AB22E0"/>
    <w:rsid w:val="00AB3FDB"/>
    <w:rsid w:val="00AB431D"/>
    <w:rsid w:val="00AB49FC"/>
    <w:rsid w:val="00AB4F81"/>
    <w:rsid w:val="00AB7DCC"/>
    <w:rsid w:val="00AC01DB"/>
    <w:rsid w:val="00AC106B"/>
    <w:rsid w:val="00AC3C53"/>
    <w:rsid w:val="00AC5F56"/>
    <w:rsid w:val="00AC65C2"/>
    <w:rsid w:val="00AC7870"/>
    <w:rsid w:val="00AD1DD9"/>
    <w:rsid w:val="00AD55AC"/>
    <w:rsid w:val="00AD7569"/>
    <w:rsid w:val="00AE09D4"/>
    <w:rsid w:val="00AE33B7"/>
    <w:rsid w:val="00AE4374"/>
    <w:rsid w:val="00AE47A4"/>
    <w:rsid w:val="00AF2026"/>
    <w:rsid w:val="00AF2BB5"/>
    <w:rsid w:val="00AF3746"/>
    <w:rsid w:val="00AF4E8C"/>
    <w:rsid w:val="00AF514D"/>
    <w:rsid w:val="00AF7CDE"/>
    <w:rsid w:val="00B00E2E"/>
    <w:rsid w:val="00B018BE"/>
    <w:rsid w:val="00B02D4F"/>
    <w:rsid w:val="00B0308E"/>
    <w:rsid w:val="00B0508A"/>
    <w:rsid w:val="00B0575F"/>
    <w:rsid w:val="00B072FD"/>
    <w:rsid w:val="00B10F3E"/>
    <w:rsid w:val="00B116E7"/>
    <w:rsid w:val="00B1389C"/>
    <w:rsid w:val="00B235ED"/>
    <w:rsid w:val="00B24F71"/>
    <w:rsid w:val="00B251A2"/>
    <w:rsid w:val="00B259FF"/>
    <w:rsid w:val="00B25A6D"/>
    <w:rsid w:val="00B2605C"/>
    <w:rsid w:val="00B269B5"/>
    <w:rsid w:val="00B26BA7"/>
    <w:rsid w:val="00B27705"/>
    <w:rsid w:val="00B30435"/>
    <w:rsid w:val="00B314C5"/>
    <w:rsid w:val="00B331CF"/>
    <w:rsid w:val="00B347A2"/>
    <w:rsid w:val="00B35447"/>
    <w:rsid w:val="00B355DA"/>
    <w:rsid w:val="00B35B8F"/>
    <w:rsid w:val="00B412B5"/>
    <w:rsid w:val="00B421E5"/>
    <w:rsid w:val="00B426EF"/>
    <w:rsid w:val="00B4425C"/>
    <w:rsid w:val="00B474C7"/>
    <w:rsid w:val="00B527DA"/>
    <w:rsid w:val="00B541D3"/>
    <w:rsid w:val="00B54516"/>
    <w:rsid w:val="00B56E85"/>
    <w:rsid w:val="00B57015"/>
    <w:rsid w:val="00B627D0"/>
    <w:rsid w:val="00B6456B"/>
    <w:rsid w:val="00B64A90"/>
    <w:rsid w:val="00B657AC"/>
    <w:rsid w:val="00B664BE"/>
    <w:rsid w:val="00B703D9"/>
    <w:rsid w:val="00B705F1"/>
    <w:rsid w:val="00B71517"/>
    <w:rsid w:val="00B719E8"/>
    <w:rsid w:val="00B72BF0"/>
    <w:rsid w:val="00B730A9"/>
    <w:rsid w:val="00B75B52"/>
    <w:rsid w:val="00B80537"/>
    <w:rsid w:val="00B81785"/>
    <w:rsid w:val="00B82959"/>
    <w:rsid w:val="00B84141"/>
    <w:rsid w:val="00B84645"/>
    <w:rsid w:val="00B85C61"/>
    <w:rsid w:val="00B917D9"/>
    <w:rsid w:val="00B94B8B"/>
    <w:rsid w:val="00B959B6"/>
    <w:rsid w:val="00BA1623"/>
    <w:rsid w:val="00BA3F3A"/>
    <w:rsid w:val="00BA45EF"/>
    <w:rsid w:val="00BA5607"/>
    <w:rsid w:val="00BB2D98"/>
    <w:rsid w:val="00BB2FE6"/>
    <w:rsid w:val="00BB64AF"/>
    <w:rsid w:val="00BC285D"/>
    <w:rsid w:val="00BC2A45"/>
    <w:rsid w:val="00BC37E4"/>
    <w:rsid w:val="00BC3C97"/>
    <w:rsid w:val="00BC44A2"/>
    <w:rsid w:val="00BC6582"/>
    <w:rsid w:val="00BD038E"/>
    <w:rsid w:val="00BD1063"/>
    <w:rsid w:val="00BD1760"/>
    <w:rsid w:val="00BD272F"/>
    <w:rsid w:val="00BD2DA7"/>
    <w:rsid w:val="00BE0542"/>
    <w:rsid w:val="00BE326D"/>
    <w:rsid w:val="00BE5E61"/>
    <w:rsid w:val="00BE7E9E"/>
    <w:rsid w:val="00BF2714"/>
    <w:rsid w:val="00BF278F"/>
    <w:rsid w:val="00BF2A9F"/>
    <w:rsid w:val="00BF5D15"/>
    <w:rsid w:val="00BF7208"/>
    <w:rsid w:val="00BF7958"/>
    <w:rsid w:val="00C0028D"/>
    <w:rsid w:val="00C003A4"/>
    <w:rsid w:val="00C018C9"/>
    <w:rsid w:val="00C02178"/>
    <w:rsid w:val="00C03801"/>
    <w:rsid w:val="00C03C44"/>
    <w:rsid w:val="00C054C7"/>
    <w:rsid w:val="00C0767E"/>
    <w:rsid w:val="00C078B0"/>
    <w:rsid w:val="00C100A3"/>
    <w:rsid w:val="00C10164"/>
    <w:rsid w:val="00C15DC5"/>
    <w:rsid w:val="00C16784"/>
    <w:rsid w:val="00C16A2C"/>
    <w:rsid w:val="00C20CD3"/>
    <w:rsid w:val="00C23E2C"/>
    <w:rsid w:val="00C23EC6"/>
    <w:rsid w:val="00C2637F"/>
    <w:rsid w:val="00C3021A"/>
    <w:rsid w:val="00C307D6"/>
    <w:rsid w:val="00C30B4B"/>
    <w:rsid w:val="00C31799"/>
    <w:rsid w:val="00C3290A"/>
    <w:rsid w:val="00C345B5"/>
    <w:rsid w:val="00C360F6"/>
    <w:rsid w:val="00C36EEA"/>
    <w:rsid w:val="00C371D5"/>
    <w:rsid w:val="00C37396"/>
    <w:rsid w:val="00C41406"/>
    <w:rsid w:val="00C416BE"/>
    <w:rsid w:val="00C43F05"/>
    <w:rsid w:val="00C43FC2"/>
    <w:rsid w:val="00C446D0"/>
    <w:rsid w:val="00C4516C"/>
    <w:rsid w:val="00C4655D"/>
    <w:rsid w:val="00C50694"/>
    <w:rsid w:val="00C508E4"/>
    <w:rsid w:val="00C52C02"/>
    <w:rsid w:val="00C53EF3"/>
    <w:rsid w:val="00C5468E"/>
    <w:rsid w:val="00C54E4F"/>
    <w:rsid w:val="00C62834"/>
    <w:rsid w:val="00C63391"/>
    <w:rsid w:val="00C63576"/>
    <w:rsid w:val="00C63E3B"/>
    <w:rsid w:val="00C64B4D"/>
    <w:rsid w:val="00C653A2"/>
    <w:rsid w:val="00C66ECB"/>
    <w:rsid w:val="00C70AC4"/>
    <w:rsid w:val="00C70C3B"/>
    <w:rsid w:val="00C7241B"/>
    <w:rsid w:val="00C73C46"/>
    <w:rsid w:val="00C746FA"/>
    <w:rsid w:val="00C74D21"/>
    <w:rsid w:val="00C82982"/>
    <w:rsid w:val="00C8371C"/>
    <w:rsid w:val="00C84339"/>
    <w:rsid w:val="00C846DB"/>
    <w:rsid w:val="00C84C56"/>
    <w:rsid w:val="00C85478"/>
    <w:rsid w:val="00C86118"/>
    <w:rsid w:val="00C86188"/>
    <w:rsid w:val="00C86AAC"/>
    <w:rsid w:val="00C87130"/>
    <w:rsid w:val="00C953FB"/>
    <w:rsid w:val="00CA08D7"/>
    <w:rsid w:val="00CA2544"/>
    <w:rsid w:val="00CA2B37"/>
    <w:rsid w:val="00CA3008"/>
    <w:rsid w:val="00CA5106"/>
    <w:rsid w:val="00CA73E8"/>
    <w:rsid w:val="00CB0F42"/>
    <w:rsid w:val="00CB3D3E"/>
    <w:rsid w:val="00CB55CF"/>
    <w:rsid w:val="00CB5A04"/>
    <w:rsid w:val="00CB72D8"/>
    <w:rsid w:val="00CC224C"/>
    <w:rsid w:val="00CC2B0C"/>
    <w:rsid w:val="00CC4686"/>
    <w:rsid w:val="00CC71B4"/>
    <w:rsid w:val="00CD1620"/>
    <w:rsid w:val="00CD2A0D"/>
    <w:rsid w:val="00CD4579"/>
    <w:rsid w:val="00CD477E"/>
    <w:rsid w:val="00CD6909"/>
    <w:rsid w:val="00CE1EAA"/>
    <w:rsid w:val="00CE47FD"/>
    <w:rsid w:val="00CE4FC8"/>
    <w:rsid w:val="00CE614D"/>
    <w:rsid w:val="00CE6A40"/>
    <w:rsid w:val="00CE6C5B"/>
    <w:rsid w:val="00CF1B4D"/>
    <w:rsid w:val="00CF3CEB"/>
    <w:rsid w:val="00CF5F3A"/>
    <w:rsid w:val="00CF6280"/>
    <w:rsid w:val="00D00B95"/>
    <w:rsid w:val="00D0472A"/>
    <w:rsid w:val="00D049E9"/>
    <w:rsid w:val="00D059A8"/>
    <w:rsid w:val="00D05F1A"/>
    <w:rsid w:val="00D13563"/>
    <w:rsid w:val="00D13C3D"/>
    <w:rsid w:val="00D162E1"/>
    <w:rsid w:val="00D21CC4"/>
    <w:rsid w:val="00D21E95"/>
    <w:rsid w:val="00D22C1E"/>
    <w:rsid w:val="00D27E80"/>
    <w:rsid w:val="00D31746"/>
    <w:rsid w:val="00D323FD"/>
    <w:rsid w:val="00D3384A"/>
    <w:rsid w:val="00D346A9"/>
    <w:rsid w:val="00D347F3"/>
    <w:rsid w:val="00D40381"/>
    <w:rsid w:val="00D40765"/>
    <w:rsid w:val="00D411E6"/>
    <w:rsid w:val="00D44153"/>
    <w:rsid w:val="00D443FF"/>
    <w:rsid w:val="00D4672F"/>
    <w:rsid w:val="00D46FDF"/>
    <w:rsid w:val="00D514A5"/>
    <w:rsid w:val="00D52307"/>
    <w:rsid w:val="00D55EC6"/>
    <w:rsid w:val="00D57F45"/>
    <w:rsid w:val="00D61F09"/>
    <w:rsid w:val="00D658E6"/>
    <w:rsid w:val="00D7004A"/>
    <w:rsid w:val="00D70462"/>
    <w:rsid w:val="00D70D11"/>
    <w:rsid w:val="00D725E7"/>
    <w:rsid w:val="00D727F0"/>
    <w:rsid w:val="00D749EE"/>
    <w:rsid w:val="00D753B1"/>
    <w:rsid w:val="00D75C3F"/>
    <w:rsid w:val="00D76320"/>
    <w:rsid w:val="00D77C39"/>
    <w:rsid w:val="00D8279D"/>
    <w:rsid w:val="00D82E7A"/>
    <w:rsid w:val="00D8504A"/>
    <w:rsid w:val="00D866A6"/>
    <w:rsid w:val="00D87B29"/>
    <w:rsid w:val="00D94305"/>
    <w:rsid w:val="00D945A7"/>
    <w:rsid w:val="00D9649C"/>
    <w:rsid w:val="00DA16AE"/>
    <w:rsid w:val="00DA1A2E"/>
    <w:rsid w:val="00DA6EC7"/>
    <w:rsid w:val="00DA7FA8"/>
    <w:rsid w:val="00DB03AF"/>
    <w:rsid w:val="00DB1758"/>
    <w:rsid w:val="00DB2FA7"/>
    <w:rsid w:val="00DB64E6"/>
    <w:rsid w:val="00DC00ED"/>
    <w:rsid w:val="00DC08D5"/>
    <w:rsid w:val="00DC1EB4"/>
    <w:rsid w:val="00DC1FE5"/>
    <w:rsid w:val="00DC2A9E"/>
    <w:rsid w:val="00DC5A17"/>
    <w:rsid w:val="00DC639E"/>
    <w:rsid w:val="00DC7D1C"/>
    <w:rsid w:val="00DD0A6A"/>
    <w:rsid w:val="00DD4CDB"/>
    <w:rsid w:val="00DD54F8"/>
    <w:rsid w:val="00DD6A35"/>
    <w:rsid w:val="00DD7C5E"/>
    <w:rsid w:val="00DE02C2"/>
    <w:rsid w:val="00DE3145"/>
    <w:rsid w:val="00DE534F"/>
    <w:rsid w:val="00DE68D4"/>
    <w:rsid w:val="00DE7148"/>
    <w:rsid w:val="00DF0AA5"/>
    <w:rsid w:val="00DF100E"/>
    <w:rsid w:val="00DF64A7"/>
    <w:rsid w:val="00DF6DB3"/>
    <w:rsid w:val="00DF7366"/>
    <w:rsid w:val="00DF7CA7"/>
    <w:rsid w:val="00E00C93"/>
    <w:rsid w:val="00E021E1"/>
    <w:rsid w:val="00E02E3F"/>
    <w:rsid w:val="00E02EBD"/>
    <w:rsid w:val="00E0415A"/>
    <w:rsid w:val="00E11CBA"/>
    <w:rsid w:val="00E1242C"/>
    <w:rsid w:val="00E1473C"/>
    <w:rsid w:val="00E1571C"/>
    <w:rsid w:val="00E15924"/>
    <w:rsid w:val="00E17B79"/>
    <w:rsid w:val="00E21E5B"/>
    <w:rsid w:val="00E21E94"/>
    <w:rsid w:val="00E22970"/>
    <w:rsid w:val="00E22EA6"/>
    <w:rsid w:val="00E260CE"/>
    <w:rsid w:val="00E30789"/>
    <w:rsid w:val="00E3194B"/>
    <w:rsid w:val="00E32264"/>
    <w:rsid w:val="00E33C52"/>
    <w:rsid w:val="00E33FB8"/>
    <w:rsid w:val="00E35136"/>
    <w:rsid w:val="00E40A31"/>
    <w:rsid w:val="00E40CE8"/>
    <w:rsid w:val="00E42BE9"/>
    <w:rsid w:val="00E45DB2"/>
    <w:rsid w:val="00E45E79"/>
    <w:rsid w:val="00E46646"/>
    <w:rsid w:val="00E50E43"/>
    <w:rsid w:val="00E525E5"/>
    <w:rsid w:val="00E533AE"/>
    <w:rsid w:val="00E6177C"/>
    <w:rsid w:val="00E6355F"/>
    <w:rsid w:val="00E66266"/>
    <w:rsid w:val="00E70071"/>
    <w:rsid w:val="00E71DB2"/>
    <w:rsid w:val="00E750F1"/>
    <w:rsid w:val="00E75506"/>
    <w:rsid w:val="00E80852"/>
    <w:rsid w:val="00E822A7"/>
    <w:rsid w:val="00E83CCB"/>
    <w:rsid w:val="00E86DC6"/>
    <w:rsid w:val="00E87146"/>
    <w:rsid w:val="00E90610"/>
    <w:rsid w:val="00E91C6E"/>
    <w:rsid w:val="00E92645"/>
    <w:rsid w:val="00E928CB"/>
    <w:rsid w:val="00E93248"/>
    <w:rsid w:val="00EA3315"/>
    <w:rsid w:val="00EA35D2"/>
    <w:rsid w:val="00EA3BC2"/>
    <w:rsid w:val="00EA4000"/>
    <w:rsid w:val="00EA4F59"/>
    <w:rsid w:val="00EB0325"/>
    <w:rsid w:val="00EB03F0"/>
    <w:rsid w:val="00EB07C7"/>
    <w:rsid w:val="00EB271D"/>
    <w:rsid w:val="00EC07FA"/>
    <w:rsid w:val="00EC152B"/>
    <w:rsid w:val="00EC68A5"/>
    <w:rsid w:val="00EC7F75"/>
    <w:rsid w:val="00ED1BD9"/>
    <w:rsid w:val="00ED27AA"/>
    <w:rsid w:val="00ED4CA9"/>
    <w:rsid w:val="00EE14AE"/>
    <w:rsid w:val="00EE425E"/>
    <w:rsid w:val="00EE58C6"/>
    <w:rsid w:val="00EF24B9"/>
    <w:rsid w:val="00EF40AB"/>
    <w:rsid w:val="00EF5435"/>
    <w:rsid w:val="00EF5A56"/>
    <w:rsid w:val="00EF6749"/>
    <w:rsid w:val="00F002E1"/>
    <w:rsid w:val="00F00B5C"/>
    <w:rsid w:val="00F03828"/>
    <w:rsid w:val="00F04B76"/>
    <w:rsid w:val="00F06716"/>
    <w:rsid w:val="00F0728E"/>
    <w:rsid w:val="00F1025B"/>
    <w:rsid w:val="00F104E1"/>
    <w:rsid w:val="00F10C71"/>
    <w:rsid w:val="00F11BD4"/>
    <w:rsid w:val="00F12194"/>
    <w:rsid w:val="00F127D0"/>
    <w:rsid w:val="00F12DBC"/>
    <w:rsid w:val="00F139B0"/>
    <w:rsid w:val="00F15795"/>
    <w:rsid w:val="00F1774F"/>
    <w:rsid w:val="00F22B4D"/>
    <w:rsid w:val="00F23E66"/>
    <w:rsid w:val="00F24689"/>
    <w:rsid w:val="00F2506E"/>
    <w:rsid w:val="00F25976"/>
    <w:rsid w:val="00F2609C"/>
    <w:rsid w:val="00F303F9"/>
    <w:rsid w:val="00F37A07"/>
    <w:rsid w:val="00F42EEF"/>
    <w:rsid w:val="00F44285"/>
    <w:rsid w:val="00F45171"/>
    <w:rsid w:val="00F476B3"/>
    <w:rsid w:val="00F47A33"/>
    <w:rsid w:val="00F51AA8"/>
    <w:rsid w:val="00F5460C"/>
    <w:rsid w:val="00F548A8"/>
    <w:rsid w:val="00F55406"/>
    <w:rsid w:val="00F55759"/>
    <w:rsid w:val="00F6039B"/>
    <w:rsid w:val="00F703C2"/>
    <w:rsid w:val="00F71FBE"/>
    <w:rsid w:val="00F73486"/>
    <w:rsid w:val="00F74180"/>
    <w:rsid w:val="00F76512"/>
    <w:rsid w:val="00F77164"/>
    <w:rsid w:val="00F775FB"/>
    <w:rsid w:val="00F80652"/>
    <w:rsid w:val="00F81367"/>
    <w:rsid w:val="00F838AC"/>
    <w:rsid w:val="00F83F69"/>
    <w:rsid w:val="00F8494E"/>
    <w:rsid w:val="00F8531C"/>
    <w:rsid w:val="00F9117D"/>
    <w:rsid w:val="00F94EB2"/>
    <w:rsid w:val="00FA0FA6"/>
    <w:rsid w:val="00FA33ED"/>
    <w:rsid w:val="00FA410E"/>
    <w:rsid w:val="00FA5149"/>
    <w:rsid w:val="00FA688E"/>
    <w:rsid w:val="00FB17A2"/>
    <w:rsid w:val="00FB1807"/>
    <w:rsid w:val="00FB2B02"/>
    <w:rsid w:val="00FB2F49"/>
    <w:rsid w:val="00FB3EC4"/>
    <w:rsid w:val="00FB4311"/>
    <w:rsid w:val="00FB43DA"/>
    <w:rsid w:val="00FB5A3B"/>
    <w:rsid w:val="00FB73D8"/>
    <w:rsid w:val="00FC0E7E"/>
    <w:rsid w:val="00FC1107"/>
    <w:rsid w:val="00FC19AC"/>
    <w:rsid w:val="00FC2DFF"/>
    <w:rsid w:val="00FC30EB"/>
    <w:rsid w:val="00FC382A"/>
    <w:rsid w:val="00FC3C8C"/>
    <w:rsid w:val="00FC5034"/>
    <w:rsid w:val="00FC5619"/>
    <w:rsid w:val="00FC786E"/>
    <w:rsid w:val="00FC7A92"/>
    <w:rsid w:val="00FE03EB"/>
    <w:rsid w:val="00FE125F"/>
    <w:rsid w:val="00FE508F"/>
    <w:rsid w:val="00FF064B"/>
    <w:rsid w:val="00FF14AD"/>
    <w:rsid w:val="00FF1A62"/>
    <w:rsid w:val="00FF24FC"/>
    <w:rsid w:val="00FF28D2"/>
    <w:rsid w:val="00FF291E"/>
    <w:rsid w:val="00FF58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link w:val="Style1891"/>
    <w:uiPriority w:val="99"/>
    <w:qFormat/>
    <w:rsid w:val="00E21E5B"/>
  </w:style>
  <w:style w:type="paragraph" w:customStyle="1" w:styleId="1420">
    <w:name w:val="1420"/>
    <w:basedOn w:val="a"/>
    <w:next w:val="a"/>
    <w:uiPriority w:val="99"/>
    <w:qFormat/>
    <w:rsid w:val="00326FEF"/>
    <w:pPr>
      <w:spacing w:before="240" w:after="60"/>
      <w:jc w:val="center"/>
      <w:outlineLvl w:val="0"/>
    </w:pPr>
    <w:rPr>
      <w:color w:val="808080"/>
      <w:kern w:val="0"/>
      <w:sz w:val="20"/>
      <w:szCs w:val="20"/>
    </w:rPr>
  </w:style>
  <w:style w:type="paragraph" w:customStyle="1" w:styleId="Style189">
    <w:name w:val="_Style 189"/>
    <w:basedOn w:val="a"/>
    <w:autoRedefine/>
    <w:uiPriority w:val="99"/>
    <w:qFormat/>
    <w:pPr>
      <w:snapToGrid w:val="0"/>
    </w:pPr>
    <w:rPr>
      <w:color w:val="808080"/>
      <w:kern w:val="0"/>
      <w:sz w:val="20"/>
      <w:szCs w:val="20"/>
    </w:rPr>
  </w:style>
  <w:style w:type="paragraph" w:customStyle="1" w:styleId="C6BC4CD5D09C47F58ECD675527EA454C">
    <w:name w:val="C6BC4CD5D09C47F58ECD675527EA454C"/>
    <w:qFormat/>
    <w:pPr>
      <w:widowControl w:val="0"/>
      <w:jc w:val="both"/>
    </w:pPr>
    <w:rPr>
      <w:kern w:val="2"/>
      <w:sz w:val="21"/>
      <w:szCs w:val="22"/>
    </w:rPr>
  </w:style>
  <w:style w:type="paragraph" w:customStyle="1" w:styleId="1A3B7431DE56406194B631EE9FE79C67">
    <w:name w:val="1A3B7431DE56406194B631EE9FE79C67"/>
    <w:qFormat/>
    <w:pPr>
      <w:widowControl w:val="0"/>
      <w:jc w:val="both"/>
    </w:pPr>
    <w:rPr>
      <w:kern w:val="2"/>
      <w:sz w:val="21"/>
      <w:szCs w:val="22"/>
    </w:rPr>
  </w:style>
  <w:style w:type="paragraph" w:customStyle="1" w:styleId="A7A6D686F76D46A08127B63857B5230F">
    <w:name w:val="A7A6D686F76D46A08127B63857B5230F"/>
    <w:qFormat/>
    <w:pPr>
      <w:widowControl w:val="0"/>
      <w:jc w:val="both"/>
    </w:pPr>
    <w:rPr>
      <w:kern w:val="2"/>
      <w:sz w:val="21"/>
      <w:szCs w:val="22"/>
    </w:rPr>
  </w:style>
  <w:style w:type="paragraph" w:customStyle="1" w:styleId="5C86BA3220D34D97BD2D1E34643F8010">
    <w:name w:val="5C86BA3220D34D97BD2D1E34643F8010"/>
    <w:qFormat/>
    <w:pPr>
      <w:widowControl w:val="0"/>
      <w:jc w:val="both"/>
    </w:pPr>
    <w:rPr>
      <w:kern w:val="2"/>
      <w:sz w:val="21"/>
      <w:szCs w:val="22"/>
    </w:rPr>
  </w:style>
  <w:style w:type="paragraph" w:customStyle="1" w:styleId="3756DCC45AD24DBE8F13B3DFE703CB38">
    <w:name w:val="3756DCC45AD24DBE8F13B3DFE703CB38"/>
    <w:qFormat/>
    <w:pPr>
      <w:widowControl w:val="0"/>
      <w:jc w:val="both"/>
    </w:pPr>
    <w:rPr>
      <w:kern w:val="2"/>
      <w:sz w:val="21"/>
      <w:szCs w:val="22"/>
    </w:rPr>
  </w:style>
  <w:style w:type="paragraph" w:customStyle="1" w:styleId="2DF76C43AEAF428BAE86CB752360AA41">
    <w:name w:val="2DF76C43AEAF428BAE86CB752360AA41"/>
    <w:qFormat/>
    <w:pPr>
      <w:widowControl w:val="0"/>
      <w:jc w:val="both"/>
    </w:pPr>
    <w:rPr>
      <w:kern w:val="2"/>
      <w:sz w:val="21"/>
      <w:szCs w:val="22"/>
    </w:rPr>
  </w:style>
  <w:style w:type="paragraph" w:customStyle="1" w:styleId="691F972B0A09411CA3567E2540A080C7">
    <w:name w:val="691F972B0A09411CA3567E2540A080C7"/>
    <w:qFormat/>
    <w:pPr>
      <w:widowControl w:val="0"/>
      <w:jc w:val="both"/>
    </w:pPr>
    <w:rPr>
      <w:kern w:val="2"/>
      <w:sz w:val="21"/>
      <w:szCs w:val="22"/>
    </w:rPr>
  </w:style>
  <w:style w:type="paragraph" w:customStyle="1" w:styleId="F7B182ED02C8460893FAB4A7B65D664B">
    <w:name w:val="F7B182ED02C8460893FAB4A7B65D664B"/>
    <w:qFormat/>
    <w:pPr>
      <w:widowControl w:val="0"/>
      <w:jc w:val="both"/>
    </w:pPr>
    <w:rPr>
      <w:kern w:val="2"/>
      <w:sz w:val="21"/>
      <w:szCs w:val="22"/>
    </w:rPr>
  </w:style>
  <w:style w:type="paragraph" w:customStyle="1" w:styleId="51C10B989001435083D0CB4797710458">
    <w:name w:val="51C10B989001435083D0CB4797710458"/>
    <w:qFormat/>
    <w:pPr>
      <w:widowControl w:val="0"/>
      <w:jc w:val="both"/>
    </w:pPr>
    <w:rPr>
      <w:kern w:val="2"/>
      <w:sz w:val="21"/>
      <w:szCs w:val="22"/>
    </w:rPr>
  </w:style>
  <w:style w:type="paragraph" w:customStyle="1" w:styleId="3B81E144AADC45739EAD4540326BA4EB">
    <w:name w:val="3B81E144AADC45739EAD4540326BA4EB"/>
    <w:qFormat/>
    <w:pPr>
      <w:widowControl w:val="0"/>
      <w:jc w:val="both"/>
    </w:pPr>
    <w:rPr>
      <w:kern w:val="2"/>
      <w:sz w:val="21"/>
      <w:szCs w:val="22"/>
    </w:rPr>
  </w:style>
  <w:style w:type="paragraph" w:customStyle="1" w:styleId="5A1066504B77472DB592146EE03D66DD">
    <w:name w:val="5A1066504B77472DB592146EE03D66DD"/>
    <w:qFormat/>
    <w:pPr>
      <w:widowControl w:val="0"/>
      <w:jc w:val="both"/>
    </w:pPr>
    <w:rPr>
      <w:kern w:val="2"/>
      <w:sz w:val="21"/>
      <w:szCs w:val="22"/>
    </w:rPr>
  </w:style>
  <w:style w:type="paragraph" w:customStyle="1" w:styleId="57D0D10F63254F418128D3EC3195961D">
    <w:name w:val="57D0D10F63254F418128D3EC3195961D"/>
    <w:qFormat/>
    <w:pPr>
      <w:widowControl w:val="0"/>
      <w:jc w:val="both"/>
    </w:pPr>
    <w:rPr>
      <w:kern w:val="2"/>
      <w:sz w:val="21"/>
      <w:szCs w:val="22"/>
    </w:rPr>
  </w:style>
  <w:style w:type="paragraph" w:customStyle="1" w:styleId="5B6C94F1AC054835BB0041819EFF5497">
    <w:name w:val="5B6C94F1AC054835BB0041819EFF5497"/>
    <w:qFormat/>
    <w:pPr>
      <w:widowControl w:val="0"/>
      <w:jc w:val="both"/>
    </w:pPr>
    <w:rPr>
      <w:kern w:val="2"/>
      <w:sz w:val="21"/>
      <w:szCs w:val="22"/>
    </w:rPr>
  </w:style>
  <w:style w:type="paragraph" w:customStyle="1" w:styleId="2B2298D92C7B45398C42352C63C9A64B">
    <w:name w:val="2B2298D92C7B45398C42352C63C9A64B"/>
    <w:qFormat/>
    <w:pPr>
      <w:widowControl w:val="0"/>
      <w:jc w:val="both"/>
    </w:pPr>
    <w:rPr>
      <w:kern w:val="2"/>
      <w:sz w:val="21"/>
      <w:szCs w:val="22"/>
    </w:rPr>
  </w:style>
  <w:style w:type="paragraph" w:customStyle="1" w:styleId="E60CD871DB8C49CCB19DDC6722BD8C0E">
    <w:name w:val="E60CD871DB8C49CCB19DDC6722BD8C0E"/>
    <w:qFormat/>
    <w:pPr>
      <w:widowControl w:val="0"/>
      <w:jc w:val="both"/>
    </w:pPr>
    <w:rPr>
      <w:kern w:val="2"/>
      <w:sz w:val="21"/>
      <w:szCs w:val="22"/>
    </w:rPr>
  </w:style>
  <w:style w:type="paragraph" w:customStyle="1" w:styleId="D8A36751056C4B37A59DA8912A105A48">
    <w:name w:val="D8A36751056C4B37A59DA8912A105A48"/>
    <w:qFormat/>
    <w:pPr>
      <w:widowControl w:val="0"/>
      <w:jc w:val="both"/>
    </w:pPr>
    <w:rPr>
      <w:kern w:val="2"/>
      <w:sz w:val="21"/>
      <w:szCs w:val="22"/>
    </w:rPr>
  </w:style>
  <w:style w:type="paragraph" w:customStyle="1" w:styleId="201273C5A05B4396A22FF063F645C2F5">
    <w:name w:val="201273C5A05B4396A22FF063F645C2F5"/>
    <w:qFormat/>
    <w:pPr>
      <w:widowControl w:val="0"/>
      <w:jc w:val="both"/>
    </w:pPr>
    <w:rPr>
      <w:kern w:val="2"/>
      <w:sz w:val="21"/>
      <w:szCs w:val="22"/>
    </w:rPr>
  </w:style>
  <w:style w:type="paragraph" w:customStyle="1" w:styleId="7890E0CD696D4731A213B9DB06EA4C6B">
    <w:name w:val="7890E0CD696D4731A213B9DB06EA4C6B"/>
    <w:qFormat/>
    <w:pPr>
      <w:widowControl w:val="0"/>
      <w:jc w:val="both"/>
    </w:pPr>
    <w:rPr>
      <w:kern w:val="2"/>
      <w:sz w:val="21"/>
      <w:szCs w:val="22"/>
    </w:rPr>
  </w:style>
  <w:style w:type="paragraph" w:customStyle="1" w:styleId="34E28A01E71345C782D8CB7154A2181E">
    <w:name w:val="34E28A01E71345C782D8CB7154A2181E"/>
    <w:qFormat/>
    <w:pPr>
      <w:widowControl w:val="0"/>
      <w:jc w:val="both"/>
    </w:pPr>
    <w:rPr>
      <w:kern w:val="2"/>
      <w:sz w:val="21"/>
      <w:szCs w:val="22"/>
    </w:rPr>
  </w:style>
  <w:style w:type="paragraph" w:customStyle="1" w:styleId="8F964BE149FA46998D947970396091A6">
    <w:name w:val="8F964BE149FA46998D947970396091A6"/>
    <w:qFormat/>
    <w:pPr>
      <w:widowControl w:val="0"/>
      <w:jc w:val="both"/>
    </w:pPr>
    <w:rPr>
      <w:kern w:val="2"/>
      <w:sz w:val="21"/>
      <w:szCs w:val="22"/>
    </w:rPr>
  </w:style>
  <w:style w:type="paragraph" w:customStyle="1" w:styleId="B84EFCA9D3744B398EA9C8207952BF6E">
    <w:name w:val="B84EFCA9D3744B398EA9C8207952BF6E"/>
    <w:qFormat/>
    <w:pPr>
      <w:widowControl w:val="0"/>
      <w:jc w:val="both"/>
    </w:pPr>
    <w:rPr>
      <w:kern w:val="2"/>
      <w:sz w:val="21"/>
      <w:szCs w:val="22"/>
    </w:rPr>
  </w:style>
  <w:style w:type="paragraph" w:customStyle="1" w:styleId="90899BA196AB4755BE8F2BE316FC5BEE">
    <w:name w:val="90899BA196AB4755BE8F2BE316FC5BEE"/>
    <w:qFormat/>
    <w:pPr>
      <w:widowControl w:val="0"/>
      <w:jc w:val="both"/>
    </w:pPr>
    <w:rPr>
      <w:kern w:val="2"/>
      <w:sz w:val="21"/>
      <w:szCs w:val="22"/>
    </w:rPr>
  </w:style>
  <w:style w:type="paragraph" w:customStyle="1" w:styleId="0A9C2541AF694203B5887E0E853B6863">
    <w:name w:val="0A9C2541AF694203B5887E0E853B6863"/>
    <w:qFormat/>
    <w:pPr>
      <w:widowControl w:val="0"/>
      <w:jc w:val="both"/>
    </w:pPr>
    <w:rPr>
      <w:kern w:val="2"/>
      <w:sz w:val="21"/>
      <w:szCs w:val="22"/>
    </w:rPr>
  </w:style>
  <w:style w:type="paragraph" w:customStyle="1" w:styleId="B3777BA9897F40F8BD45E632E5339118">
    <w:name w:val="B3777BA9897F40F8BD45E632E5339118"/>
    <w:qFormat/>
    <w:pPr>
      <w:widowControl w:val="0"/>
      <w:jc w:val="both"/>
    </w:pPr>
    <w:rPr>
      <w:kern w:val="2"/>
      <w:sz w:val="21"/>
      <w:szCs w:val="22"/>
    </w:rPr>
  </w:style>
  <w:style w:type="paragraph" w:customStyle="1" w:styleId="06E6BAAEA2C04017B0B9495A5933D007">
    <w:name w:val="06E6BAAEA2C04017B0B9495A5933D007"/>
    <w:qFormat/>
    <w:pPr>
      <w:widowControl w:val="0"/>
      <w:jc w:val="both"/>
    </w:pPr>
    <w:rPr>
      <w:kern w:val="2"/>
      <w:sz w:val="21"/>
      <w:szCs w:val="22"/>
    </w:rPr>
  </w:style>
  <w:style w:type="paragraph" w:customStyle="1" w:styleId="483A71A1223647F3B45A27FACD00890A">
    <w:name w:val="483A71A1223647F3B45A27FACD00890A"/>
    <w:qFormat/>
    <w:pPr>
      <w:widowControl w:val="0"/>
      <w:jc w:val="both"/>
    </w:pPr>
    <w:rPr>
      <w:kern w:val="2"/>
      <w:sz w:val="21"/>
      <w:szCs w:val="22"/>
    </w:rPr>
  </w:style>
  <w:style w:type="paragraph" w:customStyle="1" w:styleId="DEF3AC890E794134934294B92F558EDA">
    <w:name w:val="DEF3AC890E794134934294B92F558EDA"/>
    <w:qFormat/>
    <w:pPr>
      <w:widowControl w:val="0"/>
      <w:jc w:val="both"/>
    </w:pPr>
    <w:rPr>
      <w:kern w:val="2"/>
      <w:sz w:val="21"/>
      <w:szCs w:val="22"/>
    </w:rPr>
  </w:style>
  <w:style w:type="paragraph" w:customStyle="1" w:styleId="55282F1A612A497FB6C1CE4349397646">
    <w:name w:val="55282F1A612A497FB6C1CE4349397646"/>
    <w:pPr>
      <w:widowControl w:val="0"/>
      <w:jc w:val="both"/>
    </w:pPr>
    <w:rPr>
      <w:kern w:val="2"/>
      <w:sz w:val="21"/>
      <w:szCs w:val="22"/>
    </w:rPr>
  </w:style>
  <w:style w:type="paragraph" w:customStyle="1" w:styleId="E113EB8FC68F47B5B973668A112737D4">
    <w:name w:val="E113EB8FC68F47B5B973668A112737D4"/>
    <w:qFormat/>
    <w:pPr>
      <w:widowControl w:val="0"/>
      <w:jc w:val="both"/>
    </w:pPr>
    <w:rPr>
      <w:kern w:val="2"/>
      <w:sz w:val="21"/>
      <w:szCs w:val="22"/>
    </w:rPr>
  </w:style>
  <w:style w:type="paragraph" w:customStyle="1" w:styleId="632EAE0646BC45D19716813B0678B040">
    <w:name w:val="632EAE0646BC45D19716813B0678B040"/>
    <w:qFormat/>
    <w:pPr>
      <w:widowControl w:val="0"/>
      <w:jc w:val="both"/>
    </w:pPr>
    <w:rPr>
      <w:kern w:val="2"/>
      <w:sz w:val="21"/>
      <w:szCs w:val="22"/>
    </w:rPr>
  </w:style>
  <w:style w:type="paragraph" w:customStyle="1" w:styleId="FF26CA1DC2644C71B55CAACC9E639267">
    <w:name w:val="FF26CA1DC2644C71B55CAACC9E639267"/>
    <w:qFormat/>
    <w:pPr>
      <w:widowControl w:val="0"/>
      <w:jc w:val="both"/>
    </w:pPr>
    <w:rPr>
      <w:kern w:val="2"/>
      <w:sz w:val="21"/>
      <w:szCs w:val="22"/>
    </w:rPr>
  </w:style>
  <w:style w:type="paragraph" w:customStyle="1" w:styleId="159E49BFD9874BAD80A2634732FC8ECA">
    <w:name w:val="159E49BFD9874BAD80A2634732FC8ECA"/>
    <w:qFormat/>
    <w:pPr>
      <w:widowControl w:val="0"/>
      <w:jc w:val="both"/>
    </w:pPr>
    <w:rPr>
      <w:kern w:val="2"/>
      <w:sz w:val="21"/>
      <w:szCs w:val="22"/>
    </w:rPr>
  </w:style>
  <w:style w:type="paragraph" w:customStyle="1" w:styleId="69EB2C8E5C884795A4F744758F92098C">
    <w:name w:val="69EB2C8E5C884795A4F744758F92098C"/>
    <w:qFormat/>
    <w:pPr>
      <w:widowControl w:val="0"/>
      <w:jc w:val="both"/>
    </w:pPr>
    <w:rPr>
      <w:kern w:val="2"/>
      <w:sz w:val="21"/>
      <w:szCs w:val="22"/>
    </w:rPr>
  </w:style>
  <w:style w:type="paragraph" w:customStyle="1" w:styleId="262EC317A5044E9FB3163D0C6205A131">
    <w:name w:val="262EC317A5044E9FB3163D0C6205A131"/>
    <w:qFormat/>
    <w:pPr>
      <w:widowControl w:val="0"/>
      <w:jc w:val="both"/>
    </w:pPr>
    <w:rPr>
      <w:kern w:val="2"/>
      <w:sz w:val="21"/>
      <w:szCs w:val="22"/>
    </w:rPr>
  </w:style>
  <w:style w:type="paragraph" w:customStyle="1" w:styleId="91807D20370A43C4AD5381FCAC115449">
    <w:name w:val="91807D20370A43C4AD5381FCAC115449"/>
    <w:qFormat/>
    <w:pPr>
      <w:widowControl w:val="0"/>
      <w:jc w:val="both"/>
    </w:pPr>
    <w:rPr>
      <w:kern w:val="2"/>
      <w:sz w:val="21"/>
      <w:szCs w:val="22"/>
    </w:rPr>
  </w:style>
  <w:style w:type="paragraph" w:customStyle="1" w:styleId="7103E201988141018B5FC3C822A749BA">
    <w:name w:val="7103E201988141018B5FC3C822A749BA"/>
    <w:pPr>
      <w:widowControl w:val="0"/>
      <w:jc w:val="both"/>
    </w:pPr>
    <w:rPr>
      <w:kern w:val="2"/>
      <w:sz w:val="21"/>
      <w:szCs w:val="22"/>
    </w:rPr>
  </w:style>
  <w:style w:type="paragraph" w:customStyle="1" w:styleId="7294474685BF4FFBAC25F120BEF0CA7C">
    <w:name w:val="7294474685BF4FFBAC25F120BEF0CA7C"/>
    <w:pPr>
      <w:widowControl w:val="0"/>
      <w:jc w:val="both"/>
    </w:pPr>
    <w:rPr>
      <w:kern w:val="2"/>
      <w:sz w:val="21"/>
      <w:szCs w:val="22"/>
    </w:rPr>
  </w:style>
  <w:style w:type="paragraph" w:customStyle="1" w:styleId="5C074553206B4925AF0D07CD756CD013">
    <w:name w:val="5C074553206B4925AF0D07CD756CD013"/>
    <w:rsid w:val="00DC2A9E"/>
    <w:pPr>
      <w:widowControl w:val="0"/>
      <w:jc w:val="both"/>
    </w:pPr>
    <w:rPr>
      <w:kern w:val="2"/>
      <w:sz w:val="21"/>
      <w:szCs w:val="22"/>
    </w:rPr>
  </w:style>
  <w:style w:type="paragraph" w:customStyle="1" w:styleId="9AAB276169E743BB937BA900CA1ED76A">
    <w:name w:val="9AAB276169E743BB937BA900CA1ED76A"/>
    <w:rsid w:val="00DC2A9E"/>
    <w:pPr>
      <w:widowControl w:val="0"/>
      <w:jc w:val="both"/>
    </w:pPr>
    <w:rPr>
      <w:kern w:val="2"/>
      <w:sz w:val="21"/>
      <w:szCs w:val="22"/>
    </w:rPr>
  </w:style>
  <w:style w:type="paragraph" w:customStyle="1" w:styleId="4CDDF1EC71E0425AB3E2C96157C743BA">
    <w:name w:val="4CDDF1EC71E0425AB3E2C96157C743BA"/>
    <w:rsid w:val="00326FEF"/>
    <w:pPr>
      <w:widowControl w:val="0"/>
      <w:jc w:val="both"/>
    </w:pPr>
    <w:rPr>
      <w:kern w:val="2"/>
      <w:sz w:val="21"/>
      <w:szCs w:val="22"/>
    </w:rPr>
  </w:style>
  <w:style w:type="paragraph" w:customStyle="1" w:styleId="9D9E94EF63B24172AB8FCE0FB51F9C8A">
    <w:name w:val="9D9E94EF63B24172AB8FCE0FB51F9C8A"/>
    <w:rsid w:val="00326FEF"/>
    <w:pPr>
      <w:widowControl w:val="0"/>
      <w:jc w:val="both"/>
    </w:pPr>
    <w:rPr>
      <w:kern w:val="2"/>
      <w:sz w:val="21"/>
      <w:szCs w:val="22"/>
    </w:rPr>
  </w:style>
  <w:style w:type="paragraph" w:customStyle="1" w:styleId="Style1891">
    <w:name w:val="_Style 1891"/>
    <w:basedOn w:val="a"/>
    <w:link w:val="a3"/>
    <w:autoRedefine/>
    <w:uiPriority w:val="99"/>
    <w:qFormat/>
    <w:rsid w:val="00E21E5B"/>
    <w:pPr>
      <w:snapToGrid w:val="0"/>
    </w:pPr>
    <w:rPr>
      <w:kern w:val="0"/>
      <w:sz w:val="20"/>
      <w:szCs w:val="20"/>
    </w:rPr>
  </w:style>
  <w:style w:type="paragraph" w:customStyle="1" w:styleId="07237EC2CC514A42BE287C695F6AF22C">
    <w:name w:val="07237EC2CC514A42BE287C695F6AF22C"/>
    <w:rsid w:val="00E21E5B"/>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namespaceDeclare prefix="clcid-mr" namespaceURI="http://www.xbrl-cn.org/cn/lcid/rpt/mr/2006-12-31"/>
  <m:namespaceDeclare prefix="clcid-cgi" namespaceURI="http://www.xbrl-cn.org/cn/lcid/rpt/cgi/2006-12-31"/>
  <m:namespaceDeclare prefix="clcid-ar" namespaceURI="http://www.xbrl-cn.org/cn/lcid/rpt/ar/2006-12-31"/>
  <m:namespaceDeclare prefix="clcid-ci-ar" namespaceURI="http://www.xbrl-cn.org/cn/lcid/ci/ar/2008-12-31"/>
  <m:namespaceDeclare prefix="clcid-pte" namespaceURI="http://www.xbrl-cn.org/cn/lcid/common/pte/2006-12-31"/>
  <m:namespaceDeclare prefix="clcid-ie" namespaceURI="http://www.xbrl-cn.org/cn/lcid/rpt/ie/2006-12-31"/>
  <m:namespaceDeclare prefix="clcid-gcd" namespaceURI="http://www.xbrl-cn.org/cn/lcid/rpt/gcd/2006-12-31"/>
  <m:namespaceDeclare prefix="clcid-sce" namespaceURI="http://www.xbrl-cn.org/cn/lcid/fs/sce/2006-12-31"/>
  <m:namespaceDeclare prefix="bond" namespaceURI="http://www.xbrl-cn.org/cn/bond/2017-06-30"/>
  <m:document name="" version="0.1" axisType="Column" optimized="true" originalVersion="0.1" taggingType="Axis" fallbackIntervalCalc="true" cryptoType="SM4" columnType="true" siblingTextSaved="true">
    <m:item xlName="_GBC_704b7b03ea3f4a93b8d4655a09b2ff61" concept="clcid-gcd:GongSiDaiMa" label="公司代码" keyCode="GONGSI_DAIMA" keyAction="5"/>
    <m:item xlName="_GBC_0384ae715a1e4b4894a29e4d27f5bef4" concept="clcid-gcd:GongSiJianCheng" label="公司简称" keyCode="GONGSI_JIANCHENG" keyAction="5"/>
    <m:item xlName="_GBC_ef279e32efc14c6bb521c62ff1f265ba" textBlock="true" up="tag:_GBC_704b7b03ea3f4a93b8d4655a09b2ff61" down="2024年半年度报告" concept="clcid-cgi:GongSiFaDingZhongWenMingCheng" label="公司法定中文名称" keyCode="InitialValue:股份有限公司" keyAction="31">
      <m:simpleRule dataType="Any" comparator="None" minOccurs="1"/>
    </m:item>
    <m:section xlName="_SEC_d5e0e82062cc4f3cb5a290078031cbd7" title="董事会及董事声明" checkKey="!无法保证" headerRef="1" summaryGuid="_SEC_cfbf6931f3444f44940972008f086a29" helpId="101001001" primarySection="_SEC_d5e0e82062cc4f3cb5a290078031cbd7" optionText="公司全体董监高保证内容真实、准确、完整" optionGroupTitle="董事会及董事声明情况"/>
    <m:section xlName="_SEC_0bd09595636a40e9a57d708860ca9135" title="董事、监事、高级管理人员无法保证的声明" afterEmptyPhCount="0" checkKey="无法保证" headerRef="2" ignorePeriod="1" summaryGuid="_SEC_cfbf6931f3444f44940972008f086a29" helpId="101001003" primarySection="_SEC_d5e0e82062cc4f3cb5a290078031cbd7" optionText="公司部分董监高无法保证内容真实、准确、完整" activeContentOption="_GBC_c39714d4523c4f26bc10a8bd552c9a0c" optionGroupTitle="董事会及董事声明情况"/>
    <m:section xlName="_GBC_1b1325bf1ae840869be71054a10ad268" title="公司全体董事出席董事会会议。" checkKey="全体董事出席&amp;!未出席&amp;!未能出席&amp;!未亲自出席&amp;!委托" headerRef="3" summaryGuid="_SEC_0200e9b183e741738a0cbf26f533dc77" helpId="101001003" helpText="注：如有董事未出席董事会，应当单独列示其姓名。这里的出席指的是亲自出席" primarySection="_GBC_1b1325bf1ae840869be71054a10ad268" optionText="全体出席" optionGroupTitle="董事会出席情况" afterEmptyParagraphs="1"/>
    <m:section xlName="_GBC_782ae2efbebb4873980d40bd21713c00" title="未出席董事情况" checkKey="!全体出席" headerRef="4" summaryGuid="_SEC_0200e9b183e741738a0cbf26f533dc77" helpId="101001003" helpText="注：如有董事未出席董事会，应当单独列示其姓名。这里的出席指的是亲自出席" primarySection="_GBC_1b1325bf1ae840869be71054a10ad268" optionText="有未出席情况" optionGroupTitle="董事会出席情况"/>
    <m:section xlName="_GBC_07370c6ee32a4bea8271133440d087fd" title="本年度报告未经审计。" checkKey="!带强调事项段或其他事项段的无保留意见&amp;!保留意见&amp;!无法表示意见&amp;!否定意见&amp;!标准无保留意见" headerRef="5" summaryGuid="_SEC_6bd7e9a7daad491ca88a8b61c8ca9156" helpId="101001004" primarySection="_GBC_07370c6ee32a4bea8271133440d087fd" optionText="未经审计" activeContentOption="_GBC_07370c6ee32a4bea8271133440d087fd" optionGroupTitle="审计报告情况"/>
    <m:section xlName="_GBC_03a09ae7cff4426393cc0d64b59cc810" title="事务所为本公司出具了标准无保留意见的审计报告。" checkKey="!带强调事项段或其他事项段的无保留意见&amp;!无法表示意见&amp;!否定意见&amp;!未经审计" headerRef="6" summaryGuid="_SEC_6bd7e9a7daad491ca88a8b61c8ca9156" helpId="101001004" primarySection="_GBC_07370c6ee32a4bea8271133440d087fd" optionText="标准无保留意见" optionGroupTitle="审计报告情况"/>
    <m:section xlName="_GBC_a3cb6d3de6c1425cb1ae504871e39a94" title="非标意见说明" checkKey="!标准无保留意见&amp;!未经审计" headerRef="7" summaryGuid="_SEC_6bd7e9a7daad491ca88a8b61c8ca9156" helpId="101001004" primarySection="_GBC_07370c6ee32a4bea8271133440d087fd" optionText="非标意见" optionGroupTitle="审计报告情况"/>
    <m:section xlName="_GBC_04b137e7f87b43b8812b2c33bd605e04" title="公司负责人等声明" headerRef="8" helpId="101001005"/>
    <m:section xlName="_GBC_21c095fa67114a208ee8411405e3a22a" title="经董事会审议的报告期利润分配预案或公积金转增股本预案" headerRef="9" convertSummaryRule="NoConvert" helpId="101001007"/>
    <m:section xlName="_GBC_cc24ced211694e75b40a9765d2616e01" title="前瞻性陈述的风险声明" headerRef="10" helpId="102001006" helpText="注：如半年度报告涉及未来计划等前瞻性陈述，同时附有相应的警示性陈述，则应当声明该计划不构成公司对投资者的实质承诺，请投资者注意投资风险。 "/>
    <m:section xlName="_GBC_70f733efbc484640a48089ddc49bf2b9" title="是否存在被控股股东及其关联方非经营性占用资金情况" headerRef="11"/>
    <m:section xlName="_GBC_0b5725dfa5c04f85874bece4083eddb4" title="是否存在违反规定决策程序对外提供担保的情况" headerRef="12" convertSummaryRule="NoConvert"/>
    <m:section xlName="_SEC_f8924de2a90b4f29b727c0dcf0bfd58a" title="" headerRef="13"/>
    <m:section xlName="_SEC_765dd5e867e04417bfcc7ba07f902949" title="重大风险提示" headerRef="14" helpId="112001203"/>
    <m:section xlName="_GBC_b8bb35c675b44fbdaf150c1114447d89" title="重要提示的其他情况说明" headerRef="15"/>
    <m:section xlName="_SEC_821e9eb80bde4a9883ae71815f226d98" title="备查文件目录" headerRef="15" convertSummaryRule="NoConvert" helpId="110002018" helpText="载有公司负责人、主管会计工作负责人、会计机构负责人（会计主管人员）签名并盖章的财务报表。\n载有会计师事务所盖章、注册会计师签名并盖章的审计报告原件（如有）。\n报告期内公开披露过的所有公司文件的正本及公告的原稿。\n在其他证券市场公布的半年度报告。"/>
    <m:section xlName="_GBC_5d2d156d1e654b289921f6ca279d0332" title="释义" headerRef="16" ignorePeriod="1" convertSummaryRule="NoConvert" helpId="101001008"/>
    <m:section xlName="_GBC_aa763dfc67ed4eac9000c019cc1ff258" title="公司信息" headerRef="18" ignorePeriod="1" convertSummaryRule="NoConvert" helpId="102001001"/>
    <m:section xlName="_GBC_c68db6bd18a148f3a9683d04b791123b" title="联系人和联系方式" headerRef="19" ignorePeriod="1" convertSummaryRule="NoConvert" helpId="102001002">
      <m:virtualTuples>
        <m:virtualTuple id="7ed3504a-70ec-4378-915d-9c3be91aafcc" tupleRef="clcid-cgi:DongShiHuiMiShuQingKuang" defaultRows="0" extendDirection="2" splitWidth="1"/>
        <m:virtualTuple id="4dae452f-3358-4466-b139-adc8ec38f384" tupleRef="clcid-cgi:ZhengQuanShiWuDaiBiaoQingKuang" defaultRows="0" extendDirection="2" splitWidth="1"/>
      </m:virtualTuples>
    </m:section>
    <m:section xlName="_SEC_3b2e98069dfe4938a93e32b37561ce15" title="基本情况变更简介公司注册地址公司注册地址的邮政编码（..." headerRef="20" helpId="102001003"/>
    <m:section xlName="_GBC_20a39c6141734cc19616660ebf1a0dfa" title="信息披露及备置地点变更情况简介" headerRef="21" ignorePeriod="1" convertSummaryRule="NoConvert" helpId="102001004"/>
    <m:section xlName="_GBC_f73e31215837403db78d7a2ed15723c6" title="公司股票简况" headerRef="22" ignorePeriod="1" helpId="102001005" helpText="注：本项可选填“A股”、“B股”、“H股”或其他。"/>
    <m:section xlName="_GBC_cd186ef4acaf4e28b71fed998e691ebd" title="其他有关资料" headerRef="23" ignorePeriod="1" convertSummaryRule="NoConvert" helpId="102001008"/>
    <m:item xlName="_GBC_c7cd0dd826b247dbba8cc8b1a811aefb" indRef="1" concept="clcid-ci-ar:DanWeiBaoGaoQiMoGongSiQianSanNianZhuYaoKuaiJiShuJuHeCaiWuZhiBiao" label="单位：报告期末公司前三年主要会计数据和财务指标" selectOptions="_buildInScales" controlType="Combobox" cellType="Scale" keyCode="InitialValue:元" keyAction="31"/>
    <m:item xlName="_GBC_2df6a5d441324c13bcf6c4c54ac41eb0" indRef="2" concept="clcid-ci-ar:BiZhongBaoGaoQiMoGongSiQianSanNianZhuYaoKuaiJiShuJuHeCaiWuZhiBiao" label="币种：报告期末公司前三年主要会计数据和财务指标" selectOptions="_buildInISO4217" controlType="Combobox" cellType="Measure" keyCode="InitialValue:人民币" keyAction="31"/>
    <m:section xlName="_GBC_aea1fefe2cc54d88a8a870982a41d97a" title="主要会计数据(无追溯)" rules="R2015_R2_001" checkKey="!调整" headerRef="25" helpId="103004001" helpText="注1：涉及非经常性损益的，都应当按照《公开发行证券的公司信息披露解释性公告第1号-非经常性损益(2023)》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aea1fefe2cc54d88a8a870982a41d97a" optionText="无追溯调整" activeContentOption="_GBC_ae1e7c9f562c42d3b68129ca8edb8f91" optionGroupTitle="主要会计数据和财务指标情况" optionTargetConcept="clcid-ci-ar:ShiFouZhuiSuTiaoZheng" optionTargetConceptValue="无追溯调整"/>
    <m:section xlName="_GBC_f3826dda988749e78931d3af98058157" title="主要会计数据(追溯)" rules="R2015_R2_001" checkKey="调整" headerRef="25" helpId="103004001" helpText="注1：涉及非经常性损益的，都应当按照《公开发行证券的公司信息披露解释性公告第1号-非经常性损益(2023)》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aea1fefe2cc54d88a8a870982a41d97a" optionText="追溯调整" optionGroupTitle="主要会计数据和财务指标情况" optionTargetConcept="clcid-ci-ar:ShiFouZhuiSuTiaoZheng" optionTargetConceptValue="追溯调整"/>
    <m:section xlName="_GBC_b44cc48c2c094fe699f563d257345cf5" title="主要财务指标(无追溯)" rules="R2015_R2_001" checkKey="!调整" headerRef="26" helpId="103004001" helpText="注1：涉及非经常性损益的，都应当按照《公开发行证券的公司信息披露解释性公告第1号-非经常性损益(2023)》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b44cc48c2c094fe699f563d257345cf5" optionText="无追溯调整" activeContentOption="_GBC_4758ff96ce404c01979372535152a8f5" optionGroupTitle="主要会计数据和财务指标情况" optionTargetConcept="clcid-ci-ar:ShiFouZhuiSuTiaoZheng" optionTargetConceptValue="无追溯调整"/>
    <m:section xlName="_GBC_f2e015828f0e4c85978a15defdf078a0" title="主要财务指标(追溯)" rules="R2015_R2_001" checkKey="调整" headerRef="26" helpId="103004001" helpText="注1：涉及非经常性损益的，都应当按照《公开发行证券的公司信息披露解释性公告第1号-非经常性损益(2023)》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b44cc48c2c094fe699f563d257345cf5" optionText="追溯调整" optionGroupTitle="主要会计数据和财务指标情况" optionTargetConcept="clcid-ci-ar:ShiFouZhuiSuTiaoZheng" optionTargetConceptValue="追溯调整"/>
    <m:section xlName="_GBC_89dd4b4cf79140928f55be83e164f009" title="公司主要会计数据和财务指标的说明" rules="R2015_R2_001" headerRef="26" convertSummaryRule="NoConvert" helpId="103004001"/>
    <m:item xlName="_GBC_bdabc18d82504a7696c49b78e67b7ce4" headerRef="27" up="境内外会计准则下会计数据差异" concept="clcid-ci-ar:ShiFouShiYongJingNeiWaiHuiJiZhunZeXiaHuiJiShuJuChaYi" label="是否适用：境内外会计准则下会计数据差异" selectOptions="_buildInAppliance" controlType="CustomCheckbox" cRanges="{&quot;StartName&quot;:&quot;_GBC_bdabc18d82504a7696c49b78e67b7ce4&quot;,&quot;EndName&quot;:&quot;_GBC_b29c1fea910b4dfca31323fe84213a44&quot;,&quot;CType&quot;:1,&quot;DisplayText&quot;:null}"/>
    <m:section xlName="_GBC_088e8e183b6741d29b9f742440278698" title="同时按照国际会计准则与按中国会计准则披露的差异" rules="R2015_R2_002" headerRef="28" convertSummaryRule="NoConvert" helpId="103002001"/>
    <m:section xlName="_GBC_2f705e4eae72458eb00a3440cec6f7c7" title="同时按照境外会计准则与按中国会计准则披露的差异" rules="R2015_R2_002" headerRef="29" convertSummaryRule="NoConvert" helpId="103002001" helpText="注：境内外会计准则下会计数据差异填列合并报表数据。"/>
    <m:section xlName="_GBC_b29c1fea910b4dfca31323fe84213a44" title="境内外会计准则差异的说明" rules="R2015_R2_002" headerRef="30" convertSummaryRule="NoConvert" helpId="103002001"/>
    <m:section xlName="_SEC_90b59d2109be4d75a6210da2f2ee54cb" title="非经常性损益项目和金额" headerRef="31" helpId="103003001" helpText="1.非经常性损益的界定，应以非经常性损益的定义为依据。在界定非经常性损益项目时，应遵循以下原则：\n（一）非经常性损益的认定应基于交易和事项的经济性质判断\n（二）非经常性损益的认定应基于行业特点和业务模式判断\n（三）非经常性损益的认定应遵循重要性原则。\n2.各非经常性损益项目按税前金额列示。\n3.非经常性损益项目中的损失类应以负数填写。\n4.自定义科目全部填入“其他符合非经常性损益定义的损益项目”，并在该项目附注中说明具体情况。"/>
    <m:section xlName="_SEC_3fbc22adf9774d23a74dc1230c514eff" title="将《公开发行证券的公司信息披露解释性公告第1号——非经常性损..." headerRef="31" helpId="103003001"/>
    <m:section xlName="_GBC_129e81c113f94ab2b6af974b5d24abc6" title="其他财务和业务数据" headerRef="32"/>
    <m:section xlName="_SEC_30613ac4c1d74a918acca2b58acc457d" title="报告期内公司所从事的主要业务、经营模式及行业情况说明" rules="R2015_R3_001" headerRef="34" helpId="101001009" helpText="公司应当简要介绍报告期内公司所属行业发展情况、主要业务、主要产品及其用途、经营模式、市场地位、主要的业绩驱动因素等发生的主要变化情况。"/>
    <m:section xlName="_SEC_95fcc6373f8d4d92bdccbe04323713c4" title="报告期内核心竞争力分析" rules="R2015_R3_001" headerRef="35" helpId="112001209" helpText="公司应当披露报告期内核心竞争力（包括核心管理团队、关键技术人员、专有设备、专利、非专利技术、特许经营权、土地使用权、水面养殖权、探矿权、采矿权、独特经营方式和盈利模式、允许他人使用自己所有的资源要素或作为被许可方使用他人资源要素等）的重要变化及对公司所产生的影响。发生因核心管理团队或关键技术人员离职、设备或技术升级换代、特许经营权丧失等导致公司核心竞争力受到严重影响的，公司应当详细分析，并说明拟采取的相应措施。"/>
    <m:section xlName="_GBC_ba3734a9f27a452095f3115c17f4b09e" title="经营情况的讨论与分析" headerRef="36" convertSummaryRule="NoConvert" helpId="104001002"/>
    <m:section xlName="_SEC_5c790aea31ad48bb8832d20c53fcc625" title="报告期内公司经营情况的重大变化，以及报告期内发生的对公司经营..." headerRef="36" helpId="110002108"/>
    <m:section xlName="_GBC_281bf95299804381a41f7dd82e2c19f3" title="财务报表相关科目变动分析表" headerRef="39" helpId="108001001" helpText="注1：科目来源合并利润表和合并现金流量表（除研发支出）。上市公司如有科目需要披露，请自行添加。\n注2：结合行业发展、业务经营等情况分析变化的原因。\n如需删除变动原因说明，请通过模块-删除段落进行删除。" editSection="_GBC_d946d01b34d4418f87d2ffa61f8ee353" axisType="Column"/>
    <m:section xlName="_GBC_2346c2f60a0d447bb4e68d1cdeb1ae6e" title="公司利润构成或利润来源发生重大变动的详细说明" headerRef="40" convertSummaryRule="NoConvert" helpId="108001001"/>
    <m:section xlName="_SEC_8eca3e31ebef41f0bccb8c1e5fae0579" title="非主营业务导致利润重大变化的说明" headerRef="41" helpId="108005007"/>
    <m:item xlName="_GBC_7e768f46f428417e8696bff3cfaf9902" headerRef="42" up="资产、负债情况分析" concept="clcid-ci-ar:ShiFouShiYongZiChanFuZhaiQingKuangFenXi" label="是否适用：资产、负债情况分析" selectOptions="_buildInAppliance" controlType="CustomCheckbox" cRanges="{&quot;StartName&quot;:&quot;_GBC_7e768f46f428417e8696bff3cfaf9902&quot;,&quot;EndName&quot;:&quot;_SEC_a3069c29080242b4a4de48db80a4164e&quot;,&quot;CType&quot;:1,&quot;DisplayText&quot;:null}"/>
    <m:section xlName="_SEC_6223798588db4238825d68a423f52705" title="资产负债情况分析表" headerRef="43" helpId="108005004" axisType="Column"/>
    <m:item xlName="_GBC_95d71e9a9dcd4966863ba2859a3bf0b7" headerRef="44" up="境外资产情况" concept="clcid-ci-ar:ShiFouShiYongJingWaiZiChanQingKuang" label="是否适用：境外资产情况 " selectOptions="_buildInAppliance" controlType="CustomCheckbox" cRanges="[{&quot;StartName&quot;:&quot;_GBC_95d71e9a9dcd4966863ba2859a3bf0b7&quot;,&quot;EndName&quot;:&quot;_SEC_1054cd8b91c348ed94f7bc925d57ba7b&quot;,&quot;CType&quot;:1}]"/>
    <m:section xlName="_SEC_7f2308a9bb284441948806ea6c09c608" title="" headerRef="45" helpId="108005004"/>
    <m:section xlName="_SEC_d3282e023dd342148088e8b62a141d34" title="境外资产占比较高的相关说明" headerRef="46" helpId="101001042" helpText="若境外资产占总资产的比例大于或等于30%，一般认为境外资产占比较高。在此基础上，公司可以根据境外资产贡献收入、利润等情况，判断是否构成重要境外资产，进行披露。"/>
    <m:section xlName="_SEC_1054cd8b91c348ed94f7bc925d57ba7b" title="其他说明" headerRef="46"/>
    <m:section xlName="_SEC_390cddc4349f46b4bcccd468c3e69d14" title="截至报告期末主要资产受限情" headerRef="47" helpId="108005004"/>
    <m:section xlName="_SEC_a3069c29080242b4a4de48db80a4164e" title="其他说明" headerRef="48" helpId="108005004"/>
    <m:section xlName="_SEC_e7a08c655c9844a8b5127e2ae800064c" title="对外股权投资总体分析" headerRef="50" convertSummaryRule="NoConvert" helpId="108005001" helpText="公司应当介绍本半年度投资情况，分析报告期内公司投资额同比变化情况。"/>
    <m:section xlName="_SEC_6dcee2c665d94c8b941605cedc06f568" title="重大的股权投资" headerRef="51" helpId="101001044" helpText="例如私募基金、证券公司等。"/>
    <m:section xlName="_SEC_ac9932f6d2bb4e35b86dbcc496bca6c4" title="重大的非股权投资" headerRef="52" helpId="108005003" helpText="对报告期内正在进行的重大的非股权投资，公司应当披露项目本半年度和累计实际投入情况、资金来源、项目的进度及预计收益。若项目已产生收益，应当说明收益情况；未达到计划进度和收益的，应当说明原因。"/>
    <m:section xlName="_SEC_5ac920b545894503a0b852b58774a2f1" title="以公允价值计量的金融资产" headerRef="53" helpId="101001046" helpText="1、涉及银行理财的，购买和赎回金额列填写净发生额；2、选择其他的，需自行添加普通行说明其他项下产品类型；如添加后为控件行请操作【报告编制】-【表格】-【转为普通行】。"/>
    <m:section xlName="_SEC_223855f312f442628a6b89be29f039a8" title="证券投资情况" headerRef="53" helpText="若因为自营业务投资品种较多，可选择不适用，但应当说明原因。"/>
    <m:section xlName="_SEC_1fd1b5403f6b4f59b90a86c5afda2100" title="证券投资情况的说明  " headerRef="53"/>
    <m:section xlName="_SEC_1314f2a4c4444241bb2afb255168e300" title="私募基金投资情况" headerRef="53"/>
    <m:item xlName="_GBC_bfd154b38b804edbb19ff4896b6b9c42" headerRef="53" up="衍生品投资情况" concept="clcid-ci-ar:ShiFouShiYongYanShengPinTouZiQingKuang" label="是否适用：衍生品投资情况  " selectOptions="_buildInAppliance" controlType="CustomCheckbox" cRanges="[{&quot;StartName&quot;:&quot;_GBC_bfd154b38b804edbb19ff4896b6b9c42&quot;,&quot;EndName&quot;:&quot;_SEC_7f3a1a0062ac456f8a983b6567183908&quot;,&quot;CType&quot;:1}]"/>
    <m:item xlName="_GBC_5859448da4c34bc4af3f8639036828dd" headerRef="53" up="报告期内以套期保值为目的的衍生品投资" concept="clcid-ci-ar:ShiFouShiYongBaoGaoQiNeiYiTaoQiBaoZhiWeiMuDeDeYanShengPinTouZi" label="是否适用：报告期内以套期保值为目的的衍生品投资" selectOptions="_buildInAppliance" controlType="CustomCheckbox" cRanges="[{&quot;StartName&quot;:&quot;_GBC_5859448da4c34bc4af3f8639036828dd&quot;,&quot;EndName&quot;:&quot;_SEC_01cbfb7e8e8545a7ab7909e2370b26d7&quot;,&quot;CType&quot;:1}]"/>
    <m:section xlName="_SEC_01cbfb7e8e8545a7ab7909e2370b26d7" title="报告期内以套期保值为目的的衍生品投资" headerRef="53" helpText="1、本表非金融类公司须填写。本表中“衍生品投资”是指对价值依赖于基础资产价值变动的合约的交易行为。其中，合约包括远期、期货、期权、掉期或互换及其组合；基础资产包括证券、指数、利率、汇率、货币、商品、其他标的，或上述基础资产的组合。\n2、公司可根据投资的衍生品基础商品及合约种类情况进行分类汇总披露，但须对所采用分类方式及标准予以说明。\n3、各“投资金额”均指合约金额。\n4、公司应当将套期工具与被套期项目价值变动加总后说明报告期内的实际损益。\n5、公司应在定期报告中结合被套期项目情况对套期保值效果进行全面披露，套期保值业务不满足会计准则规定的套期会计适用条件或未适用套期会计核算，但能够通过衍生品交易实现风险管理目标的，可以结合套期工具和被套期项目之间的关系等说明是否有效实现了预期风险管理目标。"/>
    <m:item xlName="_GBC_c55d25ebbbbc4a9a894716278303dec4" headerRef="53" up="报告期内以投机为目的的衍生品投资" concept="clcid-ci-ar:ShiFouShiYongBaoGaoQiNeiYiTouJiWeiMuDeDeYanShengPinTouZi" label="是否适用：报告期内以投机为目的的衍生品投资" selectOptions="_buildInAppliance" controlType="CustomCheckbox" cRanges="[{&quot;StartName&quot;:&quot;_GBC_c55d25ebbbbc4a9a894716278303dec4&quot;,&quot;EndName&quot;:&quot;_SEC_b420da0f8c4343c0a1214c19c3689c01&quot;,&quot;CType&quot;:1}]"/>
    <m:section xlName="_SEC_b420da0f8c4343c0a1214c19c3689c01" title="报告期内以投机为目的的衍生品投资" headerRef="53" helpText="1、本表非金融类公司须填写。本表中“衍生品投资”是指对价值依赖于基础资产价值变动的合约的交易行为。其中，合约包括远期、期货、期权、掉期或互换及其组合；基础资产包括证券、指数、利率、汇率、货币、商品、其他标的，或上述基础资产的组合。\n2、公司可根据投资的衍生品基础商品及合约种类情况进行分类汇总披露，但须对所采用分类方式及标准予以说明。\n3、表格中“衍生品投资操作方”，是指公司交易上述合约的交易对方。\n4、各“投资金额”均指合约金额。"/>
    <m:section xlName="_SEC_7f3a1a0062ac456f8a983b6567183908" title="其他说明" headerRef="53" orient="landscape"/>
    <m:section xlName="_SEC_04b9238e9d184f1bab78bd58a24f46ef" title="重大资产和股权出售" headerRef="54" helpId="110005010" helpText="公司应当简要分析重大资产和股权出售事项对公司业务连续性、管理层稳定性的影响。公司应当说明上述事项是否按计划如期实施，如已实施完毕，应当说明其对财务状况和经营成果的影响，以及所涉及的金额及其占利润总额的比例；如未按计划实施，应当说明原因及公司已采取的措施。"/>
    <m:section xlName="_SEC_2a2bbe84e5b044d9b42284613cdb120d" title="主要控股参股公司分析" headerRef="55" convertSummaryRule="NoConvert" helpId="108005008" helpText="公司应当介绍主要子公司的主要业务、注册资本、总资产、净资产、净利润，本半年度取得和处置子公司的情况，包括取得和处置的方式及对公司整体生产经营和业绩的影响。如来源于单个子公司的净利润或单个参股公司的投资收益对公司净利润影响达到10%以上，还应当介绍该公司主营业务收入、主营业务利润等数据。若单个子公司或参股公司的经营业绩同比出现大幅波动，且对公司合并经营业绩造成重大影响的，公司应当对其业绩波动情况及其变动原因进行分析。\n若主要子公司或参股公司的经营业绩未出现大幅波动，但其资产规模、构成或其他主要财务指标出现显著变化，并可能在将来对公司业绩造成影响，也应当对变化情况和原因予以说明。"/>
    <m:section xlName="_SEC_1ac5f271c9c14f569093b3be96ecc8d2" title="公司控制的结构化主体情况" headerRef="56" helpId="112001211" helpText="公司存在其控制下的结构化主体时，应当介绍公司对其控制权方式和控制权内容，并说明公司从中可以获取的利益和对其所承担的风险。另外，公司还应当介绍结构化主体对其提供融资、商品或劳务以支持自身主要经营活动的相关情况。公司控制的结构化主体为《企业会计准则第41号——在其他主体中权益的披露》中所规定的“结构化主体”。"/>
    <m:section xlName="_SEC_81e2de17d1214ba3b0e3ff89b6c2b65d" title="可能面对的风险" headerRef="58" helpId="104002005"/>
    <m:section xlName="_SEC_2d00d0d8a1b7409b884a0beb6a447e0d" title="其他披露事项" headerRef="59"/>
    <m:section xlName="_SEC_d8b5f940b6314e479198b8ccc086b98d" title="股东大会情况简介" headerRef="61" helpId="110004001"/>
    <m:section xlName="_SEC_d5dd00e8721a44d88174eb5aacf152b7" title="表决权恢复的优先股股东请求召开临时股东大会 " headerRef="61" helpId="110004001"/>
    <m:section xlName="_SEC_bf1ce0d19a464ce2a3d1a1d438ffde42" title="股东大会情况说明" headerRef="61" helpId="110004001"/>
    <m:section xlName="_SEC_fe90051e8bfd40b8bb8541284a29b30e" title="公司董事、监事、高级管理人员变动情况" headerRef="62" helpId="105001004" helpText="注：\n1、报告期内离任的董事、监事、高级管理人员，仍需按本章要求披露相关内容。\n2、报告期后新任的，董事、监事、高级管理人员可作附注说明。"/>
    <m:section xlName="_SEC_9d764ab9e1c44e0e972e846b8ecf0813" title="公司董事、监事、高级管理人员变动的情况说明" headerRef="62" helpId="105001004"/>
    <m:section xlName="_GBC_e4b48d016b974478b1fce3e8671a7227" title="半年度拟定的利润分配预案" rules="R2015_R5_001" headerRef="63" helpId="108006001" helpText="公司董事会在审议半年度报告时拟定利润分配预案、资本公积金转增股本预案的，公司应当说明上述预案是否符合公司章程及审议程序的规定，是否充分保护中小投资者的合法权益，是否由独立董事发表意见。"/>
    <m:section xlName="_SEC_27d68d30f5fb4d008c2e762ac7309c77" title="相关股权激励事项已在临时公告披露且后续实施无进展或变化的" headerRef="65" helpId="110005001"/>
    <m:item xlName="_GBC_388221bc7be24cdca55be337256c8bc1" headerRef="66" up="股权激励情况" concept="clcid-ci-ar:ShiFouShiYongGuQuanJiLiQingKuang" label="是否适用：股权激励情况 " selectOptions="_buildInAppliance" controlType="CustomCheckbox" cRanges="[{&quot;StartName&quot;:&quot;_GBC_388221bc7be24cdca55be337256c8bc1&quot;,&quot;EndName&quot;:&quot;_SEC_03192fc0d89a465d87224782dc1ad23d&quot;,&quot;CType&quot;:1}]"/>
    <m:section xlName="_SEC_03192fc0d89a465d87224782dc1ad23d" title="股权激励情况" rules="R2015_R5_008" repeatable="1" tupleConcept="clcid-ie:GuQuanJiLiJiHuaQingKuangMingXi" headerRef="66" helpId="110005001" helpText="注：报告期内失效的权益总额以负数填列。"/>
    <m:section xlName="_SEC_a417a9b40b6a4adeba436d511837e016" title="股权激励情况的说明" headerRef="66" helpId="110005001"/>
    <m:section xlName="_SEC_70861e225efc4a6aa2a87c82bdeffa60" title="员工持股计划情况" rules="R2015_R5_008" headerRef="66" helpId="110005001"/>
    <m:section xlName="_SEC_63920368dc0b49e9a257b190129bf278" title="其他激励措施" rules="R2015_R5_008" headerRef="66" helpId="110005001"/>
    <m:item xlName="_GBC_820250e25791459fb9ab9ed79c168408" headerRef="69" up="属于环境保护部门公布的重点排污单位的公司及其主要子公司的环保情况说明" concept="clcid-mr:ShiFouShiYongZhongDianPaiWuDanWeiHuanBaoQingKuang" label="是否适用：重点排污单位环保情况" selectOptions="_buildInAppliance" controlType="CustomCheckbox" cRanges="[{&quot;StartName&quot;:&quot;_GBC_820250e25791459fb9ab9ed79c168408&quot;,&quot;EndName&quot;:&quot;_SEC_c87c813c87604960a2e846d148a1280c&quot;,&quot;CType&quot;:1}]"/>
    <m:section xlName="_SEC_692004cb913244878ef4d9f391681f08" title="排污信息" headerRef="70" helpId="104002008"/>
    <m:section xlName="_SEC_9647358b46c84a02b09d75557c728419" title="防治污染设施的建设和运行情况" headerRef="71" helpId="104002008"/>
    <m:section xlName="_SEC_2708d5a25473420b9cd1646eac86c715" title="建设项目环境影响评价及其他环境保护行政许可情况" headerRef="72" helpId="104002008"/>
    <m:section xlName="_SEC_8a186947e6794ae7a56369fd5232b227" title="突发环境事件应急预案" headerRef="73" helpId="104002008"/>
    <m:section xlName="_SEC_9756f3e7d2714d9788f7344c9c15bb49" title="环境自行监测方案" headerRef="74" helpId="104002008"/>
    <m:section xlName="_SEC_d4d4f3aa551f4da6b52a96fc74100d07" title="报告期内因环境问题受到行政处罚的情况" headerRef="75" helpId="104002008"/>
    <m:section xlName="_SEC_c87c813c87604960a2e846d148a1280c" title="其他应当公开的环境信息" headerRef="76" helpId="104002008"/>
    <m:item xlName="_GBC_5429e6d325df48abbf95eb4f87e71363" headerRef="77" up="重点排污单位之外的公司环保情况说明" concept="clcid-mr:ShiFouShiYongZhongDianPaiWuDanWeiZhiWaiDeGongSiDeHuanBaoQingKuang" label="是否适用：重点排污单位之外的公司的环保情况" selectOptions="_buildInAppliance" controlType="CustomCheckbox" cRanges="[{&quot;StartName&quot;:&quot;_GBC_5429e6d325df48abbf95eb4f87e71363&quot;,&quot;EndName&quot;:&quot;_SEC_dbf114d9dfed451c943c0db36f9761bc&quot;,&quot;CType&quot;:1}]"/>
    <m:section xlName="_SEC_0394b08510244ffd8c8d1de70ffde99e" title="因环境问题受到行政处罚的情况  ____" headerRef="78" helpId="104002008"/>
    <m:section xlName="_SEC_15a234e4f4924e908104a96ce6984e16" title="参照重点排污单位披露其它环境信息" headerRef="79" helpId="104002008"/>
    <m:section xlName="_SEC_dbf114d9dfed451c943c0db36f9761bc" title="重点排污单位之外的公司未披露环境信息的原因说明" headerRef="80" helpId="104002008"/>
    <m:section xlName="_SEC_3c63bb32177f4f368bb662e3b696830a" title="报告期内披露环境信息内容的后续进展或变化情况的说明" headerRef="81" helpId="104002008"/>
    <m:section xlName="_SEC_94dff50e6ff346df8df30ef5135f60ea" title="有利于保护生态、防治污染、履行环境责任的相关信息  __..." headerRef="82" helpId="104002008"/>
    <m:section xlName="_SEC_0a7b3a01a1cd4768be87b42742d0f169" title="在报告期内为减少其碳排放所采取的措施及效果" headerRef="83" helpId="104002008"/>
    <m:section xlName="_SEC_7eeef6a842224b3eac28c0a6aa105d7d" title="巩固拓展脱贫攻坚成果、乡村振兴工作具体情况" headerRef="84" helpId="104002004"/>
    <m:section xlName="_SEC_29ca9ecf549940e5a0b5179d68e38198" title="上市公司、持股5%以上的股东、控股股东及实际控制人在报告期内承诺事项" rules="R2015_R5_002" headerRef="87" convertSummaryRule="NoConvert" helpId="101001058" helpText="注：公司应当披露报告期内履行完毕的，以及截至报告期末尚未履行完毕的承诺事项。"/>
    <m:section xlName="_SEC_2f371a3cc949400ea818d66a836d5785" title="报告期内控股股东及其他关联方非经营性占用资金情况" headerRef="88" helpId="110002101"/>
    <m:section xlName="_SEC_623f0c33c18d4979b146b229057a4e89" title="违规担保情况" headerRef="89" orient="landscape" helpId="110002102"/>
    <m:item xlName="_GBC_b2faf86be7fd4060a2a7ad4018aaf033" headerRef="90" up="半年报审计情况" concept="clcid-ci-ar:ShiFouShiYongBanNianBaoShenJiQingKuang" label="是否适用：半年报审计情况  " selectOptions="_buildInAppliance" controlType="CustomCheckbox" cRanges="[{&quot;StartName&quot;:&quot;_GBC_b2faf86be7fd4060a2a7ad4018aaf033&quot;,&quot;EndName&quot;:&quot;_SEC_ff2ca8295db041209fe47eea7ae742aa&quot;,&quot;CType&quot;:1}]"/>
    <m:section xlName="_SEC_da98fea575804e4da57e6ed94a08807a" title="聘任、解聘会计师事务所的情况说明" headerRef="91" helpId="110009001" helpText="《国有企业、上市公司选聘会计师事务所管理办法》\n第十二条 国有企业连续聘任同一会计师事务所原则上不超过8年。国有企业因业务需要拟继续聘用同一会计师事务所超过8年的，应当综合考虑会计师事务所前期审计质量、股东评价、监管部门意见等情况，在履行法人治理程序及内部决策程序后，可适当延长聘用年限，但连续聘任期限不得超过10年。\n第十三条 审计项目合伙人、签字注册会计师累计实际承担同一国有企业、上市公司审计业务满5年的，之后连续5年不得参与该国有企业、上市公司的审计业务。\n审计项目合伙人、签字注册会计师由于工作变动，在不同会计师事务所为同一国有企业、上市公司提供审计服务的期限应当合并计算。\n国有企业、上市公司发生重大资产重组、子公司分拆上市，为其提供审计服务的审计项目合伙人、签字注会计师未变更的，相关审计项目合伙人、签字注册会计师在该重大资产重组、子公司分拆上市前后提供审计服务的期限应当合并计算。\n审计项目合伙人、签字注册会计师在公司上市前后审计服务年限应当合并计算。审计项目合伙人、签字注册会计师承担首次公开发行股票或者向不特定对象公开发行股票并上市审计业务的，上市后连续执行审计业务的期限不得超过两年。\n公司半年度财务报告已经审计的，公司应当披露聘任审计半年度财务报告的会计师事务所的情况及报告期内支付给会计师事务所的报酬情况。更换会计师事务所的，公司应当披露解聘原会计师事务所的原因，以及是否履行了必要的程序。"/>
    <m:section xlName="_SEC_39a839676dca47f595f0cbe05d986e81" title="审计期间改聘会计师事务所的情况说明" headerRef="91" helpId="110009001" helpText="注：公司若改聘、解聘会计师事务所，则必须填写改聘、解聘的情况说明。"/>
    <m:section xlName="_SEC_ff2ca8295db041209fe47eea7ae742aa" title="公司对会计师事务所“非标准审计报告”的说明" rules="R2015_R5_004" headerRef="92" summaryGuid="_GBC_1950181a09c94d4aaf32bf57c794e652" helpId="110009001" helpText="公司半年度财务报告已经审计，并被出具非标准意见审计报告的，公司董事会应当按照《公开发行证券的公司信息披露编报规则第14号——非标准审计意见及其涉及事项的处理》规定，针对非标准意见涉及的事项作出专项说明。"/>
    <m:section xlName="_SEC_10be83ff0126440a8620e35536191767" title="公司对上年年度报告中的财务报告被注册会计师出具“非标准审计报..." headerRef="93" helpId="110002109" helpText="《国有企业、上市公司选聘会计师事务所管理办法》\n第十二条 国有企业连续聘任同一会计师事务所原则上不超过8年。国有企业因业务需要拟继续聘用同一会计师事务所超过8年的，应当综合考虑会计师事务所前期审计质量、股东评价、监管部门意见等情况，在履行法人治理程序及内部决策程序后，可适当延长聘用年限，但连续聘任期限不得超过10年。\n第十三条 审计项目合伙人、签字注册会计师累计实际承担同一国有企业、上市公司审计业务满5年的，之后连续5年不得参与该国有企业、上市公司的审计业务。\n审计项目合伙人、签字注册会计师由于工作变动，在不同会计师事务所为同一国有企业、上市公司提供审计服务的期限应当合并计算。\n国有企业、上市公司发生重大资产重组、子公司分拆上市，为其提供审计服务的审计项目合伙人、签字注会计师未变更的，相关审计项目合伙人、签字注册会计师在该重大资产重组、子公司分拆上市前后提供审计服务的期限应当合并计算。\n审计项目合伙人、签字注册会计师在公司上市前后审计服务年限应当合并计算。审计项目合伙人、签字注册会计师承担首次公开发行股票或者向不特定对象公开发行股票并上市审计业务的，上市后连续执行审计业务的期限不得超过两年。\n公司半年度财务报告已经审计的，公司应当披露聘任审计半年度财务报告的会计师事务所的情况及报告期内支付给会计师事务所的报酬情况。更换会计师事务所的，公司应当披露解聘原会计师事务所的原因，以及是否履行了必要的程序。"/>
    <m:section xlName="_SEC_1ae3a3f4b3c4484980120137749e19ed" title="破产重整相关事项" headerRef="94" helpId="110002001" helpText="公司应当披露报告期内发生的破产重整相关事项，包括相关主体向法院申请重整、和解或破产清算，法院受理重整、和解或破产清算，以及公司重整期间发生的法院裁定结果及其他重大事项。执行重整计划的公司应当说明计划的具体内容及执行情况。"/>
    <m:item xlName="_GBC_0fcf1cd2d0814185bde747855edf5227" headerRef="95" up="重大诉讼、仲裁事项" concept="clcid-mr:BenNianDuGongSiYouWuZhongDaSuSongZhongCaiShiXiang" label="本年度公司有无重大诉讼、仲裁事项" selectOptions="b57efa008b784297940d385751c4cb21" controlType="CustomCheckbox" cRanges="{&quot;StartName&quot;:&quot;_GBC_0fcf1cd2d0814185bde747855edf5227&quot;,&quot;EndName&quot;:&quot;_SEC_c92a88ec21204766afe5f9688cbd21bd&quot;,&quot;CType&quot;:1,&quot;DisplayText&quot;:null}"/>
    <m:section xlName="_SEC_902756a755994b00b80a02d3baa0ea44" title="诉讼、仲裁事项已在临时公告披露且无后续进展的" rules="R2015_R5_006" headerRef="96" convertSummaryRule="NoConvert" helpId="110001001" helpText="注：如以上诉讼、仲裁或媒体质疑事项已在临时公告披露且无后续进展的，仅需披露该事项概述，并提供临时报告披露网站的查询索引。"/>
    <m:section xlName="_SEC_85376178a04b46fb90efc5d6fa2e6a28" title="临时公告未披露或有后续进展的诉讼、仲裁情况" rules="R2015_R5_006" headerRef="97" convertSummaryRule="NoConvert" helpId="110001001"/>
    <m:section xlName="_SEC_c92a88ec21204766afe5f9688cbd21bd" title="其他诉讼仲裁事项说明" rules="R2015_R5_006" headerRef="98" convertSummaryRule="NoConvert" helpId="110001001"/>
    <m:section xlName="_SEC_61682565f6714c6a81ab8e6d05a5abaa" title="上市公司及其董事、监事、高级管理人员、控股股东、实际控制人、收购人处罚及整改情况" headerRef="99" helpId="110010001" helpText="报告期内公司存在以下情形的，应当说明原因或结论：\n（一）公司涉嫌犯罪被依法立案调查，公司的控股股东、实际控制人、董事、监事、高级管理人员涉嫌犯罪被依法采取强制措施；\n（二）公司或者公司的控股股东、实际控制人、董事、监事、高级管理人员受到刑事处罚，涉嫌违法违规被中国证监会立案调查或者受到中国证监会行政处罚，或者受到其他有权机关重大行政处罚；\n（三）公司的控股股东、实际控制人、董事、监事、高级管理人员涉嫌严重违纪违法或者职务犯罪被纪检监察机关采取留置措施且影响其履行职责。\n（四）公司董事、监事、高级管理人员因涉嫌违法违规被其他有权机关采取强制措施且影响其履行职责。\n公司应当披露报告期内公司或者公司的控股股东、实际控制人、董事、监事、高级管理人员被中国证监会采取行政监管措施和被证券交易所采取纪律处分的情况,若涉及限期整改要求的，公司应当披露整改责任人、整改期限、整改措施、整改完成情况。"/>
    <m:section xlName="_SEC_b6520273283341408b24eceadfb999dd" title="报告期内公司及其控股股东、实际控制人诚信状况的说明" headerRef="100" helpId="104002006" helpText="公司应当披露报告期内公司及其控股股东、实际控制人的诚信状况，包括但不限于：是否存在未履行法院生效法律文书确定的义务、所负数额较大的债务到期未清偿等情况。"/>
    <m:section xlName="_SEC_b9489dd6b4c843e6be6e5a97de24b51b" title="已在临时公告披露且后续实施无进展或变化的事项" rules="R2015_R5_009" headerRef="103" convertSummaryRule="NoConvert" helpId="110006001"/>
    <m:section xlName="_SEC_ec9777844cc44aa6b3f98c8af0a20f95" title="已在临时公告披露，但有后续实施的进展或变化的事项" rules="R2015_R5_009" headerRef="104" convertSummaryRule="NoConvert" helpId="110006001"/>
    <m:section xlName="_SEC_227a4feb5cd045acb20f0e655bf26ea8" title="临时公告未披露的事项" rules="R2015_R5_009" headerRef="105" convertSummaryRule="NoConvert" helpId="110006001"/>
    <m:section xlName="_SEC_bf9131838c5b421d81cb3165b3861506" title="已在临时公告披露且后续实施无进展或变化的事项" rules="R2015_R5_009" headerRef="107" convertSummaryRule="NoConvert" helpId="110006003"/>
    <m:section xlName="_SEC_f9a57b14408248c4bc6881cfd0e81074" title="已在临时公告披露，但有后续实施的进展或变化的事项" rules="R2015_R5_009" headerRef="108" convertSummaryRule="NoConvert" helpId="110006003"/>
    <m:section xlName="_SEC_a7b4eef2f39c4550974e81ee8caca798" title="临时公告未披露的事项" rules="R2015_R5_009" headerRef="109" convertSummaryRule="NoConvert" helpId="110006003"/>
    <m:section xlName="_SEC_e17a03ced9e54c92b773a7e185d85bd3" title="涉及业绩约定的，应当披露报告期内的业绩实现情况" headerRef="110" helpId="110006003"/>
    <m:section xlName="_SEC_d9e67609bdab489e985efba8758860bd" title="已在临时公告披露且后续实施无进展或变化的事项" rules="R2015_R5_009" headerRef="112" convertSummaryRule="NoConvert" helpId="110006004"/>
    <m:section xlName="_SEC_53e4f8cd2c114fb1a1c9d74236ebd2fc" title="已在临时公告披露，但有后续实施的进展或变化的事项" rules="R2015_R5_009" headerRef="113" convertSummaryRule="NoConvert" helpId="110006004"/>
    <m:section xlName="_SEC_25e347f9cbc546cbafdf30522b654328" title="临时公告未披露的事项" rules="R2015_R5_009" headerRef="114" convertSummaryRule="NoConvert" helpId="110006004"/>
    <m:section xlName="_SEC_2fd4e717dd2949d2b4b4fb580dfce32a" title="已在临时公告披露且后续实施无进展或变化的事项" rules="R2015_R5_009" headerRef="116" convertSummaryRule="NoConvert" helpId="110006005"/>
    <m:section xlName="_SEC_dcb3650518df4296931e576a9d6fdaf3" title="已在临时公告披露，但有后续实施的进展或变化的事项" rules="R2015_R5_009" headerRef="117" convertSummaryRule="NoConvert" helpId="110006005"/>
    <m:section xlName="_SEC_da19abf815bb4e3a97fcb901c6225551" title="临时公告未披露的事项" rules="R2015_R5_009" headerRef="118" convertSummaryRule="NoConvert" helpId="110006005" helpText="注：“关联债权债务往来”不包括本准则第三十九条（一）（二）（三）项中的交易事项，表格中“发生额”、“余额”应包括以下项目的加总：\n（1）“其他应收款”、“其他应付款”科目下的有关金额；\n（2）“应收账款”及“预付账款”科目中的代垫经营性费用及成本部分。"/>
    <m:item xlName="_GBC_918ef76103ad41b4a79075b59fdb8bf4" headerRef="119" up="公司与存在关联关系的财务公司、公司控股财务公司与关联方之间的金融业务" concept="clcid-ci-ar:ShiFouShiYongGongSiYuCunZaiGuanLianGuanXiDeCaiWuGongSiGongSiKongGuCaiWuGongSiYuGuanLianFangZhiJianDeJinRongYeWu" label="是否适用：公司与存在关联关系的财务公司、公司控股财务公司与关联方之间的金融业务 " selectOptions="_buildInAppliance" controlType="CustomCheckbox" cRanges="[{&quot;StartName&quot;:&quot;_GBC_918ef76103ad41b4a79075b59fdb8bf4&quot;,&quot;EndName&quot;:&quot;_SEC_ede026bdca864b809b90849751fe4fc0&quot;,&quot;CType&quot;:1}]"/>
    <m:section xlName="_SEC_fc426ce94f134c9ba4ffd1e1a862890e" title="存款业务" headerRef="120" helpId="110002103"/>
    <m:section xlName="_SEC_45b8c1047ae846eebaed610686a59163" title="贷款业务" headerRef="121" helpId="110002103"/>
    <m:section xlName="_SEC_12af8280dba7414eaa58fcdd5ef5ac8d" title="授信业务或其他金融业务" headerRef="122" helpId="110002103"/>
    <m:section xlName="_SEC_ede026bdca864b809b90849751fe4fc0" title="其他说明" headerRef="123"/>
    <m:section xlName="_SEC_d0d528034450466db3d12315559a161a" title="(五) 其他重大关联交易" rules="R2015_R5_009" headerRef="124" helpId="104002007"/>
    <m:section xlName="_SEC_94b5dc0c50e04cae8442e9675bd15742" title="其他" headerRef="125"/>
    <m:item xlName="_GBC_daed561e68674d828a348a97bffbc154" headerRef="127" up="托管、承包、租赁事项" concept="clcid-ci-ar:ShiFouShiYongTuoGuanChengBaoZuLinShiXiang" label="是否适用：托管、承包、租赁事项" selectOptions="_buildInAppliance" controlType="CustomCheckbox" cRanges="{&quot;StartName&quot;:&quot;_GBC_daed561e68674d828a348a97bffbc154&quot;,&quot;EndName&quot;:&quot;_SEC_c517528524f046abb8a7c1e21d61ed7c&quot;,&quot;CType&quot;:1,&quot;DisplayText&quot;:null}"/>
    <m:section xlName="_SEC_9c01e84b84e4472699e6ea8e413814d7" title="托管情况" headerRef="128" isSupervision="true" convertSummaryRule="NoConvert" helpId="110007001" helpText="注：为公司带来的利润达到公司本期利润总额10％以上（含10％）的托管、承包、租赁事项"/>
    <m:section xlName="_SEC_37ed7d66ad1d401d8403e9b54bcb42bc" title="承包情况                         ..." headerRef="129" convertSummaryRule="NoConvert" helpId="110007001" helpText="注：为公司带来的利润达到公司本期利润总额10％以上（含10％）的托管、承包、租赁事项"/>
    <m:section xlName="_SEC_c517528524f046abb8a7c1e21d61ed7c" title="租赁情况                         ..." headerRef="130" convertSummaryRule="NoConvert" helpId="110007001" helpText="注：为公司带来的利润达到公司本期利润总额10％以上（含10％）的托管、承包、租赁事项"/>
    <m:item xlName="_GBC_aae98b3e30bd49e4b2e1d2643f200047" headerRef="131" up="报告期内履行的及尚未履行完毕的重大担保情况" concept="clcid-ci-ar:ShiFouShiYongDanBaoQingKuang" label="是否适用：担保情况" selectOptions="_buildInAppliance" controlType="CustomCheckbox" cRanges="{&quot;StartName&quot;:&quot;_GBC_aae98b3e30bd49e4b2e1d2643f200047&quot;,&quot;EndName&quot;:&quot;_SEC_7252a26412904d92b0bddfc3266d9f75&quot;,&quot;CType&quot;:1,&quot;DisplayText&quot;:null}"/>
    <m:section xlName="_SEC_7252a26412904d92b0bddfc3266d9f75" title="担保情况" rules="R2015_R5_010" headerRef="131" orient="landscape" convertSummaryRule="NoConvert" helpId="110007002" helpText="注1：报告期内担保发生额和报告期末担保余额包括子公司的对外担保，其担保金额为该子公司对外担保金额乘以公司持有该公司的股份比例。公司及其子公司的对外担保应在此处填写明细情况。\n注2：担保总额为上述“报告期末担保余额合计（不包括对子公司的担保）”和“报告期末对子公司担保余额合计”两项的加总。 “上述三项担保金额合计”为上述“为股东、实际控制人及其关联方提供担保的金额”、“直接或间接为资产负债率超过70%的被担保对象提供的债务担保金额”和“担保总额超过净资产50%部分的金额”三项的加总。若一个担保事项同时出现上述两项或三项情形，在合计中只需要计算一次。 \n注3：重大担保。报告期内履行的及尚未履行完毕的担保合同，包括担保金额、担保期限、担保对象、担保类型（一般担保或连带责任担保）、担保物（如有）、反担保情况（如有）、担保的决策程序等。对于未到期担保合同，如果报告期内发生担保责任或有证据表明有可能承担连带清偿责任，应当明确说明。"/>
    <m:section xlName="_SEC_e046194a1b604165ab4ac9dbd406e6b1" title="其他重大合同" headerRef="132" convertSummaryRule="NoConvert" helpId="110007004"/>
    <m:item xlName="_GBC_680b9390780e4e2096adf48e91fa95ca" headerRef="133" up="募集资金使用进展说明" concept="clcid-ci-ar:ShiFouShiYongMuJiZiJinShiYongJinZhanShuoMing" label="是否适用：募集资金使用进展说明" selectOptions="_buildInAppliance" controlType="CustomCheckbox" cRanges="[{&quot;StartName&quot;:&quot;_GBC_680b9390780e4e2096adf48e91fa95ca&quot;,&quot;EndName&quot;:&quot;_SEC_711697a1f7a2410da19e2ebf4fd0a8d9&quot;,&quot;CType&quot;:1}]"/>
    <m:section xlName="_SEC_413dfb4663ad4788be1ab30f51e9ad00" title="募集资金整体使用情况" headerRef="134" helpText="1、对于某次融资的募集资金在报告期之前已经全部使用完毕的，无需填写。\n2、募集资金来源分为首次公开发行股票、向特定对象发行股票、发行可转换债券、其他。请填写对应募集资金到位时间，格式为：xxxx年xx月xx日。\n3、扣除发行费用后募集资金净额：实际募集资金总额扣除发行费用后的净额，请与上市公告书中的扣除发行费用后募集资金净额数额保持一致。\n4、募集资金承诺投资总额：招股说明书/募集说明书中披露的拟用于募投项目的募集资金总额。\n5、填写单位为：元"/>
    <m:item xlName="_GBC_d62426eab3014f178b7d8906e6ab8d2c" headerRef="135" up="募投项目明细" concept="clcid-ci-ar:ShiFouShiYongMuTouXiangMuMingXi" label="是否适用：募投项目明细" selectOptions="_buildInAppliance" controlType="CustomCheckbox" cRanges="[{&quot;StartName&quot;:&quot;_GBC_d62426eab3014f178b7d8906e6ab8d2c&quot;,&quot;EndName&quot;:&quot;_SEC_b926ba928d574ba0a7e97ab61b1105fc&quot;,&quot;CType&quot;:1}]"/>
    <m:section xlName="_SEC_e6c63beeba524f6c8c28498ba5240ad9" title="募投项目明细" headerRef="135" helpText="1、对于某次融资的募集资金在报告期之前已经全部使用完毕的，无需填写。\n2、该表列示目前仍在执行的或结项的募投项目明细，即如涉及募投项目变更，该表列示变更后的项目。对于某次融资的募集资金已经全部使用完毕的无需列示。\n3、募集资金来源分为首次公开发行股票、向特定对象发行股票、发行可转换债券、其他。请填写对应募集资金到位时间，格式为：xxxx年xx月xx日。\n4、募集资金计划投资总额：招股说明书/募集说明书中披露的拟用于募投项目的募集资金总额。超募资金使用的，填写拟投入募集资金金额。\n5、项目达到预定可使用状态日期：根据招股书/募集说明书中披露的项目实施周期及实际启动日期，填写具体时间，精确到月份。\n6、本项目已实现的效益或者研发成果：填写已实现的产能、已研发出的产品或已获批的专利等；如无前述成果，填写“无”。\n公司的子公司发生的本节所列重大事项，对投资者作出价值判断和投资决策有重大影响的，应当视同公司的重大事项予以披露。"/>
    <m:section xlName="_SEC_b926ba928d574ba0a7e97ab61b1105fc" title="超募资金明细使用情况" headerRef="135" helpText="对于某次融资的募集资金在报告期之前已经全部使用完毕的，无需填写。\n公司的子公司发生的本节所列重大事项，对投资者作出价值判断和投资决策有重大影响的，应当视同公司的重大事项予以披露。"/>
    <m:section xlName="_SEC_765a4abd121e4bf8bc1267fde4c0401f" title="报告期内募投变更情况" headerRef="136" orient="landscape" helpText="1、对于某次融资的募集资金在报告期之前已经全部使用完毕的，无需填写。\n2、包含终止募投项目用于补充流动资金情形，该情形下变更后项目名称填写补充流动资金。\n3、变更前项目名称：仅适用于原募投项目变更金额、原募投项目取消或终止。如因低募调低募集资金投入金额或取消某募投项目，不属于此处变更用途情形。\n4、变更或终止原因：具体说明变更或终止的原因及合理性，并明确变更或终止后的项目是否用于主营业务。"/>
    <m:section xlName="_SEC_46cef5bb25984707aca27aa80f83fd2a" title="募集资金投资项目先期投入及置换情况  ____" headerRef="138" helpText="对于某次融资的募集资金在报告期之前已经全部使用完毕的，无需填写。"/>
    <m:section xlName="_SEC_ff3e2416ad6c4af48b73d6cc3ce54fc1" title="用闲置募集资金暂时补充流动资金情况  ____" headerRef="139" helpText="对于某次融资的募集资金在报告期之前已经全部使用完毕的，无需填写。"/>
    <m:section xlName="_SEC_5e51418415d94f41b9d1f518b7caa82a" title="对闲置募集资金进行现金管理，投资相关产品情况  ____" headerRef="140" helpText="1、对于某次融资的募集资金在报告期之前已经全部使用完毕的，无需填写。\n2、董事会审议日期、起始日期和结束日期”的格式为：xxxx年xx月xx日。"/>
    <m:section xlName="_SEC_711697a1f7a2410da19e2ebf4fd0a8d9" title="其他" headerRef="141" helpText="对于某次融资的募集资金在报告期之前已经全部使用完毕的，无需填写。"/>
    <m:section xlName="_SEC_82a7281a6dc544bea8ef97d430f7b6fc" title="" headerRef="142" helpId="110011001"/>
    <m:section xlName="_GBC_dd8bc2a0b3ed4147a1e657cdc8573344" title="报告期内，公司股份总数及股本结构未发生变化。" checkKey="!变动增减" headerRef="146" helpId="104001001" primarySection="_GBC_dd8bc2a0b3ed4147a1e657cdc8573344" optionText="股份未变化" activeContentOption="_GBC_f9397743097a41aeb54f7cc576d0c924" optionGroupTitle="公司股份变化情况" optionTargetConcept="clcid-ci-ar:ShiFouShiYongGuFenBianDongQingKuangBiao" optionTargetConceptValue="false" otherKeyActions="{&quot;KeyCode&quot;:&quot;SF_SSE&quot;,&quot;KeyAction&quot;:47,&quot;KeyActionTitle&quot;:null,&quot;OtherActions&quot;:null}"/>
    <m:section xlName="_GBC_f9397743097a41aeb54f7cc576d0c924" title="股份变动情况表(已完成或不涉及股改)" rules="R2015_R6_001" checkKey="!未发生变化&amp;!未上市流通股份" headerRef="146" helpId="104001001" primarySection="_GBC_dd8bc2a0b3ed4147a1e657cdc8573344" optionText="股份有变化,已完成股权分置改革或不涉及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section xlName="_GBC_872d4d405bf64e4d9c4e4ee9330ec2d5" title="股份变动情况表(未完成股改)" rules="R2015_R6_001" checkKey="!未发生变化&amp;!有限售条件股份" headerRef="146" helpId="104001001" primarySection="_GBC_dd8bc2a0b3ed4147a1e657cdc8573344" optionText="股份有变化,未完成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section xlName="_GBC_11d26f58e47e4a1f997d73362074f464" title="股份变动情况说明" rules="R2015_R6_001" headerRef="147" convertSummaryRule="NoConvert" helpId="104001001"/>
    <m:section xlName="_GBC_2c9eb79778814e39ab254196ba75dab3" title="报告期后到半年报披露日期间发生股份变动对每股收益等指标影响" rules="R2015_R6_001" headerRef="148" convertSummaryRule="NoConvert" helpId="104001001"/>
    <m:section xlName="_GBC_ea8cea8d08c04df4b51a4a58c86eadd2" title="公司认为必要或证券监管机构要求披露的其他内容" rules="R2015_R6_001" headerRef="149" convertSummaryRule="NoConvert" helpId="104001001"/>
    <m:section xlName="_SEC_71bda84d0fff4902850bfc37d3477fb7" title="限售股份变动情况" headerRef="150" helpId="104001031" helpText="注：若同一股东因不同限售原因或限售期限持有几类限售股份的，应当区别不同的限售原因或解除限售日期填写上表。"/>
    <m:section xlName="_GBC_ba0ac3b5d31347c0a620e3662112fa62" title="股东总数" rules="R2015_R6_002" headerRef="152" convertSummaryRule="NoConvert" helpId="104002001"/>
    <m:section xlName="_SEC_592bb0bb4ec54f4281af37e1affd5a7d" title="截至报告期末前十名股东持股情况表" checkKey="!非流通股" headerRef="153"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 primarySection="_SEC_592bb0bb4ec54f4281af37e1affd5a7d" optionText="已完成股权分置改革或不涉及股权分置改革" optionGroupTitle="前十名股东持股情况" optionTargetConcept="clcid-cgi:GuQuanFenZhiGaiGeZhuangTai" optionTargetConceptValue="已完成股权分置改革" mergeDisplayOptionTag="_SEC_592bb0bb4ec54f4281af37e1affd5a7d"/>
    <m:section xlName="_SEC_e6be5feadfe34f78a95c27bf11e8485b" title="前十名股东参与转融通业务出借股份情况" checkKey="!非流通股" headerRef="153" helpText="《上海证券交易所上市公司自律监管指南第2号——业务办理（2023年11月修订）》第十一号\n融资融券、转融通相关事项：\n四、定期报告相关要求\n（一）上市公司应当在定期报告的“股份变动和股东情况”部分，披露持股5%以上股东、前10名股东及前10名无限售流通股股东在报告期内参与融资融券及转融通业务的具体情况，包括相关股东名称、报告期初持股数量及比例、报告期初转融通出借股份数量及比例、报告期末持股数量及比例、报告期末转融通出借股份数量及比例等。\n（二）上市公司前10名股东及前10名无限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n（三）上市公司拟披露参与融资融券及转融通业务相关股东持股情况的，应当根据中国证券登记结算有限责任公司及其上海分公司（以下简称中国结算）发布的融资融券、转融通业务有关规定，向中国结算申请取得相关信息。" optionTargetConcept="clcid-cgi:GuQuanFenZhiGaiGeZhuangTai" optionTargetConceptValue="已完成股权分置改革" mergeDisplayOptionTag="_SEC_592bb0bb4ec54f4281af37e1affd5a7d"/>
    <m:section xlName="_SEC_754d5c3876f14c478be5d284316e9503" title="前十名股东较上期发生变化" checkKey="!非流通股" headerRef="153" optionTargetConcept="clcid-cgi:GuQuanFenZhiGaiGeZhuangTai" optionTargetConceptValue="已完成股权分置改革" mergeDisplayOptionTag="_SEC_592bb0bb4ec54f4281af37e1affd5a7d"/>
    <m:section xlName="_SEC_b5308a454ece4ff1ac26795955195341" title="前十名有限售条件股东持股数量及限售条件" checkKey="!非流通股" headerRef="153" optionTargetConcept="clcid-cgi:GuQuanFenZhiGaiGeZhuangTai" optionTargetConceptValue="已完成股权分置改革" mergeDisplayOptionTag="_SEC_592bb0bb4ec54f4281af37e1affd5a7d"/>
    <m:section xlName="_GBC_4a9721209ff04ca9a1a9139d61e2a864" title="持有公司5%以上股份的前十名股东持股情况(未完成股改)" rules="R2015_R6_002" checkKey="!无限售" headerRef="154" helpId="104001032" helpText="注：《上海证券交易所上市公司自律监管指南第2号——业务办理（2023年11月修订）》第十一号\n融资融券、转融通相关事项：\n四、定期报告相关要求\n（一）上市公司应当在定期报告的“股份变动和股东情况”部分，披露持股5%以上股东、前10名股东及前10名无限售流通股股东在报告期内参与融资融券及转融通业务的具体情况，包括相关股东名称、报告期初持股数量及比例、报告期初转融通出借股份数量及比例、报告期末持股数量及比例、报告期末转融通出借股份数量及比例等。\n（二）上市公司前10名股东及前10名无限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n（三）上市公司拟披露参与融资融券及转融通业务相关股东持股情况的，应当根据中国证券登记结算有限责任公司及其上海分公司（以下简称中国结算）发布的融资融券、转融通业务有关规定，向中国结算申请取得相关信息。" primarySection="_SEC_592bb0bb4ec54f4281af37e1affd5a7d" optionText="未完成股权分置改革" optionGroupTitle="前十名股东持股情况" optionTargetConcept="clcid-cgi:GuQuanFenZhiGaiGeZhuangTai" optionTargetConceptValue="未完成股权分置改革" otherKeyActions="{&quot;KeyCode&quot;:&quot;SF_SSE&quot;,&quot;KeyAction&quot;:47,&quot;KeyActionTitle&quot;:null,&quot;OtherActions&quot;:null}"/>
    <m:section xlName="_GBC_e978a717352b4bf6852a761b15c1e95b" title="战略投资者或一般法人因配售新股成为前10名股东" rules="R2015_R6_002" headerRef="155" convertSummaryRule="NoConvert" helpId="104001032"/>
    <m:section xlName="_SEC_34f8808520ab47be851d00ee44fc510b" title="现任及报告期内离任董事、监事和高级管理人员持股变动情况 " headerRef="157" helpId="105001001" helpText="注：\n1、报告期内离任的董事、监事、高级管理人员，仍需按本章要求披露相关内容。\n2、报告期后新任的，董事、监事、高级管理人员可作附注说明。\n注：职务如是独立董事，需单独注明。\n（1）如果涉及多个职称使用中文顿号“、”分隔；\n（2）如果已离任使用括号备注，例如：董事（离任）\n（3）常用职称：董事、独立董事、职工代表董事、董事长、监事、职工代表监事、监事会主席、总经理、分管（XX）的副总经理、财务负责人、董事会秘书、副董事长、监事长、监事会副主席、总裁、副总裁、信息披露负责人、行长、副行长等；" axisType="Column" keyAction="31" keyCode="AutoSplitRow"/>
    <m:section xlName="_SEC_ddbdd27d049d452a9d63bfa087a3f3c5" title="其它情况说明" headerRef="157"/>
    <m:section xlName="_SEC_e31f847e559a4ff7aa07914d45526543" title="董事、监事、高级管理人员报告期内被授予的股权激励情况" headerRef="158" helpId="105001001" helpText="注：\n1、报告期内离任的董事、监事、高级管理人员，仍需按本章要求披露相关内容。\n2、报告期后新任的，董事、监事、高级管理人员可作附注说明。"/>
    <m:section xlName="_SEC_b5cd47f19fe24fecafd1039d3c1c6b51" title="董事、监事、高级管理人员报告期内被授予的股权激励情况表二" headerRef="158" helpId="105001001" helpText="注：\n1、报告期内离任的董事、监事、高级管理人员，仍需按本章要求披露相关内容。\n2、报告期后新任的，董事、监事、高级管理人员可作附注说明。"/>
    <m:section xlName="_SEC_a1a4d90699494886b231030a7c17645b" title="其他董事、监事、高级管理人员和员工情况" rules="R2015_R8_001" headerRef="159" helpText="注：\n1、报告期内离任的董事、监事、高级管理人员，仍需按本章要求披露相关内容。\n2、报告期后新任的，董事、监事、高级管理人员可作附注说明。"/>
    <m:section xlName="_GBC_2e7a202224f3494aa0093f3bd0f39d33" title="控股股东及实际控制人变更情况" rules="R2015_R6_003" headerRef="160" convertSummaryRule="ConvertDefinedText" convertText="本报告期内公司控股股东或实际控制人没有发生变更。" helpId="104002003"/>
    <m:item xlName="_GBC_2113adbee8464e1c828b3d6d35c60abf" headerRef="161" up="优先股相关情况" concept="clcid-ci-ar:ShiFouShiYongYouXianGuXiangGuanQingKuang" label="是否适用：优先股相关情况" selectOptions="_buildInAppliance" controlType="CustomCheckbox" cRanges="{&quot;StartName&quot;:&quot;_GBC_2113adbee8464e1c828b3d6d35c60abf&quot;,&quot;EndName&quot;:&quot;_GBC_8fb06e980aee40a3b1b78ccabb3fc0e3&quot;,&quot;CType&quot;:1,&quot;DisplayText&quot;:null}"/>
    <m:section xlName="_GBC_038a92c2237240f0893f503bba7a03c0" title="报告期内优先股发行与上市情况" rules="R2015_R7_001" headerRef="162" helpId="112001228"/>
    <m:section xlName="_SEC_09ecd5a571d64e909892f8249659d711" title="优先股股东情况" tupleConcept="clcid-cgi:QianShiMingYouXianGuGuDongQingKuangMingXi" repeatable="1" headerRef="164" helpId="104002009"/>
    <m:section xlName="_GBC_cdbecede1d44433785be1be860bc785b" title="其他优先股股东情况说明" rules="R2015_R7_001" headerRef="166" helpId="110008001"/>
    <m:section xlName="_GBC_dd0252a8df9640e89dc854d849426857" title="回购情况" rules="R2015_R7_001" headerRef="168" helpId="112001230"/>
    <m:section xlName="_GBC_bfe4b4f422a94baaa8274d70ba44bfb9" title="转换情况" rules="R2015_R7_001" headerRef="169" helpId="112001229"/>
    <m:section xlName="_GBC_ddb96eb7a92a4d6285f620d33674775f" title="报告期内存在优先股表决权恢复的，公司应当披露相关表决权的恢复情况" rules="R2015_R7_001" headerRef="170" helpId="112001231"/>
    <m:section xlName="_GBC_8c2b7a1d2d1b4786b4822d8ec9c8c28f" title="公司对优先股采取的会计政策及理由" rules="R2015_R7_001" headerRef="171" helpId="112001232"/>
    <m:section xlName="_GBC_8fb06e980aee40a3b1b78ccabb3fc0e3" title="其他优先股相关情况" rules="R2015_R7_001" headerRef="172"/>
    <m:item xlName="_GBC_8e6b9cf2d8c24a6faf41199f98e408b3" helpId="112500014" headerRef="174" up="公司债券（含企业债券）和非金融企业债务融资工具" concept="clcid-ci-ar:ShiFouShiYongZhaiQuanXiangGuanQingKuang" label="是否适用：债券相关情况" selectOptions="_buildInAppliance" controlType="CustomCheckbox" cRanges="[{&quot;StartName&quot;:&quot;_GBC_8e6b9cf2d8c24a6faf41199f98e408b3&quot;,&quot;EndName&quot;:&quot;_SEC_9f3013bc6d4940f49cf3cfe39dab5a57&quot;,&quot;CType&quot;:1}]"/>
    <m:item xlName="_GBC_0aefba4fc6d84d32a7c7d372906dfb2e" headerRef="175" up="公司债券（含企业债券）" concept="clcid-ci-ar:ShiFouShiYongGongSiZhaiQuanXiangGuanQingKuang" label="是否适用：公司债券相关情况" selectOptions="_buildInAppliance" controlType="CustomCheckbox" cRanges="[{&quot;StartName&quot;:&quot;_GBC_0aefba4fc6d84d32a7c7d372906dfb2e&quot;,&quot;EndName&quot;:&quot;_SEC_b7d50a796590402696ce9352af7e9496&quot;,&quot;CType&quot;:1}]"/>
    <m:section xlName="_SEC_ea7d4fd769564315a74d9d85b6aed2f9" title="公司债券基本情况" headerRef="176" convertSummaryRule="NoConvert" helpId="112500001" helpText="公司债券基本信息列表以未来行权（含到期及回售）时间顺序排列"/>
    <m:section xlName="_SEC_a78818601652484a980eda0c78d6536d" title="公司对债券终止上市交易风险的应对措施  ____" headerRef="176" helpId="112500001"/>
    <m:section xlName="_SEC_5399143278374bc6a0338b597e80e0a8" title="发行人或投资者选择权条款、投资者保护条款的触发和执行情况 ..." headerRef="177" helpId="110002105"/>
    <m:section xlName="_SEC_f79901d570c546118d8c8e652fd6699d" title="信用评级结果调整情况" headerRef="178" helpId="101001123">
      <m:axisValue occRef="非金融企业债务融资工具"/>
    </m:section>
    <m:section xlName="_SEC_f0fb497d2dc44da48452d2fd65e1db0f" title="其他说明  ____" headerRef="178" orient="landscape">
      <m:axisValue occRef="非金融企业债务融资工具"/>
    </m:section>
    <m:section xlName="_SEC_82f9c67b20cb45eda99d978cc09be2e9" title="担保情况、偿债计划及其他偿债保障措施在报告期内的执行和变化情况及其影响" headerRef="179" helpId="101001126">
      <m:axisValue occRef="非金融企业债务融资工具"/>
    </m:section>
    <m:section xlName="_SEC_b7d50a796590402696ce9352af7e9496" title="担保情况、偿债计划及其他偿债保障措施在报告期内的执行情况和变..." headerRef="179" helpId="110002106"/>
    <m:item xlName="_GBC_26e1b928d11c47bfad361d998e446706" headerRef="180" up="银行间债券市场非金融企业债务融资工具" concept="clcid-ci-ar:ShiFouShiYongYinXingJianZhaiQuanShiChangFeiJinRongQiYeZhaiWuRongZiGongJuXiangGuanQingKuang" label="是否适用：银行间债券市场非金融企业债务融资工具相关情况" selectOptions="_buildInAppliance" appId="_GBC_8e6b9cf2d8c24a6faf41199f98e408b3" controlType="CustomCheckbox" cRanges="[{&quot;StartName&quot;:&quot;_GBC_26e1b928d11c47bfad361d998e446706&quot;,&quot;EndName&quot;:&quot;_SEC_f9bf2c4fe6ff467498e3773fc0c13df6&quot;,&quot;CType&quot;:1}]">
      <m:axisValue occRef="非金融企业债务融资工具"/>
    </m:item>
    <m:section xlName="_SEC_3f8a3448cfdb4a6b9a931cd5e6b90c54" title="非金融企业债务融资工具基本情况" headerRef="181" convertSummaryRule="NoConvert" helpId="112500001"/>
    <m:section xlName="_SEC_c960bfcad3944f559dd2eefcbad971ce" title="(一) 非金融企业债务融资工具 公司对债券终止上市交易风险的应对措施" headerRef="181" helpId="112500001"/>
    <m:section xlName="_SEC_7345dace4a85448a8e1bbd6a35cf959d" title="非金融企业债务融资工具逾期未偿还债券" headerRef="181" helpId="112500009"/>
    <m:section xlName="_SEC_93a4b57e6e6e46698f68241bcd35c49f" title="非金融企业债务融资工具关于逾期债项的说明" headerRef="181" helpId="112500009"/>
    <m:section xlName="_SEC_ee8ef2708a4c4a4bbfcdb7705ac59e4b" title="非金融企业债务融资工具发行人或投资者选择权条款、投资者保护条款的触发和执行情况" headerRef="182" helpId="110002105"/>
    <m:section xlName="_SEC_21c70a9f67594b1f943dc6ddb6783183" title="企业债券信用评级结果调整情况" headerRef="183" helpId="101001123">
      <m:axisValue occRef="非金融企业债务融资工具"/>
    </m:section>
    <m:section xlName="_SEC_edcb7f3e4f694fc8b787ab7a6d69a671" title="其他说明  ____" headerRef="183">
      <m:axisValue occRef="非金融企业债务融资工具"/>
    </m:section>
    <m:section xlName="_SEC_1787be1f0f6f4989a888633e99a258d5" title="企业债券_担保情况、偿债计划及其他偿债保障措施在报告期内的执行和变化情况及其影响" headerRef="184" helpId="101001126">
      <m:axisValue occRef="非金融企业债务融资工具"/>
    </m:section>
    <m:section xlName="_SEC_96d3c49bcdff4a708e6cc02215c1760c" title="非金融企业债务融资工具担保情况、偿债计划及其他偿债保障措施在报告期内的执行和变化情况及其影响" headerRef="184" helpId="110002106"/>
    <m:section xlName="_SEC_f9bf2c4fe6ff467498e3773fc0c13df6" title="非金融企业债务融资工具其他情况的说明" headerRef="185"/>
    <m:section xlName="_SEC_e66fe740b4dc4bd1ba7b176d7db2eac3" title="公司债券募集资金使用情况" headerRef="186" helpText="涉及公司债券（含企业债券）的需填写"/>
    <m:section xlName="_SEC_79ad8f13cd45470582427f9361251f9a" title="债券募集资金使用情况" tupleConcept="bond:MuJiZiJinShiYongQingKuangMingXi" repeatable="1" headerRef="186"/>
    <m:section xlName="_SEC_a4ce65c42c2f477d863a2ebc8f9fde2d" title="专项品种债券应当披露的其他事项" headerRef="193" helpText="1、涉及公司债券（含企业债券）的判断是否适用填写。\n2、报告期内存续专项债的，无论批准报出日债券是否出存续，均应披露。"/>
    <m:section xlName="_SEC_c9b02363c7a34fa9ab37f667c0476b57" title="发行人为可交换债券发行人" headerRef="194"/>
    <m:section xlName="_SEC_fc1a081166ed463e9806c0044b90e2c0" title="可交换债券发行人单位币种" headerRef="194"/>
    <m:section xlName="_SEC_0cc144abadaf49c6b22693ddd2d1f65c" title="可交换债券发行人" repeatable="1" headerRef="194" helpText="1、涉及公司债券（含企业债券）的判断是否适用填写。\n2、报告期内存续专项债的，无论批准报出日债券是否出存续，均应披露。" lockTable="4" keyAction="65">
      <m:virtualTuples>
        <m:virtualTuple id="105f8db2-47b5-4283-accf-4680581487c8" tupleRef="bond:FaXingRenWeiKeJiaoHuanZhaiQuanFaXingRenMingXi" extendDirection="2" splitWidth="1"/>
      </m:virtualTuples>
    </m:section>
    <m:section xlName="_SEC_69e2063532b246e8b0a9dd299ab76390" title="发行人为其他特殊品种债券发行人" headerRef="195" helpText="1、涉及公司债券（含企业债券）的判断是否适用填写。\n2、报告期内存续专项债的，无论批准报出日债券是否出存续，均应披露。"/>
    <m:section xlName="_SEC_3153f25a2d6f4e469c466dc5ea906418" title="其他特殊品种债券发行人" headerRef="195"/>
    <m:section xlName="_SEC_5615bd7eff924578b7f106706152ae0d" title="绿色公司债券发行人" repeatable="1" headerRef="195" helpText="1、涉及公司债券（含企业债券）的判断是否适用填写。\n2、报告期内存续专项债的，无论批准报出日债券是否出存续，均应披露。" lockTable="4">
      <m:virtualTuples>
        <m:virtualTuple id="df9a8ef3-4979-4416-9f5a-2c6a08762377" tupleRef="bond:LvSeGongSiZhaiQuanFaXingRenMingXi" extendDirection="2" splitWidth="1"/>
      </m:virtualTuples>
    </m:section>
    <m:section xlName="_SEC_250d1cbe2daa44a0826580affa9cff8f" title="四、发行人为可续期公司债券发行人" headerRef="196" helpText="1、涉及公司债券（含企业债券）的判断是否适用填写。\n2、报告期内存续专项债的，无论批准报出日债券是否出存续，均应披露。"/>
    <m:section xlName="_SEC_a49f1ccb52f944f6a997cc478b6fc89b" title="" headerRef="196"/>
    <m:section xlName="_SEC_e119b191a8414e08b95acd2bc812aff2" title="可续期公司债券发行人" repeatable="1" headerRef="196" helpText="1、涉及公司债券（含企业债券）的判断是否适用填写。\n2、报告期内存续专项债的，无论批准报出日债券是否出存续，均应披露。">
      <m:virtualTuples>
        <m:virtualTuple id="697c70b8-5d9d-426a-8d46-62027057f90f" tupleRef="bond:KeXuQiGongSiZhaiQuanFaXingRenMingXi" extendDirection="2" splitWidth="1"/>
      </m:virtualTuples>
    </m:section>
    <m:section xlName="_SEC_fcb8bbba8faa4356862dc502e9a7a8ae" title="发行人为扶贫债券发行人" headerRef="197" helpText="1、涉及公司债券（含企业债券）的判断是否适用填写。\n2、报告期内存续专项债的，无论批准报出日债券是否出存续，均应披露。"/>
    <m:section xlName="_SEC_06cfd8ae20c8442d89c26876f4994c26" title="单位：亿元 币种：人民币" headerRef="197"/>
    <m:section xlName="_SEC_73ab530b1eff4612ab784293caca5e60" title="扶贫债券" repeatable="1" headerRef="197" helpText="1、涉及公司债券（含企业债券）的判断是否适用填写。\n2、报告期内存续专项债的，无论批准报出日债券是否出存续，均应披露。" lockTable="4">
      <m:virtualTuples>
        <m:virtualTuple id="ae00df5b-89be-4468-b309-faba708a2c6c" tupleRef="bond:FuPinZhaiQuanMingXi" extendDirection="2" splitWidth="1"/>
      </m:virtualTuples>
    </m:section>
    <m:section xlName="_SEC_215286998a09419db10c84265d83eea9" title="发行人为乡村振兴债券发行人" headerRef="198" helpText="1、涉及公司债券（含企业债券）的判断是否适用填写。\n2、报告期内存续专项债的，无论批准报出日债券是否出存续，均应披露。"/>
    <m:section xlName="_SEC_ac901c8710d24d84964e9ee9ed5df531" title="单位：亿元 币种：人民币" headerRef="198"/>
    <m:section xlName="_SEC_b89c34cd84a74ac5bf9575dd95a2ea8f" title="乡村振兴债券" repeatable="1" headerRef="198" helpText="1、涉及公司债券（含企业债券）的判断是否适用填写。\n2、报告期内存续专项债的，无论批准报出日债券是否出存续，均应披露。" lockTable="4">
      <m:virtualTuples>
        <m:virtualTuple id="3bef7e25-4ba7-4df8-8fa9-75d3a813e9e8" tupleRef="bond:XiangCunZhenXingZhaiQuanMingXi" extendDirection="2" splitWidth="1"/>
      </m:virtualTuples>
    </m:section>
    <m:section xlName="_SEC_8e9a36d5d93f4589a55be6955ecda6f7" title="发行人为一带一路债券发行人" headerRef="199" helpText="1、涉及公司债券（含企业债券）的判断是否适用填写。\n2、报告期内存续专项债的，无论批准报出日债券是否出存续，均应披露。"/>
    <m:section xlName="_SEC_67c213a91b4e4f3db78943c72e96122e" title="单位：亿元 币种：人民币" headerRef="199"/>
    <m:section xlName="_SEC_404a9ea8fc8f450288c8e467d733ca45" title="一带一路债券" repeatable="1" headerRef="199" helpText="1、涉及公司债券（含企业债券）的判断是否适用填写。\n2、报告期内存续专项债的，无论批准报出日债券是否出存续，均应披露。" lockTable="4">
      <m:virtualTuples>
        <m:virtualTuple id="6a1b0d14-443b-47c3-90a9-c8e785dacece" tupleRef="bond:YiDaiYiLuZhaiQuanMingXi" extendDirection="2" splitWidth="1"/>
      </m:virtualTuples>
    </m:section>
    <m:section xlName="_SEC_7408a3bd2716436a94add98b26b30fd8" title="科技创新债或者双创债" headerRef="200" helpText="1、涉及公司债券（含企业债券）的判断是否适用填写。\n2、报告期内存续专项债的，无论批准报出日债券是否出存续，均应披露。"/>
    <m:section xlName="_SEC_3d91b5ba1c4e47339348d250c17cee56" title="单位币种" headerRef="200"/>
    <m:section xlName="_SEC_0b63296ce7de43559b7bcadbb7defb7d" title="科技创新债或者双创债" repeatable="1" headerRef="200" helpText="1、涉及公司债券（含企业债券）的判断是否适用填写。\n2、报告期内存续专项债的，无论批准报出日债券是否出存续，均应披露。">
      <m:virtualTuples>
        <m:virtualTuple id="8ed19c78-2061-4e9d-b3a8-e5b9b2d79b21" tupleRef="bond:KeJiChuangXinZhaiMingXi" extendDirection="2" splitWidth="1"/>
      </m:virtualTuples>
    </m:section>
    <m:section xlName="_SEC_806fc7fc4d32494089d9b6c64fc73d6b" title="低碳转型（挂钩）公司债券" headerRef="201" helpText="1、涉及公司债券（含企业债券）的判断是否适用填写。\n2、报告期内存续专项债的，无论批准报出日债券是否出存续，均应披露。"/>
    <m:section xlName="_SEC_88d6d09f9fe14b309ef28248aca2ce15" title="单位币种" headerRef="201"/>
    <m:section xlName="_SEC_89e195c29d6b481e83cfd4036969d906" title="低碳转型（挂钩）公司债券" repeatable="1" headerRef="201" helpText="1、涉及公司债券（含企业债券）的判断是否适用填写。\n2、报告期内存续专项债的，无论批准报出日债券是否出存续，均应披露。">
      <m:virtualTuples>
        <m:virtualTuple id="0b14a4a7-7bc3-46ab-98fa-cd5e0d43dbcb" tupleRef="bond:DiTanZhuanXingGongSiZhaiQuanMingXi" extendDirection="2" splitWidth="1"/>
      </m:virtualTuples>
    </m:section>
    <m:section xlName="_SEC_bff57ad97afa49988ca221f054ed0db5" title="纾困公司债券" headerRef="202" helpText="1、涉及公司债券（含企业债券）的判断是否适用填写。\n2、报告期内存续专项债的，无论批准报出日债券是否出存续，均应披露。"/>
    <m:section xlName="_SEC_b933da3a58544dcc805b61c0203a9810" title="单位币种" headerRef="202"/>
    <m:section xlName="_SEC_84ad849505844593a754cd42690185b9" title="纾困公司债券" repeatable="1" headerRef="202" helpText="1、涉及公司债券（含企业债券）的判断是否适用填写。\n2、报告期内存续专项债的，无论批准报出日债券是否出存续，均应披露。">
      <m:virtualTuples>
        <m:virtualTuple id="8795b403-d049-41a8-b4be-3085f35d2246" tupleRef="bond:ShuKunGongSiZhaiQuanMingXi" extendDirection="2" splitWidth="1"/>
      </m:virtualTuples>
    </m:section>
    <m:section xlName="_SEC_13491b20fc424bcb8942fa06a1c64308" title="中小微企业支持债券" headerRef="203" helpText="1、涉及公司债券（含企业债券）的判断是否适用填写。\n2、报告期内存续专项债的，无论批准报出日债券是否出存续，均应披露。"/>
    <m:section xlName="_SEC_9fdcb484e53b4b589f836a58d0b46cb4" title="单位：亿元  币种：人民币" headerRef="203"/>
    <m:section xlName="_SEC_024ad0797f90488a80db23e3f3e66e87" title="中小微企业支持债券发行人" repeatable="2" headerRef="203" helpText="1、涉及公司债券（含企业债券）的判断是否适用填写。\n2、报告期内存续专项债的，无论批准报出日债券是否出存续，均应披露。">
      <m:virtualTuples>
        <m:virtualTuple id="41ec6b9e-07d8-4e9c-8e62-fb77729c5bc9" tupleRef="bond:ZhongXiaoWeiQiYeZhiChiZhaiQuanMingXi" extendDirection="2" splitWidth="1"/>
      </m:virtualTuples>
    </m:section>
    <m:section xlName="_SEC_5ff3548634094e7599eaff26f0dc2c7a" title="其他特定品种债券事项" headerRef="204" helpText="1、涉及公司债券（含企业债券）的判断是否适用填写。\n2、报告期内存续专项债的，无论批准报出日债券是否出存续，均应披露。"/>
    <m:section xlName="_SEC_89bbfbd577384b6082eed6305d758cdb" title="报告期内公司债券相关重要事项" headerRef="205" helpText="涉及公司债券（含企业债券）的需填写"/>
    <m:section xlName="_SEC_22bc7414df8e4760a7f83accef77a1ca" title="非经营性往来占款和资金拆借余额" headerRef="206" helpText="涉及公司债券（含企业债券）的需填写"/>
    <m:section xlName="_SEC_ec97a61d67724ed0a6e24554bfd553f3" title="截止报告期末，未收回的非经营性往来占款和资金拆借的主要构成、..." headerRef="208" helpText="涉及公司债券（含企业债券）的需填写" optionTargetConcept="bond:MoKuaiFeiJingChangXingWangLaiZhanKuanHeZiJinChaiJie" optionTargetConceptValue="true"/>
    <m:section xlName="_SEC_3053e21160aa4cf8839fb1a9edef8d45" title="公司非经营性往来占款和资金拆借账龄结构" headerRef="208" helpText="涉及公司债券（含企业债券）的需填写" optionTargetConcept="bond:MoKuaiFeiJingChangXingWangLaiZhanKuanHeZiJinChaiJie" optionTargetConceptValue="true"/>
    <m:section xlName="_SEC_d476d2b886c343da9c2df1e712ddca5e" title="报告期末，发行人非经营性往来占款和资金拆借前5名债务方单位..." headerRef="209" helpText="涉及公司债券（含企业债券）的需填写" optionTargetConcept="bond:MoKuaiFeiJingChangXingWangLaiZhanKuanHeZiJinChaiJie" optionTargetConceptValue="true"/>
    <m:section xlName="_SEC_0756ce3975cf4fce90f5541e8f952c06" title="以前报告期内披露的回款安排的执行情况" headerRef="210" helpText="涉及公司债券（含企业债券）的需填写"/>
    <m:section xlName="_SEC_9d83f549b0b84cff8d3523d1174d5e77" title="发行人债务结构情况报告期初和报告期末，发行人口径（非发行人..." headerRef="213" helpText="涉及公司债券（含企业债券）的需填写"/>
    <m:section xlName="_SEC_139e2c1b974e4a54997cc9b4fdb7a7f4" title="发行人合并口径有息债务结构情况报告期初和报告期末，发行人合..." headerRef="214" helpText="涉及公司债券（含企业债券）的需填写"/>
    <m:section xlName="_SEC_ecfb6211bb734dba9c41de024576810c" title="截止报告期末，发行人合并口径内发行的境外债券余额亿元人..." headerRef="215" helpText="涉及公司债券（含企业债券）的需填写"/>
    <m:section xlName="_SEC_5702f60cb45747bab6bad125fbd9fa39" title="报告期末是否存在公司信用类债券逾期或其他单笔债务逾期金额超过..." headerRef="216" helpText="涉及公司债券（含企业债券）的需填写"/>
    <m:section xlName="_SEC_66a589b4d26e45ac89e205f97f0654e6" title="存在逾期金额超过1000万元的有息债务" headerRef="216" helpText="涉及公司债券（含企业债券）的需填写"/>
    <m:section xlName="_SEC_7be399c7437e41e9886a5b5f148772fe" title="" headerRef="217" helpText="涉及公司债券（含企业债券）的需填写"/>
    <m:section xlName="_SEC_9738a2f6f1d24bd6a456c0b644492507" title="可对抗第三人的优先偿付负债情况" headerRef="218" helpText="涉及公司债券（含企业债券）的需填写"/>
    <m:section xlName="_SEC_53cb8a9927c84975874838d7d288b8eb" title="公司报告期内合并报表范围亏损超过上年末净资产10%亏损情..." headerRef="219" helpId="110002107" keyAction="42" keyCode="2"/>
    <m:section xlName="_SEC_9f3013bc6d4940f49cf3cfe39dab5a57" title="截至报告期末公司近2年的会计数据和财务指标" headerRef="220" helpId="112500008" helpText="表里的“扣除非经常性损益后净利润”指的是“归属于上市公司股东的扣除非经常性损益的净利润”"/>
    <m:item xlName="_GBC_6a49e99841294af3b87ba6216b1997d9" headerRef="221" up="可转换公司债券情况" concept="clcid-ci-ar:ShiFouShiYongKeZhuanHuanGongSiZhaiQuanQingKuang" label="是否适用：可转换公司债券情况" selectOptions="_buildInAppliance" controlType="CustomCheckbox" cRanges="{&quot;StartName&quot;:&quot;_GBC_6a49e99841294af3b87ba6216b1997d9&quot;,&quot;EndName&quot;:&quot;_SEC_cc036ec1e45042a4a4bce38515d23fb4&quot;,&quot;CType&quot;:1,&quot;DisplayText&quot;:null}"/>
    <m:section xlName="_SEC_7b43a59e4b774f688e87b04a6fd9b0bf" title="转债发行情况" headerRef="222" convertSummaryRule="NoConvert"/>
    <m:section xlName="_SEC_7f82abb841ec4e91b7d333b30060eb09" title="报告期转债持有人及担保人情况" tupleConcept="clcid-cgi:BaoGaoQiZhuanZhaiChiYouRenJiDanBaoRenQingKuangMingXi" repeatable="1" headerRef="223"/>
    <m:section xlName="_SEC_b9f22fe710ea43fdac5cd3b3d1602d99" title="报告期转债变动情况" headerRef="224" convertSummaryRule="NoConvert"/>
    <m:section xlName="_SEC_9efab8215ecb4674a0bf11385b12d00f" title="报告期转债累计转股情况" tupleConcept="clcid-cgi:BaoGaoQiZhuanZhaiLeiJiZhuanGuQingKuangMingXi" repeatable="1" headerRef="225"/>
    <m:item xlName="_GBC_00961fb4f3ee4a1694a243600402a0a9" indRef="145" concept="clcid-ci-ar:DanWeiZhuanGuJiaGeLiCiTiaoZhengQingKuang" label="单位：转股价格历次调整情况" selectOptions="_buildInScales" appId="_GBC_6a49e99841294af3b87ba6216b1997d9" controlType="Combobox" cellType="Scale" keyCode="InitialValue:元" keyAction="31"/>
    <m:item xlName="_GBC_a431a6b0a18c49efa3d2e8d3c8bd1e70" indRef="146" concept="clcid-ci-ar:BiZhongZhuanGuJiaGeLiCiTiaoZhengQingKuang" label="币种：转股价格历次调整情况" selectOptions="_buildInISO4217" appId="_GBC_6a49e99841294af3b87ba6216b1997d9" controlType="Combobox" cellType="Measure" keyCode="InitialValue:人民币" keyAction="31"/>
    <m:section xlName="_SEC_a5cea25713674d7d8959e2b0b662b500" title="转股价格历次调整情况" tupleConcept="clcid-cgi:ZhuanGuJiaGeLiCiDiaoZhengQingKuangMingXi" repeatable="1" headerRef="226"/>
    <m:section xlName="_SEC_61331536cfaf4da0a6a270818a4ab35b" title="公司的负债情况、资信变化情况及在未来年度还债的现金安排" headerRef="227" convertSummaryRule="NoConvert"/>
    <m:section xlName="_SEC_cc036ec1e45042a4a4bce38515d23fb4" title="转债其他情况说明" headerRef="228" convertSummaryRule="NoConvert"/>
    <m:section xlName="_GBC_3c4b7d00409449a2b71d41277e7bd042" title="审计报告" headerRef="230" helpId="112001005" helpText="注：公司应披露具有证券期货业务资格的会计师事务所盖章及由两名或两名以上注册会计师签名盖章的审计报告全文。请上市公司将审计报告全文填写在此文本框内。"/>
    <m:section xlName="_GBC_f3d43b26b5d34a4c88db3cb7d81650cc" title="需要编制合并报表" checkKey="合并" headerRef="232" helpId="112001001" helpText="若2024年首次执行新会计准则或准则解释等调整首次执行当年年初财务报表相关项目的，则2023年12月31日列按照旧会计准则涉及科目填写；若首次执行新会计准则或准则解释等追溯调整前期比较数据的，则2023年12月31日列按照新会计准则涉及科目填写。" primarySection="_GBC_f3d43b26b5d34a4c88db3cb7d81650cc" optionText="需要编制合并报表" activeContentOption="_GBC_f3d43b26b5d34a4c88db3cb7d81650cc" optionGroupTitle="是否需要合并报表" optionTargetConcept="clcid-ci-ar:ShiFouXuYaoHeBingBaoBiao" optionTargetConceptValue="true" keyAction="57" otherKeyActions="{&quot;KeyCode&quot;:&quot;2&quot;,&quot;KeyAction&quot;:42,&quot;KeyActionTitle&quot;:null,&quot;OtherActions&quot;:null}" noCustom="1"/>
    <m:section xlName="_GBC_1503eb297d3448c582e8e9dc7031b2c7" title="无需编制合并报表" checkKey="!合并" headerRef="234" helpId="112001001" helpText="若2024年首次执行新会计准则或准则解释等调整首次执行当年年初财务报表相关项目的，则2023年12月31日列按照旧会计准则涉及科目填写；若首次执行新会计准则或准则解释等追溯调整前期比较数据的，则2023年12月31日列按照新会计准则涉及科目填写。" primarySection="_GBC_f3d43b26b5d34a4c88db3cb7d81650cc" optionText="无需编制合并报表" optionGroupTitle="是否需要合并报表" optionTargetConcept="clcid-ci-ar:ShiFouXuYaoHeBingBaoBiao" optionTargetConceptValue="false" keyAction="57" otherKeyActions="{&quot;KeyCode&quot;:&quot;2&quot;,&quot;KeyAction&quot;:42,&quot;KeyActionTitle&quot;:null,&quot;OtherActions&quot;:null}" noCustom="1">
      <m:rowModel locationConcept="clcid-ci-ar:ZiDingYiKeMuWeiZhi" labelConcept="clcid-ci-ar:ZiDingYiKeMuMingCheng" conceptPrefix="资产负债表" presentationRole="http://www.xbrl-cn.org/cn/lcid/lr/role/BalanceSheetforCommercialandIndustrialCompanies" presentationParentConcept="clcid-pte:ZiChanFuZhaiBiao" tuplePrefix="项目"/>
    </m:section>
    <m:section xlName="_GBC_bf89afc47e17438594730edb3412d929" title="需要编制合并报表" checkKey="合并" headerRef="235" helpId="112001001" primarySection="_GBC_bf89afc47e17438594730edb3412d929" optionText="需要编制合并报表" optionGroupTitle="是否需要合并报表" optionTargetConcept="clcid-ci-ar:ShiFouXuYaoHeBingBaoBiao" optionTargetConceptValue="true" keyAction="57" otherKeyActions="{&quot;KeyCode&quot;:null,&quot;KeyAction&quot;:88,&quot;KeyActionTitle&quot;:null,&quot;OtherActions&quot;:null}|{&quot;KeyCode&quot;:&quot;2&quot;,&quot;KeyAction&quot;:42,&quot;KeyActionTitle&quot;:null,&quot;OtherActions&quot;:null}" noCustom="1"/>
    <m:section xlName="_GBC_3ad209fb8b5d433d8d91b39c5a1a6fe2" title="无需编制合并报表" checkKey="!合并" headerRef="237" helpId="112001001" primarySection="_GBC_bf89afc47e17438594730edb3412d929" optionText="无需编制合并报表" optionGroupTitle="是否需要合并报表" optionTargetConcept="clcid-ci-ar:ShiFouXuYaoHeBingBaoBiao" optionTargetConceptValue="false" keyAction="57" otherKeyActions="{&quot;KeyCode&quot;:null,&quot;KeyAction&quot;:88,&quot;KeyActionTitle&quot;:null,&quot;OtherActions&quot;:null}|{&quot;KeyCode&quot;:&quot;2&quot;,&quot;KeyAction&quot;:42,&quot;KeyActionTitle&quot;:null,&quot;OtherActions&quot;:null}" noCustom="1">
      <m:rowModel locationConcept="clcid-ci-ar:ZiDingYiKeMuWeiZhi" labelConcept="clcid-ci-ar:ZiDingYiKeMuMingCheng" conceptPrefix="利润表" presentationRole="http://www.xbrl-cn.org/cn/lcid/lr/role/IncomeStatementforCommercialandIndustrialCompanies" presentationParentConcept="clcid-pte:LiRunBiao" tuplePrefix="项目"/>
    </m:section>
    <m:section xlName="_GBC_d6533048a32749eaa7738390457b7f24" title="需要编制合并报表" checkKey="合并" headerRef="238" helpId="112001001" primarySection="_GBC_d6533048a32749eaa7738390457b7f24" optionText="需要编制合并报表" optionGroupTitle="是否需要合并报表" optionTargetConcept="clcid-ci-ar:ShiFouXuYaoHeBingBaoBiao" optionTargetConceptValue="true" keyAction="57" otherKeyActions="{&quot;KeyCode&quot;:&quot;2&quot;,&quot;KeyAction&quot;:42,&quot;KeyActionTitle&quot;:null,&quot;OtherActions&quot;:null}" noCustom="1"/>
    <m:section xlName="_GBC_de8d3cfcf111414a940cf01324ef9389" title="无需编制合并报表" checkKey="!合并" headerRef="240" helpId="112001001" primarySection="_GBC_d6533048a32749eaa7738390457b7f24" optionText="无需编制合并报表" optionGroupTitle="是否需要合并报表" optionTargetConcept="clcid-ci-ar:ShiFouXuYaoHeBingBaoBiao" optionTargetConceptValue="false" keyAction="57" otherKeyActions="{&quot;KeyCode&quot;:&quot;2&quot;,&quot;KeyAction&quot;:42,&quot;KeyActionTitle&quot;:null,&quot;OtherActions&quot;:null}" noCustom="1">
      <m:rowModel locationConcept="clcid-ci-ar:ZiDingYiKeMuWeiZhi" labelConcept="clcid-ci-ar:ZiDingYiKeMuMingCheng" conceptPrefix="现金流量表" presentationRole="http://www.xbrl-cn.org/cn/lcid/lr/role/CashFlowsStatementforCommercialandIndustrialCompanies" presentationParentConcept="clcid-pte:XianJinLiuLiangBiao" tuplePrefix="项目"/>
    </m:section>
    <m:section xlName="_GBC_3b1dcbfa33024cc0a5c2f3d693817342" title="需要编制合并报表" checkKey="合并" headerRef="241" extended="true" helpId="112001001" primarySection="_GBC_3b1dcbfa33024cc0a5c2f3d693817342" optionText="需要编制合并报表" activeContentOption="_GBC_3b1dcbfa33024cc0a5c2f3d693817342" optionGroupTitle="是否需要合并报表" optionTargetConcept="clcid-ci-ar:ShiFouXuYaoHeBingBaoBiao" optionTargetConceptValue="true" axisType="XYAxis" keyAction="57" otherKeyActions="{&quot;KeyCode&quot;:&quot;2&quot;,&quot;KeyAction&quot;:42,&quot;KeyActionTitle&quot;:null,&quot;OtherActions&quot;:null}" noCustom="1">
      <m:region xlName="_GBC_3eeab460b9b64d53b91f5e0ddcd3030f" title="合并所有者权益变动表&#10;" mandatory="false" helpId="112001001" matrix="true" matrixTablePrefix="合并所有者权益变动表">
        <m:item xlName="_GBC_57faea4e453e49ad93821b7dd6ce8bc4" indRef="165" headerRef="241" concept="clcid-ci-ar:DanWeiHeBingGuDongQuanYiDiaoJieBiao" label="单位：合并股东权益调节表" selectOptions="_buildInScales" controlType="Combobox" cellType="Scale" keyCode="InitialValue:元" keyAction="31"/>
        <m:item xlName="_GBC_cef77704267643d794145c73763360e5" indRef="166" headerRef="241" concept="clcid-ci-ar:BiZhongHeBingGuDongQuanYiDiaoJieBiao" label="币种：合并股东权益调节表" selectOptions="_buildInISO4217" controlType="Combobox" cellType="Measure" keyCode="InitialValue:人民币" keyAction="31"/>
        <m:placeholder xlName="_PLD_5bd68ed5796041328d1a003c1362ceaf" headerRef="241" wordText="项目" addr="T0R0C0S4_1"/>
        <m:placeholder xlName="_PLD_70c71cd0427542b1b96a0fa943173d3d" wordText="2024年半年度" addr="T0R0C1S1_15"/>
        <m:placeholder xlName="_PLD_e146ec74496c4c03a714dcef40faa972" wordText="归属于母公司所有者权益" addr="T0R1C1S1_13"/>
        <m:placeholder xlName="_PLD_b1ca85c50c1341e59b4b412e92d87f2f" wordText="少数股东权益" addr="T0R1C14S3_1"/>
        <m:placeholder xlName="_PLD_0e252e0d00f04386b93d4e3064ba423d" wordText="所有者权益合计" addr="T0R1C15S3_1"/>
        <m:placeholder xlName="_PLD_1605afb5a60946a9ba86cca783d492d3" wordText="实收资本 (或股本)" addr="T0R2C1S2_1"/>
        <m:placeholder xlName="_PLD_78f5e518a65d422c99d27d23e96afb9e" wordText="其他权益工具" addr="T0R2C2S1_3"/>
        <m:placeholder xlName="_PLD_f67d05ac9f6f4daaafdf90084911dcee" wordText="资本公积" addr="T0R2C5S2_1"/>
        <m:placeholder xlName="_PLD_21df11f52b3443acacf7dd8421b5cc67" wordText="减：库存股" addr="T0R2C6S2_1"/>
        <m:placeholder xlName="_PLD_bdc12fd277ea4fbe9c90f9480d9ecddb" wordText="其他综合收益" addr="T0R2C7S2_1"/>
        <m:placeholder xlName="_PLD_b4aa95f4be904a02958b77b5542bb78d" wordText="专项储备" addr="T0R2C8S2_1"/>
        <m:placeholder xlName="_PLD_1ee8f47ee38e4000af64e781a1a0e729" wordText="盈余公积" addr="T0R2C9S2_1"/>
        <m:placeholder xlName="_PLD_b09258af0aa4494b8e88e711ca2dd7b8" wordText="一般风险准备" addr="T0R2C10S2_1"/>
        <m:placeholder xlName="_PLD_f20054bead0a491aafe7bb5a5952f48f" wordText="未分配利润" addr="T0R2C11S2_1"/>
        <m:placeholder xlName="_PLD_ee763dfa69fd4fa3bec927cefa83eadc" wordText="其他" addr="T0R2C12S2_1"/>
        <m:placeholder xlName="_PLD_97c92cf2be1e4f36880a16a2c16704b4" wordText="小计" addr="T0R2C13S2_1"/>
        <m:placeholder xlName="_PLD_7b6493af25ff4e3986120f711cb3be4e" wordText="优先股" addr="T0R3C2S1_1"/>
        <m:placeholder xlName="_PLD_446c35c8857c4ad0bb648db82e104141" wordText="永续债" addr="T0R3C3S1_1"/>
        <m:placeholder xlName="_PLD_e8048d05ab294ec8a2a849ca1f70a7c9" wordText="其他" addr="T0R3C4S1_1"/>
        <m:placeholder xlName="_PLD_1f22f69e67ea4292afb08dec65f863c7" wordText="一、上年期末余额" addr="T0R4C0S1_1"/>
        <m:item xlName="_GBC_2a48cd3f70d94e34968adccf792039b2" concept="clcid-pte:GuBen" label="股本" periodRef="本期期初数" mulRef="_GBC_57faea4e453e49ad93821b7dd6ce8bc4" unitRef="_GBC_cef77704267643d794145c73763360e5" addr="T0R4C1S1_1" formatStyle="Comma">
          <m:axisValue occRef="调整前的值"/>
        </m:item>
        <m:item xlName="_GBC_f35b3ab1eb4c4fa4879673cd9e9b3ace" concept="clcid-pte:QiTaQuanYiGongJuQiZhongYouXianGu" label="其他权益工具-其中：优先股" periodRef="本期期初数" mulRef="_GBC_57faea4e453e49ad93821b7dd6ce8bc4" unitRef="_GBC_cef77704267643d794145c73763360e5" addr="T0R4C2S1_1" formatStyle="Comma">
          <m:axisValue occRef="调整前的值"/>
        </m:item>
        <m:item xlName="_GBC_a61a93441152475db9586a1c38419535" concept="clcid-pte:QiTaQuanYiGongJuYongXuZhai" label="其他权益工具-永续债" periodRef="本期期初数" mulRef="_GBC_57faea4e453e49ad93821b7dd6ce8bc4" unitRef="_GBC_cef77704267643d794145c73763360e5" addr="T0R4C3S1_1" formatStyle="Comma">
          <m:axisValue occRef="调整前的值"/>
        </m:item>
        <m:item xlName="_GBC_c36369125339497b9d32bd74edae9f05" concept="clcid-pte:QiTaQuanYiGongJuQiTa" label="其他权益工具-其他" periodRef="本期期初数" mulRef="_GBC_57faea4e453e49ad93821b7dd6ce8bc4" unitRef="_GBC_cef77704267643d794145c73763360e5" addr="T0R4C4S1_1" formatStyle="Comma">
          <m:axisValue occRef="调整前的值"/>
        </m:item>
        <m:item xlName="_GBC_5a28cd87b006409499b33fed193e92f9" concept="clcid-pte:ZiBenGongJi" label="资本公积" periodRef="本期期初数" mulRef="_GBC_57faea4e453e49ad93821b7dd6ce8bc4" unitRef="_GBC_cef77704267643d794145c73763360e5" addr="T0R4C5S1_1" formatStyle="Comma">
          <m:axisValue occRef="调整前的值"/>
        </m:item>
        <m:item xlName="_GBC_787415b0f2ef4683a25f0141ac69f7eb" concept="clcid-pte:KuCunGu" label="库存股" periodRef="本期期初数" mulRef="_GBC_57faea4e453e49ad93821b7dd6ce8bc4" unitRef="_GBC_cef77704267643d794145c73763360e5" addr="T0R4C6S1_1" baseScale="-1" formatStyle="Comma" keyCode="abs" keyAction="108">
          <m:axisValue occRef="调整前的值"/>
        </m:item>
        <m:item xlName="_GBC_2638d85431704f6a94e82ae74bb1adf5" concept="clcid-pte:QiTaZongHeShouYiZiChanFuZhaiBiaoXiangMu" label="其他综合收益（资产负债表项目）" periodRef="本期期初数" mulRef="_GBC_57faea4e453e49ad93821b7dd6ce8bc4" unitRef="_GBC_cef77704267643d794145c73763360e5" addr="T0R4C7S1_1" formatStyle="Comma">
          <m:axisValue occRef="调整前的值"/>
        </m:item>
        <m:item xlName="_GBC_aa6704accee44e90bf17ba6505171a25" concept="clcid-pte:ZhuanXiangChuBei" label="专项储备" periodRef="本期期初数" mulRef="_GBC_57faea4e453e49ad93821b7dd6ce8bc4" unitRef="_GBC_cef77704267643d794145c73763360e5" addr="T0R4C8S1_1" formatStyle="Comma">
          <m:axisValue occRef="调整前的值"/>
        </m:item>
        <m:item xlName="_GBC_e5af2051e7c04d949ad388d8c59d4c71" concept="clcid-pte:YingYuGongJi" label="盈余公积" periodRef="本期期初数" mulRef="_GBC_57faea4e453e49ad93821b7dd6ce8bc4" unitRef="_GBC_cef77704267643d794145c73763360e5" addr="T0R4C9S1_1" formatStyle="Comma">
          <m:axisValue occRef="调整前的值"/>
        </m:item>
        <m:item xlName="_GBC_929660d22f6e40369bba692eb395bba2" concept="clcid-pte:YiBanFengXianZhunBei" label="一般风险准备" periodRef="本期期初数" mulRef="_GBC_57faea4e453e49ad93821b7dd6ce8bc4" unitRef="_GBC_cef77704267643d794145c73763360e5" addr="T0R4C10S1_1" formatStyle="Comma">
          <m:axisValue occRef="调整前的值"/>
        </m:item>
        <m:item xlName="_GBC_c7fcad78f5ec4ade955895585296c5cf" concept="clcid-pte:WeiFenPeiLiRun" label="未分配利润" periodRef="本期期初数" mulRef="_GBC_57faea4e453e49ad93821b7dd6ce8bc4" unitRef="_GBC_cef77704267643d794145c73763360e5" addr="T0R4C11S1_1" formatStyle="Comma">
          <m:axisValue occRef="调整前的值"/>
        </m:item>
        <m:item xlName="_GBC_be48b137367e42c9b286e258e5a98e80" concept="clcid-pte:QiTaDeGuiShuYuMuGongSiSuoYouZheQuanYi" label="其他的归属于母公司所有者权益" periodRef="本期期初数" mulRef="_GBC_57faea4e453e49ad93821b7dd6ce8bc4" unitRef="_GBC_cef77704267643d794145c73763360e5" addr="T0R4C12S1_1" formatStyle="Comma">
          <m:axisValue occRef="调整前的值"/>
        </m:item>
        <m:item xlName="_GBC_4c1f47baccb24c12b29170bd8daae272" concept="clcid-pte:GuiShuYuMuGongSiSuoYouZheQuanYiHeJi" label="归属于母公司所有者权益合计" periodRef="本期期初数" mulRef="_GBC_57faea4e453e49ad93821b7dd6ce8bc4" unitRef="_GBC_cef77704267643d794145c73763360e5" addr="T0R4C13S1_1" formatStyle="Comma">
          <m:axisValue occRef="调整前的值"/>
        </m:item>
        <m:item xlName="_GBC_5fd8e2cca85649859a3610a4459c4cfe" concept="clcid-pte:ShaoShuGuDongQuanYi" label="少数股东权益" periodRef="本期期初数" mulRef="_GBC_57faea4e453e49ad93821b7dd6ce8bc4" unitRef="_GBC_cef77704267643d794145c73763360e5" addr="T0R4C14S1_1" formatStyle="Comma">
          <m:axisValue occRef="调整前的值"/>
        </m:item>
        <m:item xlName="_GBC_3da432db294d4b91908f25c84b2b579a" concept="clcid-pte:GuDongQuanYiHeJi" label="股东权益合计" periodRef="本期期初数" mulRef="_GBC_57faea4e453e49ad93821b7dd6ce8bc4" unitRef="_GBC_cef77704267643d794145c73763360e5" addr="T0R4C15S1_1" formatStyle="Comma">
          <m:axisValue occRef="调整前的值"/>
        </m:item>
        <m:placeholder xlName="_PLD_8753148a28244d68bf92b2fbad32f9b8" wordText="加：会计政策变更" addr="T0R5C0S1_1"/>
        <m:item xlName="_GBC_4dcd5d84107d48829691bb41c460fcd6" concept="clcid-pte:KuaiJiZhengCeBianGengDaoZhiShiShouZiBenHuoGuBenJingEBianDongJinE" label="会计政策变更导致实收资本（或股本）净额变动金额" periodRef="本期期初数" mulRef="_GBC_57faea4e453e49ad93821b7dd6ce8bc4" unitRef="_GBC_cef77704267643d794145c73763360e5" addr="T0R5C1S1_1" formatStyle="Comma"/>
        <m:item xlName="_GBC_4b97fd793fe9426098404ea504e3d7eb" concept="clcid-pte:HuiJiZhengCeBianGengDaoZhiYouXianGuBianDongJinE" label="会计政策变更导致优先股变动金额" periodRef="本期期初数" mulRef="_GBC_57faea4e453e49ad93821b7dd6ce8bc4" unitRef="_GBC_cef77704267643d794145c73763360e5" addr="T0R5C2S1_1" formatStyle="Comma"/>
        <m:item xlName="_GBC_954c08590128459dae721f9baf64a3af" concept="clcid-pte:HuiJiZhengCeBianGengDaoZhiYongXuZhaiBianDongJinE" label="会计政策变更导致永续债变动金额" periodRef="本期期初数" mulRef="_GBC_57faea4e453e49ad93821b7dd6ce8bc4" unitRef="_GBC_cef77704267643d794145c73763360e5" addr="T0R5C3S1_1" formatStyle="Comma"/>
        <m:item xlName="_GBC_5769b4b779354943b6d4b13ae67bf1f4" concept="clcid-pte:HuiJiZhengCeBianGengDaoZhiQiTaQuanYiGongJuZhongDeQiTaBianDongJinE" label="会计政策变更导致其他权益工具中的其他变动金额" periodRef="本期期初数" mulRef="_GBC_57faea4e453e49ad93821b7dd6ce8bc4" unitRef="_GBC_cef77704267643d794145c73763360e5" addr="T0R5C4S1_1" formatStyle="Comma"/>
        <m:item xlName="_GBC_47d838519444468baa8f5578c223635d" concept="clcid-pte:KuaiJiZhengCeBianGengDaoZhiZiBenGongJiBianDongJinE" label="会计政策变更导致资本公积变动金额" periodRef="本期期初数" mulRef="_GBC_57faea4e453e49ad93821b7dd6ce8bc4" unitRef="_GBC_cef77704267643d794145c73763360e5" addr="T0R5C5S1_1" formatStyle="Comma"/>
        <m:item xlName="_GBC_7750a1204fdc4645b5dd1c8f7580d1ba" concept="clcid-pte:KuaiJiZhengCeBianGengDaoZhiKuCunGuBianDongJinE" label="会计政策变更导致库存股变动金额" periodRef="本期期初数" mulRef="_GBC_57faea4e453e49ad93821b7dd6ce8bc4" unitRef="_GBC_cef77704267643d794145c73763360e5" addr="T0R5C6S1_1" baseScale="-1" formatStyle="Comma"/>
        <m:item xlName="_GBC_44cc114c1e8f4f978d82c5f14365300b" concept="clcid-pte:HuiJiZhengCeBianGengDaoZhiQiTaZongHeShouYiBianDongJinE" label="会计政策变更导致其他综合收益变动金额" periodRef="本期期初数" mulRef="_GBC_57faea4e453e49ad93821b7dd6ce8bc4" unitRef="_GBC_cef77704267643d794145c73763360e5" addr="T0R5C7S1_1" formatStyle="Comma"/>
        <m:item xlName="_GBC_abbda9bc16554aaf867205803a74ae14" concept="clcid-pte:KuaiJiZhengCeBianGengDaoZhiZhuanXiangChuBeiBianDongJinE" label="会计政策变更导致专项储备变动金额" periodRef="本期期初数" mulRef="_GBC_57faea4e453e49ad93821b7dd6ce8bc4" unitRef="_GBC_cef77704267643d794145c73763360e5" addr="T0R5C8S1_1" formatStyle="Comma"/>
        <m:item xlName="_GBC_af5c61442f8e4d9da166c4bcab887ba9" concept="clcid-pte:KuaiJiZhengCeBianGengDaoZhiYingYuGongJiBianDongJinE" label="会计政策变更导致盈余公积变动金额" periodRef="本期期初数" mulRef="_GBC_57faea4e453e49ad93821b7dd6ce8bc4" unitRef="_GBC_cef77704267643d794145c73763360e5" addr="T0R5C9S1_1" formatStyle="Comma"/>
        <m:item xlName="_GBC_81f742bd68974b2ab3027cebdcf9e8c4" concept="clcid-pte:KuaiJiZhengCeBianGengDaoZhiYiBanFengXianZhunBeiBianDongJinE" label="会计政策变更导致一般风险准备变动金额" periodRef="本期期初数" mulRef="_GBC_57faea4e453e49ad93821b7dd6ce8bc4" unitRef="_GBC_cef77704267643d794145c73763360e5" addr="T0R5C10S1_1" formatStyle="Comma"/>
        <m:item xlName="_GBC_9b788a673d194d9ab2620c795e5c5ecf" concept="clcid-pte:KuaiJiZhengCeBianGengDaoZhiWeiFenPeiLiRunBianDongJinE" label="会计政策变更导致未分配利润变动金额" periodRef="本期期初数" mulRef="_GBC_57faea4e453e49ad93821b7dd6ce8bc4" unitRef="_GBC_cef77704267643d794145c73763360e5" addr="T0R5C11S1_1" formatStyle="Comma"/>
        <m:item xlName="_GBC_431997c0f3f540b2a0f2915d34a9d0d2" concept="clcid-pte:KuaiJiZhengCeBianGengDaoZhiQiTaDeGuiShuYuMuGongSiSuoYouZheQuanYiBianDongJinE" label="会计政策变更导致其他的归属于母公司所有者权益变动金额" periodRef="本期期初数" mulRef="_GBC_57faea4e453e49ad93821b7dd6ce8bc4" unitRef="_GBC_cef77704267643d794145c73763360e5" addr="T0R5C12S1_1" formatStyle="Comma"/>
        <m:item xlName="_GBC_e515f1378d8b4493955dda0e30924799" concept="clcid-pte:KuaiJiZhengCeBianGengDaoZhiGuiShuYuMuGongSiSuoYouZheQuanYiBianDongJinE" label="会计政策变更导致归属于母公司所有者权益变动金额" periodRef="本期期初数" mulRef="_GBC_57faea4e453e49ad93821b7dd6ce8bc4" unitRef="_GBC_cef77704267643d794145c73763360e5" addr="T0R5C13S1_1" formatStyle="Comma"/>
        <m:item xlName="_GBC_81e28c06ebb54bf3a4b2c6d032037d37" concept="clcid-pte:KuaiJiZhengCeBianGengDaoZhiShaoShuGuDongQuanYiBianDongJinE" label="会计政策变更导致少数股东权益变动金额" periodRef="本期期初数" mulRef="_GBC_57faea4e453e49ad93821b7dd6ce8bc4" unitRef="_GBC_cef77704267643d794145c73763360e5" addr="T0R5C14S1_1" formatStyle="Comma"/>
        <m:item xlName="_GBC_1d0377e6fe104a3dbff7b0d93142a4a9" concept="clcid-pte:KuaiJiZhengCeBianGengDaoZhiGuDongQuanYiHeJiBianDongJinE" label="会计政策变更导致股东权益合计变动金额" periodRef="本期期初数" mulRef="_GBC_57faea4e453e49ad93821b7dd6ce8bc4" unitRef="_GBC_cef77704267643d794145c73763360e5" addr="T0R5C15S1_1" formatStyle="Comma"/>
        <m:placeholder xlName="_PLD_291ece6b974e4962be6cec3c398fd5be" wordText="前期差错更正" indent="200" addr="T0R6C0S1_1"/>
        <m:item xlName="_GBC_052eb8c214ea494aa6a424858b98d449" concept="clcid-pte:QianQiChaCuoGengZhengDaoZhiShiShouZiBenHuoGuBenJingEBianDongJinE" label="前期差错更正导致实收资本（或股本）净额变动金额" periodRef="本期期初数" mulRef="_GBC_57faea4e453e49ad93821b7dd6ce8bc4" unitRef="_GBC_cef77704267643d794145c73763360e5" addr="T0R6C1S1_1" formatStyle="Comma"/>
        <m:item xlName="_GBC_9075a1534b294a91bcbbf354238fe8b7" concept="clcid-pte:QianQiChaCuoGengZhengDaoZhiYouXianGuBianDongJinE" label="前期差错更正导致优先股变动金额" periodRef="本期期初数" mulRef="_GBC_57faea4e453e49ad93821b7dd6ce8bc4" unitRef="_GBC_cef77704267643d794145c73763360e5" addr="T0R6C2S1_1" formatStyle="Comma"/>
        <m:item xlName="_GBC_3483a72025c7474ca89c0be607e9509f" concept="clcid-pte:QianQiChaCuoGengZhengDaoZhiYongXuZhaiBianDongJinE" label="前期差错更正导致永续债变动金额" periodRef="本期期初数" mulRef="_GBC_57faea4e453e49ad93821b7dd6ce8bc4" unitRef="_GBC_cef77704267643d794145c73763360e5" addr="T0R6C3S1_1" formatStyle="Comma"/>
        <m:item xlName="_GBC_e92fe496bce14022997a1beb2008def0" concept="clcid-pte:QianQiChaCuoGengZhengDaoZhiQiTaQuanYiGongJuZhongDeQiTaBianDongJinE" label="前期差错更正导致其他权益工具中的其他变动金额" periodRef="本期期初数" mulRef="_GBC_57faea4e453e49ad93821b7dd6ce8bc4" unitRef="_GBC_cef77704267643d794145c73763360e5" addr="T0R6C4S1_1" formatStyle="Comma"/>
        <m:item xlName="_GBC_29d82b4dcd5145748fbf8f7e50500315" concept="clcid-pte:QianQiChaCuoGengZhengDaoZhiZiBenGongJiBianDongJinE" label="前期差错更正导致资本公积变动金额" periodRef="本期期初数" mulRef="_GBC_57faea4e453e49ad93821b7dd6ce8bc4" unitRef="_GBC_cef77704267643d794145c73763360e5" addr="T0R6C5S1_1" formatStyle="Comma"/>
        <m:item xlName="_GBC_9f49a7a645e54562bfbc02ee2d8a9929" concept="clcid-pte:QianQiChaCuoGengZhengDaoZhiKuCunGuBianDongJinE" label="前期差错更正导致库存股变动金额" periodRef="本期期初数" mulRef="_GBC_57faea4e453e49ad93821b7dd6ce8bc4" unitRef="_GBC_cef77704267643d794145c73763360e5" addr="T0R6C6S1_1" baseScale="-1" formatStyle="Comma"/>
        <m:item xlName="_GBC_47e5b455db3047b1bb3ad946e1874bf5" concept="clcid-pte:QianQiChaCuoGengZhengDaoZhiQiTaZongHeShouYiBianDongJinE" label="前期差错更正导致其他综合收益变动金额" periodRef="本期期初数" mulRef="_GBC_57faea4e453e49ad93821b7dd6ce8bc4" unitRef="_GBC_cef77704267643d794145c73763360e5" addr="T0R6C7S1_1" formatStyle="Comma"/>
        <m:item xlName="_GBC_690cc5143c6145c3a6b9b6c9d07a1838" concept="clcid-pte:QianQiChaCuoGengZhengDaoZhiZhuanXiangChuBeiBianDongJinE" label="前期差错更正导致专项储备变动金额" periodRef="本期期初数" mulRef="_GBC_57faea4e453e49ad93821b7dd6ce8bc4" unitRef="_GBC_cef77704267643d794145c73763360e5" addr="T0R6C8S1_1" formatStyle="Comma"/>
        <m:item xlName="_GBC_8f80453163614b20b841579e7e971b61" concept="clcid-pte:QianQiChaCuoGengZhengDaoZhiYingYuGongJiBianDongJinE" label="前期差错更正导致盈余公积变动金额" periodRef="本期期初数" mulRef="_GBC_57faea4e453e49ad93821b7dd6ce8bc4" unitRef="_GBC_cef77704267643d794145c73763360e5" addr="T0R6C9S1_1" formatStyle="Comma"/>
        <m:item xlName="_GBC_c85d311425884cf4a1092a9183a2e2b0" concept="clcid-pte:QianQiChaCuoGengZhengDaoZhiYiBanFengXianZhunBeiBianDongJinE" label="前期差错更正导致一般风险准备变动金额" periodRef="本期期初数" mulRef="_GBC_57faea4e453e49ad93821b7dd6ce8bc4" unitRef="_GBC_cef77704267643d794145c73763360e5" addr="T0R6C10S1_1" formatStyle="Comma"/>
        <m:item xlName="_GBC_6d888b9f2ea24fdf98493273df708ac9" concept="clcid-pte:QianQiChaCuoGengZhengDaoZhiWeiFenPeiLiRunBianDongJinE" label="前期差错更正导致未分配利润变动金额" periodRef="本期期初数" mulRef="_GBC_57faea4e453e49ad93821b7dd6ce8bc4" unitRef="_GBC_cef77704267643d794145c73763360e5" addr="T0R6C11S1_1" formatStyle="Comma"/>
        <m:item xlName="_GBC_7a7e03a16525458397a9ba2d90b1516c" concept="clcid-pte:QianQiChaCuoGengZhengDaoZhiQiTaDeGuiShuYuMuGongSiSuoYouZheQuanYiBianDongJinE" label="前期差错更正导致其他的归属于母公司所有者权益变动金额" periodRef="本期期初数" mulRef="_GBC_57faea4e453e49ad93821b7dd6ce8bc4" unitRef="_GBC_cef77704267643d794145c73763360e5" addr="T0R6C12S1_1" formatStyle="Comma"/>
        <m:item xlName="_GBC_a047a98189dc488c9a600f4dcf70179b" concept="clcid-pte:QianQiChaCuoGengZhengDaoZhiGuiShuYuMuGongSiSuoYouZheQuanYiBianDongJinE" label="前期差错更正导致归属于母公司所有者权益变动金额" periodRef="本期期初数" mulRef="_GBC_57faea4e453e49ad93821b7dd6ce8bc4" unitRef="_GBC_cef77704267643d794145c73763360e5" addr="T0R6C13S1_1" formatStyle="Comma"/>
        <m:item xlName="_GBC_a64b0e4332ab4c1b84840bdfac52f5a3" concept="clcid-pte:QianQiChaCuoGengZhengDaoZhiShaoShuGuDongQuanYiBianDongJinE" label="前期差错更正导致少数股东权益变动金额" periodRef="本期期初数" mulRef="_GBC_57faea4e453e49ad93821b7dd6ce8bc4" unitRef="_GBC_cef77704267643d794145c73763360e5" addr="T0R6C14S1_1" formatStyle="Comma"/>
        <m:item xlName="_GBC_0859c5dffc1c45a181f68ebc8ef9a3cf" concept="clcid-pte:QianQiChaCuoGengZhengDaoZhiGuDongQuanYiHeJiBianDongJinE" label="前期差错更正导致股东权益合计变动金额" periodRef="本期期初数" mulRef="_GBC_57faea4e453e49ad93821b7dd6ce8bc4" unitRef="_GBC_cef77704267643d794145c73763360e5" addr="T0R6C15S1_1" formatStyle="Comma"/>
        <m:placeholder xlName="_PLD_7953fd87201b462ab8c42a4716d6cb65" wordText="其他" indent="200" addr="T0R7C0S1_1"/>
        <m:item xlName="_GBC_1f7f3ef32ffd4101b6e19456ebcb6356" concept="clcid-pte:QiTaZhuiSuTiaoZhengDaoZhiShiShouZiBenBianDongJinE" label="实收资本变动金额（其他追溯调整）" periodRef="本期期初数" mulRef="_GBC_57faea4e453e49ad93821b7dd6ce8bc4" unitRef="_GBC_cef77704267643d794145c73763360e5" addr="T0R7C1S1_1" formatStyle="Comma"/>
        <m:item xlName="_GBC_d5ce429341c84afc894139b7a3c57bf1" concept="clcid-pte:YouXianGuBianDongJinEQiTaZhuiSuDiaoZheng" label="优先股变动金额（其他追溯调整）" periodRef="本期期初数" mulRef="_GBC_57faea4e453e49ad93821b7dd6ce8bc4" unitRef="_GBC_cef77704267643d794145c73763360e5" addr="T0R7C2S1_1" formatStyle="Comma"/>
        <m:item xlName="_GBC_5425e71ce2af4b92b9710c429a8499a8" concept="clcid-pte:YongXuZhaiBianDongJinEQiTaZhuiSuDiaoZheng" label="永续债变动金额（其他追溯调整）" periodRef="本期期初数" mulRef="_GBC_57faea4e453e49ad93821b7dd6ce8bc4" unitRef="_GBC_cef77704267643d794145c73763360e5" addr="T0R7C3S1_1" formatStyle="Comma"/>
        <m:item xlName="_GBC_321663c4e3614687ad8842acddb57528" concept="clcid-pte:QiTaQuanYiGongJuZhongDeQiTaBianDongJinEQiTaZhuiSuDiaoZheng" label="其他权益工具中的其他变动金额（其他追溯调整）" periodRef="本期期初数" mulRef="_GBC_57faea4e453e49ad93821b7dd6ce8bc4" unitRef="_GBC_cef77704267643d794145c73763360e5" addr="T0R7C4S1_1" formatStyle="Comma"/>
        <m:item xlName="_GBC_bbd3b5d07bdd46e49236ee758ef23ace" concept="clcid-pte:QiTaZhuiSuTiaoZhengDaoZhiZiBenGongJiBianDongJinE" label="资本公积变动金额（其他追溯调整）" periodRef="本期期初数" mulRef="_GBC_57faea4e453e49ad93821b7dd6ce8bc4" unitRef="_GBC_cef77704267643d794145c73763360e5" addr="T0R7C5S1_1" formatStyle="Comma"/>
        <m:item xlName="_GBC_da9de58472c54cb6bcf465fd0a37e6be" concept="clcid-pte:QiTaZhuiSuTiaoZhengDaoZhiKuCunGuBianDongJinE" label="库存股变动金额（其他追溯调整）" periodRef="本期期初数" mulRef="_GBC_57faea4e453e49ad93821b7dd6ce8bc4" unitRef="_GBC_cef77704267643d794145c73763360e5" addr="T0R7C6S1_1" baseScale="-1" formatStyle="Comma"/>
        <m:item xlName="_GBC_67bafe935c474207ab3571207b042218" concept="clcid-pte:QiTaZongHeShouYiBianDongJinEQiTaZhuiSuDiaoZheng" label="其他综合收益变动金额（其他追溯调整）" periodRef="本期期初数" mulRef="_GBC_57faea4e453e49ad93821b7dd6ce8bc4" unitRef="_GBC_cef77704267643d794145c73763360e5" addr="T0R7C7S1_1" formatStyle="Comma"/>
        <m:item xlName="_GBC_01d3b01225ea4d7f83dbf7245c48672b" concept="clcid-pte:QiTaZhuiSuTiaoZhengDaoZhiZhuanXiangChuBeiBianDongJinE" label="专项储备变动金额（其他追溯调整）" periodRef="本期期初数" mulRef="_GBC_57faea4e453e49ad93821b7dd6ce8bc4" unitRef="_GBC_cef77704267643d794145c73763360e5" addr="T0R7C8S1_1" formatStyle="Comma"/>
        <m:item xlName="_GBC_b844e0863c894ef787bfdc1ae1ec3c51" concept="clcid-pte:QiTaZhuiSuTiaoZhengDaoZhiYingYuGongJiBianDongJinE" label="盈余公积变动金额（其他追溯调整）" periodRef="本期期初数" mulRef="_GBC_57faea4e453e49ad93821b7dd6ce8bc4" unitRef="_GBC_cef77704267643d794145c73763360e5" addr="T0R7C9S1_1" formatStyle="Comma"/>
        <m:item xlName="_GBC_96030994fa284dd6b8307a609d407fb9" concept="clcid-pte:QiTaZhuiSuTiaoZhengDaoZhiYiBanFengXianZhunBeiBianDongJinE" label="一般风险准备变动金额（其他追溯调整）" periodRef="本期期初数" mulRef="_GBC_57faea4e453e49ad93821b7dd6ce8bc4" unitRef="_GBC_cef77704267643d794145c73763360e5" addr="T0R7C10S1_1" formatStyle="Comma"/>
        <m:item xlName="_GBC_7d3a8a7d30b74e8fa260f7be851fee6a" concept="clcid-pte:QiTaZhuiSuTiaoZhengDaoZhiWeiFenPeiLiRunBianDongJinE" label="未分配利润变动金额（其他追溯调整）" periodRef="本期期初数" mulRef="_GBC_57faea4e453e49ad93821b7dd6ce8bc4" unitRef="_GBC_cef77704267643d794145c73763360e5" addr="T0R7C11S1_1" formatStyle="Comma"/>
        <m:item xlName="_GBC_1d766371e8a64b23a5479e8f00d7c981" concept="clcid-pte:QiTaZhuiSuTiaoZhengDaoZhiQiTaGuiShuYuMuGongSiSuoYouZheQuanYiBianDongJinE" label="其他归属于母公司所有者权益变动金额（其他追溯调整）" periodRef="本期期初数" mulRef="_GBC_57faea4e453e49ad93821b7dd6ce8bc4" unitRef="_GBC_cef77704267643d794145c73763360e5" addr="T0R7C12S1_1" formatStyle="Comma"/>
        <m:item xlName="_GBC_5238ec832edd435aa7b32eae394a36c0" concept="clcid-pte:QiTaZhuiSuTiaoZhengDaoZhiGuiShuYuMuGongSiSuoYouZheQuanYiBianDongJinE" label="归属于母公司所有者权益变动金额（其他追溯调整）" periodRef="本期期初数" mulRef="_GBC_57faea4e453e49ad93821b7dd6ce8bc4" unitRef="_GBC_cef77704267643d794145c73763360e5" addr="T0R7C13S1_1" formatStyle="Comma"/>
        <m:item xlName="_GBC_e239453a7b6e412d9e8540a6e2f66fd7" concept="clcid-pte:QiTaZhuiSuTiaoZhengDaoZhiShaoShuGuDongQuanYiBianDongJinE" label="少数股东权益变动金额（其他追溯调整）" periodRef="本期期初数" mulRef="_GBC_57faea4e453e49ad93821b7dd6ce8bc4" unitRef="_GBC_cef77704267643d794145c73763360e5" addr="T0R7C14S1_1" formatStyle="Comma"/>
        <m:item xlName="_GBC_5d0a4c60be364d0d995b9432b120d38d" concept="clcid-pte:QiTaZhuiSuTiaoZhengDaoZhiGuDongQuanYiBianDongJinE" label="股东权益变动金额（其他追溯调整）" periodRef="本期期初数" mulRef="_GBC_57faea4e453e49ad93821b7dd6ce8bc4" unitRef="_GBC_cef77704267643d794145c73763360e5" addr="T0R7C15S1_1" formatStyle="Comma"/>
        <m:placeholder xlName="_PLD_16d601e73dc14990b60ca53acf1371ba" wordText="二、本年期初余额" addr="T0R8C0S1_1"/>
        <m:item xlName="_GBC_0c662007ff334bb781a6a3a735e723f7" concept="clcid-pte:GuBen" label="股本" periodRef="本期期初数" mulRef="_GBC_57faea4e453e49ad93821b7dd6ce8bc4" unitRef="_GBC_cef77704267643d794145c73763360e5" addr="T0R8C1S1_1" formatStyle="Comma">
          <m:complexRule comparator="Eq" title="股本@本期期初数" test=" $_GBC_2a48cd3f70d94e34968adccf792039b2 +  $_GBC_4dcd5d84107d48829691bb41c460fcd6 +  $_GBC_052eb8c214ea494aa6a424858b98d449 +  $_GBC_1f7f3ef32ffd4101b6e19456ebcb6356" id="C6db2ed0876ec40a4930438c3856235a5" radius="0.0001"/>
        </m:item>
        <m:item xlName="_GBC_c3677caf0e384a30b62aff570f4edd20" concept="clcid-pte:QiTaQuanYiGongJuQiZhongYouXianGu" label="其他权益工具-其中：优先股" periodRef="本期期初数" mulRef="_GBC_57faea4e453e49ad93821b7dd6ce8bc4" unitRef="_GBC_cef77704267643d794145c73763360e5" addr="T0R8C2S1_1" formatStyle="Comma">
          <m:complexRule comparator="Eq" title="其他权益工具-其中：优先股@本期期初数" test=" $_GBC_f35b3ab1eb4c4fa4879673cd9e9b3ace +  $_GBC_4b97fd793fe9426098404ea504e3d7eb +  $_GBC_9075a1534b294a91bcbbf354238fe8b7 +  $_GBC_d5ce429341c84afc894139b7a3c57bf1" id="Cc80b264f8c6943a19288f8632df35207"/>
        </m:item>
        <m:item xlName="_GBC_885424eb670f4e9ab89ef8def1ef5ca2" concept="clcid-pte:QiTaQuanYiGongJuYongXuZhai" label="其他权益工具-永续债" periodRef="本期期初数" mulRef="_GBC_57faea4e453e49ad93821b7dd6ce8bc4" unitRef="_GBC_cef77704267643d794145c73763360e5" addr="T0R8C3S1_1" formatStyle="Comma">
          <m:complexRule comparator="Eq" title="其他权益工具-永续债@本期期初数" test=" $_GBC_a61a93441152475db9586a1c38419535 +  $_GBC_954c08590128459dae721f9baf64a3af +  $_GBC_3483a72025c7474ca89c0be607e9509f +  $_GBC_5425e71ce2af4b92b9710c429a8499a8" id="Cb330e70e3de041e09a091f2a0ff9dcd4"/>
        </m:item>
        <m:item xlName="_GBC_2d71b862596249ccbec39ded5462fc34" concept="clcid-pte:QiTaQuanYiGongJuQiTa" label="其他权益工具-其他" periodRef="本期期初数" mulRef="_GBC_57faea4e453e49ad93821b7dd6ce8bc4" unitRef="_GBC_cef77704267643d794145c73763360e5" addr="T0R8C4S1_1" formatStyle="Comma">
          <m:complexRule comparator="Eq" title="其他权益工具-其他@本期期初数" test=" $_GBC_c36369125339497b9d32bd74edae9f05 +  $_GBC_5769b4b779354943b6d4b13ae67bf1f4 +  $_GBC_e92fe496bce14022997a1beb2008def0 +  $_GBC_321663c4e3614687ad8842acddb57528" id="Cf5148751853547a68372f7789e925df7"/>
        </m:item>
        <m:item xlName="_GBC_e7e04f7d01204105956d91f5c1571e28" concept="clcid-pte:ZiBenGongJi" label="资本公积" periodRef="本期期初数" mulRef="_GBC_57faea4e453e49ad93821b7dd6ce8bc4" unitRef="_GBC_cef77704267643d794145c73763360e5" addr="T0R8C5S1_1" formatStyle="Comma">
          <m:complexRule comparator="Eq" title="资本公积@本期期初数" test=" $_GBC_5a28cd87b006409499b33fed193e92f9 +  $_GBC_47d838519444468baa8f5578c223635d +  $_GBC_29d82b4dcd5145748fbf8f7e50500315 +  $_GBC_bbd3b5d07bdd46e49236ee758ef23ace" id="C5acc761eed6742f9bba8d0ec0edbd2ca" radius="0.0001"/>
        </m:item>
        <m:item xlName="_GBC_9f2d69e7d06844c69ea1f80787d08bbf" concept="clcid-pte:KuCunGu" label="库存股" periodRef="本期期初数" mulRef="_GBC_57faea4e453e49ad93821b7dd6ce8bc4" unitRef="_GBC_cef77704267643d794145c73763360e5" addr="T0R8C6S1_1" baseScale="-1" formatStyle="Comma" keyCode="abs" keyAction="108">
          <m:complexRule comparator="Eq" title="库存股@本期期初数" test=" $_GBC_787415b0f2ef4683a25f0141ac69f7eb +  $_GBC_7750a1204fdc4645b5dd1c8f7580d1ba +  $_GBC_9f49a7a645e54562bfbc02ee2d8a9929 +  $_GBC_da9de58472c54cb6bcf465fd0a37e6be" id="C4c1eb61326e14fd39637bc8a60343cf3" radius="0.0001"/>
        </m:item>
        <m:item xlName="_GBC_4a6bcd6c044c48fc98aae3ad1b8aa16e" concept="clcid-pte:QiTaZongHeShouYiZiChanFuZhaiBiaoXiangMu" label="其他综合收益（资产负债表项目）" periodRef="本期期初数" mulRef="_GBC_57faea4e453e49ad93821b7dd6ce8bc4" unitRef="_GBC_cef77704267643d794145c73763360e5" addr="T0R8C7S1_1" formatStyle="Comma">
          <m:complexRule comparator="Eq" title="其他综合收益（资产负债表项目）@本期期初数" test=" $_GBC_2638d85431704f6a94e82ae74bb1adf5 +  $_GBC_44cc114c1e8f4f978d82c5f14365300b +  $_GBC_47e5b455db3047b1bb3ad946e1874bf5 +  $_GBC_67bafe935c474207ab3571207b042218" id="Ca1bf9f4452244835a4a2d9a5e94b42bf"/>
        </m:item>
        <m:item xlName="_GBC_d49744c39d574e4ba85cc0b415a054e4" concept="clcid-pte:ZhuanXiangChuBei" label="专项储备" periodRef="本期期初数" mulRef="_GBC_57faea4e453e49ad93821b7dd6ce8bc4" unitRef="_GBC_cef77704267643d794145c73763360e5" addr="T0R8C8S1_1" formatStyle="Comma">
          <m:complexRule comparator="Eq" title="专项储备@本期期初数" test=" $_GBC_aa6704accee44e90bf17ba6505171a25 +  $_GBC_abbda9bc16554aaf867205803a74ae14 +  $_GBC_690cc5143c6145c3a6b9b6c9d07a1838 +  $_GBC_01d3b01225ea4d7f83dbf7245c48672b" id="C5a3e016b946c4b1c8af777d3316115d8" radius="0.0001"/>
        </m:item>
        <m:item xlName="_GBC_448e9d5c6c324c7b977e3120b163c949" concept="clcid-pte:YingYuGongJi" label="盈余公积" periodRef="本期期初数" mulRef="_GBC_57faea4e453e49ad93821b7dd6ce8bc4" unitRef="_GBC_cef77704267643d794145c73763360e5" addr="T0R8C9S1_1" formatStyle="Comma">
          <m:complexRule comparator="Eq" title="盈余公积@本期期初数" test=" $_GBC_e5af2051e7c04d949ad388d8c59d4c71 +  $_GBC_af5c61442f8e4d9da166c4bcab887ba9 +  $_GBC_8f80453163614b20b841579e7e971b61 +  $_GBC_b844e0863c894ef787bfdc1ae1ec3c51" id="Cd7cd0b0813aa4844b6fa14e6ed19fb8f" radius="0.0001"/>
        </m:item>
        <m:item xlName="_GBC_76a84421833441ae8dacfed428ac73a7" concept="clcid-pte:YiBanFengXianZhunBei" label="一般风险准备" periodRef="本期期初数" mulRef="_GBC_57faea4e453e49ad93821b7dd6ce8bc4" unitRef="_GBC_cef77704267643d794145c73763360e5" addr="T0R8C10S1_1" formatStyle="Comma">
          <m:complexRule comparator="Eq" title="一般风险准备@本期期初数" test=" $_GBC_929660d22f6e40369bba692eb395bba2 +  $_GBC_81f742bd68974b2ab3027cebdcf9e8c4 +  $_GBC_c85d311425884cf4a1092a9183a2e2b0 +  $_GBC_96030994fa284dd6b8307a609d407fb9" id="C374ba2b23d644918ab0831fa9d593068" radius="0.0001"/>
        </m:item>
        <m:item xlName="_GBC_0029fc559a9c4f1e97bf224794aa2515" concept="clcid-pte:WeiFenPeiLiRun" label="未分配利润" periodRef="本期期初数" mulRef="_GBC_57faea4e453e49ad93821b7dd6ce8bc4" unitRef="_GBC_cef77704267643d794145c73763360e5" addr="T0R8C11S1_1" formatStyle="Comma">
          <m:complexRule comparator="Eq" title="未分配利润@本期期初数" test=" $_GBC_c7fcad78f5ec4ade955895585296c5cf +  $_GBC_9b788a673d194d9ab2620c795e5c5ecf +  $_GBC_6d888b9f2ea24fdf98493273df708ac9 +  $_GBC_7d3a8a7d30b74e8fa260f7be851fee6a" id="C476dec66930c449f906f4d93ad33accf" radius="0.0001"/>
        </m:item>
        <m:item xlName="_GBC_6ec93edf5a144df1a0e7f56dbfeb4ff2" concept="clcid-pte:QiTaDeGuiShuYuMuGongSiSuoYouZheQuanYi" label="其他的归属于母公司所有者权益" periodRef="本期期初数" mulRef="_GBC_57faea4e453e49ad93821b7dd6ce8bc4" unitRef="_GBC_cef77704267643d794145c73763360e5" addr="T0R8C12S1_1" formatStyle="Comma">
          <m:complexRule comparator="Eq" title="其他的归属于母公司所有者权益@本期期初数" test=" $_GBC_be48b137367e42c9b286e258e5a98e80 +  $_GBC_431997c0f3f540b2a0f2915d34a9d0d2 +  $_GBC_7a7e03a16525458397a9ba2d90b1516c +  $_GBC_1d766371e8a64b23a5479e8f00d7c981" id="C5c3f259243cc42a38920340dbed511cf"/>
        </m:item>
        <m:item xlName="_GBC_cc9ba51b117641a2bf7b77cee68b1f69" concept="clcid-pte:GuiShuYuMuGongSiSuoYouZheQuanYiHeJi" label="归属于母公司所有者权益合计" periodRef="本期期初数" mulRef="_GBC_57faea4e453e49ad93821b7dd6ce8bc4" unitRef="_GBC_cef77704267643d794145c73763360e5" addr="T0R8C13S1_1" formatStyle="Comma">
          <m:complexRule comparator="Eq" title="归属于母公司所有者权益合计@本期期初数" test=" $_GBC_4c1f47baccb24c12b29170bd8daae272 +  $_GBC_e515f1378d8b4493955dda0e30924799 +  $_GBC_a047a98189dc488c9a600f4dcf70179b +  $_GBC_5238ec832edd435aa7b32eae394a36c0" id="C1a57fdcc682a4d9383d11bdd7b2367cd"/>
        </m:item>
        <m:item xlName="_GBC_5a51fde8d9bd442ea9614c5e602523a4" concept="clcid-pte:ShaoShuGuDongQuanYi" label="少数股东权益" periodRef="本期期初数" mulRef="_GBC_57faea4e453e49ad93821b7dd6ce8bc4" unitRef="_GBC_cef77704267643d794145c73763360e5" addr="T0R8C14S1_1" formatStyle="Comma">
          <m:complexRule comparator="Eq" title="少数股东权益@本期期初数" test=" $_GBC_5fd8e2cca85649859a3610a4459c4cfe +  $_GBC_81e28c06ebb54bf3a4b2c6d032037d37 +  $_GBC_a64b0e4332ab4c1b84840bdfac52f5a3 +  $_GBC_e239453a7b6e412d9e8540a6e2f66fd7" id="Cd7b3ccf4bff04709887d66ffff630f0b"/>
        </m:item>
        <m:item xlName="_GBC_b247fe380cff44978c88ba0c44328776" concept="clcid-pte:GuDongQuanYiHeJi" label="股东权益合计" periodRef="本期期初数" mulRef="_GBC_57faea4e453e49ad93821b7dd6ce8bc4" unitRef="_GBC_cef77704267643d794145c73763360e5" addr="T0R8C15S1_1" formatStyle="Comma">
          <m:complexRule comparator="Eq" title="股东权益合计@本期期初数" test=" $_GBC_3da432db294d4b91908f25c84b2b579a +  $_GBC_1d0377e6fe104a3dbff7b0d93142a4a9 +  $_GBC_0859c5dffc1c45a181f68ebc8ef9a3cf +  $_GBC_5d0a4c60be364d0d995b9432b120d38d" id="Ccc89ec0cf36b4736926690e24e699048"/>
        </m:item>
        <m:placeholder xlName="_PLD_60156dcb8ac241a7929015e75c8eef16" wordText="三、本期增减变动金额（减少以“－”号填列）" addr="T0R9C0S1_1"/>
        <m:item xlName="_GBC_3af7eb97d3514f10a23c0b89023752b4" concept="clcid-pte:ShiShouZiBenHuoGuBenJingEZengJianBianDongJinE" label="实收资本（或股本）净额增减变动金额" mulRef="_GBC_57faea4e453e49ad93821b7dd6ce8bc4" unitRef="_GBC_cef77704267643d794145c73763360e5" addr="T0R9C1S1_1" formatStyle="Comma">
          <m:complexRule comparator="Eq" title="实收资本（或股本）净额增减变动金额" test=" $_GBC_fb0e279f648742b2bde1fb4eb64ce027 +  $_GBC_53a2b0c45a35497ab0b00e30b4f387f1 +  $_GBC_3a0ff53b646f43a7a1f9c558b9fed774 +  $_GBC_158326596e364a8ebe7839d08241e207 +  $_GBC_5b133c420da349708e6643bb6b0c1e6e +  $_GBC_e5bb57182cb84c139313dd87a42549fc" id="C9c45a748e28d48d49d71e959c20da6f7" radius="0.0001"/>
        </m:item>
        <m:item xlName="_GBC_31de6e6e3245453bb81137017f32526d" concept="clcid-pte:QiTaQuanYiGongJuZhongDeYouXianGuZengJianBianDongJinE" label="其他权益工具中的优先股增减变动金额" mulRef="_GBC_57faea4e453e49ad93821b7dd6ce8bc4" unitRef="_GBC_cef77704267643d794145c73763360e5" addr="T0R9C2S1_1" formatStyle="Comma">
          <m:complexRule comparator="Eq" title="其他权益工具中的优先股增减变动金额" test=" $_GBC_c8b641490bcd40c4a0577f32e33573df +  $_GBC_7fd9608cc38643e38cad5ba261e018fd +  $_GBC_cef027cb84874282a4234d3d919e2525 +  $_GBC_48b490e8cc30489d90aea1c1433b16e3 +  $_GBC_df89eee61a754edfb5a05b61c5b1418c +  $_GBC_4cb17ac0318c46f5b906906cf31a388b" id="C199df6468b3a43319f4429d2671435bf"/>
        </m:item>
        <m:item xlName="_GBC_e17ba5ca57b44d3b979e1bcc360525f3" concept="clcid-pte:QiTaQuanYiGongJuZhongDeYongXuZhaiZengJianBianDongJinE" label="其他权益工具中的永续债增减变动金额" mulRef="_GBC_57faea4e453e49ad93821b7dd6ce8bc4" unitRef="_GBC_cef77704267643d794145c73763360e5" addr="T0R9C3S1_1" formatStyle="Comma">
          <m:complexRule comparator="Eq" title="其他权益工具中的永续债增减变动金额" test=" $_GBC_69f54da5019644068526258bac1b49c3 +  $_GBC_b35bfd334f564cf1ba7b2e56be61be8e +  $_GBC_a4434a7b99ac4c55bae83e1870dc0552 +  $_GBC_620dc73dc88947bf8ad75cf15acdfc67 +  $_GBC_9e23218859714c0e96d6c198c2cb79fd +  $_GBC_b99886cc2ef449ee9001767361d56946" id="Cb585e86146154585a90a853829030996"/>
        </m:item>
        <m:item xlName="_GBC_a543ecf27ae64d37802ba6b3403e63d5" concept="clcid-pte:QiTaQuanYiGongJuZhongDeQiTaZengJianBianDongJinE" label="其他权益工具中的其他增减变动金额" mulRef="_GBC_57faea4e453e49ad93821b7dd6ce8bc4" unitRef="_GBC_cef77704267643d794145c73763360e5" addr="T0R9C4S1_1" formatStyle="Comma">
          <m:complexRule comparator="Eq" title="其他权益工具中的其他增减变动金额" test=" $_GBC_c03d9e4b09334d93ac7e0c5997771e9b +  $_GBC_b71e186769444c249b00cd8fb9129429 +  $_GBC_d7a9f70ff8844eedbbc177b5ce7a14ac +  $_GBC_6ec80a2584f54a81b9b594ff2a5d0aa2 +  $_GBC_65b5aa8f1455448ead376358694d1dad +  $_GBC_115fc2853cdb4a3ea7f427dccb84c7f6" id="Cf4becb4b54bd4b4ba25532d1a051b66f"/>
        </m:item>
        <m:item xlName="_GBC_3627c41bf40e462c8620f1263ac7419f" concept="clcid-pte:ZiBenGongJiZengJianBianDongJinE" label="资本公积增减变动金额" mulRef="_GBC_57faea4e453e49ad93821b7dd6ce8bc4" unitRef="_GBC_cef77704267643d794145c73763360e5" addr="T0R9C5S1_1" formatStyle="Comma">
          <m:complexRule comparator="Eq" title="资本公积增减变动金额" test=" $_GBC_aae2902bbf6e49a697cbb0d08a8f2669 +  $_GBC_68ae165e612544e69387f63a3d007298 +  $_GBC_ca43e320938a425daa4d47c7ea4689d2 +  $_GBC_91fefaddee794da7b14ae368d4c4bcc7 +  $_GBC_c5668c5b9c4b4239b60b1a1e142c3572 +  $_GBC_f93f79cca9c642cba3f66db418f8b2c3" id="Cf2cb80bfb0d648d194613feb0f1ff6fb" radius="0.0001"/>
        </m:item>
        <m:item xlName="_GBC_cfb742bc65374c42aec857140a23c67b" concept="clcid-pte:KuCunGuZengJianBianDongJinE" label="库存股增减变动金额" mulRef="_GBC_57faea4e453e49ad93821b7dd6ce8bc4" unitRef="_GBC_cef77704267643d794145c73763360e5" addr="T0R9C6S1_1" baseScale="-1" formatStyle="Comma">
          <m:complexRule comparator="Eq" title="库存股增减变动金额" test=" $_GBC_4ffb9b03d5cc48f4acfde07216ec6b54 +  $_GBC_2213a42694074933a28a2a9943fd2d05 +  $_GBC_e9850772adf640108ea606c7effd2558 +  $_GBC_3a3e42b36589436990f828f15a5d24e2 +  $_GBC_6ce020937acc447bb5699bedc911da7e +  $_GBC_b057b3deaf984131a7982c200f385c4d" id="C7a15467ce5ca4f0092e12ee348f233df" radius="0.0001"/>
        </m:item>
        <m:item xlName="_GBC_22fc524f34c3429d8663894de117905f" concept="clcid-pte:QiTaZongHeShouYiZengJianBianDongJinE" label="其他综合收益增减变动金额" mulRef="_GBC_57faea4e453e49ad93821b7dd6ce8bc4" unitRef="_GBC_cef77704267643d794145c73763360e5" addr="T0R9C7S1_1" formatStyle="Comma">
          <m:complexRule comparator="Eq" title="其他综合收益增减变动金额" test=" $_GBC_8181639bbfa14fcdbdb232ee01aa29a1 +  $_GBC_35d117e617224e0188132c43674b2398 +  $_GBC_af21ec91ef5643488dfec3fec8c64520 +  $_GBC_74801f12253b4ffcadc9dc50e79a7c31 +  $_GBC_b2224b7668d74a5b89c2777235f7abbc +  $_GBC_31755b23bf0647ffad40c136225f52e3" id="C330cef28a9f847329739cc2a3277c1c6"/>
        </m:item>
        <m:item xlName="_GBC_96bb018f4932409099361a683927bf0f" concept="clcid-pte:ZhuanXiangChuBeiZengJianBianDongJinE" label="专项储备增减变动金额" mulRef="_GBC_57faea4e453e49ad93821b7dd6ce8bc4" unitRef="_GBC_cef77704267643d794145c73763360e5" addr="T0R9C8S1_1" formatStyle="Comma">
          <m:complexRule comparator="Eq" title="专项储备增减变动金额" test=" $_GBC_6ce5a42f614c4987a51cfb320dadb73a +  $_GBC_7f6c8c15ddca4891838ef233ae79987c +  $_GBC_f1779e1993f84d86b164fa733de9b714 +  $_GBC_8e2e37aeaf87454290b0faa72339d109 +  $_GBC_b63eebc4f8294c6cab43080ea2183269 +  $_GBC_bcdbc1209b754c2f98c23f4aca0c0ae2" id="C7c20a38eca00474880d15117e9b86bc0"/>
        </m:item>
        <m:item xlName="_GBC_c6732712698a45e4a89bee4861e3db6b" concept="clcid-pte:YingYuGongJiZengJianBianDongJinE" label="盈余公积增减变动金额" mulRef="_GBC_57faea4e453e49ad93821b7dd6ce8bc4" unitRef="_GBC_cef77704267643d794145c73763360e5" addr="T0R9C9S1_1" formatStyle="Comma">
          <m:complexRule comparator="Eq" title="盈余公积增减变动金额" test=" $_GBC_a017b9a7b7fd4aef80259d0feecf3577 +  $_GBC_cb0bdf6fb77444aa94cc975b71a0be3f +  $_GBC_31ba2b8a65ef499eb2c5d3c38b1eb730 +  $_GBC_78f6c7fbe15d42ba8efbe962e7c7161f +  $_GBC_03826d85012a4886ac133e89e44c70a4 +  $_GBC_342200a60246426fb3eab7fde28e53f0" id="C0ee064b73273434cbe72f9dc727305af"/>
        </m:item>
        <m:item xlName="_GBC_3b86797cd0ef43538ea94d1f6fe0fbe9" concept="clcid-pte:YiBanFengXianZhunBeiZengJianBianDongJinE" label="一般风险准备增减变动金额" mulRef="_GBC_57faea4e453e49ad93821b7dd6ce8bc4" unitRef="_GBC_cef77704267643d794145c73763360e5" addr="T0R9C10S1_1" formatStyle="Comma">
          <m:complexRule comparator="Eq" title="一般风险准备增减变动金额" test=" $_GBC_aa67cf36d71f4fd692a323409fc783d3 +  $_GBC_c9fca5cae4e64ab1bd43a0822a02689f +  $_GBC_a30aef806fe64f0e9e7646bf73a5cdbe +  $_GBC_0db3cfd387c34e5f9a8fbf3fd3a7ff06 +  $_GBC_edb79244254b409a98c43f26be77f9a2 +  $_GBC_66c87d17cb814231bab585cfb33549f4" id="C319583baf6ea45b49a0ea5ae17a9fa37"/>
        </m:item>
        <m:item xlName="_GBC_c725506b3ad84eccb3fac140c784126f" concept="clcid-pte:WeiFenPeiLiRunZengJianBianDongJinE" label="未分配利润增减变动金额" mulRef="_GBC_57faea4e453e49ad93821b7dd6ce8bc4" unitRef="_GBC_cef77704267643d794145c73763360e5" addr="T0R9C11S1_1" formatStyle="Comma">
          <m:complexRule comparator="Eq" title="未分配利润增减变动金额" test=" $_GBC_8c3566faf42144d797829c723441ea52 +  $_GBC_570dcbc2399941448f32034c03710f51 +  $_GBC_c6e745e9942c43bb813c139cdc55c224 +  $_GBC_0843778eede64550b36fc99966817c0a +  $_GBC_6f589e43d1be447a9260eb6c071a39b6 +  $_GBC_ec9db240ea72422e8db149aae16a8004" id="C640590654adb4b82ad123f233d250ddc"/>
        </m:item>
        <m:item xlName="_GBC_86e681f063cf4e4e8e042efca13c686d" concept="clcid-pte:QiTaDeGuiShuYuMuGongSiSuoYouZheQuanYiZengJianBianDongJinE" label="其他的归属于母公司所有者权益增减变动金额" mulRef="_GBC_57faea4e453e49ad93821b7dd6ce8bc4" unitRef="_GBC_cef77704267643d794145c73763360e5" addr="T0R9C12S1_1" formatStyle="Comma">
          <m:complexRule comparator="Eq" title="其他的归属于母公司所有者权益增减变动金额" test=" $_GBC_2134daa5e4544552b59d9dd0a32ac680 +  $_GBC_670bc241fcb84ad1b5450e74ac8d2698 +  $_GBC_80f2803156254bdbbe01c4b8dd7639e8 +  $_GBC_c3a1393bd87a4bdcb9e2f0168eb9738e +  $_GBC_bb40ec88bcc04b13aafb388066987c9f +  $_GBC_86f11dfca9a44f249ec66e84b57c1b44" id="C0a81c689400e4998aae742879835c72d"/>
        </m:item>
        <m:item xlName="_GBC_9b533eea753f42678e94aac87164c8f9" concept="clcid-pte:GuiShuYuMuGongSiSuoYouZheQuanYiZengJianBianDongJinE" label="归属于母公司所有者权益增减变动金额" mulRef="_GBC_57faea4e453e49ad93821b7dd6ce8bc4" unitRef="_GBC_cef77704267643d794145c73763360e5" addr="T0R9C13S1_1" formatStyle="Comma">
          <m:complexRule comparator="Eq" title="归属于母公司所有者权益变动金额小计变动金额" test=" $_GBC_0eb3f2e40d784151bdd725447d2a7881 +  $_GBC_5d71eeafa9084274ac16ab6bd869f6fb +  $_GBC_796410d10595447f9d384040b3836046 +  $_GBC_2ed846f10ca148fca67e10caa343a4b7 +  $_GBC_6bd3a7a569dd478fbc6d6829ce98fac6 +  $_GBC_cb0016cce8fe43e98003b2b13a1a8310" id="Cef43cef5e9f84fe9bf11f82680cde94e"/>
        </m:item>
        <m:item xlName="_GBC_c1baf9fd3a7c43e3b0765626d3f4786a" concept="clcid-pte:ShaoShuGuDongQuanYiZengJianBianDongJinE" label="少数股东权益增减变动金额" mulRef="_GBC_57faea4e453e49ad93821b7dd6ce8bc4" unitRef="_GBC_cef77704267643d794145c73763360e5" addr="T0R9C14S1_1" formatStyle="Comma">
          <m:complexRule comparator="Eq" title="少数股东权益增减变动金额" test=" $_GBC_149d893d54b049c0864237e6b4ac81a9 +  $_GBC_8b6817f804804532b66016470f7f7907 +  $_GBC_a9a30b0b9f8647d9b4ef82d45ad73fd9 +  $_GBC_6433a03aaf764c6bbb7fb28a263f4a75 +  $_GBC_8cab485a956f4ba2b7b46408d57ad6ed +  $_GBC_7ee4bb8a90ca4d6f876a811900bbf14f" id="C7f42180a5881473095103e854327725b"/>
        </m:item>
        <m:item xlName="_GBC_2aea7e65200c4636b30927f80555b840" concept="clcid-pte:GuDongQuanYiHeJiZengJianBianDongJinE" label="股东权益合计增减变动金额" mulRef="_GBC_57faea4e453e49ad93821b7dd6ce8bc4" unitRef="_GBC_cef77704267643d794145c73763360e5" addr="T0R9C15S1_1" formatStyle="Comma">
          <m:complexRule comparator="Eq" title="股东权益合计增减变动金额" test=" $_GBC_c8730066cf9a41769a95297ba550a73f +  $_GBC_910332ab8e674e6ea78bcb44729a6667 +  $_GBC_365bd934a2ad4f509a4b2e07a201b733 +  $_GBC_11ffe4abc91c475a9946d7350026712f +  $_GBC_2f85c153c72c4e148843c5f5780b7d6f +  $_GBC_e5424969832b49b886fcd601a1464e2b" id="Cc86835daef7c41cdb1af60ce55432adf"/>
        </m:item>
        <m:placeholder xlName="_PLD_b05dacde51ff43abaf7ec73bf9668d99" wordText="（一）综合收益总额" addr="T0R10C0S1_1"/>
        <m:item xlName="_GBC_fb0e279f648742b2bde1fb4eb64ce027" concept="clcid-pte:ZongHeShouYiZongEDaoZhiGuBenBianDongJinE" label="综合收益总额导致股本变动金额" mulRef="_GBC_57faea4e453e49ad93821b7dd6ce8bc4" unitRef="_GBC_cef77704267643d794145c73763360e5" addr="T0R10C1S1_1" formatStyle="Comma"/>
        <m:item xlName="_GBC_c8b641490bcd40c4a0577f32e33573df" concept="clcid-pte:ZongHeShouYiZongEDaoZhiYouXianGuBianDongJinE" label="综合收益总额导致优先股变动金额" mulRef="_GBC_57faea4e453e49ad93821b7dd6ce8bc4" unitRef="_GBC_cef77704267643d794145c73763360e5" addr="T0R10C2S1_1" formatStyle="Comma"/>
        <m:item xlName="_GBC_69f54da5019644068526258bac1b49c3" concept="clcid-pte:ZongHeShouYiZongEDaoZhiYongXuZhaiBianDongJinE" label="综合收益总额导致永续债变动金额" mulRef="_GBC_57faea4e453e49ad93821b7dd6ce8bc4" unitRef="_GBC_cef77704267643d794145c73763360e5" addr="T0R10C3S1_1" formatStyle="Comma"/>
        <m:item xlName="_GBC_c03d9e4b09334d93ac7e0c5997771e9b" concept="clcid-pte:ZongHeShouYiZongEDaoZhiQiTaQuanYiGongJuZhongDeQiTaBianDongJinE" label="综合收益总额导致其他权益工具中的其他变动金额" mulRef="_GBC_57faea4e453e49ad93821b7dd6ce8bc4" unitRef="_GBC_cef77704267643d794145c73763360e5" addr="T0R10C4S1_1" formatStyle="Comma"/>
        <m:item xlName="_GBC_aae2902bbf6e49a697cbb0d08a8f2669" concept="clcid-pte:ZongHeShouYiZongEDaoZhiZiBenGongJiBianDongJinE" label="综合收益总额导致资本公积变动金额" mulRef="_GBC_57faea4e453e49ad93821b7dd6ce8bc4" unitRef="_GBC_cef77704267643d794145c73763360e5" addr="T0R10C5S1_1" formatStyle="Comma"/>
        <m:item xlName="_GBC_4ffb9b03d5cc48f4acfde07216ec6b54" concept="clcid-pte:ZongHeShouYiZongEDaoZhiKuCunGuBianDongJinE" label="综合收益总额导致库存股变动金额" mulRef="_GBC_57faea4e453e49ad93821b7dd6ce8bc4" unitRef="_GBC_cef77704267643d794145c73763360e5" addr="T0R10C6S1_1" baseScale="-1" formatStyle="Comma"/>
        <m:item xlName="_GBC_8181639bbfa14fcdbdb232ee01aa29a1" concept="clcid-pte:ZongHeShouYiZongEDaoZhiQiTaZongHeShouYiBianDongJinE" label="综合收益总额导致其他综合收益变动金额" mulRef="_GBC_57faea4e453e49ad93821b7dd6ce8bc4" unitRef="_GBC_cef77704267643d794145c73763360e5" addr="T0R10C7S1_1" formatStyle="Comma"/>
        <m:item xlName="_GBC_6ce5a42f614c4987a51cfb320dadb73a" concept="clcid-pte:ZongHeShouYiZongEDaoZhiZhuanXiangChuBeiBianDongJinE" label="综合收益总额导致专项储备变动金额" mulRef="_GBC_57faea4e453e49ad93821b7dd6ce8bc4" unitRef="_GBC_cef77704267643d794145c73763360e5" addr="T0R10C8S1_1" formatStyle="Comma"/>
        <m:item xlName="_GBC_a017b9a7b7fd4aef80259d0feecf3577" concept="clcid-pte:ZongHeShouYiZongEDaoZhiYingYuGongJiBianDongJinE" label="综合收益总额导致盈余公积变动金额" mulRef="_GBC_57faea4e453e49ad93821b7dd6ce8bc4" unitRef="_GBC_cef77704267643d794145c73763360e5" addr="T0R10C9S1_1" formatStyle="Comma"/>
        <m:item xlName="_GBC_aa67cf36d71f4fd692a323409fc783d3" concept="clcid-pte:ZongHeShouYiZongEDaoZhiYiBanFengXianZhunBeiBianDongJinE" label="综合收益总额导致一般风险准备变动金额" mulRef="_GBC_57faea4e453e49ad93821b7dd6ce8bc4" unitRef="_GBC_cef77704267643d794145c73763360e5" addr="T0R10C10S1_1" formatStyle="Comma"/>
        <m:item xlName="_GBC_8c3566faf42144d797829c723441ea52" concept="clcid-pte:ZongHeShouYiZongEDaoZhiWeiFenPeiLiRunBianDongJinE" label="综合收益总额导致未分配利润变动金额" mulRef="_GBC_57faea4e453e49ad93821b7dd6ce8bc4" unitRef="_GBC_cef77704267643d794145c73763360e5" addr="T0R10C11S1_1" formatStyle="Comma"/>
        <m:item xlName="_GBC_2134daa5e4544552b59d9dd0a32ac680" concept="clcid-pte:ZongHeShouYiZongEDaoZhiQiTaDeGuiShuYuMuGongSiSuoYouZheQuanYiBianDongJinE" label="综合收益总额导致其他的归属于母公司所有者权益变动金额" mulRef="_GBC_57faea4e453e49ad93821b7dd6ce8bc4" unitRef="_GBC_cef77704267643d794145c73763360e5" addr="T0R10C12S1_1" formatStyle="Comma"/>
        <m:item xlName="_GBC_0eb3f2e40d784151bdd725447d2a7881" concept="clcid-pte:ZongHeShouYiZongEDaoZhiGuiShuYuMuGongSiSuoYouZheQuanYiBianDongJinE" label="综合收益总额导致归属于母公司所有者权益变动金额" mulRef="_GBC_57faea4e453e49ad93821b7dd6ce8bc4" unitRef="_GBC_cef77704267643d794145c73763360e5" addr="T0R10C13S1_1" formatStyle="Comma"/>
        <m:item xlName="_GBC_149d893d54b049c0864237e6b4ac81a9" concept="clcid-pte:ZongHeShouYiZongEDaoZhiShaoShuGuDongQuanYiBianDongJinE" label="综合收益总额导致少数股东权益变动金额" mulRef="_GBC_57faea4e453e49ad93821b7dd6ce8bc4" unitRef="_GBC_cef77704267643d794145c73763360e5" addr="T0R10C14S1_1" formatStyle="Comma"/>
        <m:item xlName="_GBC_c8730066cf9a41769a95297ba550a73f" concept="clcid-pte:ZongHeShouYiZongEDaoZhiGuDongQuanYiHeJiBianDongJinE" label="综合收益总额导致股东权益合计变动金额" mulRef="_GBC_57faea4e453e49ad93821b7dd6ce8bc4" unitRef="_GBC_cef77704267643d794145c73763360e5" addr="T0R10C15S1_1" formatStyle="Comma"/>
        <m:placeholder xlName="_PLD_f17921fb207340239c73a056e615d773" wordText="（二）所有者投入和减少资本" addr="T0R11C0S1_1"/>
        <m:item xlName="_GBC_53a2b0c45a35497ab0b00e30b4f387f1" concept="clcid-pte:SuoYouZheTouRuHeJianShaoZiBenDaoZhiShiShouZiBenHuoGuBenJingEBianDongJinE" label="所有者投入和减少资本导致实收资本（或股本）净额变动金额" mulRef="_GBC_57faea4e453e49ad93821b7dd6ce8bc4" unitRef="_GBC_cef77704267643d794145c73763360e5" addr="T0R11C1S1_1" formatStyle="Comma">
          <m:complexRule comparator="Eq" title="所有者投入和减少资本导致实收资本（或股本）净额变动金额" test=" $_GBC_1ef7499c294040618d3c638da4fc57e7 +  $_GBC_272ee4840cd344bc9b82789f5fcd2af0 +  $_GBC_5aa336b355e44669b7d9bb69d8f1726c +  $_GBC_413cbfd3c67448a986a99cfc9ab30e16" id="Cd591a3c2c2f34b0bb297447392a510ea" radius="0.0001"/>
        </m:item>
        <m:item xlName="_GBC_7fd9608cc38643e38cad5ba261e018fd" concept="clcid-pte:SuoYouZheTouRuHeJianShaoZiBenDaoZhiQiTaQuanYiGongJuZhongDeYouXianGuBianDongJinE" label="所有者投入和减少资本导致其他权益工具中的优先股变动金额" mulRef="_GBC_57faea4e453e49ad93821b7dd6ce8bc4" unitRef="_GBC_cef77704267643d794145c73763360e5" addr="T0R11C2S1_1" formatStyle="Comma">
          <m:complexRule comparator="Eq" title="所有者投入和减少资本导致其他权益工具中的优先股变动金额" test=" $_GBC_564c664bcfc94870ab4bfa9c0855b017 +  $_GBC_05009b1a8408429c87bbae95411b7e5a +  $_GBC_6f53131641444aaf892cf4884a81ccd0 +  $_GBC_7e65141db5644b258c8b0f100cae87ff" id="Cc68ce3e9da7f4c53808181efa306fc66"/>
        </m:item>
        <m:item xlName="_GBC_b35bfd334f564cf1ba7b2e56be61be8e" concept="clcid-pte:SuoYouZheTouRuHeJianShaoZiBenDaoZhiQiTaQuanYiGongJuZhongDeYongXuZhaiBianDongJinE" label="所有者投入和减少资本导致其他权益工具中的永续债变动金额" mulRef="_GBC_57faea4e453e49ad93821b7dd6ce8bc4" unitRef="_GBC_cef77704267643d794145c73763360e5" addr="T0R11C3S1_1" formatStyle="Comma">
          <m:complexRule comparator="Eq" title="所有者投入和减少资本导致其他权益工具中的永续债变动金额" test=" $_GBC_e0f146d847554ae083fd75e440464f31 +  $_GBC_d75cbd81d0a440b988dede0d218a30d2 +  $_GBC_436e13fa49e043b5a4d65883e1bc6875 +  $_GBC_e39f106386814522b56ed6538eafdb7a" id="Cba78498b74d44b5b8f4cf57a6145e8e8"/>
        </m:item>
        <m:item xlName="_GBC_b71e186769444c249b00cd8fb9129429" concept="clcid-pte:SuoYouZheTouRuHeJianShaoZiBenDaoZhiQiTaQuanYiGongJuZhongDeQiTaBianDongJinE" label="所有者投入和减少资本导致其他权益工具中的其他变动金额" mulRef="_GBC_57faea4e453e49ad93821b7dd6ce8bc4" unitRef="_GBC_cef77704267643d794145c73763360e5" addr="T0R11C4S1_1" formatStyle="Comma">
          <m:complexRule comparator="Eq" title="所有者投入和减少资本导致其他权益工具中的其他变动金额" test=" $_GBC_f322dbe37b144962a9f4c2ada45b18cd +  $_GBC_0205ed43c0aa40e5902e9ec02246b996 +  $_GBC_41df43579d714e22b9fbe776df8fabe7 +  $_GBC_679099b8063e45b2a91e69f7d25d0897" id="C184c9897ac284173b8d40c216a2afde5"/>
        </m:item>
        <m:item xlName="_GBC_68ae165e612544e69387f63a3d007298" concept="clcid-pte:SuoYouZheTouRuHeJianShaoZiBenDaoZhiZiBenGongJiBianDongJinE" label="所有者投入和减少资本导致资本公积变动金额" mulRef="_GBC_57faea4e453e49ad93821b7dd6ce8bc4" unitRef="_GBC_cef77704267643d794145c73763360e5" addr="T0R11C5S1_1" formatStyle="Comma">
          <m:complexRule comparator="Eq" title="所有者投入和减少资本导致资本公积变动金额" test=" $_GBC_2bcede48c6ac4e178a895c920987ad30 +  $_GBC_bd2a483d35ad4d709ed3ca65eaeb2a8d +  $_GBC_d47f62a223d1452c9e4e8ca146739fa3 +  $_GBC_5f9a76279e3f4bc49aaa082bb5bb8353" id="C05c49f82fe234a358ef6fb3ff263e232" radius="0.0001"/>
        </m:item>
        <m:item xlName="_GBC_2213a42694074933a28a2a9943fd2d05" concept="clcid-pte:SuoYouZheTouRuHeJianShaoZiBenDaoZhiKuCunGuBianDongJinE" label="所有者投入和减少资本导致库存股变动金额" mulRef="_GBC_57faea4e453e49ad93821b7dd6ce8bc4" unitRef="_GBC_cef77704267643d794145c73763360e5" addr="T0R11C6S1_1" baseScale="-1" formatStyle="Comma">
          <m:complexRule comparator="Eq" title="所有者投入和减少资本导致库存股变动金额" test=" $_GBC_3f94a46ad5b44639a3a0cdfe1533738f +  $_GBC_e32c55233b4940a38c32ee8c2b8dab6b +  $_GBC_b80cf70f484b47c9ade2811657c905f3 +  $_GBC_be92e6d49fb44efba098c3396c247bac" id="C511c16a3c9fb404a9fc4e88dc1de9092" radius="0.0001"/>
        </m:item>
        <m:item xlName="_GBC_35d117e617224e0188132c43674b2398" concept="clcid-pte:SuoYouZheTouRuHeJianShaoZiBenDaoZhiQiTaZongHeShouYiBianDongJinE" label="所有者投入和减少资本导致其他综合收益变动金额" mulRef="_GBC_57faea4e453e49ad93821b7dd6ce8bc4" unitRef="_GBC_cef77704267643d794145c73763360e5" addr="T0R11C7S1_1" formatStyle="Comma">
          <m:complexRule comparator="Eq" title="所有者投入和减少资本导致其他综合收益变动金额" test=" $_GBC_ad642a829d4240fb831e58f8abfdbd2e +  $_GBC_c2b70d17b87c4b51b95ad5c965d05ebc +  $_GBC_12693b9eddc946d9818a6e58730df957 +  $_GBC_4abe8b05268443a0b9973e0faecaf0bd" id="Cca11b6984b0a45bb9fdd6033c26c7180"/>
        </m:item>
        <m:item xlName="_GBC_7f6c8c15ddca4891838ef233ae79987c" concept="clcid-pte:SuoYouZheTouRuHeJianShaoZiBenDaoZhiZhuanXiangChuBeiBianDongJinE" label="所有者投入和减少资本导致专项储备变动金额" mulRef="_GBC_57faea4e453e49ad93821b7dd6ce8bc4" unitRef="_GBC_cef77704267643d794145c73763360e5" addr="T0R11C8S1_1" formatStyle="Comma">
          <m:complexRule comparator="Eq" title="所有者投入和减少资本导致专项储备变动金额" test=" $_GBC_c9b2988006ab46f9a1d81d654de240cd +  $_GBC_c36187945c3d4372b3d942cd50da8bb1 +  $_GBC_83ba1fa6a0b141f28d5af2c6ceb37a33 +  $_GBC_b9097087a7d54505b4d4e77c07ec527e" id="Cf606bbf3db1e46a094b9968c2ed3a32c"/>
        </m:item>
        <m:item xlName="_GBC_cb0bdf6fb77444aa94cc975b71a0be3f" concept="clcid-pte:SuoYouZheTouRuHeJianShaoZiBenDaoZhiYingYuGongJiBianDongJinE" label="所有者投入和减少资本导致盈余公积变动金额" mulRef="_GBC_57faea4e453e49ad93821b7dd6ce8bc4" unitRef="_GBC_cef77704267643d794145c73763360e5" addr="T0R11C9S1_1" formatStyle="Comma">
          <m:complexRule comparator="Eq" title="所有者投入和减少资本导致盈余公积变动金额" test=" $_GBC_e1f467b8121b4a7ca1585de7ed8b58ea +  $_GBC_8e595496005745fd8d0e1fc10c1adf21 +  $_GBC_253d78c0252e47f38eb6efcc5dcf9618 +  $_GBC_13bd847177c242ef9de5478e6ba9abee" id="Cda939feaf0c341c49959eea420e2120d"/>
        </m:item>
        <m:item xlName="_GBC_c9fca5cae4e64ab1bd43a0822a02689f" concept="clcid-pte:SuoYouZheTouRuHeJianShaoZiBenDaoZhiYiBanFengXianZhunBeiBianDongJinE" label="所有者投入和减少资本导致一般风险准备变动金额" mulRef="_GBC_57faea4e453e49ad93821b7dd6ce8bc4" unitRef="_GBC_cef77704267643d794145c73763360e5" addr="T0R11C10S1_1" formatStyle="Comma">
          <m:complexRule comparator="Eq" title="所有者投入和减少资本导致一般风险准备变动金额" test=" $_GBC_4d8fa6ab6e844813a829eb35e1a4d1c6 +  $_GBC_7be547304c304c889629f52be3d1cad8 +  $_GBC_85656b47b3784f8ead748b40ac28c0d4 +  $_GBC_5425ca8ca641484f8ea9c871fbcf0d91" id="Ceb910c6380b541668bfdfd413214393d"/>
        </m:item>
        <m:item xlName="_GBC_570dcbc2399941448f32034c03710f51" concept="clcid-pte:SuoYouZheTouRuHeJianShaoZiBenDaoZhiWeiFenPeiLiRunBianDongJinE" label="所有者投入和减少资本导致未分配利润变动金额" mulRef="_GBC_57faea4e453e49ad93821b7dd6ce8bc4" unitRef="_GBC_cef77704267643d794145c73763360e5" addr="T0R11C11S1_1" formatStyle="Comma">
          <m:complexRule comparator="Eq" title="所有者投入和减少资本导致未分配利润变动金额" test=" $_GBC_2e0166d98aa04a58b5a1c7806cbc91e7 +  $_GBC_7605bd7ecbbc4aa6a60307c61e22b15f +  $_GBC_892a6daff2f74efab8aa72f840d4121d +  $_GBC_71856d6351fd4e49b4d3001669b847fc" id="C1ac2c12ee6ab4edb9087c1602dda83dd"/>
        </m:item>
        <m:item xlName="_GBC_670bc241fcb84ad1b5450e74ac8d2698" concept="clcid-pte:SuoYouZheTouRuHeJianShaoZiBenDaoZhiQiTaDeGuiShuYuMuGongSiSuoYouZheQuanYiBianDongJinE" label="所有者投入和减少资本导致其他的归属于母公司所有者权益变动金额" mulRef="_GBC_57faea4e453e49ad93821b7dd6ce8bc4" unitRef="_GBC_cef77704267643d794145c73763360e5" addr="T0R11C12S1_1" formatStyle="Comma">
          <m:complexRule comparator="Eq" title="所有者投入资本导致其他的归属于母公司所有者权益变动金额" test=" $_GBC_f3e85c2e6f7242d0ba8071d98a4be9c8 +  $_GBC_f6cf1cc4eb224fa78b7fcb091d69b608 +  $_GBC_2743d59c1d5046a588a3dfb65da07425 +  $_GBC_0c643b8cfc8f4d48a3f3c40b3a412c34" id="C2139d836cdf948edb4966f5766849a97"/>
        </m:item>
        <m:item xlName="_GBC_5d71eeafa9084274ac16ab6bd869f6fb" concept="clcid-pte:SuoYouZheTouRuHeJianShaoZiBenDaoZhiGuiShuYuMuGongSiSuoYouZheQuanYiBianDongJinE" label="所有者投入和减少资本导致归属于母公司所有者权益变动金额" mulRef="_GBC_57faea4e453e49ad93821b7dd6ce8bc4" unitRef="_GBC_cef77704267643d794145c73763360e5" addr="T0R11C13S1_1" formatStyle="Comma">
          <m:complexRule comparator="Eq" title="所有者投入和减少资本导致归属于母公司所有者权益变动金额小计" test=" $_GBC_e2b1ffdf4d7449fbb6e63472a9626f50 +  $_GBC_a0cb6a71e9a34bf5b55f8ddbfbe9a47c +  $_GBC_a5e1c566e3064673b93874ea9cdd6cee +  $_GBC_eb3f6b79128148808e90ccf7ba38ac12" id="C1c339b859fe1450d8fdbebdfedcc33a4"/>
        </m:item>
        <m:item xlName="_GBC_8b6817f804804532b66016470f7f7907" concept="clcid-pte:SuoYouZheTouRuHeJianShaoZiBenDaoZhiShaoShuGuDongQuanYiBianDongJinE" label="所有者投入和减少资本导致少数股东权益变动金额" mulRef="_GBC_57faea4e453e49ad93821b7dd6ce8bc4" unitRef="_GBC_cef77704267643d794145c73763360e5" addr="T0R11C14S1_1" formatStyle="Comma">
          <m:complexRule comparator="Eq" title="所有者投入和减少资本导致少数股东权益变动金额" test=" $_GBC_2a71f61549cc4041be9cfe61766a129c +  $_GBC_87bdeae3080f4993ab0e6b1e4c0ce1b4 +  $_GBC_588beff2e16a40ea9494affb9ab9ddd7 +  $_GBC_533a50a063a9425690b28cb397b1f7cd" id="C722173a3f3d5494ca12212a47a08bfc6"/>
        </m:item>
        <m:item xlName="_GBC_910332ab8e674e6ea78bcb44729a6667" concept="clcid-pte:SuoYouZheTouRuHeJianShaoZiBenDaoZhiGuDongQuanYiHeJiBianDongJinE" label="所有者投入和减少资本导致股东权益合计变动金额" mulRef="_GBC_57faea4e453e49ad93821b7dd6ce8bc4" unitRef="_GBC_cef77704267643d794145c73763360e5" addr="T0R11C15S1_1" formatStyle="Comma">
          <m:complexRule comparator="Eq" title="所有者投入和减少资本导致股东权益合计变动金额" test=" $_GBC_60260638439c4bffba58f42d194b2232 +  $_GBC_8b6d24ab0c4349579bc399db7c565fd8 +  $_GBC_c5088b48142a44ffafdd56770eca4632 +  $_GBC_e593a456b1464949a46e8baa430887ea" id="C4b3335edd8fa40cf917e01f290e46ffe"/>
        </m:item>
        <m:placeholder xlName="_PLD_a4e5a1909d05445a88f8a664e237ae02" wordText="1．所有者投入的普通股" addr="T0R12C0S1_1"/>
        <m:item xlName="_GBC_1ef7499c294040618d3c638da4fc57e7" concept="clcid-pte:GuDongTouRuDePuTongGuDaoZhiGuBenBianDongJinE" label="股东投入的普通股导致股本变动金额" mulRef="_GBC_57faea4e453e49ad93821b7dd6ce8bc4" unitRef="_GBC_cef77704267643d794145c73763360e5" addr="T0R12C1S1_1" formatStyle="Comma"/>
        <m:item xlName="_GBC_564c664bcfc94870ab4bfa9c0855b017" concept="clcid-pte:GuDongTouRuDePuTongGuDaoZhiYouXianGuBianDongJinE" label="股东投入的普通股导致优先股变动金额" mulRef="_GBC_57faea4e453e49ad93821b7dd6ce8bc4" unitRef="_GBC_cef77704267643d794145c73763360e5" addr="T0R12C2S1_1" formatStyle="Comma"/>
        <m:item xlName="_GBC_e0f146d847554ae083fd75e440464f31" concept="clcid-pte:GuDongTouRuDePuTongGuDaoZhiYongXuZhaiBianDongJinE" label="股东投入的普通股导致永续债变动金额" mulRef="_GBC_57faea4e453e49ad93821b7dd6ce8bc4" unitRef="_GBC_cef77704267643d794145c73763360e5" addr="T0R12C3S1_1" formatStyle="Comma"/>
        <m:item xlName="_GBC_f322dbe37b144962a9f4c2ada45b18cd" concept="clcid-pte:GuDongTouRuDePuTongGuDaoZhiQiTaQuanYiGongJuZhongDeQiTaBianDongJinE" label="股东投入的普通股导致其他权益工具中的其他变动金额" mulRef="_GBC_57faea4e453e49ad93821b7dd6ce8bc4" unitRef="_GBC_cef77704267643d794145c73763360e5" addr="T0R12C4S1_1" formatStyle="Comma"/>
        <m:item xlName="_GBC_2bcede48c6ac4e178a895c920987ad30" concept="clcid-pte:GuDongTouRuDePuTongGuDaoZhiZiBenGongJiBianDongJinE" label="股东投入的普通股导致资本公积变动金额" mulRef="_GBC_57faea4e453e49ad93821b7dd6ce8bc4" unitRef="_GBC_cef77704267643d794145c73763360e5" addr="T0R12C5S1_1" formatStyle="Comma"/>
        <m:item xlName="_GBC_3f94a46ad5b44639a3a0cdfe1533738f" concept="clcid-pte:GuDongTouRuDePuTongGuDaoZhiKuCunGuBianDongJinE" label="股东投入的普通股导致库存股变动金额" mulRef="_GBC_57faea4e453e49ad93821b7dd6ce8bc4" unitRef="_GBC_cef77704267643d794145c73763360e5" addr="T0R12C6S1_1" baseScale="-1" formatStyle="Comma"/>
        <m:item xlName="_GBC_ad642a829d4240fb831e58f8abfdbd2e" concept="clcid-pte:GuDongTouRuDePuTongGuDaoZhiQiTaZongHeShouYiBianDongJinE" label="股东投入的普通股导致其他综合收益变动金额" mulRef="_GBC_57faea4e453e49ad93821b7dd6ce8bc4" unitRef="_GBC_cef77704267643d794145c73763360e5" addr="T0R12C7S1_1" formatStyle="Comma"/>
        <m:item xlName="_GBC_c9b2988006ab46f9a1d81d654de240cd" concept="clcid-pte:GuDongTouRuDePuTongGuDaoZhiZhuanXiangChuBeiBianDongJinE" label="股东投入的普通股导致专项储备变动金额" mulRef="_GBC_57faea4e453e49ad93821b7dd6ce8bc4" unitRef="_GBC_cef77704267643d794145c73763360e5" addr="T0R12C8S1_1" formatStyle="Comma"/>
        <m:item xlName="_GBC_e1f467b8121b4a7ca1585de7ed8b58ea" concept="clcid-pte:GuDongTouRuDePuTongGuDaoZhiYingYuGongJiBianDongJinE" label="股东投入的普通股导致盈余公积变动金额" mulRef="_GBC_57faea4e453e49ad93821b7dd6ce8bc4" unitRef="_GBC_cef77704267643d794145c73763360e5" addr="T0R12C9S1_1" formatStyle="Comma"/>
        <m:item xlName="_GBC_4d8fa6ab6e844813a829eb35e1a4d1c6" concept="clcid-pte:GuDongTouRuDePuTongGuDaoZhiYiBanFengXianZhunBeiBianDongJinE" label="股东投入的普通股导致一般风险准备变动金额" mulRef="_GBC_57faea4e453e49ad93821b7dd6ce8bc4" unitRef="_GBC_cef77704267643d794145c73763360e5" addr="T0R12C10S1_1" formatStyle="Comma"/>
        <m:item xlName="_GBC_2e0166d98aa04a58b5a1c7806cbc91e7" concept="clcid-pte:GuDongTouRuDePuTongGuDaoZhiWeiFenPeiLiRunBianDongJinE" label="股东投入的普通股导致未分配利润变动金额" mulRef="_GBC_57faea4e453e49ad93821b7dd6ce8bc4" unitRef="_GBC_cef77704267643d794145c73763360e5" addr="T0R12C11S1_1" formatStyle="Comma"/>
        <m:item xlName="_GBC_f3e85c2e6f7242d0ba8071d98a4be9c8" concept="clcid-pte:GuDongTouRuDePuTongGuDaoZhiQiTaDeGuiShuYuMuGongSiSuoYouZheQuanYiBianDongJinE" label="股东投入的普通股导致其他的归属于母公司所有者权益变动金额" mulRef="_GBC_57faea4e453e49ad93821b7dd6ce8bc4" unitRef="_GBC_cef77704267643d794145c73763360e5" addr="T0R12C12S1_1" formatStyle="Comma"/>
        <m:item xlName="_GBC_e2b1ffdf4d7449fbb6e63472a9626f50" concept="clcid-pte:GuDongTouRuDePuTongGuDaoZhiGuiShuYuMuGongSiSuoYouZheQuanYiBianDongJinE" label="股东投入的普通股导致归属于母公司所有者权益变动金额" mulRef="_GBC_57faea4e453e49ad93821b7dd6ce8bc4" unitRef="_GBC_cef77704267643d794145c73763360e5" addr="T0R12C13S1_1" formatStyle="Comma"/>
        <m:item xlName="_GBC_2a71f61549cc4041be9cfe61766a129c" concept="clcid-pte:GuDongTouRuDePuTongGuDaoZhiShaoShuGuDongQuanYiBianDongJinE" label="股东投入的普通股导致少数股东权益变动金额" mulRef="_GBC_57faea4e453e49ad93821b7dd6ce8bc4" unitRef="_GBC_cef77704267643d794145c73763360e5" addr="T0R12C14S1_1" formatStyle="Comma"/>
        <m:item xlName="_GBC_60260638439c4bffba58f42d194b2232" concept="clcid-pte:GuDongTouRuDePuTongGuDaoZhiGuDongQuanYiHeJiBianDongJinE" label="股东投入的普通股导致股东权益合计变动金额" mulRef="_GBC_57faea4e453e49ad93821b7dd6ce8bc4" unitRef="_GBC_cef77704267643d794145c73763360e5" addr="T0R12C15S1_1" formatStyle="Comma"/>
        <m:placeholder xlName="_PLD_00983bc5e4cc404f92b2fab2c532ec5f" wordText="2．其他权益工具持有者投入资本" addr="T0R13C0S1_1"/>
        <m:item xlName="_GBC_272ee4840cd344bc9b82789f5fcd2af0" concept="clcid-pte:QiTaQuanYiGongJuChiYouZheTouRuZiBenDaoZhiGuBenBianDongJinE" label="其他权益工具持有者投入资本导致股本变动金额" mulRef="_GBC_57faea4e453e49ad93821b7dd6ce8bc4" unitRef="_GBC_cef77704267643d794145c73763360e5" addr="T0R13C1S1_1" formatStyle="Comma"/>
        <m:item xlName="_GBC_05009b1a8408429c87bbae95411b7e5a" concept="clcid-pte:QiTaQuanYiGongJuChiYouZheTouRuZiBenDaoZhiYouXianGuBianDongJinE" label="其他权益工具持有者投入资本导致优先股变动金额" mulRef="_GBC_57faea4e453e49ad93821b7dd6ce8bc4" unitRef="_GBC_cef77704267643d794145c73763360e5" addr="T0R13C2S1_1" formatStyle="Comma"/>
        <m:item xlName="_GBC_d75cbd81d0a440b988dede0d218a30d2" concept="clcid-pte:QiTaQuanYiGongJuChiYouZheTouRuZiBenDaoZhiYongXuZhaiBianDongJinE" label="其他权益工具持有者投入资本导致永续债变动金额" mulRef="_GBC_57faea4e453e49ad93821b7dd6ce8bc4" unitRef="_GBC_cef77704267643d794145c73763360e5" addr="T0R13C3S1_1" formatStyle="Comma"/>
        <m:item xlName="_GBC_0205ed43c0aa40e5902e9ec02246b996" concept="clcid-pte:QiTaQuanYiGongJuChiYouZheTouRuZiBenDaoZhiQiTaQuanYiGongJuZhongDeQiTaBianDongJinE" label="其他权益工具持有者投入资本导致其他权益工具中的其他变动金额" mulRef="_GBC_57faea4e453e49ad93821b7dd6ce8bc4" unitRef="_GBC_cef77704267643d794145c73763360e5" addr="T0R13C4S1_1" formatStyle="Comma"/>
        <m:item xlName="_GBC_bd2a483d35ad4d709ed3ca65eaeb2a8d" concept="clcid-pte:QiTaQuanYiGongJuChiYouZheTouRuZiBenDaoZhiZiBenGongJiBianDongJinE" label="其他权益工具持有者投入资本导致资本公积变动金额" mulRef="_GBC_57faea4e453e49ad93821b7dd6ce8bc4" unitRef="_GBC_cef77704267643d794145c73763360e5" addr="T0R13C5S1_1" formatStyle="Comma"/>
        <m:item xlName="_GBC_e32c55233b4940a38c32ee8c2b8dab6b" concept="clcid-pte:QiTaQuanYiGongJuChiYouZheTouRuZiBenDaoZhiKuCunGuBianDongJinE" label="其他权益工具持有者投入资本导致库存股变动金额" mulRef="_GBC_57faea4e453e49ad93821b7dd6ce8bc4" unitRef="_GBC_cef77704267643d794145c73763360e5" addr="T0R13C6S1_1" baseScale="-1" formatStyle="Comma"/>
        <m:item xlName="_GBC_c2b70d17b87c4b51b95ad5c965d05ebc" concept="clcid-pte:QiTaQuanYiGongJuChiYouZheTouRuZiBenDaoZhiQiTaZongHeShouYiBianDongJinE" label="其他权益工具持有者投入资本导致其他综合收益变动金额" mulRef="_GBC_57faea4e453e49ad93821b7dd6ce8bc4" unitRef="_GBC_cef77704267643d794145c73763360e5" addr="T0R13C7S1_1" formatStyle="Comma"/>
        <m:item xlName="_GBC_c36187945c3d4372b3d942cd50da8bb1" concept="clcid-pte:QiTaQuanYiGongJuChiYouZheTouRuZiBenDaoZhiZhuanXiangChuBeiBianDongJinE" label="其他权益工具持有者投入资本导致专项储备变动金额" mulRef="_GBC_57faea4e453e49ad93821b7dd6ce8bc4" unitRef="_GBC_cef77704267643d794145c73763360e5" addr="T0R13C8S1_1" formatStyle="Comma"/>
        <m:item xlName="_GBC_8e595496005745fd8d0e1fc10c1adf21" concept="clcid-pte:QiTaQuanYiGongJuChiYouZheTouRuZiBenDaoZhiYingYuGongJiBianDongJinE" label="其他权益工具持有者投入资本导致盈余公积变动金额" mulRef="_GBC_57faea4e453e49ad93821b7dd6ce8bc4" unitRef="_GBC_cef77704267643d794145c73763360e5" addr="T0R13C9S1_1" formatStyle="Comma"/>
        <m:item xlName="_GBC_7be547304c304c889629f52be3d1cad8" concept="clcid-pte:QiTaQuanYiGongJuChiYouZheTouRuZiBenDaoZhiYiBanFengXianZhunBeiBianDongJinE" label="其他权益工具持有者投入资本导致一般风险准备变动金额" mulRef="_GBC_57faea4e453e49ad93821b7dd6ce8bc4" unitRef="_GBC_cef77704267643d794145c73763360e5" addr="T0R13C10S1_1" formatStyle="Comma"/>
        <m:item xlName="_GBC_7605bd7ecbbc4aa6a60307c61e22b15f" concept="clcid-pte:QiTaQuanYiGongJuChiYouZheTouRuZiBenDaoZhiWeiFenPeiLiRunBianDongJinE" label="其他权益工具持有者投入资本导致未分配利润变动金额" mulRef="_GBC_57faea4e453e49ad93821b7dd6ce8bc4" unitRef="_GBC_cef77704267643d794145c73763360e5" addr="T0R13C11S1_1" formatStyle="Comma"/>
        <m:item xlName="_GBC_f6cf1cc4eb224fa78b7fcb091d69b608" concept="clcid-pte:QiTaQuanYiGongJuChiYouZheTouRuZiBenDaoZhiQiTaDeGuiShuYuMuGongSiSuoYouZheQuanYiBianDongJinE" label="其他权益工具持有者投入资本导致其他的归属于母公司所有者权益变动金额" mulRef="_GBC_57faea4e453e49ad93821b7dd6ce8bc4" unitRef="_GBC_cef77704267643d794145c73763360e5" addr="T0R13C12S1_1" formatStyle="Comma"/>
        <m:item xlName="_GBC_a0cb6a71e9a34bf5b55f8ddbfbe9a47c" concept="clcid-pte:QiTaQuanYiGongJuChiYouZheTouRuZiBenDaoZhiGuiShuYuMuGongSiSuoYouZheQuanYiBianDongJinE" label="其他权益工具持有者投入资本导致归属于母公司所有者权益变动金额" mulRef="_GBC_57faea4e453e49ad93821b7dd6ce8bc4" unitRef="_GBC_cef77704267643d794145c73763360e5" addr="T0R13C13S1_1" formatStyle="Comma"/>
        <m:item xlName="_GBC_87bdeae3080f4993ab0e6b1e4c0ce1b4" concept="clcid-pte:QiTaQuanYiGongJuChiYouZheTouRuZiBenDaoZhiShaoShuGuDongQuanYiBianDongJinE" label="其他权益工具持有者投入资本导致少数股东权益变动金额" mulRef="_GBC_57faea4e453e49ad93821b7dd6ce8bc4" unitRef="_GBC_cef77704267643d794145c73763360e5" addr="T0R13C14S1_1" formatStyle="Comma"/>
        <m:item xlName="_GBC_8b6d24ab0c4349579bc399db7c565fd8" concept="clcid-pte:QiTaQuanYiGongJuChiYouZheTouRuZiBenDaoZhiGuDongQuanYiHeJiBianDongJinE" label="其他权益工具持有者投入资本导致股东权益合计变动金额" mulRef="_GBC_57faea4e453e49ad93821b7dd6ce8bc4" unitRef="_GBC_cef77704267643d794145c73763360e5" addr="T0R13C15S1_1" formatStyle="Comma"/>
        <m:placeholder xlName="_PLD_b945685508384f75ad9507566dd406a5" wordText="3．股份支付计入所有者权益的金额" addr="T0R14C0S1_1"/>
        <m:item xlName="_GBC_5aa336b355e44669b7d9bb69d8f1726c" concept="clcid-pte:GuFenZhiFuJiRuSuoYouZheQuanYiDeJinEDaoZhiShiShouZiBenHuoGuBenJingEBianDongJinE" label="股份支付计入所有者权益的金额导致实收资本（或股本）净额变动金额" mulRef="_GBC_57faea4e453e49ad93821b7dd6ce8bc4" unitRef="_GBC_cef77704267643d794145c73763360e5" addr="T0R14C1S1_1" formatStyle="Comma"/>
        <m:item xlName="_GBC_6f53131641444aaf892cf4884a81ccd0" concept="clcid-pte:GuFenZhiFuJiRuSuoYouZheQuanYiDeJinEDaoZhiQiTaQuanYiGongJuZhongDeYouXianGuBianDongJinE" label="股份支付计入所有者权益的金额导致其他权益工具中的优先股变动金额" mulRef="_GBC_57faea4e453e49ad93821b7dd6ce8bc4" unitRef="_GBC_cef77704267643d794145c73763360e5" addr="T0R14C2S1_1" formatStyle="Comma"/>
        <m:item xlName="_GBC_436e13fa49e043b5a4d65883e1bc6875" concept="clcid-pte:GuFenZhiFuJiRuSuoYouZheQuanYiDeJinEDaoZhiQiTaQuanYiGongJuZhongDeYongXuZhaiBianDongJinE" label="股份支付计入所有者权益的金额导致其他权益工具中的永续债变动金额" mulRef="_GBC_57faea4e453e49ad93821b7dd6ce8bc4" unitRef="_GBC_cef77704267643d794145c73763360e5" addr="T0R14C3S1_1" formatStyle="Comma"/>
        <m:item xlName="_GBC_41df43579d714e22b9fbe776df8fabe7" concept="clcid-pte:GuFenZhiFuJiRuSuoYouZheQuanYiDeJinEDaoZhiQiTaQuanYiGongJuZhongDeQiTaBianDongJinE" label="股份支付计入所有者权益的金额导致其他权益工具中的其他变动金额" mulRef="_GBC_57faea4e453e49ad93821b7dd6ce8bc4" unitRef="_GBC_cef77704267643d794145c73763360e5" addr="T0R14C4S1_1" formatStyle="Comma"/>
        <m:item xlName="_GBC_d47f62a223d1452c9e4e8ca146739fa3" concept="clcid-pte:GuFenZhiFuJiRuSuoYouZheQuanYiDeJinEDaoZhiZiBenGongJiBianDongJinE" label="股份支付计入所有者权益的金额导致资本公积变动金额" mulRef="_GBC_57faea4e453e49ad93821b7dd6ce8bc4" unitRef="_GBC_cef77704267643d794145c73763360e5" addr="T0R14C5S1_1" formatStyle="Comma"/>
        <m:item xlName="_GBC_b80cf70f484b47c9ade2811657c905f3" concept="clcid-pte:GuFenZhiFuJiRuSuoYouZheQuanYiDeJinEDaoZhiKuCunGuBianDongJinE" label="股份支付计入所有者权益的金额导致库存股变动金额" mulRef="_GBC_57faea4e453e49ad93821b7dd6ce8bc4" unitRef="_GBC_cef77704267643d794145c73763360e5" addr="T0R14C6S1_1" baseScale="-1" formatStyle="Comma"/>
        <m:item xlName="_GBC_12693b9eddc946d9818a6e58730df957" concept="clcid-pte:GuFenZhiFuJiRuSuoYouZheQuanYiDeJinEDaoZhiQiTaZongHeShouYiBianDongJinE" label="股份支付计入所有者权益的金额导致其他综合收益变动金额" mulRef="_GBC_57faea4e453e49ad93821b7dd6ce8bc4" unitRef="_GBC_cef77704267643d794145c73763360e5" addr="T0R14C7S1_1" formatStyle="Comma"/>
        <m:item xlName="_GBC_83ba1fa6a0b141f28d5af2c6ceb37a33" concept="clcid-pte:GuFenZhiFuJiRuSuoYouZheQuanYiDeJinEDaoZhiZhuanXiangChuBeiBianDongJinE" label="股份支付计入所有者权益的金额导致专项储备变动金额" mulRef="_GBC_57faea4e453e49ad93821b7dd6ce8bc4" unitRef="_GBC_cef77704267643d794145c73763360e5" addr="T0R14C8S1_1" formatStyle="Comma"/>
        <m:item xlName="_GBC_253d78c0252e47f38eb6efcc5dcf9618" concept="clcid-pte:GuFenZhiFuJiRuSuoYouZheQuanYiDeJinEDaoZhiYingYuGongJiBianDongJinE" label="股份支付计入所有者权益的金额导致盈余公积变动金额" mulRef="_GBC_57faea4e453e49ad93821b7dd6ce8bc4" unitRef="_GBC_cef77704267643d794145c73763360e5" addr="T0R14C9S1_1" formatStyle="Comma"/>
        <m:item xlName="_GBC_85656b47b3784f8ead748b40ac28c0d4" concept="clcid-pte:GuFenZhiFuJiRuSuoYouZheQuanYiDeJinEDaoZhiYiBanFengXianZhunBeiBianDongJinE" label="股份支付计入所有者权益的金额导致一般风险准备变动金额" mulRef="_GBC_57faea4e453e49ad93821b7dd6ce8bc4" unitRef="_GBC_cef77704267643d794145c73763360e5" addr="T0R14C10S1_1" formatStyle="Comma"/>
        <m:item xlName="_GBC_892a6daff2f74efab8aa72f840d4121d" concept="clcid-pte:GuFenZhiFuJiRuSuoYouZheQuanYiDeJinEDaoZhiWeiFenPeiLiRunBianDongJinE" label="股份支付计入所有者权益的金额导致未分配利润变动金额" mulRef="_GBC_57faea4e453e49ad93821b7dd6ce8bc4" unitRef="_GBC_cef77704267643d794145c73763360e5" addr="T0R14C11S1_1" formatStyle="Comma"/>
        <m:item xlName="_GBC_2743d59c1d5046a588a3dfb65da07425" concept="clcid-pte:GuFenZhiFuJiRuSuoYouZheQuanYiDeJinEDaoZhiQiTaDeGuiShuYuMuGongSiSuoYouZheQuanYiBianDongJinE" label="股份支付计入所有者权益的金额导致其他的归属于母公司所有者权益变动金额" mulRef="_GBC_57faea4e453e49ad93821b7dd6ce8bc4" unitRef="_GBC_cef77704267643d794145c73763360e5" addr="T0R14C12S1_1" formatStyle="Comma"/>
        <m:item xlName="_GBC_a5e1c566e3064673b93874ea9cdd6cee" concept="clcid-pte:GuFenZhiFuJiRuSuoYouZheQuanYiDeJinEDaoZhiGuiShuYuMuGongSiSuoYouZheQuanYiBianDongJinE" label="股份支付计入所有者权益的金额导致归属于母公司所有者权益变动金额" mulRef="_GBC_57faea4e453e49ad93821b7dd6ce8bc4" unitRef="_GBC_cef77704267643d794145c73763360e5" addr="T0R14C13S1_1" formatStyle="Comma"/>
        <m:item xlName="_GBC_588beff2e16a40ea9494affb9ab9ddd7" concept="clcid-pte:GuFenZhiFuJiRuSuoYouZheQuanYiDeJinEDaoZhiShaoShuGuDongQuanYiBianDongJinE" label="股份支付计入所有者权益的金额导致少数股东权益变动金额" mulRef="_GBC_57faea4e453e49ad93821b7dd6ce8bc4" unitRef="_GBC_cef77704267643d794145c73763360e5" addr="T0R14C14S1_1" formatStyle="Comma"/>
        <m:item xlName="_GBC_c5088b48142a44ffafdd56770eca4632" concept="clcid-pte:GuFenZhiFuJiRuSuoYouZheQuanYiDeJinEDaoZhiGuDongQuanYiHeJiBianDongJinE" label="股份支付计入所有者权益的金额导致股东权益合计变动金额" mulRef="_GBC_57faea4e453e49ad93821b7dd6ce8bc4" unitRef="_GBC_cef77704267643d794145c73763360e5" addr="T0R14C15S1_1" formatStyle="Comma"/>
        <m:placeholder xlName="_PLD_86538f5d06744ca9be65b0b439b17643" wordText="4．其他" addr="T0R15C0S1_1"/>
        <m:item xlName="_GBC_413cbfd3c67448a986a99cfc9ab30e16" concept="clcid-pte:QiTaSuoYouZheTouRuHeJianShaoZiBenDaoZhiShiShouZiBenHuoGuBenJingEBianDongJinE" label="其他所有者投入和减少资本导致实收资本（或股本）净额变动金额" mulRef="_GBC_57faea4e453e49ad93821b7dd6ce8bc4" unitRef="_GBC_cef77704267643d794145c73763360e5" addr="T0R15C1S1_1" formatStyle="Comma"/>
        <m:item xlName="_GBC_7e65141db5644b258c8b0f100cae87ff" concept="clcid-pte:QiTaSuoYouZheTouRuHeJianShaoZiBenDaoZhiQiTaQuanYiGongJuZhongDeYouXianGuBianDongJinE" label="其他所有者投入和减少资本导致其他权益工具中的优先股变动金额" mulRef="_GBC_57faea4e453e49ad93821b7dd6ce8bc4" unitRef="_GBC_cef77704267643d794145c73763360e5" addr="T0R15C2S1_1" formatStyle="Comma"/>
        <m:item xlName="_GBC_e39f106386814522b56ed6538eafdb7a" concept="clcid-pte:QiTaSuoYouZheTouRuHeJianShaoZiBenDaoZhiQiTaQuanYiGongJuZhongDeYongXuZhaiBianDongJinE" label="其他所有者投入和减少资本导致其他权益工具中的永续债变动金额" mulRef="_GBC_57faea4e453e49ad93821b7dd6ce8bc4" unitRef="_GBC_cef77704267643d794145c73763360e5" addr="T0R15C3S1_1" formatStyle="Comma"/>
        <m:item xlName="_GBC_679099b8063e45b2a91e69f7d25d0897" concept="clcid-pte:QiTaSuoYouZheTouRuHeJianShaoZiBenDaoZhiQiTaQuanYiGongJuZhongDeQiTaBianDongJinE" label="其他所有者投入和减少资本导致其他权益工具中的其他变动金额" mulRef="_GBC_57faea4e453e49ad93821b7dd6ce8bc4" unitRef="_GBC_cef77704267643d794145c73763360e5" addr="T0R15C4S1_1" formatStyle="Comma"/>
        <m:item xlName="_GBC_5f9a76279e3f4bc49aaa082bb5bb8353" concept="clcid-pte:QiTaSuoYouZheTouRuHeJianShaoZiBenDaoZhiZiBenGongJiBianDongJinE" label="其他所有者投入和减少资本导致资本公积变动金额" mulRef="_GBC_57faea4e453e49ad93821b7dd6ce8bc4" unitRef="_GBC_cef77704267643d794145c73763360e5" addr="T0R15C5S1_1" formatStyle="Comma"/>
        <m:item xlName="_GBC_be92e6d49fb44efba098c3396c247bac" concept="clcid-pte:QiTaSuoYouZheTouRuHeJianShaoZiBenDaoZhiKuCunGuBianDongJinE" label="其他所有者投入和减少资本导致库存股变动金额" mulRef="_GBC_57faea4e453e49ad93821b7dd6ce8bc4" unitRef="_GBC_cef77704267643d794145c73763360e5" addr="T0R15C6S1_1" baseScale="-1" formatStyle="Comma"/>
        <m:item xlName="_GBC_4abe8b05268443a0b9973e0faecaf0bd" concept="clcid-pte:QiTaSuoYouZheTouRuHeJianShaoZiBenDaoZhiQiTaZongHeShouYiBianDongJinE" label="其他所有者投入和减少资本导致其他综合收益变动金额" mulRef="_GBC_57faea4e453e49ad93821b7dd6ce8bc4" unitRef="_GBC_cef77704267643d794145c73763360e5" addr="T0R15C7S1_1" formatStyle="Comma"/>
        <m:item xlName="_GBC_b9097087a7d54505b4d4e77c07ec527e" concept="clcid-pte:QiTaSuoYouZheTouRuHeJianShaoZiBenDaoZhiZhuanXiangChuBeiBianDongJinE" label="其他所有者投入和减少资本导致专项储备变动金额" mulRef="_GBC_57faea4e453e49ad93821b7dd6ce8bc4" unitRef="_GBC_cef77704267643d794145c73763360e5" addr="T0R15C8S1_1" formatStyle="Comma"/>
        <m:item xlName="_GBC_13bd847177c242ef9de5478e6ba9abee" concept="clcid-pte:QiTaSuoYouZheTouRuHeJianShaoZiBenDaoZhiYingYuGongJiBianDongJinE" label="其他所有者投入和减少资本导致盈余公积变动金额" mulRef="_GBC_57faea4e453e49ad93821b7dd6ce8bc4" unitRef="_GBC_cef77704267643d794145c73763360e5" addr="T0R15C9S1_1" formatStyle="Comma"/>
        <m:item xlName="_GBC_5425ca8ca641484f8ea9c871fbcf0d91" concept="clcid-pte:QiTaSuoYouZheTouRuHeJianShaoZiBenDaoZhiYiBanFengXianZhunBeiBianDongJinE" label="其他所有者投入和减少资本导致一般风险准备变动金额" mulRef="_GBC_57faea4e453e49ad93821b7dd6ce8bc4" unitRef="_GBC_cef77704267643d794145c73763360e5" addr="T0R15C10S1_1" formatStyle="Comma"/>
        <m:item xlName="_GBC_71856d6351fd4e49b4d3001669b847fc" concept="clcid-pte:QiTaSuoYouZheTouRuHeJianShaoZiBenDaoZhiWeiFenPeiLiRunBianDongJinE" label="其他所有者投入和减少资本导致未分配利润变动金额" mulRef="_GBC_57faea4e453e49ad93821b7dd6ce8bc4" unitRef="_GBC_cef77704267643d794145c73763360e5" addr="T0R15C11S1_1" formatStyle="Comma"/>
        <m:item xlName="_GBC_0c643b8cfc8f4d48a3f3c40b3a412c34" concept="clcid-pte:QiTaSuoYouZheTouRuHeJianShaoZiBenDaoZhiQiTaDeGuiShuYuMuGongSiSuoYouZheQuanYiBianDongJinE" label="其他所有者投入和减少资本导致其他的归属于母公司所有者权益变动金额" mulRef="_GBC_57faea4e453e49ad93821b7dd6ce8bc4" unitRef="_GBC_cef77704267643d794145c73763360e5" addr="T0R15C12S1_1" formatStyle="Comma"/>
        <m:item xlName="_GBC_eb3f6b79128148808e90ccf7ba38ac12" concept="clcid-pte:QiTaSuoYouZheTouRuHeJianShaoZiBenDaoZhiGuiShuYuMuGongSiSuoYouZheQuanYiBianDongJinE" label="其他所有者投入和减少资本导致归属于母公司所有者权益变动金额" mulRef="_GBC_57faea4e453e49ad93821b7dd6ce8bc4" unitRef="_GBC_cef77704267643d794145c73763360e5" addr="T0R15C13S1_1" formatStyle="Comma"/>
        <m:item xlName="_GBC_533a50a063a9425690b28cb397b1f7cd" concept="clcid-pte:QiTaSuoYouZheTouRuHeJianShaoZiBenDaoZhiShaoShuGuDongQuanYiBianDongJinE" label="其他所有者投入和减少资本导致少数股东权益变动金额" mulRef="_GBC_57faea4e453e49ad93821b7dd6ce8bc4" unitRef="_GBC_cef77704267643d794145c73763360e5" addr="T0R15C14S1_1" formatStyle="Comma"/>
        <m:item xlName="_GBC_e593a456b1464949a46e8baa430887ea" concept="clcid-pte:QiTaSuoYouZheTouRuHeJianShaoZiBenDaoZhiGuDongQuanYiHeJiBianDongJinE" label="其他所有者投入和减少资本导致股东权益合计变动金额" mulRef="_GBC_57faea4e453e49ad93821b7dd6ce8bc4" unitRef="_GBC_cef77704267643d794145c73763360e5" addr="T0R15C15S1_1" formatStyle="Comma"/>
        <m:placeholder xlName="_PLD_8fb1d678e8ca4e3ba31e34bed05e6c58" wordText="（三）利润分配" addr="T0R16C0S1_1"/>
        <m:item xlName="_GBC_3a0ff53b646f43a7a1f9c558b9fed774" concept="clcid-pte:LiRunFenPeiDaoZhiShiShouZiBenHuoGuBenJingEBianDongJinE" label="利润分配导致实收资本（或股本）净额变动金额" mulRef="_GBC_57faea4e453e49ad93821b7dd6ce8bc4" unitRef="_GBC_cef77704267643d794145c73763360e5" addr="T0R16C1S1_1" formatStyle="Comma">
          <m:complexRule comparator="Eq" title="利润分配导致实收资本（或股本）净额变动金额" test=" $_GBC_3f6e5c11a3ae4b68aca339911ff726ea +  $_GBC_e43a77fbbb1941b2a5cf2739d76c0309 +  $_GBC_d009f6d1d17b499bbf8d21d417459d3c +  $_GBC_4131260b170a415987c556a0a5376084" id="Cbf5ef69fb5434a72b62645abfa92a1ac" radius="0.0001"/>
        </m:item>
        <m:item xlName="_GBC_cef027cb84874282a4234d3d919e2525" concept="clcid-pte:LiRunFenPeiDaoZhiQiTaQuanYiGongJuZhongDeYouXianGuBianDongJinE" label="利润分配导致其他权益工具中的优先股变动金额" mulRef="_GBC_57faea4e453e49ad93821b7dd6ce8bc4" unitRef="_GBC_cef77704267643d794145c73763360e5" addr="T0R16C2S1_1" formatStyle="Comma">
          <m:complexRule comparator="Eq" title="利润分配导致其他权益工具中的优先股变动金额" test=" $_GBC_a95d7af7382545d680d0e8f42047f710 +  $_GBC_2acee122f98444fab99175423d459938 +  $_GBC_dfddf7851fae4642885366e758577c06 +  $_GBC_5316ae2b43fc45e4876efa021061fc7e" id="C391228ce42ce406391a4841833282b62"/>
        </m:item>
        <m:item xlName="_GBC_a4434a7b99ac4c55bae83e1870dc0552" concept="clcid-pte:LiRunFenPeiDaoZhiQiTaQuanYiGongJuZhongDeYongXuZhaiBianDongJinE" label="利润分配导致其他权益工具中的永续债变动金额" mulRef="_GBC_57faea4e453e49ad93821b7dd6ce8bc4" unitRef="_GBC_cef77704267643d794145c73763360e5" addr="T0R16C3S1_1" formatStyle="Comma">
          <m:complexRule comparator="Eq" title="利润分配导致其他权益工具中的永续债变动金额" test=" $_GBC_ae2fcc451d684cfca73e5c68521cb901 +  $_GBC_71dd5fe63ad74932b5e12924a79d7f04 +  $_GBC_f2453533a2a34b21be140f6a22f18ac6 +  $_GBC_1ed545f4f3c147819f3209cf432455ba" id="C3d2c8873329144d89b9880ede26496cc"/>
        </m:item>
        <m:item xlName="_GBC_d7a9f70ff8844eedbbc177b5ce7a14ac" concept="clcid-pte:LiRunFenPeiDaoZhiQiTaQuanYiGongJuZhongDeQiTaBianDongJinE" label="利润分配导致其他权益工具中的其他变动金额" mulRef="_GBC_57faea4e453e49ad93821b7dd6ce8bc4" unitRef="_GBC_cef77704267643d794145c73763360e5" addr="T0R16C4S1_1" formatStyle="Comma">
          <m:complexRule comparator="Eq" title="利润分配导致其他权益工具中的其他变动金额" test=" $_GBC_f66920800f6444cd95ba0bf4dbad06e4 +  $_GBC_1e7376b65edc4adf9bf66a67e7b0009f +  $_GBC_180581dfaad34e41b0f7eec3d394c3df +  $_GBC_2034577d69af4f67a618d68f24347dee" id="C245f6d99d9aa47dbbfbcf8e197320874"/>
        </m:item>
        <m:item xlName="_GBC_ca43e320938a425daa4d47c7ea4689d2" concept="clcid-pte:LiRunFenPeiDaoZhiZiBenGongJiBianDongJinE" label="利润分配导致资本公积变动金额" mulRef="_GBC_57faea4e453e49ad93821b7dd6ce8bc4" unitRef="_GBC_cef77704267643d794145c73763360e5" addr="T0R16C5S1_1" formatStyle="Comma">
          <m:complexRule comparator="Eq" title="利润分配导致资本公积变动金额" test=" $_GBC_3a8c86ef8f3f45b0989a323955009a7a +  $_GBC_abba1ba09d954d2eae32237c4f0cc2f2 +  $_GBC_ff3817bf856e43e0918dc5fd83d073a4 +  $_GBC_9c37f333e345412a924ffec411909606" id="C770ff9215ddf4a3bb04fc6f42c9260be" radius="0.0001"/>
        </m:item>
        <m:item xlName="_GBC_e9850772adf640108ea606c7effd2558" concept="clcid-pte:LiRunFenPeiDaoZhiKuCunGuBianDongJinE" label="利润分配导致库存股变动金额" mulRef="_GBC_57faea4e453e49ad93821b7dd6ce8bc4" unitRef="_GBC_cef77704267643d794145c73763360e5" addr="T0R16C6S1_1" baseScale="-1" formatStyle="Comma">
          <m:complexRule comparator="Eq" title="利润分配导致库存股变动金额" test=" $_GBC_ddc03d26793d42bf8c07ff4e0e03ed43 +  $_GBC_5ab3dc3dafbc46bc8575c384395be90f +  $_GBC_a3ab75889e2b4a178ca5263ed2c74d4d +  $_GBC_5196cac1a57941fb995e3c7f3099e3ee" id="C5f170696218744e1804d39bd463c6561" radius="0.0001"/>
        </m:item>
        <m:item xlName="_GBC_af21ec91ef5643488dfec3fec8c64520" concept="clcid-pte:LiRunFenPeiDaoZhiQiTaZongHeShouYiBianDongJinE" label="利润分配导致其他综合收益变动金额" mulRef="_GBC_57faea4e453e49ad93821b7dd6ce8bc4" unitRef="_GBC_cef77704267643d794145c73763360e5" addr="T0R16C7S1_1" formatStyle="Comma">
          <m:complexRule comparator="Eq" title="利润分配导致其他综合收益变动金额" test=" $_GBC_824959113c654884a18e5469a89a701e +  $_GBC_30fe50d43b2c4a95b5915999784fc197 +  $_GBC_478b22ad1b1b4f1d94df8fdf93d06dea +  $_GBC_9a12750efabe4695885dee9c3af317c9" id="C7f632ffc144e41f7a2002deef264afa9"/>
        </m:item>
        <m:item xlName="_GBC_f1779e1993f84d86b164fa733de9b714" concept="clcid-pte:LiRunFenPeiDaoZhiZhuanXiangChuBeiBianDongJinE" label="利润分配导致专项储备变动金额" mulRef="_GBC_57faea4e453e49ad93821b7dd6ce8bc4" unitRef="_GBC_cef77704267643d794145c73763360e5" addr="T0R16C8S1_1" formatStyle="Comma">
          <m:complexRule comparator="Eq" title="利润分配导致专项储备变动金额" test=" $_GBC_e1dedad80ea54ba880019c858ac16eeb +  $_GBC_050ab230415a4e22a914ea46e5aaa5c9 +  $_GBC_327e15f952d34202b39ca129392c717c +  $_GBC_9ea3e8b6396c4f56b37dcecbd02f014a" id="C68a5dd1e22c843cdb5517f70e8ac36c2"/>
        </m:item>
        <m:item xlName="_GBC_31ba2b8a65ef499eb2c5d3c38b1eb730" concept="clcid-pte:LiRunFenPeiDaoZhiYingYuGongJiBianDongJinE" label="利润分配导致盈余公积变动金额" mulRef="_GBC_57faea4e453e49ad93821b7dd6ce8bc4" unitRef="_GBC_cef77704267643d794145c73763360e5" addr="T0R16C9S1_1" formatStyle="Comma">
          <m:complexRule comparator="Eq" title="利润分配导致盈余公积变动金额" test=" $_GBC_f10d6036dae8450e9f52f78c0b19b6b9 +  $_GBC_fe2654ee0bdb43fcb35831c58b6962c8 +  $_GBC_5805250422514792b2783b5a1e823a3e +  $_GBC_d399b5ed7c944055b7b4bc4e6ea2508d" id="C124267df303d49d4b379ae9157bad8ca"/>
        </m:item>
        <m:item xlName="_GBC_a30aef806fe64f0e9e7646bf73a5cdbe" concept="clcid-pte:LiRunFenPeiDaoZhiYiBanFengXianZhunBeiBianDongJinE" label="利润分配导致一般风险准备变动金额" mulRef="_GBC_57faea4e453e49ad93821b7dd6ce8bc4" unitRef="_GBC_cef77704267643d794145c73763360e5" addr="T0R16C10S1_1" formatStyle="Comma">
          <m:complexRule comparator="Eq" title="利润分配导致一般风险准备变动金额" test=" $_GBC_5dc9aabfd97e46f897b32bb13a60bce2 +  $_GBC_f807299a4ca54a259c17db01f7283e68 +  $_GBC_d6346daa01a9439f8b059d320ae759d3 +  $_GBC_1314b8084ad149e7a484bf8414c010f6" id="Cdff4bd3cf04742ec99b28d977304e5dc"/>
        </m:item>
        <m:item xlName="_GBC_c6e745e9942c43bb813c139cdc55c224" concept="clcid-pte:LiRunFenPeiDaoZhiWeiFenPeiLiRunBianDongJinE" label="利润分配导致未分配利润变动金额" mulRef="_GBC_57faea4e453e49ad93821b7dd6ce8bc4" unitRef="_GBC_cef77704267643d794145c73763360e5" addr="T0R16C11S1_1" formatStyle="Comma">
          <m:complexRule comparator="Eq" title="利润分配导致未分配利润变动金额" test=" $_GBC_6760be1abb2e42a1af646710775b8ca9 +  $_GBC_66f2bdb2b27a45e9bd44795d0e63c51d +  $_GBC_9749a88e14dc4eb883c2b676074dccf4 +  $_GBC_6d31524977144f4190db929b704cb3b0" id="C7443cc1484e34d31a6d8a3fea4a5d561"/>
        </m:item>
        <m:item xlName="_GBC_80f2803156254bdbbe01c4b8dd7639e8" concept="clcid-pte:LiRunFenPeiDaoZhiQiTaDeGuiShuYuMuGongSiSuoYouZheQuanYiBianDongJinE" label="利润分配导致其他的归属于母公司所有者权益变动金额" mulRef="_GBC_57faea4e453e49ad93821b7dd6ce8bc4" unitRef="_GBC_cef77704267643d794145c73763360e5" addr="T0R16C12S1_1" formatStyle="Comma">
          <m:complexRule comparator="Eq" title="利润分配导致其他的归属于母公司所有者权益变动金额" test=" $_GBC_45a3c5078da347ffa404237639c00b78 +  $_GBC_71a21548ec294be0ae0ae451c9356f3a +  $_GBC_12fe2c20fbb64af2adaef4f857e75f6b +  $_GBC_8f39966cdb3a420e911c5c4edb3f72b6" id="C7918ba8f826248299d5e976191acb3bd"/>
        </m:item>
        <m:item xlName="_GBC_796410d10595447f9d384040b3836046" concept="clcid-pte:LiRunFenPeiDaoZhiGuiShuYuMuGongSiSuoYouZheQuanYiBianDongJinE" label="利润分配导致归属于母公司所有者权益变动金额" mulRef="_GBC_57faea4e453e49ad93821b7dd6ce8bc4" unitRef="_GBC_cef77704267643d794145c73763360e5" addr="T0R16C13S1_1" formatStyle="Comma">
          <m:complexRule comparator="Eq" title="利润分配导致归属于母公司所有者权益变动金额小计" test=" $_GBC_25855867c8f44b0fb69e0ae1f8f6aeaa +  $_GBC_edbce23117bb4d58a77add6075fde8d3 +  $_GBC_6e1fbdf63a8c4f1dbd6706ad626edbdb +  $_GBC_603ded8ee3204db583bc42760010d59b" id="C8ca74ef1a32a49169c4f3e980b5926b3"/>
        </m:item>
        <m:item xlName="_GBC_a9a30b0b9f8647d9b4ef82d45ad73fd9" concept="clcid-pte:LiRunFenPeiDaoZhiShaoShuGuDongQuanYiBianDongJinE" label="利润分配导致少数股东权益变动金额" mulRef="_GBC_57faea4e453e49ad93821b7dd6ce8bc4" unitRef="_GBC_cef77704267643d794145c73763360e5" addr="T0R16C14S1_1" formatStyle="Comma">
          <m:complexRule comparator="Eq" title="利润分配导致少数股东权益变动金额" test=" $_GBC_e7ff1a3d1e8045cea6eeaaaffd21d431 +  $_GBC_52669936b71040e3b8fdfa0f773242b3 +  $_GBC_03f075ad55284efbb1adefbe67ddc46e +  $_GBC_c4f238bfc52b4c3bbef5730c1d478867" id="Ccda9783a3aa944a7bd71fb0e5032a767"/>
        </m:item>
        <m:item xlName="_GBC_365bd934a2ad4f509a4b2e07a201b733" concept="clcid-pte:LiRunFenPeiDaoZhiGuDongQuanYiHeJiBianDongJinE" label="利润分配导致股东权益合计变动金额" mulRef="_GBC_57faea4e453e49ad93821b7dd6ce8bc4" unitRef="_GBC_cef77704267643d794145c73763360e5" addr="T0R16C15S1_1" formatStyle="Comma">
          <m:complexRule comparator="Eq" title="利润分配导致股东权益合计变动金额" test=" $_GBC_12625232ded64732b494cf3d089eab03 +  $_GBC_d579c04304fe4446a66e68377e568c5f +  $_GBC_682d75836c1240238509bb0e48f4bd43 +  $_GBC_20d29620a6e441c0b17e7be1bf77e785" id="Cdc11a641bc71406c977b0a9f992f89e0"/>
        </m:item>
        <m:placeholder xlName="_PLD_5badbc22860d48e29f8d8d9a4a633d8c" wordText="1．提取盈余公积" addr="T0R17C0S1_1"/>
        <m:item xlName="_GBC_3f6e5c11a3ae4b68aca339911ff726ea" concept="clcid-pte:TiQuYingYuGongJiDaoZhiShiShouZiBenHuoGuBenJingEBianDongJinE" label="提取盈余公积导致实收资本（或股本）净额变动金额" mulRef="_GBC_57faea4e453e49ad93821b7dd6ce8bc4" unitRef="_GBC_cef77704267643d794145c73763360e5" addr="T0R17C1S1_1" formatStyle="Comma"/>
        <m:item xlName="_GBC_a95d7af7382545d680d0e8f42047f710" concept="clcid-pte:TiQuYingYuGongJiDaoZhiQiTaQuanYiGongJuZhongDeYouXianGuBianDongJinE" label="提取盈余公积导致其他权益工具中的优先股变动金额" mulRef="_GBC_57faea4e453e49ad93821b7dd6ce8bc4" unitRef="_GBC_cef77704267643d794145c73763360e5" addr="T0R17C2S1_1" formatStyle="Comma"/>
        <m:item xlName="_GBC_ae2fcc451d684cfca73e5c68521cb901" concept="clcid-pte:TiQuYingYuGongJiDaoZhiQiTaQuanYiGongJuZhongDeYongXuZhaiBianDongJinE" label="提取盈余公积导致其他权益工具中的永续债变动金额" mulRef="_GBC_57faea4e453e49ad93821b7dd6ce8bc4" unitRef="_GBC_cef77704267643d794145c73763360e5" addr="T0R17C3S1_1" formatStyle="Comma"/>
        <m:item xlName="_GBC_f66920800f6444cd95ba0bf4dbad06e4" concept="clcid-pte:TiQuYingYuGongJiDaoZhiQiTaQuanYiGongJuZhongDeQiTaBianDongJinE" label="提取盈余公积导致其他权益工具中的其他变动金额" mulRef="_GBC_57faea4e453e49ad93821b7dd6ce8bc4" unitRef="_GBC_cef77704267643d794145c73763360e5" addr="T0R17C4S1_1" formatStyle="Comma"/>
        <m:item xlName="_GBC_3a8c86ef8f3f45b0989a323955009a7a" concept="clcid-pte:TiQuYingYuGongJiDaoZhiZiBenGongJiBianDongJinE" label="提取盈余公积导致资本公积变动金额" mulRef="_GBC_57faea4e453e49ad93821b7dd6ce8bc4" unitRef="_GBC_cef77704267643d794145c73763360e5" addr="T0R17C5S1_1" formatStyle="Comma"/>
        <m:item xlName="_GBC_ddc03d26793d42bf8c07ff4e0e03ed43" concept="clcid-pte:TiQuYingYuGongJiDaoZhiKuCunGuBianDongJinE" label="提取盈余公积导致库存股变动金额" mulRef="_GBC_57faea4e453e49ad93821b7dd6ce8bc4" unitRef="_GBC_cef77704267643d794145c73763360e5" addr="T0R17C6S1_1" baseScale="-1" formatStyle="Comma"/>
        <m:item xlName="_GBC_824959113c654884a18e5469a89a701e" concept="clcid-pte:TiQuYingYuGongJiDaoZhiQiTaZongHeShouYiBianDongJinE" label="提取盈余公积导致其他综合收益变动金额" mulRef="_GBC_57faea4e453e49ad93821b7dd6ce8bc4" unitRef="_GBC_cef77704267643d794145c73763360e5" addr="T0R17C7S1_1" formatStyle="Comma"/>
        <m:item xlName="_GBC_e1dedad80ea54ba880019c858ac16eeb" concept="clcid-pte:TiQuYingYuGongJiDaoZhiZhuanXiangChuBeiBianDongJinE" label="提取盈余公积导致专项储备变动金额" mulRef="_GBC_57faea4e453e49ad93821b7dd6ce8bc4" unitRef="_GBC_cef77704267643d794145c73763360e5" addr="T0R17C8S1_1" formatStyle="Comma"/>
        <m:item xlName="_GBC_f10d6036dae8450e9f52f78c0b19b6b9" concept="clcid-pte:TiQuYingYuGongJiDaoZhiYingYuGongJiBianDongJinE" label="提取盈余公积导致盈余公积变动金额" mulRef="_GBC_57faea4e453e49ad93821b7dd6ce8bc4" unitRef="_GBC_cef77704267643d794145c73763360e5" addr="T0R17C9S1_1" formatStyle="Comma"/>
        <m:item xlName="_GBC_5dc9aabfd97e46f897b32bb13a60bce2" concept="clcid-pte:TiQuYingYuGongJiDaoZhiYiBanFengXianZhunBeiBianDongJinE" label="提取盈余公积导致一般风险准备变动金额" mulRef="_GBC_57faea4e453e49ad93821b7dd6ce8bc4" unitRef="_GBC_cef77704267643d794145c73763360e5" addr="T0R17C10S1_1" formatStyle="Comma"/>
        <m:item xlName="_GBC_6760be1abb2e42a1af646710775b8ca9" concept="clcid-pte:TiQuYingYuGongJiDaoZhiWeiFenPeiLiRunBianDongJinE" label="提取盈余公积导致未分配利润变动金额" mulRef="_GBC_57faea4e453e49ad93821b7dd6ce8bc4" unitRef="_GBC_cef77704267643d794145c73763360e5" addr="T0R17C11S1_1" formatStyle="Comma"/>
        <m:item xlName="_GBC_45a3c5078da347ffa404237639c00b78" concept="clcid-pte:TiQuYingYuGongJiDaoZhiQiTaDeGuiShuYuMuGongSiSuoYouZheQuanYiBianDongJinE" label="提取盈余公积导致其他的归属于母公司所有者权益变动金额" mulRef="_GBC_57faea4e453e49ad93821b7dd6ce8bc4" unitRef="_GBC_cef77704267643d794145c73763360e5" addr="T0R17C12S1_1" formatStyle="Comma"/>
        <m:item xlName="_GBC_25855867c8f44b0fb69e0ae1f8f6aeaa" concept="clcid-pte:TiQuYingYuGongJiDaoZhiGuiShuYuMuGongSiSuoYouZheQuanYiBianDongJinE" label="提取盈余公积导致归属于母公司所有者权益变动金额" mulRef="_GBC_57faea4e453e49ad93821b7dd6ce8bc4" unitRef="_GBC_cef77704267643d794145c73763360e5" addr="T0R17C13S1_1" formatStyle="Comma"/>
        <m:item xlName="_GBC_e7ff1a3d1e8045cea6eeaaaffd21d431" concept="clcid-pte:TiQuYingYuGongJiDaoZhiShaoShuGuDongQuanYiBianDongJinE" label="提取盈余公积导致少数股东权益变动金额" mulRef="_GBC_57faea4e453e49ad93821b7dd6ce8bc4" unitRef="_GBC_cef77704267643d794145c73763360e5" addr="T0R17C14S1_1" formatStyle="Comma"/>
        <m:item xlName="_GBC_12625232ded64732b494cf3d089eab03" concept="clcid-pte:TiQuYingYuGongJiDaoZhiGuDongQuanYiHeJiBianDongJinE" label="提取盈余公积导致股东权益合计变动金额" mulRef="_GBC_57faea4e453e49ad93821b7dd6ce8bc4" unitRef="_GBC_cef77704267643d794145c73763360e5" addr="T0R17C15S1_1" formatStyle="Comma"/>
        <m:placeholder xlName="_PLD_2c8b649d670044a9b5fda521dd40705d" wordText="2．提取一般风险准备" addr="T0R18C0S1_1"/>
        <m:item xlName="_GBC_e43a77fbbb1941b2a5cf2739d76c0309" concept="clcid-pte:TiQuYiBanFengXianZhunBeiDaoZhiShiShouZiBenHuoGuBenJingEBianDongJinE" label="提取一般风险准备导致实收资本（或股本）净额变动金额" mulRef="_GBC_57faea4e453e49ad93821b7dd6ce8bc4" unitRef="_GBC_cef77704267643d794145c73763360e5" addr="T0R18C1S1_1" formatStyle="Comma"/>
        <m:item xlName="_GBC_2acee122f98444fab99175423d459938" concept="clcid-pte:TiQuYiBanFengXianZhunBeiDaoZhiQiTaQuanYiGongJuZhongDeYouXianGuBianDongJinE" label="提取一般风险准备导致其他权益工具中的优先股变动金额" mulRef="_GBC_57faea4e453e49ad93821b7dd6ce8bc4" unitRef="_GBC_cef77704267643d794145c73763360e5" addr="T0R18C2S1_1" formatStyle="Comma"/>
        <m:item xlName="_GBC_71dd5fe63ad74932b5e12924a79d7f04" concept="clcid-pte:TiQuYiBanFengXianZhunBeiDaoZhiQiTaQuanYiGongJuZhongDeYongXuZhaiBianDongJinE" label="提取一般风险准备导致其他权益工具中的永续债变动金额" mulRef="_GBC_57faea4e453e49ad93821b7dd6ce8bc4" unitRef="_GBC_cef77704267643d794145c73763360e5" addr="T0R18C3S1_1" formatStyle="Comma"/>
        <m:item xlName="_GBC_1e7376b65edc4adf9bf66a67e7b0009f" concept="clcid-pte:TiQuYiBanFengXianZhunBeiDaoZhiQiTaQuanYiGongJuZhongDeQiTaBianDongJinE" label="提取一般风险准备导致其他权益工具中的其他变动金额" mulRef="_GBC_57faea4e453e49ad93821b7dd6ce8bc4" unitRef="_GBC_cef77704267643d794145c73763360e5" addr="T0R18C4S1_1" formatStyle="Comma"/>
        <m:item xlName="_GBC_abba1ba09d954d2eae32237c4f0cc2f2" concept="clcid-pte:TiQuYiBanFengXianZhunBeiDaoZhiZiBenGongJiBianDongJinE" label="提取一般风险准备导致资本公积变动金额" mulRef="_GBC_57faea4e453e49ad93821b7dd6ce8bc4" unitRef="_GBC_cef77704267643d794145c73763360e5" addr="T0R18C5S1_1" formatStyle="Comma"/>
        <m:item xlName="_GBC_5ab3dc3dafbc46bc8575c384395be90f" concept="clcid-pte:TiQuYiBanFengXianZhunBeiDaoZhiKuCunGuBianDongJinE" label="提取一般风险准备导致库存股变动金额" mulRef="_GBC_57faea4e453e49ad93821b7dd6ce8bc4" unitRef="_GBC_cef77704267643d794145c73763360e5" addr="T0R18C6S1_1" baseScale="-1" formatStyle="Comma"/>
        <m:item xlName="_GBC_30fe50d43b2c4a95b5915999784fc197" concept="clcid-pte:TiQuYiBanFengXianZhunBeiDaoZhiQiTaZongHeShouYiBianDongJinE" label="提取一般风险准备导致其他综合收益变动金额" mulRef="_GBC_57faea4e453e49ad93821b7dd6ce8bc4" unitRef="_GBC_cef77704267643d794145c73763360e5" addr="T0R18C7S1_1" formatStyle="Comma"/>
        <m:item xlName="_GBC_050ab230415a4e22a914ea46e5aaa5c9" concept="clcid-pte:TiQuYiBanFengXianZhunBeiDaoZhiZhuanXiangChuBeiBianDongJinE" label="提取一般风险准备导致专项储备变动金额" mulRef="_GBC_57faea4e453e49ad93821b7dd6ce8bc4" unitRef="_GBC_cef77704267643d794145c73763360e5" addr="T0R18C8S1_1" formatStyle="Comma"/>
        <m:item xlName="_GBC_fe2654ee0bdb43fcb35831c58b6962c8" concept="clcid-pte:TiQuYiBanFengXianZhunBeiDaoZhiYingYuGongJiBianDongJinE" label="提取一般风险准备导致盈余公积变动金额" mulRef="_GBC_57faea4e453e49ad93821b7dd6ce8bc4" unitRef="_GBC_cef77704267643d794145c73763360e5" addr="T0R18C9S1_1" formatStyle="Comma"/>
        <m:item xlName="_GBC_f807299a4ca54a259c17db01f7283e68" concept="clcid-pte:TiQuYiBanFengXianZhunBeiDaoZhiYiBanFengXianZhunBeiBianDongJinE" label="提取一般风险准备导致一般风险准备变动金额" mulRef="_GBC_57faea4e453e49ad93821b7dd6ce8bc4" unitRef="_GBC_cef77704267643d794145c73763360e5" addr="T0R18C10S1_1" formatStyle="Comma"/>
        <m:item xlName="_GBC_66f2bdb2b27a45e9bd44795d0e63c51d" concept="clcid-pte:TiQuYiBanFengXianZhunBeiDaoZhiWeiFenPeiLiRunBianDongJinE" label="提取一般风险准备导致未分配利润变动金额" mulRef="_GBC_57faea4e453e49ad93821b7dd6ce8bc4" unitRef="_GBC_cef77704267643d794145c73763360e5" addr="T0R18C11S1_1" formatStyle="Comma"/>
        <m:item xlName="_GBC_71a21548ec294be0ae0ae451c9356f3a" concept="clcid-pte:TiQuYiBanFengXianZhunBeiDaoZhiQiTaDeGuiShuYuMuGongSiSuoYouZheQuanYiBianDongJinE" label="提取一般风险准备导致其他的归属于母公司所有者权益变动金额" mulRef="_GBC_57faea4e453e49ad93821b7dd6ce8bc4" unitRef="_GBC_cef77704267643d794145c73763360e5" addr="T0R18C12S1_1" formatStyle="Comma"/>
        <m:item xlName="_GBC_edbce23117bb4d58a77add6075fde8d3" concept="clcid-pte:TiQuYiBanFengXianZhunBeiDaoZhiGuiShuYuMuGongSiSuoYouZheQuanYiBianDongJinE" label="提取一般风险准备导致归属于母公司所有者权益变动金额" mulRef="_GBC_57faea4e453e49ad93821b7dd6ce8bc4" unitRef="_GBC_cef77704267643d794145c73763360e5" addr="T0R18C13S1_1" formatStyle="Comma"/>
        <m:item xlName="_GBC_52669936b71040e3b8fdfa0f773242b3" concept="clcid-pte:TiQuYiBanFengXianZhunBeiDaoZhiShaoShuGuDongQuanYiBianDongJinE" label="提取一般风险准备导致少数股东权益变动金额" mulRef="_GBC_57faea4e453e49ad93821b7dd6ce8bc4" unitRef="_GBC_cef77704267643d794145c73763360e5" addr="T0R18C14S1_1" formatStyle="Comma"/>
        <m:item xlName="_GBC_d579c04304fe4446a66e68377e568c5f" concept="clcid-pte:TiQuYiBanFengXianZhunBeiDaoZhiGuDongQuanYiHeJiBianDongJinE" label="提取一般风险准备导致股东权益合计变动金额" mulRef="_GBC_57faea4e453e49ad93821b7dd6ce8bc4" unitRef="_GBC_cef77704267643d794145c73763360e5" addr="T0R18C15S1_1" formatStyle="Comma"/>
        <m:placeholder xlName="_PLD_254428ff3bee49c2acd11ef634901543" wordText="3．对所有者（或股东）的分配" addr="T0R19C0S1_1"/>
        <m:item xlName="_GBC_d009f6d1d17b499bbf8d21d417459d3c" concept="clcid-pte:DuiSuoYouZheHuoGuDongDeFenPeiDaoZhiShiShouZiBenHuoGuBenJingEBianDongJinE" label="对所有者（或股东）的分配导致实收资本（或股本）净额变动金额" mulRef="_GBC_57faea4e453e49ad93821b7dd6ce8bc4" unitRef="_GBC_cef77704267643d794145c73763360e5" addr="T0R19C1S1_1" formatStyle="Comma"/>
        <m:item xlName="_GBC_dfddf7851fae4642885366e758577c06" concept="clcid-pte:DuiSuoYouZheHuoGuDongDeFenPeiDaoZhiQiTaQuanYiGongJuZhongDeYouXianGuBianDongJinE" label="对所有者（或股东）的分配导致其他权益工具中的优先股变动金额" mulRef="_GBC_57faea4e453e49ad93821b7dd6ce8bc4" unitRef="_GBC_cef77704267643d794145c73763360e5" addr="T0R19C2S1_1" formatStyle="Comma"/>
        <m:item xlName="_GBC_f2453533a2a34b21be140f6a22f18ac6" concept="clcid-pte:DuiSuoYouZheHuoGuDongDeFenPeiDaoZhiQiTaQuanYiGongJuZhongDeYongXuZhaiBianDongJinE" label="对所有者（或股东）的分配导致其他权益工具中的永续债变动金额" mulRef="_GBC_57faea4e453e49ad93821b7dd6ce8bc4" unitRef="_GBC_cef77704267643d794145c73763360e5" addr="T0R19C3S1_1" formatStyle="Comma"/>
        <m:item xlName="_GBC_180581dfaad34e41b0f7eec3d394c3df" concept="clcid-pte:DuiSuoYouZheHuoGuDongDeFenPeiDaoZhiQiTaQuanYiGongJuZhongDeQiTaBianDongJinE" label="对所有者（或股东）的分配导致其他权益工具中的其他变动金额" mulRef="_GBC_57faea4e453e49ad93821b7dd6ce8bc4" unitRef="_GBC_cef77704267643d794145c73763360e5" addr="T0R19C4S1_1" formatStyle="Comma"/>
        <m:item xlName="_GBC_ff3817bf856e43e0918dc5fd83d073a4" concept="clcid-pte:DuiSuoYouZheHuoGuDongDeFenPeiDaoZhiZiBenGongJiBianDongJinE" label="对所有者（或股东）的分配导致资本公积变动金额" mulRef="_GBC_57faea4e453e49ad93821b7dd6ce8bc4" unitRef="_GBC_cef77704267643d794145c73763360e5" addr="T0R19C5S1_1" formatStyle="Comma"/>
        <m:item xlName="_GBC_a3ab75889e2b4a178ca5263ed2c74d4d" concept="clcid-pte:DuiSuoYouZheHuoGuDongDeFenPeiDaoZhiKuCunGuBianDongJinE" label="对所有者（或股东）的分配导致库存股变动金额" mulRef="_GBC_57faea4e453e49ad93821b7dd6ce8bc4" unitRef="_GBC_cef77704267643d794145c73763360e5" addr="T0R19C6S1_1" baseScale="-1" formatStyle="Comma"/>
        <m:item xlName="_GBC_478b22ad1b1b4f1d94df8fdf93d06dea" concept="clcid-pte:DuiSuoYouZheHuoGuDongDeFenPeiDaoZhiQiTaZongHeShouYiBianDongJinE" label="对所有者（或股东）的分配导致其他综合收益变动金额" mulRef="_GBC_57faea4e453e49ad93821b7dd6ce8bc4" unitRef="_GBC_cef77704267643d794145c73763360e5" addr="T0R19C7S1_1" formatStyle="Comma"/>
        <m:item xlName="_GBC_327e15f952d34202b39ca129392c717c" concept="clcid-pte:DuiSuoYouZheHuoGuDongDeFenPeiDaoZhiZhuanXiangChuBeiBianDongJinE" label="对所有者（或股东）的分配导致专项储备变动金额" mulRef="_GBC_57faea4e453e49ad93821b7dd6ce8bc4" unitRef="_GBC_cef77704267643d794145c73763360e5" addr="T0R19C8S1_1" formatStyle="Comma"/>
        <m:item xlName="_GBC_5805250422514792b2783b5a1e823a3e" concept="clcid-pte:DuiSuoYouZheHuoGuDongDeFenPeiDaoZhiYingYuGongJiBianDongJinE" label="对所有者（或股东）的分配导致盈余公积变动金额" mulRef="_GBC_57faea4e453e49ad93821b7dd6ce8bc4" unitRef="_GBC_cef77704267643d794145c73763360e5" addr="T0R19C9S1_1" formatStyle="Comma"/>
        <m:item xlName="_GBC_d6346daa01a9439f8b059d320ae759d3" concept="clcid-pte:DuiSuoYouZheHuoGuDongDeFenPeiDaoZhiYiBanFengXianZhunBeiBianDongJinE" label="对所有者（或股东）的分配导致一般风险准备变动金额" mulRef="_GBC_57faea4e453e49ad93821b7dd6ce8bc4" unitRef="_GBC_cef77704267643d794145c73763360e5" addr="T0R19C10S1_1" formatStyle="Comma"/>
        <m:item xlName="_GBC_9749a88e14dc4eb883c2b676074dccf4" concept="clcid-pte:DuiSuoYouZheHuoGuDongDeFenPeiDaoZhiWeiFenPeiLiRunBianDongJinE" label="对所有者（或股东）的分配导致未分配利润变动金额" mulRef="_GBC_57faea4e453e49ad93821b7dd6ce8bc4" unitRef="_GBC_cef77704267643d794145c73763360e5" addr="T0R19C11S1_1" formatStyle="Comma"/>
        <m:item xlName="_GBC_12fe2c20fbb64af2adaef4f857e75f6b" concept="clcid-pte:DuiSuoYouZheHuoGuDongDeFenPeiDaoZhiQiTaDeGuiShuYuMuGongSiSuoYouZheQuanYiBianDongJinE" label="对所有者（或股东）的分配导致其他的归属于母公司所有者权益变动金额" mulRef="_GBC_57faea4e453e49ad93821b7dd6ce8bc4" unitRef="_GBC_cef77704267643d794145c73763360e5" addr="T0R19C12S1_1" formatStyle="Comma"/>
        <m:item xlName="_GBC_6e1fbdf63a8c4f1dbd6706ad626edbdb" concept="clcid-pte:DuiSuoYouZheHuoGuDongDeFenPeiDaoZhiGuiShuYuMuGongSiSuoYouZheQuanYiBianDongJinE" label="对所有者（或股东）的分配导致归属于母公司所有者权益变动金额" mulRef="_GBC_57faea4e453e49ad93821b7dd6ce8bc4" unitRef="_GBC_cef77704267643d794145c73763360e5" addr="T0R19C13S1_1" formatStyle="Comma"/>
        <m:item xlName="_GBC_03f075ad55284efbb1adefbe67ddc46e" concept="clcid-pte:DuiSuoYouZheHuoGuDongDeFenPeiDaoZhiShaoShuGuDongQuanYiBianDongJinE" label="对所有者（或股东）的分配导致少数股东权益变动金额" mulRef="_GBC_57faea4e453e49ad93821b7dd6ce8bc4" unitRef="_GBC_cef77704267643d794145c73763360e5" addr="T0R19C14S1_1" formatStyle="Comma"/>
        <m:item xlName="_GBC_682d75836c1240238509bb0e48f4bd43" concept="clcid-pte:DuiSuoYouZheHuoGuDongDeFenPeiDaoZhiGuDongQuanYiHeJiBianDongJinE" label="对所有者（或股东）的分配导致股东权益合计变动金额" mulRef="_GBC_57faea4e453e49ad93821b7dd6ce8bc4" unitRef="_GBC_cef77704267643d794145c73763360e5" addr="T0R19C15S1_1" formatStyle="Comma"/>
        <m:placeholder xlName="_PLD_b3d350728a6c49ccaa6dbb4adf16c691" wordText="4．其他" addr="T0R20C0S1_1"/>
        <m:item xlName="_GBC_4131260b170a415987c556a0a5376084" concept="clcid-pte:QiTaLiRunFenPeiDaoZhiShiShouZiBenHuoGuBenJingEBianDongJinE" label="其他利润分配导致实收资本（或股本）净额变动金额" mulRef="_GBC_57faea4e453e49ad93821b7dd6ce8bc4" unitRef="_GBC_cef77704267643d794145c73763360e5" addr="T0R20C1S1_1" formatStyle="Comma"/>
        <m:item xlName="_GBC_5316ae2b43fc45e4876efa021061fc7e" concept="clcid-pte:QiTaLiRunFenPeiDaoZhiQiTaQuanYiGongJuZhongDeYouXianGuBianDongJinE" label="其他利润分配导致其他权益工具中的优先股变动金额" mulRef="_GBC_57faea4e453e49ad93821b7dd6ce8bc4" unitRef="_GBC_cef77704267643d794145c73763360e5" addr="T0R20C2S1_1" formatStyle="Comma"/>
        <m:item xlName="_GBC_1ed545f4f3c147819f3209cf432455ba" concept="clcid-pte:QiTaLiRunFenPeiDaoZhiQiTaQuanYiGongJuZhongDeYongXuZhaiBianDongJinE" label="其他利润分配导致其他权益工具中的永续债变动金额" mulRef="_GBC_57faea4e453e49ad93821b7dd6ce8bc4" unitRef="_GBC_cef77704267643d794145c73763360e5" addr="T0R20C3S1_1" formatStyle="Comma"/>
        <m:item xlName="_GBC_2034577d69af4f67a618d68f24347dee" concept="clcid-pte:QiTaLiRunFenPeiDaoZhiQiTaQuanYiGongJuZhongDeQiTaBianDongJinE" label="其他利润分配导致其他权益工具中的其他变动金额" mulRef="_GBC_57faea4e453e49ad93821b7dd6ce8bc4" unitRef="_GBC_cef77704267643d794145c73763360e5" addr="T0R20C4S1_1" formatStyle="Comma"/>
        <m:item xlName="_GBC_9c37f333e345412a924ffec411909606" concept="clcid-pte:QiTaLiRunFenPeiDaoZhiZiBenGongJiBianDongJinE" label="其他利润分配导致资本公积变动金额" mulRef="_GBC_57faea4e453e49ad93821b7dd6ce8bc4" unitRef="_GBC_cef77704267643d794145c73763360e5" addr="T0R20C5S1_1" formatStyle="Comma"/>
        <m:item xlName="_GBC_5196cac1a57941fb995e3c7f3099e3ee" concept="clcid-pte:QiTaLiRunFenPeiDaoZhiKuCunGuBianDongJinE" label="其他利润分配导致库存股变动金额" mulRef="_GBC_57faea4e453e49ad93821b7dd6ce8bc4" unitRef="_GBC_cef77704267643d794145c73763360e5" addr="T0R20C6S1_1" baseScale="-1" formatStyle="Comma"/>
        <m:item xlName="_GBC_9a12750efabe4695885dee9c3af317c9" concept="clcid-pte:QiTaLiRunFenPeiDaoZhiQiTaZongHeShouYiBianDongJinE" label="其他利润分配导致其他综合收益变动金额" mulRef="_GBC_57faea4e453e49ad93821b7dd6ce8bc4" unitRef="_GBC_cef77704267643d794145c73763360e5" addr="T0R20C7S1_1" formatStyle="Comma"/>
        <m:item xlName="_GBC_9ea3e8b6396c4f56b37dcecbd02f014a" concept="clcid-pte:QiTaLiRunFenPeiDaoZhiZhuanXiangChuBeiBianDongJinE" label="其他利润分配导致专项储备变动金额" mulRef="_GBC_57faea4e453e49ad93821b7dd6ce8bc4" unitRef="_GBC_cef77704267643d794145c73763360e5" addr="T0R20C8S1_1" formatStyle="Comma"/>
        <m:item xlName="_GBC_d399b5ed7c944055b7b4bc4e6ea2508d" concept="clcid-pte:QiTaLiRunFenPeiDaoZhiYingYuGongJiBianDongJinE" label="其他利润分配导致盈余公积变动金额" mulRef="_GBC_57faea4e453e49ad93821b7dd6ce8bc4" unitRef="_GBC_cef77704267643d794145c73763360e5" addr="T0R20C9S1_1" formatStyle="Comma"/>
        <m:item xlName="_GBC_1314b8084ad149e7a484bf8414c010f6" concept="clcid-pte:QiTaLiRunFenPeiDaoZhiYiBanFengXianZhunBeiBianDongJinE" label="其他利润分配导致一般风险准备变动金额" mulRef="_GBC_57faea4e453e49ad93821b7dd6ce8bc4" unitRef="_GBC_cef77704267643d794145c73763360e5" addr="T0R20C10S1_1" formatStyle="Comma"/>
        <m:item xlName="_GBC_6d31524977144f4190db929b704cb3b0" concept="clcid-pte:QiTaLiRunFenPeiDaoZhiWeiFenPeiLiRunBianDongJinE" label="其他利润分配导致未分配利润变动金额" mulRef="_GBC_57faea4e453e49ad93821b7dd6ce8bc4" unitRef="_GBC_cef77704267643d794145c73763360e5" addr="T0R20C11S1_1" formatStyle="Comma"/>
        <m:item xlName="_GBC_8f39966cdb3a420e911c5c4edb3f72b6" concept="clcid-pte:QiTaLiRunFenPeiDaoZhiQiTaDeGuiShuYuMuGongSiSuoYouZheQuanYiBianDongJinE" label="其他利润分配导致其他的归属于母公司所有者权益变动金额" mulRef="_GBC_57faea4e453e49ad93821b7dd6ce8bc4" unitRef="_GBC_cef77704267643d794145c73763360e5" addr="T0R20C12S1_1" formatStyle="Comma"/>
        <m:item xlName="_GBC_603ded8ee3204db583bc42760010d59b" concept="clcid-pte:QiTaLiRunFenPeiDaoZhiGuiShuYuMuGongSiSuoYouZheQuanYiBianDongJinE" label="其他利润分配导致归属于母公司所有者权益变动金额" mulRef="_GBC_57faea4e453e49ad93821b7dd6ce8bc4" unitRef="_GBC_cef77704267643d794145c73763360e5" addr="T0R20C13S1_1" formatStyle="Comma"/>
        <m:item xlName="_GBC_c4f238bfc52b4c3bbef5730c1d478867" concept="clcid-pte:QiTaLiRunFenPeiDaoZhiShaoShuGuDongQuanYiBianDongJinE" label="其他利润分配导致少数股东权益变动金额" mulRef="_GBC_57faea4e453e49ad93821b7dd6ce8bc4" unitRef="_GBC_cef77704267643d794145c73763360e5" addr="T0R20C14S1_1" formatStyle="Comma"/>
        <m:item xlName="_GBC_20d29620a6e441c0b17e7be1bf77e785" concept="clcid-pte:QiTaLiRunFenPeiDaoZhiGuDongQuanYiHeJiBianDongJinE" label="其他利润分配导致股东权益合计变动金额" mulRef="_GBC_57faea4e453e49ad93821b7dd6ce8bc4" unitRef="_GBC_cef77704267643d794145c73763360e5" addr="T0R20C15S1_1" formatStyle="Comma"/>
        <m:placeholder xlName="_PLD_03ab84b7536c4ddcaaad4c99a2dd5fd3" wordText="（四）所有者权益内部结转" addr="T0R21C0S1_1"/>
        <m:item xlName="_GBC_158326596e364a8ebe7839d08241e207" concept="clcid-pte:SuoYouZheQuanYiNeiBuJieZhuanDaoZhiShiShouZiBenHuoGuBenJingEBianDongJinE" label="所有者权益内部结转导致实收资本（或股本）净额变动金额" mulRef="_GBC_57faea4e453e49ad93821b7dd6ce8bc4" unitRef="_GBC_cef77704267643d794145c73763360e5" addr="T0R21C1S1_1" formatStyle="Comma">
          <m:complexRule comparator="Eq" title="所有者权益内部结转导致实收资本（或股本）净额变动金额" test=" $_GBC_2baeb3ec27164605b33e14db596cde4f +  $_GBC_d7d78d37a3b04a0d98af36d422e9a684 +  $_GBC_9c8384d262b144d0b93520878690286a +  $_GBC_5a84a409a3c240bdbb03d1c5c262f8ed +  $_GBC_194d2e17b8d741bb9682ae31654c0e73 +  $_GBC_f0606a6366874435a5d42807acb682be" id="Ca39c91f678d24dd49fc9edacba53639f" radius="0.0001"/>
        </m:item>
        <m:item xlName="_GBC_48b490e8cc30489d90aea1c1433b16e3" concept="clcid-pte:SuoYouZheQuanYiNeiBuJieZhuanDaoZhiQiTaQuanYiGongJuZhongDeYouXianGuBianDongJinE" label="所有者权益内部结转导致其他权益工具中的优先股变动金额" mulRef="_GBC_57faea4e453e49ad93821b7dd6ce8bc4" unitRef="_GBC_cef77704267643d794145c73763360e5" addr="T0R21C2S1_1" formatStyle="Comma">
          <m:complexRule comparator="Eq" title="所有者权益内部结转导致其他权益工具中的优先股变动金额" test=" $_GBC_06bfc76d4bae41f2a82745c2052c73c4 +  $_GBC_37ac11a45bfe424aa6a12d3db8ad0c64 +  $_GBC_9e6fac0b90754c92a6dff04fd76aea8d +  $_GBC_987a43e1e09d41db99465d816faced74 +  $_GBC_63d131c3ba0b4c5ab71b462daafd25eb +  $_GBC_7e6a0ac1b8cb41eeab0342709cf959ed" id="C621adede67494584aa7e7cdfa768dc1b"/>
        </m:item>
        <m:item xlName="_GBC_620dc73dc88947bf8ad75cf15acdfc67" concept="clcid-pte:SuoYouZheQuanYiNeiBuJieZhuanDaoZhiQiTaQuanYiGongJuZhongDeYongXuZhaiBianDongJinE" label="所有者权益内部结转导致其他权益工具中的永续债变动金额" mulRef="_GBC_57faea4e453e49ad93821b7dd6ce8bc4" unitRef="_GBC_cef77704267643d794145c73763360e5" addr="T0R21C3S1_1" formatStyle="Comma">
          <m:complexRule comparator="Eq" title="所有者权益内部结转导致其他权益工具中的永续债变动金额" test=" $_GBC_69b3b19ae9b14871b3c5e31094680dfe +  $_GBC_bb89e31041734188861212d0fe8bc3b3 +  $_GBC_3187ef1ffa7c4415bb6e644462489722 +  $_GBC_9974850986174aba8ff33c5831059d42 +  $_GBC_5dc9c7fe4c4a48e8ab61ebf77d67c17f +  $_GBC_077d9b5aa601495b93f4490c4786727c" id="Cc684a00a2f914b548664f56ba7b2f0ad"/>
        </m:item>
        <m:item xlName="_GBC_6ec80a2584f54a81b9b594ff2a5d0aa2" concept="clcid-pte:SuoYouZheQuanYiNeiBuJieZhuanDaoZhiQiTaQuanYiGongJuZhongDeQiTaBianDongJinE" label="所有者权益内部结转导致其他权益工具中的其他变动金额" mulRef="_GBC_57faea4e453e49ad93821b7dd6ce8bc4" unitRef="_GBC_cef77704267643d794145c73763360e5" addr="T0R21C4S1_1" formatStyle="Comma">
          <m:complexRule comparator="Eq" title="所有者权益内部结转导致其他权益工具中的其他变动金额" test=" $_GBC_6ac899b6c4d44e4ea6a3cab63561ab47 +  $_GBC_7a78435c2bb940c8893fd72c73e0910c +  $_GBC_c95ebda4053d400f87f7a864529828e2 +  $_GBC_56b3a0ba683c43f78c3b4c2af40d4d81 +  $_GBC_d7221329624641b699c59ac50434bca3 +  $_GBC_e2864e4b6f3c46cb8aa2e2ad75432cdb" id="C906c1477b4cc43929a8d5aaa5f69b74c"/>
        </m:item>
        <m:item xlName="_GBC_91fefaddee794da7b14ae368d4c4bcc7" concept="clcid-pte:SuoYouZheQuanYiNeiBuJieZhuanDaoZhiZiBenGongJiBianDongJinE" label="所有者权益内部结转导致资本公积变动金额" mulRef="_GBC_57faea4e453e49ad93821b7dd6ce8bc4" unitRef="_GBC_cef77704267643d794145c73763360e5" addr="T0R21C5S1_1" formatStyle="Comma">
          <m:complexRule comparator="Eq" title="所有者权益内部结转导致资本公积变动金额" test=" $_GBC_a2087025ec3648bc93f7955d23e58b00 +  $_GBC_57d124b745834bab92267c058fecd48a +  $_GBC_e30bc3fc8ebd427b92f202b6904b1ad2 +  $_GBC_076885d34c094644b90e6c0ff2f178f6 +  $_GBC_51f27f70df974aa7b5ec4bd489029bce +  $_GBC_4ea98f87a7a34b378e0a313ab882a2f7" id="C8b8a389b54bd41a19402dde46df3ddb0" radius="0.0001"/>
        </m:item>
        <m:item xlName="_GBC_3a3e42b36589436990f828f15a5d24e2" concept="clcid-pte:SuoYouZheQuanYiNeiBuJieZhuanDaoZhiKuCunGuBianDongJinE" label="所有者权益内部结转导致库存股变动金额" mulRef="_GBC_57faea4e453e49ad93821b7dd6ce8bc4" unitRef="_GBC_cef77704267643d794145c73763360e5" addr="T0R21C6S1_1" baseScale="-1" formatStyle="Comma">
          <m:complexRule comparator="Eq" title="所有者权益内部结转导致库存股变动金额" test=" $_GBC_9a27576d4f8e4e419045a31b51ff610d +  $_GBC_e5cd0aa5620f4a33804464ae674b9261 +  $_GBC_6dc8e09ac2de46eca15937686cccea60 +  $_GBC_990f8260e10f413a865e8299bf8c49b2 +  $_GBC_3253d1a77a03449bb5a26239e6ed998e +  $_GBC_990f8260e10f413a865e8299bf8c49b2" id="Cc041351e04964333b0aa0e86b7c6ccc2" radius="0.0001"/>
        </m:item>
        <m:item xlName="_GBC_74801f12253b4ffcadc9dc50e79a7c31" concept="clcid-pte:SuoYouZheQuanYiNeiBuJieZhuanDaoZhiQiTaZongHeShouYiBianDongJinE" label="所有者权益内部结转导致其他综合收益变动金额" mulRef="_GBC_57faea4e453e49ad93821b7dd6ce8bc4" unitRef="_GBC_cef77704267643d794145c73763360e5" addr="T0R21C7S1_1" formatStyle="Comma">
          <m:complexRule comparator="Eq" title="所有者权益内部结转导致其他综合收益变动金额" test=" $_GBC_df8db3849ca04ebb80a4455a50c54b22 +  $_GBC_18fc945fe234446484d30d040ca10fda +  $_GBC_0da3522e0c764f91a511a20d7d23372d +  $_GBC_c85cf04d62ab4beb92f448caef4da5a9 +  $_GBC_ed868be8974e4b4e804e9f5999d8a98c +  $_GBC_b07c6ea994c644fc9be8839066b8cb1a" id="C2e5f85e8837b4af2a87a39a25f49623c"/>
        </m:item>
        <m:item xlName="_GBC_8e2e37aeaf87454290b0faa72339d109" concept="clcid-pte:SuoYouZheQuanYiNeiBuJieZhuanDaoZhiZhuanXiangChuBeiBianDongJinE" label="所有者权益内部结转导致专项储备变动金额" mulRef="_GBC_57faea4e453e49ad93821b7dd6ce8bc4" unitRef="_GBC_cef77704267643d794145c73763360e5" addr="T0R21C8S1_1" formatStyle="Comma">
          <m:complexRule comparator="Eq" title="所有者权益内部结转导致专项储备变动金额" test=" $_GBC_57cedc7f70704631bbd70b3714daf22c +  $_GBC_dee7df95b91e42c7bb763a9d102faa17 +  $_GBC_0e7428ed7dea4bd5a480b1a672482df5 +  $_GBC_037a7d65d2714eeeaf389c9571a7c796 +  $_GBC_222e2d52d4e84881a46a3ba4ddca3d44 +  $_GBC_bc19adbd54394cf4990d64f3e83e3256" id="Ca875b356b91c4fc3b573926ae0dab914"/>
        </m:item>
        <m:item xlName="_GBC_78f6c7fbe15d42ba8efbe962e7c7161f" concept="clcid-pte:SuoYouZheQuanYiNeiBuJieZhuanDaoZhiYingYuGongJiBianDongJinE" label="所有者权益内部结转导致盈余公积变动金额" mulRef="_GBC_57faea4e453e49ad93821b7dd6ce8bc4" unitRef="_GBC_cef77704267643d794145c73763360e5" addr="T0R21C9S1_1" formatStyle="Comma">
          <m:complexRule comparator="Eq" title="所有者权益内部结转导致盈余公积变动金额" test=" $_GBC_e0fedf8c4aee4e05b4aa72e6cb4a16e6 +  $_GBC_19168d5fdc984fd1b1b2e985b3312f60 +  $_GBC_3192f22ca10943bda6736b4d79d65409 +  $_GBC_5665cd28811a4d85a2cd69c63952342e +  $_GBC_58f56e1c7484489681a0b8e17ded3f36 +  $_GBC_381a69b01bfd44f9887defbbe0cf1f51" id="C929959fd56bb44e1a1f8388f1407bbbe"/>
        </m:item>
        <m:item xlName="_GBC_0db3cfd387c34e5f9a8fbf3fd3a7ff06" concept="clcid-pte:SuoYouZheQuanYiNeiBuJieZhuanDaoZhiYiBanFengXianZhunBeiBianDongJinE" label="所有者权益内部结转导致一般风险准备变动金额" mulRef="_GBC_57faea4e453e49ad93821b7dd6ce8bc4" unitRef="_GBC_cef77704267643d794145c73763360e5" addr="T0R21C10S1_1" formatStyle="Comma">
          <m:complexRule comparator="Eq" title="所有者权益内部结转导致一般风险准备变动金额" test=" $_GBC_9d095efa8eef415d91688ca2363049aa +  $_GBC_d0e07a04929641409c3e26d19f896cad +  $_GBC_bfdd8e934dd24d308eb971db3faca063 +  $_GBC_698318c4a9d541dfbfbfa7ec7cfba155 +  $_GBC_d69e614ccd7a470a97edd07e82860b4a +  $_GBC_c328a8848b9741ccaa30b23f8208666c" id="Cd97f1a5c47ea44cc9692c9dffb84cdde"/>
        </m:item>
        <m:item xlName="_GBC_0843778eede64550b36fc99966817c0a" concept="clcid-pte:SuoYouZheQuanYiNeiBuJieZhuanDaoZhiWeiFenPeiLiRunBianDongJinE" label="所有者权益内部结转导致未分配利润变动金额" mulRef="_GBC_57faea4e453e49ad93821b7dd6ce8bc4" unitRef="_GBC_cef77704267643d794145c73763360e5" addr="T0R21C11S1_1" formatStyle="Comma">
          <m:complexRule comparator="Eq" title="所有者权益内部结转导致未分配利润变动金额" test=" $_GBC_5dde1e88dc554f659a123506fe9d8c6b +  $_GBC_e5688907dedd4e6694307f3a61d45a7f +  $_GBC_275c4803e4744aed87d9d7a428d0fd7b +  $_GBC_30cc501f07444c37ae240f456b093084 +  $_GBC_54c34312d52446d08167582b2c16531c +  $_GBC_3aaa9be33e854bfab5b2a35560347914" id="C544c74bf9a974e7aaed86ccc625f0458"/>
        </m:item>
        <m:item xlName="_GBC_c3a1393bd87a4bdcb9e2f0168eb9738e" concept="clcid-pte:SuoYouZheQuanYiNeiBuJieZhuanDaoZhiQiTaDeGuiShuYuMuGongSiSuoYouZheQuanYiBianDongJinE" label="所有者权益内部结转导致其他的归属于母公司所有者权益变动金额" mulRef="_GBC_57faea4e453e49ad93821b7dd6ce8bc4" unitRef="_GBC_cef77704267643d794145c73763360e5" addr="T0R21C12S1_1" formatStyle="Comma">
          <m:complexRule comparator="Eq" title="所有者权益内部结转导致其他的归属于母公司所有者权益变动金额" test=" $_GBC_5079cef49b9f4d959f964cc541d8a431 +  $_GBC_6d82d02e4dbb4b789e269c52e8c85023 +  $_GBC_7f8785dc8b6e424497543d74a0e75233 +  $_GBC_48eaf256d8eb40509e9a254c7103a0c3 +  $_GBC_9f90cb66f68b413e9541144c05a2e7c2 +  $_GBC_96f971902e484555ab3c05df4083a5e9" id="C79b05df5f5d948bbb37dfe0c452e4402"/>
        </m:item>
        <m:item xlName="_GBC_2ed846f10ca148fca67e10caa343a4b7" concept="clcid-pte:SuoYouZheQuanYiNeiBuJieZhuanDaoZhiGuiShuYuMuGongSiSuoYouZheQuanYiBianDongJinE" label="所有者权益内部结转导致归属于母公司所有者权益变动金额" mulRef="_GBC_57faea4e453e49ad93821b7dd6ce8bc4" unitRef="_GBC_cef77704267643d794145c73763360e5" addr="T0R21C13S1_1" formatStyle="Comma">
          <m:complexRule comparator="Eq" title="所有者权益内部结转导致归属于母公司所有者权益变动金额小计" test=" $_GBC_a147fdc4b0a34ba19a36857dc44c484f +  $_GBC_f7ec88b1cfc340ecbc2db715e9280106 +  $_GBC_a3542f17de8449a38b04228b98911c70 +  $_GBC_3da85d0a23a04236bf12e392f16cef68 +  $_GBC_f6a6ec6e0f9946828623e9aec7d201de +  $_GBC_21b2216ab5af47de9030208112dac275" id="Cee45d0b9328b4c9d8ef0a685df9f5970"/>
        </m:item>
        <m:item xlName="_GBC_6433a03aaf764c6bbb7fb28a263f4a75" concept="clcid-pte:SuoYouZheQuanYiNeiBuJieZhuanDaoZhiShaoShuGuDongQuanYiBianDongJinE" label="所有者权益内部结转导致少数股东权益变动金额" mulRef="_GBC_57faea4e453e49ad93821b7dd6ce8bc4" unitRef="_GBC_cef77704267643d794145c73763360e5" addr="T0R21C14S1_1" formatStyle="Comma">
          <m:complexRule comparator="Eq" title="所有者权益内部结转导致少数股东权益变动金额" test=" $_GBC_67e0a25ac3864454b0c40a9a5450e6e8 +  $_GBC_cae57e21b40548609dd8571177b6990a +  $_GBC_7bc3a7d08bd640288d142f80d272ac90 +  $_GBC_f9c86667170148c49351e362b0206c2f +  $_GBC_230e389e33e843b5822ec56da2d84c12 +  $_GBC_35abb63764394eb5b6fcbfb07d5ce6ec" id="C545f053fb6164e67a9f95432d5cf05a7"/>
        </m:item>
        <m:item xlName="_GBC_11ffe4abc91c475a9946d7350026712f" concept="clcid-pte:SuoYouZheQuanYiNeiBuJieZhuanDaoZhiGuDongQuanYiHeJiBianDongJinE" label="所有者权益内部结转导致股东权益合计变动金额" mulRef="_GBC_57faea4e453e49ad93821b7dd6ce8bc4" unitRef="_GBC_cef77704267643d794145c73763360e5" addr="T0R21C15S1_1" formatStyle="Comma">
          <m:complexRule comparator="Eq" title="所有者权益内部结转导致股东权益合计变动金额" test=" $_GBC_7a04c0847f9f4b7297ebab79977d22ac +  $_GBC_fbdf7bc724e740ac933d3b29a1bf7c0e +  $_GBC_34f99aa3436c47c39da8ceb9708d1add +  $_GBC_858de9a600cd473da4b3e97548e0ab4c +  $_GBC_167fdd27c19747d6aa10737ad54dad04 +  $_GBC_6f27f55a18fa432b92f760b42353ba9d" id="C74ce250f585d4e7b9a66d2babc9336c7"/>
        </m:item>
        <m:placeholder xlName="_PLD_88233f88b9ea4ceb82a1cc6cd7a5030d" wordText="1．资本公积转增资本（或股本）" addr="T0R22C0S1_1"/>
        <m:item xlName="_GBC_2baeb3ec27164605b33e14db596cde4f" concept="clcid-pte:ZiBenGongJiZhuanZengZiBenHuoGuBenDaoZhiShiShouZiBenHuoGuBenJingEBianDongJinE" label="资本公积转增资本（或股本）导致实收资本（或股本）净额变动金额" mulRef="_GBC_57faea4e453e49ad93821b7dd6ce8bc4" unitRef="_GBC_cef77704267643d794145c73763360e5" addr="T0R22C1S1_1" formatStyle="Comma"/>
        <m:item xlName="_GBC_06bfc76d4bae41f2a82745c2052c73c4" concept="clcid-pte:ZiBenGongJiZhuanZengZiBenHuoGuBenDaoZhiQiTaQuanYiGongJuZhongDeYouXianGuBianDongJinE" label="资本公积转增资本（或股本）导致其他权益工具中的优先股变动金额" mulRef="_GBC_57faea4e453e49ad93821b7dd6ce8bc4" unitRef="_GBC_cef77704267643d794145c73763360e5" addr="T0R22C2S1_1" formatStyle="Comma"/>
        <m:item xlName="_GBC_69b3b19ae9b14871b3c5e31094680dfe" concept="clcid-pte:ZiBenGongJiZhuanZengZiBenHuoGuBenDaoZhiQiTaQuanYiGongJuZhongDeYongXuZhaiBianDongJinE" label="资本公积转增资本（或股本）导致其他权益工具中的永续债变动金额" mulRef="_GBC_57faea4e453e49ad93821b7dd6ce8bc4" unitRef="_GBC_cef77704267643d794145c73763360e5" addr="T0R22C3S1_1" formatStyle="Comma"/>
        <m:item xlName="_GBC_6ac899b6c4d44e4ea6a3cab63561ab47" concept="clcid-pte:ZiBenGongJiZhuanZengZiBenHuoGuBenDaoZhiQiTaQuanYiGongJuZhongDeQiTaBianDongJinE" label="资本公积转增资本（或股本）导致其他权益工具中的其他变动金额" mulRef="_GBC_57faea4e453e49ad93821b7dd6ce8bc4" unitRef="_GBC_cef77704267643d794145c73763360e5" addr="T0R22C4S1_1" formatStyle="Comma"/>
        <m:item xlName="_GBC_a2087025ec3648bc93f7955d23e58b00" concept="clcid-pte:ZiBenGongJiZhuanZengZiBenHuoGuBenDaoZhiZiBenGongJiBianDongJinE" label="资本公积转增资本（或股本）导致资本公积变动金额" mulRef="_GBC_57faea4e453e49ad93821b7dd6ce8bc4" unitRef="_GBC_cef77704267643d794145c73763360e5" addr="T0R22C5S1_1" formatStyle="Comma"/>
        <m:item xlName="_GBC_9a27576d4f8e4e419045a31b51ff610d" concept="clcid-pte:ZiBenGongJiZhuanZengZiBenHuoGuBenDaoZhiKuCunGuBianDongJinE" label="资本公积转增资本（或股本）导致库存股变动金额" mulRef="_GBC_57faea4e453e49ad93821b7dd6ce8bc4" unitRef="_GBC_cef77704267643d794145c73763360e5" addr="T0R22C6S1_1" baseScale="-1" formatStyle="Comma"/>
        <m:item xlName="_GBC_df8db3849ca04ebb80a4455a50c54b22" concept="clcid-pte:ZiBenGongJiZhuanZengZiBenHuoGuBenDaoZhiQiTaZongHeShouYiBianDongJinE" label="资本公积转增资本（或股本）导致其他综合收益变动金额" mulRef="_GBC_57faea4e453e49ad93821b7dd6ce8bc4" unitRef="_GBC_cef77704267643d794145c73763360e5" addr="T0R22C7S1_1" formatStyle="Comma"/>
        <m:item xlName="_GBC_57cedc7f70704631bbd70b3714daf22c" concept="clcid-pte:ZiBenGongJiZhuanZengZiBenHuoGuBenDaoZhiZhuanXiangChuBeiBianDongJinE" label="资本公积转增资本（或股本）导致专项储备变动金额" mulRef="_GBC_57faea4e453e49ad93821b7dd6ce8bc4" unitRef="_GBC_cef77704267643d794145c73763360e5" addr="T0R22C8S1_1" formatStyle="Comma"/>
        <m:item xlName="_GBC_e0fedf8c4aee4e05b4aa72e6cb4a16e6" concept="clcid-pte:ZiBenGongJiZhuanZengZiBenHuoGuBenDaoZhiYingYuGongJiBianDongJinE" label="资本公积转增资本（或股本）导致盈余公积变动金额" mulRef="_GBC_57faea4e453e49ad93821b7dd6ce8bc4" unitRef="_GBC_cef77704267643d794145c73763360e5" addr="T0R22C9S1_1" formatStyle="Comma"/>
        <m:item xlName="_GBC_9d095efa8eef415d91688ca2363049aa" concept="clcid-pte:ZiBenGongJiZhuanZengZiBenHuoGuBenDaoZhiYiBanFengXianZhunBeiBianDongJinE" label="资本公积转增资本（或股本）导致一般风险准备变动金额" mulRef="_GBC_57faea4e453e49ad93821b7dd6ce8bc4" unitRef="_GBC_cef77704267643d794145c73763360e5" addr="T0R22C10S1_1" formatStyle="Comma"/>
        <m:item xlName="_GBC_5dde1e88dc554f659a123506fe9d8c6b" concept="clcid-pte:ZiBenGongJiZhuanZengZiBenHuoGuBenDaoZhiWeiFenPeiLiRunBianDongJinE" label="资本公积转增资本（或股本）导致未分配利润变动金额" mulRef="_GBC_57faea4e453e49ad93821b7dd6ce8bc4" unitRef="_GBC_cef77704267643d794145c73763360e5" addr="T0R22C11S1_1" formatStyle="Comma"/>
        <m:item xlName="_GBC_5079cef49b9f4d959f964cc541d8a431" concept="clcid-pte:ZiBenGongJiZhuanZengZiBenHuoGuBenDaoZhiQiTaDeGuiShuYuMuGongSiSuoYouZheQuanYiBianDongJinE" label="资本公积转增资本（或股本）导致其他的归属于母公司所有者权益变动金额" mulRef="_GBC_57faea4e453e49ad93821b7dd6ce8bc4" unitRef="_GBC_cef77704267643d794145c73763360e5" addr="T0R22C12S1_1" formatStyle="Comma"/>
        <m:item xlName="_GBC_a147fdc4b0a34ba19a36857dc44c484f" concept="clcid-pte:ZiBenGongJiZhuanZengZiBenHuoGuBenDaoZhiGuiShuYuMuGongSiSuoYouZheQuanYiBianDongJinE" label="资本公积转增资本（或股本）导致归属于母公司所有者权益变动金额" mulRef="_GBC_57faea4e453e49ad93821b7dd6ce8bc4" unitRef="_GBC_cef77704267643d794145c73763360e5" addr="T0R22C13S1_1" formatStyle="Comma"/>
        <m:item xlName="_GBC_67e0a25ac3864454b0c40a9a5450e6e8" concept="clcid-pte:ZiBenGongJiZhuanZengZiBenHuoGuBenDaoZhiShaoShuGuDongQuanYiBianDongJinE" label="资本公积转增资本（或股本）导致少数股东权益变动金额" mulRef="_GBC_57faea4e453e49ad93821b7dd6ce8bc4" unitRef="_GBC_cef77704267643d794145c73763360e5" addr="T0R22C14S1_1" formatStyle="Comma"/>
        <m:item xlName="_GBC_7a04c0847f9f4b7297ebab79977d22ac" concept="clcid-pte:ZiBenGongJiZhuanZengZiBenHuoGuBenDaoZhiGuDongQuanYiHeJiBianDongJinE" label="资本公积转增资本（或股本）导致股东权益合计变动金额" mulRef="_GBC_57faea4e453e49ad93821b7dd6ce8bc4" unitRef="_GBC_cef77704267643d794145c73763360e5" addr="T0R22C15S1_1" formatStyle="Comma"/>
        <m:placeholder xlName="_PLD_4a9492c5a232434296cfdef5eeded778" wordText="2．盈余公积转增资本（或股本）" addr="T0R23C0S1_1"/>
        <m:item xlName="_GBC_d7d78d37a3b04a0d98af36d422e9a684" concept="clcid-pte:YingYuGongJiZhuanZengZiBenHuoGuBenDaoZhiShiShouZiBenHuoGuBenJingEBianDongJinE" label="盈余公积转增资本（或股本）导致实收资本（或股本）净额变动金额" mulRef="_GBC_57faea4e453e49ad93821b7dd6ce8bc4" unitRef="_GBC_cef77704267643d794145c73763360e5" addr="T0R23C1S1_1" formatStyle="Comma"/>
        <m:item xlName="_GBC_37ac11a45bfe424aa6a12d3db8ad0c64" concept="clcid-pte:YingYuGongJiZhuanZengZiBenHuoGuBenDaoZhiQiTaQuanYiGongJuZhongDeYouXianGuBianDongJinE" label="盈余公积转增资本（或股本）导致其他权益工具中的优先股变动金额" mulRef="_GBC_57faea4e453e49ad93821b7dd6ce8bc4" unitRef="_GBC_cef77704267643d794145c73763360e5" addr="T0R23C2S1_1" formatStyle="Comma"/>
        <m:item xlName="_GBC_bb89e31041734188861212d0fe8bc3b3" concept="clcid-pte:YingYuGongJiZhuanZengZiBenHuoGuBenDaoZhiQiTaQuanYiGongJuZhongDeYongXuZhaiBianDongJinE" label="盈余公积转增资本（或股本）导致其他权益工具中的永续债变动金额" mulRef="_GBC_57faea4e453e49ad93821b7dd6ce8bc4" unitRef="_GBC_cef77704267643d794145c73763360e5" addr="T0R23C3S1_1" formatStyle="Comma"/>
        <m:item xlName="_GBC_7a78435c2bb940c8893fd72c73e0910c" concept="clcid-pte:YingYuGongJiZhuanZengZiBenHuoGuBenDaoZhiQiTaQuanYiGongJuZhongDeQiTaBianDongJinE" label="盈余公积转增资本（或股本）导致其他权益工具中的其他变动金额" mulRef="_GBC_57faea4e453e49ad93821b7dd6ce8bc4" unitRef="_GBC_cef77704267643d794145c73763360e5" addr="T0R23C4S1_1" formatStyle="Comma"/>
        <m:item xlName="_GBC_57d124b745834bab92267c058fecd48a" concept="clcid-pte:YingYuGongJiZhuanZengZiBenHuoGuBenDaoZhiZiBenGongJiBianDongJinE" label="盈余公积转增资本（或股本）导致资本公积变动金额" mulRef="_GBC_57faea4e453e49ad93821b7dd6ce8bc4" unitRef="_GBC_cef77704267643d794145c73763360e5" addr="T0R23C5S1_1" formatStyle="Comma"/>
        <m:item xlName="_GBC_e5cd0aa5620f4a33804464ae674b9261" concept="clcid-pte:YingYuGongJiZhuanZengZiBenHuoGuBenDaoZhiKuCunGuBianDongJinE" label="盈余公积转增资本（或股本）导致库存股变动金额" mulRef="_GBC_57faea4e453e49ad93821b7dd6ce8bc4" unitRef="_GBC_cef77704267643d794145c73763360e5" addr="T0R23C6S1_1" baseScale="-1" formatStyle="Comma"/>
        <m:item xlName="_GBC_18fc945fe234446484d30d040ca10fda" concept="clcid-pte:YingYuGongJiZhuanZengZiBenHuoGuBenDaoZhiQiTaZongHeShouYiBianDongJinE" label="盈余公积转增资本（或股本）导致其他综合收益变动金额" mulRef="_GBC_57faea4e453e49ad93821b7dd6ce8bc4" unitRef="_GBC_cef77704267643d794145c73763360e5" addr="T0R23C7S1_1" formatStyle="Comma"/>
        <m:item xlName="_GBC_dee7df95b91e42c7bb763a9d102faa17" concept="clcid-pte:YingYuGongJiZhuanZengZiBenHuoGuBenDaoZhiZhuanXiangChuBeiBianDongJinE" label="盈余公积转增资本（或股本）导致专项储备变动金额" mulRef="_GBC_57faea4e453e49ad93821b7dd6ce8bc4" unitRef="_GBC_cef77704267643d794145c73763360e5" addr="T0R23C8S1_1" formatStyle="Comma"/>
        <m:item xlName="_GBC_19168d5fdc984fd1b1b2e985b3312f60" concept="clcid-pte:YingYuGongJiZhuanZengZiBenHuoGuBenDaoZhiYingYuGongJiBianDongJinE" label="盈余公积转增资本（或股本）导致盈余公积变动金额" mulRef="_GBC_57faea4e453e49ad93821b7dd6ce8bc4" unitRef="_GBC_cef77704267643d794145c73763360e5" addr="T0R23C9S1_1" formatStyle="Comma"/>
        <m:item xlName="_GBC_d0e07a04929641409c3e26d19f896cad" concept="clcid-pte:YingYuGongJiZhuanZengZiBenHuoGuBenDaoZhiYiBanFengXianZhunBeiBianDongJinE" label="盈余公积转增资本（或股本）导致一般风险准备变动金额" mulRef="_GBC_57faea4e453e49ad93821b7dd6ce8bc4" unitRef="_GBC_cef77704267643d794145c73763360e5" addr="T0R23C10S1_1" formatStyle="Comma"/>
        <m:item xlName="_GBC_e5688907dedd4e6694307f3a61d45a7f" concept="clcid-pte:YingYuGongJiZhuanZengZiBenHuoGuBenDaoZhiWeiFenPeiLiRunBianDongJinE" label="盈余公积转增资本（或股本）导致未分配利润变动金额" mulRef="_GBC_57faea4e453e49ad93821b7dd6ce8bc4" unitRef="_GBC_cef77704267643d794145c73763360e5" addr="T0R23C11S1_1" formatStyle="Comma"/>
        <m:item xlName="_GBC_6d82d02e4dbb4b789e269c52e8c85023" concept="clcid-pte:YingYuGongJiZhuanZengZiBenHuoGuBenDaoZhiQiTaDeGuiShuYuMuGongSiSuoYouZheQuanYiBianDongJinE" label="盈余公积转增资本（或股本）导致其他的归属于母公司所有者权益变动金额" mulRef="_GBC_57faea4e453e49ad93821b7dd6ce8bc4" unitRef="_GBC_cef77704267643d794145c73763360e5" addr="T0R23C12S1_1" formatStyle="Comma"/>
        <m:item xlName="_GBC_f7ec88b1cfc340ecbc2db715e9280106" concept="clcid-pte:YingYuGongJiZhuanZengZiBenHuoGuBenDaoZhiGuiShuYuMuGongSiSuoYouZheQuanYiBianDongJinE" label="盈余公积转增资本（或股本）导致归属于母公司所有者权益变动金额" mulRef="_GBC_57faea4e453e49ad93821b7dd6ce8bc4" unitRef="_GBC_cef77704267643d794145c73763360e5" addr="T0R23C13S1_1" formatStyle="Comma"/>
        <m:item xlName="_GBC_cae57e21b40548609dd8571177b6990a" concept="clcid-pte:YingYuGongJiZhuanZengZiBenHuoGuBenDaoZhiShaoShuGuDongQuanYiBianDongJinE" label="盈余公积转增资本（或股本）导致少数股东权益变动金额" mulRef="_GBC_57faea4e453e49ad93821b7dd6ce8bc4" unitRef="_GBC_cef77704267643d794145c73763360e5" addr="T0R23C14S1_1" formatStyle="Comma"/>
        <m:item xlName="_GBC_fbdf7bc724e740ac933d3b29a1bf7c0e" concept="clcid-pte:YingYuGongJiZhuanZengZiBenHuoGuBenDaoZhiGuDongQuanYiHeJiBianDongJinE" label="盈余公积转增资本（或股本）导致股东权益合计变动金额" mulRef="_GBC_57faea4e453e49ad93821b7dd6ce8bc4" unitRef="_GBC_cef77704267643d794145c73763360e5" addr="T0R23C15S1_1" formatStyle="Comma"/>
        <m:placeholder xlName="_PLD_25911664beff496799fc3193be7c3182" wordText="3．盈余公积弥补亏损" addr="T0R24C0S1_1"/>
        <m:item xlName="_GBC_9c8384d262b144d0b93520878690286a" concept="clcid-pte:YingYuGongJiMiBuKuiSunDaoZhiShiShouZiBenHuoGuBenJingEBianDongJinE" label="盈余公积弥补亏损导致实收资本（或股本）净额变动金额" mulRef="_GBC_57faea4e453e49ad93821b7dd6ce8bc4" unitRef="_GBC_cef77704267643d794145c73763360e5" addr="T0R24C1S1_1" formatStyle="Comma"/>
        <m:item xlName="_GBC_9e6fac0b90754c92a6dff04fd76aea8d" concept="clcid-pte:YingYuGongJiMiBuKuiSunDaoZhiQiTaQuanYiGongJuZhongDeYouXianGuBianDongJinE" label="盈余公积弥补亏损导致其他权益工具中的优先股变动金额" mulRef="_GBC_57faea4e453e49ad93821b7dd6ce8bc4" unitRef="_GBC_cef77704267643d794145c73763360e5" addr="T0R24C2S1_1" formatStyle="Comma"/>
        <m:item xlName="_GBC_3187ef1ffa7c4415bb6e644462489722" concept="clcid-pte:YingYuGongJiMiBuKuiSunDaoZhiQiTaQuanYiGongJuZhongDeYongXuZhaiBianDongJinE" label="盈余公积弥补亏损导致其他权益工具中的永续债变动金额" mulRef="_GBC_57faea4e453e49ad93821b7dd6ce8bc4" unitRef="_GBC_cef77704267643d794145c73763360e5" addr="T0R24C3S1_1" formatStyle="Comma"/>
        <m:item xlName="_GBC_c95ebda4053d400f87f7a864529828e2" concept="clcid-pte:YingYuGongJiMiBuKuiSunDaoZhiQiTaQuanYiGongJuZhongDeQiTaBianDongJinE" label="盈余公积弥补亏损导致其他权益工具中的其他变动金额" mulRef="_GBC_57faea4e453e49ad93821b7dd6ce8bc4" unitRef="_GBC_cef77704267643d794145c73763360e5" addr="T0R24C4S1_1" formatStyle="Comma"/>
        <m:item xlName="_GBC_e30bc3fc8ebd427b92f202b6904b1ad2" concept="clcid-pte:YingYuGongJiMiBuKuiSunDaoZhiZiBenGongJiBianDongJinE" label="盈余公积弥补亏损导致资本公积变动金额" mulRef="_GBC_57faea4e453e49ad93821b7dd6ce8bc4" unitRef="_GBC_cef77704267643d794145c73763360e5" addr="T0R24C5S1_1" formatStyle="Comma"/>
        <m:item xlName="_GBC_6dc8e09ac2de46eca15937686cccea60" concept="clcid-pte:YingYuGongJiMiBuKuiSunDaoZhiKuCunGuBianDongJinE" label="盈余公积弥补亏损导致库存股变动金额" mulRef="_GBC_57faea4e453e49ad93821b7dd6ce8bc4" unitRef="_GBC_cef77704267643d794145c73763360e5" addr="T0R24C6S1_1" baseScale="-1" formatStyle="Comma"/>
        <m:item xlName="_GBC_0da3522e0c764f91a511a20d7d23372d" concept="clcid-pte:YingYuGongJiMiBuKuiSunDaoZhiQiTaZongHeShouYiBianDongJinE" label="盈余公积弥补亏损导致其他综合收益变动金额" mulRef="_GBC_57faea4e453e49ad93821b7dd6ce8bc4" unitRef="_GBC_cef77704267643d794145c73763360e5" addr="T0R24C7S1_1" formatStyle="Comma"/>
        <m:item xlName="_GBC_0e7428ed7dea4bd5a480b1a672482df5" concept="clcid-pte:YingYuGongJiMiBuKuiSunDaoZhiZhuanXiangChuBeiBianDongJinE" label="盈余公积弥补亏损导致专项储备变动金额" mulRef="_GBC_57faea4e453e49ad93821b7dd6ce8bc4" unitRef="_GBC_cef77704267643d794145c73763360e5" addr="T0R24C8S1_1" formatStyle="Comma"/>
        <m:item xlName="_GBC_3192f22ca10943bda6736b4d79d65409" concept="clcid-pte:YingYuGongJiMiBuKuiSunDaoZhiYingYuGongJiBianDongJinE" label="盈余公积弥补亏损导致盈余公积变动金额" mulRef="_GBC_57faea4e453e49ad93821b7dd6ce8bc4" unitRef="_GBC_cef77704267643d794145c73763360e5" addr="T0R24C9S1_1" formatStyle="Comma"/>
        <m:item xlName="_GBC_bfdd8e934dd24d308eb971db3faca063" concept="clcid-pte:YingYuGongJiMiBuKuiSunDaoZhiYiBanFengXianZhunBeiBianDongJinE" label="盈余公积弥补亏损导致一般风险准备变动金额" mulRef="_GBC_57faea4e453e49ad93821b7dd6ce8bc4" unitRef="_GBC_cef77704267643d794145c73763360e5" addr="T0R24C10S1_1" formatStyle="Comma"/>
        <m:item xlName="_GBC_275c4803e4744aed87d9d7a428d0fd7b" concept="clcid-pte:YingYuGongJiMiBuKuiSunDaoZhiWeiFenPeiLiRunBianDongJinE" label="盈余公积弥补亏损导致未分配利润变动金额" mulRef="_GBC_57faea4e453e49ad93821b7dd6ce8bc4" unitRef="_GBC_cef77704267643d794145c73763360e5" addr="T0R24C11S1_1" formatStyle="Comma"/>
        <m:item xlName="_GBC_7f8785dc8b6e424497543d74a0e75233" concept="clcid-pte:YingYuGongJiMiBuKuiSunDaoZhiQiTaDeGuiShuYuMuGongSiSuoYouZheQuanYiBianDongJinE" label="盈余公积弥补亏损导致其他的归属于母公司所有者权益变动金额" mulRef="_GBC_57faea4e453e49ad93821b7dd6ce8bc4" unitRef="_GBC_cef77704267643d794145c73763360e5" addr="T0R24C12S1_1" formatStyle="Comma"/>
        <m:item xlName="_GBC_a3542f17de8449a38b04228b98911c70" concept="clcid-pte:YingYuGongJiMiBuKuiSunDaoZhiGuiShuYuMuGongSiSuoYouZheQuanYiBianDongJinE" label="盈余公积弥补亏损导致归属于母公司所有者权益变动金额" mulRef="_GBC_57faea4e453e49ad93821b7dd6ce8bc4" unitRef="_GBC_cef77704267643d794145c73763360e5" addr="T0R24C13S1_1" formatStyle="Comma"/>
        <m:item xlName="_GBC_7bc3a7d08bd640288d142f80d272ac90" concept="clcid-pte:YingYuGongJiMiBuKuiSunDaoZhiShaoShuGuDongQuanYiBianDongJinE" label="盈余公积弥补亏损导致少数股东权益变动金额" mulRef="_GBC_57faea4e453e49ad93821b7dd6ce8bc4" unitRef="_GBC_cef77704267643d794145c73763360e5" addr="T0R24C14S1_1" formatStyle="Comma"/>
        <m:item xlName="_GBC_34f99aa3436c47c39da8ceb9708d1add" concept="clcid-pte:YingYuGongJiMiBuKuiSunDaoZhiGuDongQuanYiHeJiBianDongJinE" label="盈余公积弥补亏损导致股东权益合计变动金额" mulRef="_GBC_57faea4e453e49ad93821b7dd6ce8bc4" unitRef="_GBC_cef77704267643d794145c73763360e5" addr="T0R24C15S1_1" formatStyle="Comma"/>
        <m:placeholder xlName="_PLD_c2918ada9b53437193e4f9cfffa064e3" wordText="4．设定受益计划变动额结转留存收益" addr="T0R25C0S1_1"/>
        <m:item xlName="_GBC_194d2e17b8d741bb9682ae31654c0e73" concept="clcid-pte:SheDingShouYiJiHuaBianDongEJieZhuanLiuCunShouYiDaoZhiShiShouZiBenHuoGuBenJingEBianDongJinE" label="设定受益计划变动额结转留存收益导致实收资本（或股本）净额变动金额" mulRef="_GBC_57faea4e453e49ad93821b7dd6ce8bc4" unitRef="_GBC_cef77704267643d794145c73763360e5" addr="T0R25C1S1_1" formatStyle="Comma"/>
        <m:item xlName="_GBC_63d131c3ba0b4c5ab71b462daafd25eb" concept="clcid-pte:SheDingShouYiJiHuaBianDongEJieZhuanLiuCunShouYiDaoZhiQiTaQuanYiGongJuZhongDeYouXianGuBianDongJinE" label="设定受益计划变动额结转留存收益导致其他权益工具中的优先股变动金额" mulRef="_GBC_57faea4e453e49ad93821b7dd6ce8bc4" unitRef="_GBC_cef77704267643d794145c73763360e5" addr="T0R25C2S1_1" formatStyle="Comma"/>
        <m:item xlName="_GBC_5dc9c7fe4c4a48e8ab61ebf77d67c17f" concept="clcid-pte:SheDingShouYiJiHuaBianDongEJieZhuanLiuCunShouYiDaoZhiQiTaQuanYiGongJuZhongDeYongXuZhaiBianDongJinE" label="设定受益计划变动额结转留存收益导致其他权益工具中的永续债变动金额" mulRef="_GBC_57faea4e453e49ad93821b7dd6ce8bc4" unitRef="_GBC_cef77704267643d794145c73763360e5" addr="T0R25C3S1_1" formatStyle="Comma"/>
        <m:item xlName="_GBC_d7221329624641b699c59ac50434bca3" concept="clcid-pte:SheDingShouYiJiHuaBianDongEJieZhuanLiuCunShouYiDaoZhiQiTaQuanYiGongJuZhongDeQiTaBianDongJinE" label="设定受益计划变动额结转留存收益导致其他权益工具中的其他变动金额" mulRef="_GBC_57faea4e453e49ad93821b7dd6ce8bc4" unitRef="_GBC_cef77704267643d794145c73763360e5" addr="T0R25C4S1_1" formatStyle="Comma"/>
        <m:item xlName="_GBC_51f27f70df974aa7b5ec4bd489029bce" concept="clcid-pte:SheDingShouYiJiHuaBianDongEJieZhuanLiuCunShouYiDaoZhiZiBenGongJiBianDongJinE" label="设定受益计划变动额结转留存收益导致资本公积变动金额" mulRef="_GBC_57faea4e453e49ad93821b7dd6ce8bc4" unitRef="_GBC_cef77704267643d794145c73763360e5" addr="T0R25C5S1_1" formatStyle="Comma"/>
        <m:item xlName="_GBC_3253d1a77a03449bb5a26239e6ed998e" concept="clcid-pte:SheDingShouYiJiHuaBianDongEJieZhuanLiuCunShouYiDaoZhiKuCunGuBianDongJinE" label="设定受益计划变动额结转留存收益导致库存股变动金额" mulRef="_GBC_57faea4e453e49ad93821b7dd6ce8bc4" unitRef="_GBC_cef77704267643d794145c73763360e5" addr="T0R25C6S1_1" baseScale="-1" formatStyle="Comma"/>
        <m:item xlName="_GBC_ed868be8974e4b4e804e9f5999d8a98c" concept="clcid-pte:SheDingShouYiJiHuaBianDongEJieZhuanLiuCunShouYiDaoZhiQiTaZongHeShouYiBianDongJinE" label="设定受益计划变动额结转留存收益导致其他综合收益变动金额" mulRef="_GBC_57faea4e453e49ad93821b7dd6ce8bc4" unitRef="_GBC_cef77704267643d794145c73763360e5" addr="T0R25C7S1_1" formatStyle="Comma"/>
        <m:item xlName="_GBC_222e2d52d4e84881a46a3ba4ddca3d44" concept="clcid-pte:SheDingShouYiJiHuaBianDongEJieZhuanLiuCunShouYiDaoZhiZhuanXiangChuBeiBianDongJinE" label="设定受益计划变动额结转留存收益导致专项储备变动金额" mulRef="_GBC_57faea4e453e49ad93821b7dd6ce8bc4" unitRef="_GBC_cef77704267643d794145c73763360e5" addr="T0R25C8S1_1" formatStyle="Comma"/>
        <m:item xlName="_GBC_58f56e1c7484489681a0b8e17ded3f36" concept="clcid-pte:SheDingShouYiJiHuaBianDongEJieZhuanLiuCunShouYiDaoZhiYingYuGongJiBianDongJinE" label="设定受益计划变动额结转留存收益导致盈余公积变动金额" mulRef="_GBC_57faea4e453e49ad93821b7dd6ce8bc4" unitRef="_GBC_cef77704267643d794145c73763360e5" addr="T0R25C9S1_1" formatStyle="Comma"/>
        <m:item xlName="_GBC_d69e614ccd7a470a97edd07e82860b4a" concept="clcid-pte:SheDingShouYiJiHuaBianDongEJieZhuanLiuCunShouYiDaoZhiYiBanFengXianZhunBeiBianDongJinE" label="设定受益计划变动额结转留存收益导致一般风险准备变动金额" mulRef="_GBC_57faea4e453e49ad93821b7dd6ce8bc4" unitRef="_GBC_cef77704267643d794145c73763360e5" addr="T0R25C10S1_1" formatStyle="Comma"/>
        <m:item xlName="_GBC_54c34312d52446d08167582b2c16531c" concept="clcid-pte:SheDingShouYiJiHuaBianDongEJieZhuanLiuCunShouYiDaoZhiWeiFenPeiLiRunBianDongJinE" label="设定受益计划变动额结转留存收益导致未分配利润变动金额" mulRef="_GBC_57faea4e453e49ad93821b7dd6ce8bc4" unitRef="_GBC_cef77704267643d794145c73763360e5" addr="T0R25C11S1_1" formatStyle="Comma"/>
        <m:item xlName="_GBC_48eaf256d8eb40509e9a254c7103a0c3" concept="clcid-pte:SheDingShouYiJiHuaBianDongEJieZhuanLiuCunShouYiDaoZhiQiTaDeGuiShuYuMuGongSiSuoYouZheQuanYiBianDongJinE" label="设定受益计划变动额结转留存收益导致其他的归属于母公司所有者权益变动金额" mulRef="_GBC_57faea4e453e49ad93821b7dd6ce8bc4" unitRef="_GBC_cef77704267643d794145c73763360e5" addr="T0R25C12S1_1" formatStyle="Comma"/>
        <m:item xlName="_GBC_3da85d0a23a04236bf12e392f16cef68" concept="clcid-pte:SheDingShouYiJiHuaBianDongEJieZhuanLiuCunShouYiDaoZhiGuiShuYuMuGongSiSuoYouZheQuanYiBianDongJinE" label="设定受益计划变动额结转留存收益导致归属于母公司所有者权益变动金额" mulRef="_GBC_57faea4e453e49ad93821b7dd6ce8bc4" unitRef="_GBC_cef77704267643d794145c73763360e5" addr="T0R25C13S1_1" formatStyle="Comma"/>
        <m:item xlName="_GBC_230e389e33e843b5822ec56da2d84c12" concept="clcid-pte:SheDingShouYiJiHuaBianDongEJieZhuanLiuCunShouYiDaoZhiShaoShuGuDongQuanYiBianDongJinE" label="设定受益计划变动额结转留存收益导致少数股东权益变动金额" mulRef="_GBC_57faea4e453e49ad93821b7dd6ce8bc4" unitRef="_GBC_cef77704267643d794145c73763360e5" addr="T0R25C14S1_1" formatStyle="Comma"/>
        <m:item xlName="_GBC_167fdd27c19747d6aa10737ad54dad04" concept="clcid-pte:SheDingShouYiJiHuaBianDongEJieZhuanLiuCunShouYiDaoZhiGuDongQuanYiHeJiBianDongJinE" label="设定受益计划变动额结转留存收益导致股东权益合计变动金额" mulRef="_GBC_57faea4e453e49ad93821b7dd6ce8bc4" unitRef="_GBC_cef77704267643d794145c73763360e5" addr="T0R25C15S1_1" formatStyle="Comma"/>
        <m:placeholder xlName="_PLD_ea153cdd99f74bf1b50bc1743d25f429" wordText="5．其他综合收益结转留存收益" addr="T0R26C0S1_1" placeHolderType="1"/>
        <m:item xlName="_GBC_f0606a6366874435a5d42807acb682be" concept="clcid-pte:QiTaZongHeShouYiJieZhuanLiuCunShouYiDaoZhiShiShouZiBenHuoGuBenJingEBianDongJinE" label="其他综合收益结转留存收益导致实收资本（或股本）净额变动金额" mulRef="_GBC_57faea4e453e49ad93821b7dd6ce8bc4" unitRef="_GBC_cef77704267643d794145c73763360e5" addr="T0R26C1S1_1" formatStyle="Comma"/>
        <m:item xlName="_GBC_7e6a0ac1b8cb41eeab0342709cf959ed" concept="clcid-pte:QiTaZongHeShouYiJieZhuanLiuCunShouYiDaoZhiQiTaQuanYiGongJuZhongDeYouXianGuBianDongJinE" label="其他综合收益结转留存收益导致其他权益工具中的优先股变动金额" mulRef="_GBC_57faea4e453e49ad93821b7dd6ce8bc4" unitRef="_GBC_cef77704267643d794145c73763360e5" addr="T0R26C2S1_1" formatStyle="Comma"/>
        <m:item xlName="_GBC_077d9b5aa601495b93f4490c4786727c" concept="clcid-pte:QiTaZongHeShouYiJieZhuanLiuCunShouYiDaoZhiQiTaQuanYiGongJuZhongDeYongXuZhaiBianDongJinE" label="其他综合收益结转留存收益导致其他权益工具中的永续债变动金额" mulRef="_GBC_57faea4e453e49ad93821b7dd6ce8bc4" unitRef="_GBC_cef77704267643d794145c73763360e5" addr="T0R26C3S1_1" formatStyle="Comma"/>
        <m:item xlName="_GBC_e2864e4b6f3c46cb8aa2e2ad75432cdb" concept="clcid-pte:QiTaZongHeShouYiJieZhuanLiuCunShouYiDaoZhiQiTaQuanYiGongJuZhongDeQiTaBianDongJinE" label="其他综合收益结转留存收益导致其他权益工具中的其他变动金额" mulRef="_GBC_57faea4e453e49ad93821b7dd6ce8bc4" unitRef="_GBC_cef77704267643d794145c73763360e5" addr="T0R26C4S1_1" formatStyle="Comma"/>
        <m:item xlName="_GBC_4ea98f87a7a34b378e0a313ab882a2f7" concept="clcid-pte:QiTaZongHeShouYiJieZhuanLiuCunShouYiDaoZhiZiBenGongJiBianDongJinE" label="其他综合收益结转留存收益导致资本公积变动金额" mulRef="_GBC_57faea4e453e49ad93821b7dd6ce8bc4" unitRef="_GBC_cef77704267643d794145c73763360e5" addr="T0R26C5S1_1" formatStyle="Comma"/>
        <m:item xlName="_GBC_990f8260e10f413a865e8299bf8c49b2" concept="clcid-pte:QiTaZongHeShouYiJieZhuanLiuCunShouYiDaoZhiKuCunGuBianDongJinE" label="其他综合收益结转留存收益导致库存股变动金额" mulRef="_GBC_57faea4e453e49ad93821b7dd6ce8bc4" unitRef="_GBC_cef77704267643d794145c73763360e5" addr="T0R26C6S1_1" baseScale="-1" formatStyle="Comma"/>
        <m:item xlName="_GBC_b07c6ea994c644fc9be8839066b8cb1a" concept="clcid-pte:QiTaZongHeShouYiJieZhuanLiuCunShouYiDaoZhiQiTaZongHeShouYiBianDongJinE" label="其他综合收益结转留存收益导致其他综合收益变动金额" mulRef="_GBC_57faea4e453e49ad93821b7dd6ce8bc4" unitRef="_GBC_cef77704267643d794145c73763360e5" addr="T0R26C7S1_1" formatStyle="Comma"/>
        <m:item xlName="_GBC_bc19adbd54394cf4990d64f3e83e3256" concept="clcid-pte:QiTaZongHeShouYiJieZhuanLiuCunShouYiDaoZhiZhuanXiangChuBeiBianDongJinE" label="其他综合收益结转留存收益导致专项储备变动金额" mulRef="_GBC_57faea4e453e49ad93821b7dd6ce8bc4" unitRef="_GBC_cef77704267643d794145c73763360e5" addr="T0R26C8S1_1" formatStyle="Comma"/>
        <m:item xlName="_GBC_381a69b01bfd44f9887defbbe0cf1f51" concept="clcid-pte:QiTaZongHeShouYiJieZhuanLiuCunShouYiDaoZhiYingYuGongJiBianDongJinE" label="其他综合收益结转留存收益导致盈余公积变动金额" mulRef="_GBC_57faea4e453e49ad93821b7dd6ce8bc4" unitRef="_GBC_cef77704267643d794145c73763360e5" addr="T0R26C9S1_1" formatStyle="Comma"/>
        <m:item xlName="_GBC_c328a8848b9741ccaa30b23f8208666c" concept="clcid-pte:QiTaZongHeShouYiJieZhuanLiuCunShouYiDaoZhiYiBanFengXianZhunBeiBianDongJinE" label="其他综合收益结转留存收益导致一般风险准备变动金额" mulRef="_GBC_57faea4e453e49ad93821b7dd6ce8bc4" unitRef="_GBC_cef77704267643d794145c73763360e5" addr="T0R26C10S1_1" formatStyle="Comma"/>
        <m:item xlName="_GBC_3aaa9be33e854bfab5b2a35560347914" concept="clcid-pte:QiTaZongHeShouYiJieZhuanLiuCunShouYiDaoZhiWeiFenPeiLiRunBianDongJinE" label="其他综合收益结转留存收益导致未分配利润变动金额" mulRef="_GBC_57faea4e453e49ad93821b7dd6ce8bc4" unitRef="_GBC_cef77704267643d794145c73763360e5" addr="T0R26C11S1_1" formatStyle="Comma"/>
        <m:item xlName="_GBC_9f90cb66f68b413e9541144c05a2e7c2" concept="clcid-pte:QiTaZongHeShouYiJieZhuanLiuCunShouYiDaoZhiQiTaDeGuiShuYuMuGongSiSuoYouZheQuanYiBianDongJinE" label="其他综合收益结转留存收益导致其他的归属于母公司所有者权益变动金额" mulRef="_GBC_57faea4e453e49ad93821b7dd6ce8bc4" unitRef="_GBC_cef77704267643d794145c73763360e5" addr="T0R26C12S1_1" formatStyle="Comma"/>
        <m:item xlName="_GBC_f6a6ec6e0f9946828623e9aec7d201de" concept="clcid-pte:QiTaZongHeShouYiJieZhuanLiuCunShouYiDaoZhiGuiShuYuMuGongSiSuoYouZheQuanYiBianDongJinE" label="其他综合收益结转留存收益导致归属于母公司所有者权益变动金额" mulRef="_GBC_57faea4e453e49ad93821b7dd6ce8bc4" unitRef="_GBC_cef77704267643d794145c73763360e5" addr="T0R26C13S1_1" formatStyle="Comma"/>
        <m:item xlName="_GBC_35abb63764394eb5b6fcbfb07d5ce6ec" concept="clcid-pte:QiTaZongHeShouYiJieZhuanLiuCunShouYiDaoZhiShaoShuGuDongQuanYiBianDongJinE" label="其他综合收益结转留存收益导致少数股东权益变动金额" mulRef="_GBC_57faea4e453e49ad93821b7dd6ce8bc4" unitRef="_GBC_cef77704267643d794145c73763360e5" addr="T0R26C14S1_1" formatStyle="Comma"/>
        <m:item xlName="_GBC_6f27f55a18fa432b92f760b42353ba9d" concept="clcid-pte:QiTaZongHeShouYiJieZhuanLiuCunShouYiDaoZhiGuDongQuanYiHeJiBianDongJinE" label="其他综合收益结转留存收益导致股东权益合计变动金额" mulRef="_GBC_57faea4e453e49ad93821b7dd6ce8bc4" unitRef="_GBC_cef77704267643d794145c73763360e5" addr="T0R26C15S1_1" formatStyle="Comma"/>
        <m:placeholder xlName="_PLD_de42fced9d0547ecb946b8443ac4ea20" wordText="6．其他" addr="T0R27C0S1_1"/>
        <m:item xlName="_GBC_5a84a409a3c240bdbb03d1c5c262f8ed" concept="clcid-pte:QiTaSuoYouZheQuanYiNeiBuJieZhuanDaoZhiShiShouZiBenHuoGuBenJingEBianDongJinE" label="其他所有者权益内部结转导致实收资本（或股本）净额变动金额" mulRef="_GBC_57faea4e453e49ad93821b7dd6ce8bc4" unitRef="_GBC_cef77704267643d794145c73763360e5" addr="T0R27C1S1_1" formatStyle="Comma"/>
        <m:item xlName="_GBC_987a43e1e09d41db99465d816faced74" concept="clcid-pte:QiTaSuoYouZheQuanYiNeiBuJieZhuanDaoZhiQiTaQuanYiGongJuZhongDeYouXianGuBianDongJinE" label="其他所有者权益内部结转导致其他权益工具中的优先股变动金额" mulRef="_GBC_57faea4e453e49ad93821b7dd6ce8bc4" unitRef="_GBC_cef77704267643d794145c73763360e5" addr="T0R27C2S1_1" formatStyle="Comma"/>
        <m:item xlName="_GBC_9974850986174aba8ff33c5831059d42" concept="clcid-pte:QiTaSuoYouZheQuanYiNeiBuJieZhuanDaoZhiQiTaQuanYiGongJuZhongDeYongXuZhaiBianDongJinE" label="其他所有者权益内部结转导致其他权益工具中的永续债变动金额" mulRef="_GBC_57faea4e453e49ad93821b7dd6ce8bc4" unitRef="_GBC_cef77704267643d794145c73763360e5" addr="T0R27C3S1_1" formatStyle="Comma"/>
        <m:item xlName="_GBC_56b3a0ba683c43f78c3b4c2af40d4d81" concept="clcid-pte:QiTaSuoYouZheQuanYiNeiBuJieZhuanDaoZhiQiTaQuanYiGongJuZhongDeQiTaBianDongJinE" label="其他所有者权益内部结转导致其他权益工具中的其他变动金额" mulRef="_GBC_57faea4e453e49ad93821b7dd6ce8bc4" unitRef="_GBC_cef77704267643d794145c73763360e5" addr="T0R27C4S1_1" formatStyle="Comma"/>
        <m:item xlName="_GBC_076885d34c094644b90e6c0ff2f178f6" concept="clcid-pte:QiTaSuoYouZheQuanYiNeiBuJieZhuanDaoZhiZiBenGongJiBianDongJinE" label="其他所有者权益内部结转导致资本公积变动金额" mulRef="_GBC_57faea4e453e49ad93821b7dd6ce8bc4" unitRef="_GBC_cef77704267643d794145c73763360e5" addr="T0R27C5S1_1" formatStyle="Comma"/>
        <m:item xlName="_GBC_bee4a4326544442884a282645d73a062" concept="clcid-pte:QiTaSuoYouZheQuanYiNeiBuJieZhuanDaoZhiKuCunGuBianDongJinE" label="其他所有者权益内部结转导致库存股变动金额" mulRef="_GBC_57faea4e453e49ad93821b7dd6ce8bc4" unitRef="_GBC_cef77704267643d794145c73763360e5" addr="T0R27C6S1_1" baseScale="-1" formatStyle="Comma"/>
        <m:item xlName="_GBC_c85cf04d62ab4beb92f448caef4da5a9" concept="clcid-pte:QiTaSuoYouZheQuanYiNeiBuJieZhuanDaoZhiQiTaZongHeShouYiBianDongJinE" label="其他所有者权益内部结转导致其他综合收益变动金额" mulRef="_GBC_57faea4e453e49ad93821b7dd6ce8bc4" unitRef="_GBC_cef77704267643d794145c73763360e5" addr="T0R27C7S1_1" formatStyle="Comma"/>
        <m:item xlName="_GBC_037a7d65d2714eeeaf389c9571a7c796" concept="clcid-pte:QiTaSuoYouZheQuanYiNeiBuJieZhuanDaoZhiZhuanXiangChuBeiBianDongJinE" label="其他所有者权益内部结转导致专项储备变动金额" mulRef="_GBC_57faea4e453e49ad93821b7dd6ce8bc4" unitRef="_GBC_cef77704267643d794145c73763360e5" addr="T0R27C8S1_1" formatStyle="Comma"/>
        <m:item xlName="_GBC_5665cd28811a4d85a2cd69c63952342e" concept="clcid-pte:QiTaSuoYouZheQuanYiNeiBuJieZhuanDaoZhiYingYuGongJiBianDongJinE" label="其他所有者权益内部结转导致盈余公积变动金额" mulRef="_GBC_57faea4e453e49ad93821b7dd6ce8bc4" unitRef="_GBC_cef77704267643d794145c73763360e5" addr="T0R27C9S1_1" formatStyle="Comma"/>
        <m:item xlName="_GBC_698318c4a9d541dfbfbfa7ec7cfba155" concept="clcid-pte:QiTaSuoYouZheQuanYiNeiBuJieZhuanDaoZhiYiBanFengXianZhunBeiBianDongJinE" label="其他所有者权益内部结转导致一般风险准备变动金额" mulRef="_GBC_57faea4e453e49ad93821b7dd6ce8bc4" unitRef="_GBC_cef77704267643d794145c73763360e5" addr="T0R27C10S1_1" formatStyle="Comma"/>
        <m:item xlName="_GBC_30cc501f07444c37ae240f456b093084" concept="clcid-pte:QiTaSuoYouZheQuanYiNeiBuJieZhuanDaoZhiWeiFenPeiLiRunBianDongJinE" label="其他所有者权益内部结转导致未分配利润变动金额" mulRef="_GBC_57faea4e453e49ad93821b7dd6ce8bc4" unitRef="_GBC_cef77704267643d794145c73763360e5" addr="T0R27C11S1_1" formatStyle="Comma"/>
        <m:item xlName="_GBC_96f971902e484555ab3c05df4083a5e9" concept="clcid-pte:QiTaSuoYouZheQuanYiNeiBuJieZhuanDaoZhiQiTaDeGuiShuYuMuGongSiSuoYouZheQuanYiBianDongJinE" label="其他所有者权益内部结转导致其他的归属于母公司所有者权益变动金额" mulRef="_GBC_57faea4e453e49ad93821b7dd6ce8bc4" unitRef="_GBC_cef77704267643d794145c73763360e5" addr="T0R27C12S1_1" formatStyle="Comma"/>
        <m:item xlName="_GBC_21b2216ab5af47de9030208112dac275" concept="clcid-pte:QiTaSuoYouZheQuanYiNeiBuJieZhuanDaoZhiGuiShuYuMuGongSiSuoYouZheQuanYiBianDongJinE" label="其他所有者权益内部结转导致归属于母公司所有者权益变动金额" mulRef="_GBC_57faea4e453e49ad93821b7dd6ce8bc4" unitRef="_GBC_cef77704267643d794145c73763360e5" addr="T0R27C13S1_1" formatStyle="Comma"/>
        <m:item xlName="_GBC_f9c86667170148c49351e362b0206c2f" concept="clcid-pte:QiTaSuoYouZheQuanYiNeiBuJieZhuanDaoZhiShaoShuGuDongQuanYiBianDongJinE" label="其他所有者权益内部结转导致少数股东权益变动金额" mulRef="_GBC_57faea4e453e49ad93821b7dd6ce8bc4" unitRef="_GBC_cef77704267643d794145c73763360e5" addr="T0R27C14S1_1" formatStyle="Comma"/>
        <m:item xlName="_GBC_858de9a600cd473da4b3e97548e0ab4c" concept="clcid-pte:QiTaSuoYouZheQuanYiNeiBuJieZhuanDaoZhiGuDongQuanYiHeJiBianDongJinE" label="其他所有者权益内部结转导致股东权益合计变动金额" mulRef="_GBC_57faea4e453e49ad93821b7dd6ce8bc4" unitRef="_GBC_cef77704267643d794145c73763360e5" addr="T0R27C15S1_1" formatStyle="Comma"/>
        <m:placeholder xlName="_PLD_14d25c6e75074c52a0f884581cc84dba" wordText="（五）专项储备" addr="T0R28C0S1_1"/>
        <m:item xlName="_GBC_5b133c420da349708e6643bb6b0c1e6e" concept="clcid-pte:ZhuanXiangChuBeiDaoZhiShiShouZiBenHuoGuBenJingEBianDongJinE" label="专项储备导致实收资本（或股本）净额变动金额" mulRef="_GBC_57faea4e453e49ad93821b7dd6ce8bc4" unitRef="_GBC_cef77704267643d794145c73763360e5" addr="T0R28C1S1_1" formatStyle="Comma">
          <m:complexRule comparator="Eq" title="专项储备导致实收资本（或股本）净额变动金额" test=" $_GBC_8964072fb57f42ef937e3f8d325229f7 -  $_GBC_2f7c9bb85ea84133bdc594735aa1b1ba" id="C8f83cc918bc046fba08345de502a29e2" radius="0.0001"/>
        </m:item>
        <m:item xlName="_GBC_df89eee61a754edfb5a05b61c5b1418c" concept="clcid-pte:ZhuanXiangChuBeiDaoZhiQiTaQuanYiGongJuZhongDeYouXianGuBianDongJinE" label="专项储备导致其他权益工具中的优先股变动金额" mulRef="_GBC_57faea4e453e49ad93821b7dd6ce8bc4" unitRef="_GBC_cef77704267643d794145c73763360e5" addr="T0R28C2S1_1" formatStyle="Comma">
          <m:complexRule comparator="Eq" title="专项储备导致其他权益工具中的优先股变动金额" test=" $_GBC_29c7ab9a8f3b4a688931d75ba05e0bba -  $_GBC_b0bf3ce60fc948d6af18ac2fcdd1f8bd" id="Cbd374c3c84414edc9c3052419c46d027"/>
        </m:item>
        <m:item xlName="_GBC_9e23218859714c0e96d6c198c2cb79fd" concept="clcid-pte:ZhuanXiangChuBeiDaoZhiQiTaQuanYiGongJuZhongDeYongXuZhaiBianDongJinE" label="专项储备导致其他权益工具中的永续债变动金额" mulRef="_GBC_57faea4e453e49ad93821b7dd6ce8bc4" unitRef="_GBC_cef77704267643d794145c73763360e5" addr="T0R28C3S1_1" formatStyle="Comma">
          <m:complexRule comparator="Eq" title="专项储备导致其他权益工具中的永续债变动金额" test=" $_GBC_5921692adf494af288f20d1dc9238164 -  $_GBC_f6404ea2c572439d9d6cbf4c07b1d82b" id="C22c6b3d48c1643fc97a9eabc9a268b98"/>
        </m:item>
        <m:item xlName="_GBC_65b5aa8f1455448ead376358694d1dad" concept="clcid-pte:ZhuanXiangChuBeiDaoZhiQiTaQuanYiGongJuZhongDeQiTaBianDongJinE" label="专项储备导致其他权益工具中的其他变动金额" mulRef="_GBC_57faea4e453e49ad93821b7dd6ce8bc4" unitRef="_GBC_cef77704267643d794145c73763360e5" addr="T0R28C4S1_1" formatStyle="Comma">
          <m:complexRule comparator="Eq" title="专项储备导致其他权益工具中的其他变动金额" test=" $_GBC_b284993882194eac991b971fcc8c134f -  $_GBC_fca65b95c3e44b9083a518862efbee3d" id="C4ced8588c9f64e6fbf65ad75beea6e33"/>
        </m:item>
        <m:item xlName="_GBC_c5668c5b9c4b4239b60b1a1e142c3572" concept="clcid-pte:ZhuanXiangChuBeiDaoZhiZiBenGongJiBianDongJinE" label="专项储备导致资本公积变动金额" mulRef="_GBC_57faea4e453e49ad93821b7dd6ce8bc4" unitRef="_GBC_cef77704267643d794145c73763360e5" addr="T0R28C5S1_1" formatStyle="Comma">
          <m:complexRule comparator="Eq" title="专项储备导致资本公积变动金额" test=" $_GBC_93895bad5ace4edb8d6c10b8a33c11cc -  $_GBC_d5952cc1209f4e008093ff10d55cce69" id="Ca0014209a8db42c78afee0ecfe7d6cbc" radius="0.0001"/>
        </m:item>
        <m:item xlName="_GBC_6ce020937acc447bb5699bedc911da7e" concept="clcid-pte:ZhuanXiangChuBeiDaoZhiKuCunGuBianDongJinE" label="专项储备导致库存股变动金额" mulRef="_GBC_57faea4e453e49ad93821b7dd6ce8bc4" unitRef="_GBC_cef77704267643d794145c73763360e5" addr="T0R28C6S1_1" baseScale="-1" formatStyle="Comma">
          <m:complexRule comparator="Eq" title="专项储备导致库存股变动金额" test=" $_GBC_25aa6ff9b9644890ac28809c1ae0eb36 -  $_GBC_446a66b1a07d43f9bd706f27fbd9f329" id="C7f58f7fb5ee747358db47511f8042956" radius="0.0001"/>
        </m:item>
        <m:item xlName="_GBC_b2224b7668d74a5b89c2777235f7abbc" concept="clcid-pte:ZhuanXiangChuBeiDaoZhiQiTaZongHeShouYiBianDongJinE" label="专项储备导致其他综合收益变动金额" mulRef="_GBC_57faea4e453e49ad93821b7dd6ce8bc4" unitRef="_GBC_cef77704267643d794145c73763360e5" addr="T0R28C7S1_1" formatStyle="Comma">
          <m:complexRule comparator="Eq" title="专项储备导致其他综合收益变动金额" test=" $_GBC_1cbd820ae56645e282e08eaa85c65bcb -  $_GBC_f20f9953fc6c445ebe537111300ec73f" id="Cff32badbe3354ed7bcbb3e0a89c12cbc"/>
        </m:item>
        <m:item xlName="_GBC_b63eebc4f8294c6cab43080ea2183269" concept="clcid-pte:ZhuanXiangChuBeiDaoZhiZhuanXiangChuBeiBianDongJinE" label="专项储备导致专项储备变动金额" mulRef="_GBC_57faea4e453e49ad93821b7dd6ce8bc4" unitRef="_GBC_cef77704267643d794145c73763360e5" addr="T0R28C8S1_1" formatStyle="Comma">
          <m:complexRule comparator="Eq" title="专项储备导致专项储备变动金额" test=" $_GBC_d8f597612c404ba9b876b31a429359f7 -  $_GBC_c8c9204fb3234e258e1bf22ac7ff1a42" id="Ccd898491c5ec4153905b8d14300bfbba"/>
        </m:item>
        <m:item xlName="_GBC_03826d85012a4886ac133e89e44c70a4" concept="clcid-pte:ZhuanXiangChuBeiDaoZhiYingYuGongJiBianDongJinE" label="专项储备导致盈余公积变动金额" mulRef="_GBC_57faea4e453e49ad93821b7dd6ce8bc4" unitRef="_GBC_cef77704267643d794145c73763360e5" addr="T0R28C9S1_1" formatStyle="Comma">
          <m:complexRule comparator="Eq" title="专项储备导致盈余公积变动金额" test=" $_GBC_5106b0433355474f8abb045f41eadd2c -  $_GBC_f02947827f5e47ee874a6b214d6821d6" id="C73567615102244ff8e7aa1fd35df122a"/>
        </m:item>
        <m:item xlName="_GBC_edb79244254b409a98c43f26be77f9a2" concept="clcid-pte:ZhuanXiangChuBeiDaoZhiYiBanFengXianZhunBeiBianDongJinE" label="专项储备导致一般风险准备变动金额" mulRef="_GBC_57faea4e453e49ad93821b7dd6ce8bc4" unitRef="_GBC_cef77704267643d794145c73763360e5" addr="T0R28C10S1_1" formatStyle="Comma">
          <m:complexRule comparator="Eq" title="专项储备导致一般风险准备变动金额" test=" $_GBC_54a40a22127f400e90ee1c0c1efc10bb -  $_GBC_3472b44b3e3c44559d8c004fde6b156f" id="C7617ce31613246859d1eef0a18b54ae7"/>
        </m:item>
        <m:item xlName="_GBC_6f589e43d1be447a9260eb6c071a39b6" concept="clcid-pte:ZhuanXiangChuBeiDaoZhiWeiFenPeiLiRunBianDongJinE" label="专项储备导致未分配利润变动金额" mulRef="_GBC_57faea4e453e49ad93821b7dd6ce8bc4" unitRef="_GBC_cef77704267643d794145c73763360e5" addr="T0R28C11S1_1" formatStyle="Comma">
          <m:complexRule comparator="Eq" title="专项储备导致未分配利润变动金额" test=" $_GBC_08816e8cdd1f41e8b9c3142889ccede7 -  $_GBC_293497fa73bf4eba8077a8b51f3746a0" id="Cd38b4fe5efb0420b93643b0e39992d54"/>
        </m:item>
        <m:item xlName="_GBC_bb40ec88bcc04b13aafb388066987c9f" concept="clcid-pte:ZhuanXiangChuBeiDaoZhiQiTaDeGuiShuYuMuGongSiSuoYouZheQuanYiBianDongJinE" label="专项储备导致其他的归属于母公司所有者权益变动金额" mulRef="_GBC_57faea4e453e49ad93821b7dd6ce8bc4" unitRef="_GBC_cef77704267643d794145c73763360e5" addr="T0R28C12S1_1" formatStyle="Comma">
          <m:complexRule comparator="Eq" title="专项储备导致其他的归属于母公司所有者权益变动金额" test=" $_GBC_282a4da7b03d4bc5a74a8e1867ffb63e -  $_GBC_b72759396f784ef282dbca7062b4f8d9" id="C1d1696ab58a54abb8b36b8568318c1b4"/>
        </m:item>
        <m:item xlName="_GBC_6bd3a7a569dd478fbc6d6829ce98fac6" concept="clcid-pte:ZhuanXiangChuBeiDaoZhiGuiShuYuMuGongSiSuoYouZheQuanYiBianDongJinE" label="专项储备导致归属于母公司所有者权益变动金额" mulRef="_GBC_57faea4e453e49ad93821b7dd6ce8bc4" unitRef="_GBC_cef77704267643d794145c73763360e5" addr="T0R28C13S1_1" formatStyle="Comma">
          <m:complexRule comparator="Eq" title="专项储备导致归属于母公司所有者权益变动金额小计" test=" $_GBC_26d21548ec5c4d609e33f7527b5c3b53 -  $_GBC_5325a1a7354f43e78ca03f7e4d505362" id="Ca947b0b13acb4b6cb2b4be6ec8995686"/>
        </m:item>
        <m:item xlName="_GBC_8cab485a956f4ba2b7b46408d57ad6ed" concept="clcid-pte:ZhuanXiangChuBeiDaoZhiShaoShuGuDongQuanYiBianDongJinE" label="专项储备导致少数股东权益变动金额" mulRef="_GBC_57faea4e453e49ad93821b7dd6ce8bc4" unitRef="_GBC_cef77704267643d794145c73763360e5" addr="T0R28C14S1_1" formatStyle="Comma">
          <m:complexRule comparator="Eq" title="专项储备导致少数股东权益变动金额" test=" $_GBC_0a425d925bc5441eb05d6245a3dffa89 -  $_GBC_338c6acd617044aa94afc4a15e515c64" id="C54187ecca5c24c44928ca1560890b1f4"/>
        </m:item>
        <m:item xlName="_GBC_2f85c153c72c4e148843c5f5780b7d6f" concept="clcid-pte:ZhuanXiangChuBeiDaoZhiGuDongQuanYiHeJiBianDongJinE" label="专项储备导致股东权益合计变动金额" mulRef="_GBC_57faea4e453e49ad93821b7dd6ce8bc4" unitRef="_GBC_cef77704267643d794145c73763360e5" addr="T0R28C15S1_1" formatStyle="Comma">
          <m:complexRule comparator="Eq" title="专项储备导致股东权益合计变动金额" test=" $_GBC_4dd0a237229f4c45ba0473a71039a89a -  $_GBC_2bba8b0d81aa4581bc41b19c2d03a128" id="Cb6265583e6e244bc991097b4b8fa7383"/>
        </m:item>
        <m:placeholder xlName="_PLD_672c666008dd4adfa2ab5933e9cd1671" wordText="1．本期提取" addr="T0R29C0S1_1"/>
        <m:item xlName="_GBC_8964072fb57f42ef937e3f8d325229f7" concept="clcid-pte:TiQuDaoZhiShiShouZiBenHuoGuBenJingEBianDongJinE" label="提取导致实收资本（或股本）净额变动金额" mulRef="_GBC_57faea4e453e49ad93821b7dd6ce8bc4" unitRef="_GBC_cef77704267643d794145c73763360e5" addr="T0R29C1S1_1" formatStyle="Comma"/>
        <m:item xlName="_GBC_29c7ab9a8f3b4a688931d75ba05e0bba" concept="clcid-pte:TiQuDaoZhiQiTaQuanYiGongJuZhongDeYouXianGuBianDongJinE" label="提取导致其他权益工具中的优先股变动金额" mulRef="_GBC_57faea4e453e49ad93821b7dd6ce8bc4" unitRef="_GBC_cef77704267643d794145c73763360e5" addr="T0R29C2S1_1" formatStyle="Comma"/>
        <m:item xlName="_GBC_5921692adf494af288f20d1dc9238164" concept="clcid-pte:TiQuDaoZhiQiTaQuanYiGongJuZhongDeYongXuZhaiBianDongJinE" label="提取导致其他权益工具中的永续债变动金额" mulRef="_GBC_57faea4e453e49ad93821b7dd6ce8bc4" unitRef="_GBC_cef77704267643d794145c73763360e5" addr="T0R29C3S1_1" formatStyle="Comma"/>
        <m:item xlName="_GBC_b284993882194eac991b971fcc8c134f" concept="clcid-pte:TiQuDaoZhiQiTaQuanYiGongJuZhongDeQiTaBianDongJinE" label="提取导致其他权益工具中的其他变动金额" mulRef="_GBC_57faea4e453e49ad93821b7dd6ce8bc4" unitRef="_GBC_cef77704267643d794145c73763360e5" addr="T0R29C4S1_1" formatStyle="Comma"/>
        <m:item xlName="_GBC_93895bad5ace4edb8d6c10b8a33c11cc" concept="clcid-pte:TiQuDaoZhiZiBenGongJiBianDongJinE" label="提取导致资本公积变动金额" mulRef="_GBC_57faea4e453e49ad93821b7dd6ce8bc4" unitRef="_GBC_cef77704267643d794145c73763360e5" addr="T0R29C5S1_1" formatStyle="Comma"/>
        <m:item xlName="_GBC_25aa6ff9b9644890ac28809c1ae0eb36" concept="clcid-pte:TiQuDaoZhiKuCunGuBianDongJinE" label="提取导致库存股变动金额" mulRef="_GBC_57faea4e453e49ad93821b7dd6ce8bc4" unitRef="_GBC_cef77704267643d794145c73763360e5" addr="T0R29C6S1_1" baseScale="-1" formatStyle="Comma"/>
        <m:item xlName="_GBC_1cbd820ae56645e282e08eaa85c65bcb" concept="clcid-pte:TiQuDaoZhiQiTaZongHeShouYiBianDongJinE" label="提取导致其他综合收益变动金额" mulRef="_GBC_57faea4e453e49ad93821b7dd6ce8bc4" unitRef="_GBC_cef77704267643d794145c73763360e5" addr="T0R29C7S1_1" formatStyle="Comma"/>
        <m:item xlName="_GBC_d8f597612c404ba9b876b31a429359f7" concept="clcid-pte:TiQuDaoZhiZhuanXiangChuBeiBianDongJinE" label="提取导致专项储备变动金额" mulRef="_GBC_57faea4e453e49ad93821b7dd6ce8bc4" unitRef="_GBC_cef77704267643d794145c73763360e5" addr="T0R29C8S1_1" formatStyle="Comma"/>
        <m:item xlName="_GBC_5106b0433355474f8abb045f41eadd2c" concept="clcid-pte:TiQuDaoZhiYingYuGongJiBianDongJinE" label="提取导致盈余公积变动金额" mulRef="_GBC_57faea4e453e49ad93821b7dd6ce8bc4" unitRef="_GBC_cef77704267643d794145c73763360e5" addr="T0R29C9S1_1" formatStyle="Comma"/>
        <m:item xlName="_GBC_54a40a22127f400e90ee1c0c1efc10bb" concept="clcid-pte:TiQuDaoZhiYiBanFengXianZhunBeiBianDongJinE" label="提取导致一般风险准备变动金额" mulRef="_GBC_57faea4e453e49ad93821b7dd6ce8bc4" unitRef="_GBC_cef77704267643d794145c73763360e5" addr="T0R29C10S1_1" formatStyle="Comma"/>
        <m:item xlName="_GBC_08816e8cdd1f41e8b9c3142889ccede7" concept="clcid-pte:TiQuDaoZhiWeiFenPeiLiRunBianDongJinE" label="提取导致未分配利润变动金额" mulRef="_GBC_57faea4e453e49ad93821b7dd6ce8bc4" unitRef="_GBC_cef77704267643d794145c73763360e5" addr="T0R29C11S1_1" formatStyle="Comma"/>
        <m:item xlName="_GBC_282a4da7b03d4bc5a74a8e1867ffb63e" concept="clcid-pte:TiQuDaoZhiQiTaDeGuiShuYuMuGongSiSuoYouZheQuanYiBianDongJinE" label="提取导致其他的归属于母公司所有者权益变动金额" mulRef="_GBC_57faea4e453e49ad93821b7dd6ce8bc4" unitRef="_GBC_cef77704267643d794145c73763360e5" addr="T0R29C12S1_1" formatStyle="Comma"/>
        <m:item xlName="_GBC_26d21548ec5c4d609e33f7527b5c3b53" concept="clcid-pte:TiQuZhuanXiangChuBeiDaoZhiGuiShuYuMuGongSiSuoYouZheQuanYiBianDongJinE" label="提取专项储备导致归属于母公司所有者权益变动金额" mulRef="_GBC_57faea4e453e49ad93821b7dd6ce8bc4" unitRef="_GBC_cef77704267643d794145c73763360e5" addr="T0R29C13S1_1" formatStyle="Comma"/>
        <m:item xlName="_GBC_0a425d925bc5441eb05d6245a3dffa89" concept="clcid-pte:TiQuDaoZhiShaoShuGuDongQuanYiBianDongJinE" label="提取导致少数股东权益变动金额" mulRef="_GBC_57faea4e453e49ad93821b7dd6ce8bc4" unitRef="_GBC_cef77704267643d794145c73763360e5" addr="T0R29C14S1_1" formatStyle="Comma"/>
        <m:item xlName="_GBC_4dd0a237229f4c45ba0473a71039a89a" concept="clcid-pte:TiQuDaoZhiGuDongQuanYiHeJiBianDongJinE" label="提取导致股东权益合计变动金额" mulRef="_GBC_57faea4e453e49ad93821b7dd6ce8bc4" unitRef="_GBC_cef77704267643d794145c73763360e5" addr="T0R29C15S1_1" formatStyle="Comma"/>
        <m:placeholder xlName="_PLD_810ec2533aac40f59079e8e8d20e52c3" wordText="2．本期使用" addr="T0R30C0S1_1"/>
        <m:item xlName="_GBC_2f7c9bb85ea84133bdc594735aa1b1ba" concept="clcid-pte:ShiYongDaoZhiShiShouZiBenHuoGuBenJingEBianDongJinE" label="使用导致实收资本（或股本）净额变动金额" mulRef="_GBC_57faea4e453e49ad93821b7dd6ce8bc4" unitRef="_GBC_cef77704267643d794145c73763360e5" addr="T0R30C1S1_1" formatStyle="Comma"/>
        <m:item xlName="_GBC_b0bf3ce60fc948d6af18ac2fcdd1f8bd" concept="clcid-pte:ShiYongDaoZhiQiTaQuanYiGongJuZhongDeYouXianGuBianDongJinE" label="使用导致其他权益工具中的优先股变动金额" mulRef="_GBC_57faea4e453e49ad93821b7dd6ce8bc4" unitRef="_GBC_cef77704267643d794145c73763360e5" addr="T0R30C2S1_1" formatStyle="Comma"/>
        <m:item xlName="_GBC_f6404ea2c572439d9d6cbf4c07b1d82b" concept="clcid-pte:ShiYongDaoZhiQiTaQuanYiGongJuZhongDeYongXuZhaiBianDongJinE" label="使用导致其他权益工具中的永续债变动金额" mulRef="_GBC_57faea4e453e49ad93821b7dd6ce8bc4" unitRef="_GBC_cef77704267643d794145c73763360e5" addr="T0R30C3S1_1" formatStyle="Comma"/>
        <m:item xlName="_GBC_fca65b95c3e44b9083a518862efbee3d" concept="clcid-pte:ShiYongDaoZhiQiTaQuanYiGongJuZhongDeQiTaBianDongJinE" label="使用导致其他权益工具中的其他变动金额" mulRef="_GBC_57faea4e453e49ad93821b7dd6ce8bc4" unitRef="_GBC_cef77704267643d794145c73763360e5" addr="T0R30C4S1_1" formatStyle="Comma"/>
        <m:item xlName="_GBC_d5952cc1209f4e008093ff10d55cce69" concept="clcid-pte:ShiYongDaoZhiZiBenGongJiBianDongJinE" label="使用导致资本公积变动金额" mulRef="_GBC_57faea4e453e49ad93821b7dd6ce8bc4" unitRef="_GBC_cef77704267643d794145c73763360e5" addr="T0R30C5S1_1" formatStyle="Comma"/>
        <m:item xlName="_GBC_446a66b1a07d43f9bd706f27fbd9f329" concept="clcid-pte:ShiYongDaoZhiKuCunGuBianDongJinE" label="使用导致库存股变动金额" mulRef="_GBC_57faea4e453e49ad93821b7dd6ce8bc4" unitRef="_GBC_cef77704267643d794145c73763360e5" addr="T0R30C6S1_1" baseScale="-1" formatStyle="Comma"/>
        <m:item xlName="_GBC_f20f9953fc6c445ebe537111300ec73f" concept="clcid-pte:ShiYongDaoZhiQiTaZongHeShouYiBianDongJinE" label="使用导致其他综合收益变动金额" mulRef="_GBC_57faea4e453e49ad93821b7dd6ce8bc4" unitRef="_GBC_cef77704267643d794145c73763360e5" addr="T0R30C7S1_1" formatStyle="Comma"/>
        <m:item xlName="_GBC_c8c9204fb3234e258e1bf22ac7ff1a42" concept="clcid-pte:ShiYongDaoZhiZhuanXiangChuBeiBianDongJinE" label="使用导致专项储备变动金额" mulRef="_GBC_57faea4e453e49ad93821b7dd6ce8bc4" unitRef="_GBC_cef77704267643d794145c73763360e5" addr="T0R30C8S1_1" formatStyle="Comma"/>
        <m:item xlName="_GBC_f02947827f5e47ee874a6b214d6821d6" concept="clcid-pte:ShiYongDaoZhiYingYuGongJiBianDongJinE" label="使用导致盈余公积变动金额" mulRef="_GBC_57faea4e453e49ad93821b7dd6ce8bc4" unitRef="_GBC_cef77704267643d794145c73763360e5" addr="T0R30C9S1_1" formatStyle="Comma"/>
        <m:item xlName="_GBC_3472b44b3e3c44559d8c004fde6b156f" concept="clcid-pte:ShiYongDaoZhiYiBanFengXianZhunBeiBianDongJinE" label="使用导致一般风险准备变动金额" mulRef="_GBC_57faea4e453e49ad93821b7dd6ce8bc4" unitRef="_GBC_cef77704267643d794145c73763360e5" addr="T0R30C10S1_1" formatStyle="Comma"/>
        <m:item xlName="_GBC_293497fa73bf4eba8077a8b51f3746a0" concept="clcid-pte:ShiYongDaoZhiWeiFenPeiLiRunBianDongJinE" label="使用导致未分配利润变动金额" mulRef="_GBC_57faea4e453e49ad93821b7dd6ce8bc4" unitRef="_GBC_cef77704267643d794145c73763360e5" addr="T0R30C11S1_1" formatStyle="Comma"/>
        <m:item xlName="_GBC_b72759396f784ef282dbca7062b4f8d9" concept="clcid-pte:ShiYongDaoZhiQiTaDeGuiShuYuMuGongSiSuoYouZheQuanYiBianDongJinE" label="使用导致其他的归属于母公司所有者权益变动金额" mulRef="_GBC_57faea4e453e49ad93821b7dd6ce8bc4" unitRef="_GBC_cef77704267643d794145c73763360e5" addr="T0R30C12S1_1" formatStyle="Comma"/>
        <m:item xlName="_GBC_5325a1a7354f43e78ca03f7e4d505362" concept="clcid-pte:ShiYongZhuanXiangChuBeiDaoZhiGuiShuYuMuGongSiSuoYouZheQuanYiBianDongJinE" label="使用专项储备导致归属于母公司所有者权益变动金额" mulRef="_GBC_57faea4e453e49ad93821b7dd6ce8bc4" unitRef="_GBC_cef77704267643d794145c73763360e5" addr="T0R30C13S1_1" formatStyle="Comma"/>
        <m:item xlName="_GBC_338c6acd617044aa94afc4a15e515c64" concept="clcid-pte:ShiYongDaoZhiShaoShuGuDongQuanYiBianDongJinE" label="使用导致少数股东权益变动金额" mulRef="_GBC_57faea4e453e49ad93821b7dd6ce8bc4" unitRef="_GBC_cef77704267643d794145c73763360e5" addr="T0R30C14S1_1" formatStyle="Comma"/>
        <m:item xlName="_GBC_2bba8b0d81aa4581bc41b19c2d03a128" concept="clcid-pte:ShiYongDaoZhiGuDongQuanYiHeJiBianDongJinE" label="使用导致股东权益合计变动金额" mulRef="_GBC_57faea4e453e49ad93821b7dd6ce8bc4" unitRef="_GBC_cef77704267643d794145c73763360e5" addr="T0R30C15S1_1" formatStyle="Comma"/>
        <m:placeholder xlName="_PLD_f4bc69f9c7d34151a4b7a0d89088f0ee" wordText="（六）其他" addr="T0R31C0S1_1"/>
        <m:item xlName="_GBC_e5bb57182cb84c139313dd87a42549fc" concept="clcid-pte:QiTaDaoZhiShiShouZiBenHuoGuBenJingEBianDongJinE" label="其他导致实收资本（或股本）净额变动金额" mulRef="_GBC_57faea4e453e49ad93821b7dd6ce8bc4" unitRef="_GBC_cef77704267643d794145c73763360e5" addr="T0R31C1S1_1" formatStyle="Comma"/>
        <m:item xlName="_GBC_4cb17ac0318c46f5b906906cf31a388b" concept="clcid-pte:QiTaDaoZhiQiTaQuanYiGongJuZhongDeYouXianGuBianDongJinE" label="其他导致其他权益工具中的优先股变动金额" mulRef="_GBC_57faea4e453e49ad93821b7dd6ce8bc4" unitRef="_GBC_cef77704267643d794145c73763360e5" addr="T0R31C2S1_1" formatStyle="Comma"/>
        <m:item xlName="_GBC_b99886cc2ef449ee9001767361d56946" concept="clcid-pte:QiTaDaoZhiQiTaQuanYiGongJuZhongDeYongXuZhaiBianDongJinE" label="其他导致其他权益工具中的永续债变动金额" mulRef="_GBC_57faea4e453e49ad93821b7dd6ce8bc4" unitRef="_GBC_cef77704267643d794145c73763360e5" addr="T0R31C3S1_1" formatStyle="Comma"/>
        <m:item xlName="_GBC_115fc2853cdb4a3ea7f427dccb84c7f6" concept="clcid-pte:QiTaDaoZhiQiTaQuanYiGongJuZhongDeQiTaBianDongJinE" label="其他导致其他权益工具中的其他变动金额" mulRef="_GBC_57faea4e453e49ad93821b7dd6ce8bc4" unitRef="_GBC_cef77704267643d794145c73763360e5" addr="T0R31C4S1_1" formatStyle="Comma"/>
        <m:item xlName="_GBC_f93f79cca9c642cba3f66db418f8b2c3" concept="clcid-pte:QiTaDaoZhiZiBenGongJiBianDongJinE" label="其他导致资本公积变动金额" mulRef="_GBC_57faea4e453e49ad93821b7dd6ce8bc4" unitRef="_GBC_cef77704267643d794145c73763360e5" addr="T0R31C5S1_1" formatStyle="Comma"/>
        <m:item xlName="_GBC_b057b3deaf984131a7982c200f385c4d" concept="clcid-pte:QiTaDaoZhiKuCunGuBianDongJinE" label="其他导致库存股变动金额" mulRef="_GBC_57faea4e453e49ad93821b7dd6ce8bc4" unitRef="_GBC_cef77704267643d794145c73763360e5" addr="T0R31C6S1_1" baseScale="-1" formatStyle="Comma"/>
        <m:item xlName="_GBC_31755b23bf0647ffad40c136225f52e3" concept="clcid-pte:QiTaDaoZhiQiTaZongHeShouYiBianDongJinE" label="其他导致其他综合收益变动金额" mulRef="_GBC_57faea4e453e49ad93821b7dd6ce8bc4" unitRef="_GBC_cef77704267643d794145c73763360e5" addr="T0R31C7S1_1" formatStyle="Comma"/>
        <m:item xlName="_GBC_bcdbc1209b754c2f98c23f4aca0c0ae2" concept="clcid-pte:QiTaDaoZhiZhuanXiangChuBeiBianDongJinE" label="其他导致专项储备变动金额" mulRef="_GBC_57faea4e453e49ad93821b7dd6ce8bc4" unitRef="_GBC_cef77704267643d794145c73763360e5" addr="T0R31C8S1_1" formatStyle="Comma"/>
        <m:item xlName="_GBC_342200a60246426fb3eab7fde28e53f0" concept="clcid-pte:QiTaDaoZhiYingYuGongJiBianDongJinE" label="其他导致盈余公积变动金额" mulRef="_GBC_57faea4e453e49ad93821b7dd6ce8bc4" unitRef="_GBC_cef77704267643d794145c73763360e5" addr="T0R31C9S1_1" formatStyle="Comma"/>
        <m:item xlName="_GBC_66c87d17cb814231bab585cfb33549f4" concept="clcid-pte:QiTaDaoZhiYiBanFengXianZhunBeiBianDongJinE" label="其他导致一般风险准备变动金额" mulRef="_GBC_57faea4e453e49ad93821b7dd6ce8bc4" unitRef="_GBC_cef77704267643d794145c73763360e5" addr="T0R31C10S1_1" formatStyle="Comma"/>
        <m:item xlName="_GBC_ec9db240ea72422e8db149aae16a8004" concept="clcid-pte:QiTaDaoZhiWeiFenPeiLiRunBianDongJinE" label="其他导致未分配利润变动金额" mulRef="_GBC_57faea4e453e49ad93821b7dd6ce8bc4" unitRef="_GBC_cef77704267643d794145c73763360e5" addr="T0R31C11S1_1" formatStyle="Comma"/>
        <m:item xlName="_GBC_86f11dfca9a44f249ec66e84b57c1b44" concept="clcid-pte:QiTaDaoZhiQiTaDeGuiShuYuMuGongSiSuoYouZheQuanYiBianDongJinE" label="其他导致其他的归属于母公司所有者权益变动金额" mulRef="_GBC_57faea4e453e49ad93821b7dd6ce8bc4" unitRef="_GBC_cef77704267643d794145c73763360e5" addr="T0R31C12S1_1" formatStyle="Comma"/>
        <m:item xlName="_GBC_cb0016cce8fe43e98003b2b13a1a8310" concept="clcid-pte:QiTaDaoZhiGuiShuYuMuGongSiSuoYouZheQuanYiBianDongJinE" label="其他导致归属于母公司所有者权益变动金额" mulRef="_GBC_57faea4e453e49ad93821b7dd6ce8bc4" unitRef="_GBC_cef77704267643d794145c73763360e5" addr="T0R31C13S1_1" formatStyle="Comma"/>
        <m:item xlName="_GBC_7ee4bb8a90ca4d6f876a811900bbf14f" concept="clcid-pte:QiTaDaoZhiShaoShuGuDongQuanYiBianDongJinE" label="其他导致少数股东权益变动金额" mulRef="_GBC_57faea4e453e49ad93821b7dd6ce8bc4" unitRef="_GBC_cef77704267643d794145c73763360e5" addr="T0R31C14S1_1" formatStyle="Comma"/>
        <m:item xlName="_GBC_e5424969832b49b886fcd601a1464e2b" concept="clcid-pte:QiTaDaoZhiGuDongQuanYiHeJiBianDongJinE" label="其他导致股东权益合计变动金额" mulRef="_GBC_57faea4e453e49ad93821b7dd6ce8bc4" unitRef="_GBC_cef77704267643d794145c73763360e5" addr="T0R31C15S1_1" formatStyle="Comma"/>
        <m:placeholder xlName="_PLD_033ca7ec3c1d4c1b905d0af57ca8a614" wordText="四、本期期末余额" addr="T0R32C0S1_1"/>
        <m:item xlName="_GBC_9dc05927aafe4ee196c19ffd3a4696d1" concept="clcid-pte:GuBen" label="股本" mulRef="_GBC_57faea4e453e49ad93821b7dd6ce8bc4" unitRef="_GBC_cef77704267643d794145c73763360e5" addr="T0R32C1S1_1" formatStyle="Comma">
          <m:complexRule comparator="Eq" title="股本" test=" $_GBC_0c662007ff334bb781a6a3a735e723f7 +  $_GBC_3af7eb97d3514f10a23c0b89023752b4" id="C8be168ba389b4b26814f6c0bc3c7c0fa" radius="0.0001"/>
        </m:item>
        <m:item xlName="_GBC_5ad1876ce560442e8714eb302e93e8e9" concept="clcid-pte:QiTaQuanYiGongJuQiZhongYouXianGu" label="其他权益工具-其中：优先股" mulRef="_GBC_57faea4e453e49ad93821b7dd6ce8bc4" unitRef="_GBC_cef77704267643d794145c73763360e5" addr="T0R32C2S1_1" formatStyle="Comma">
          <m:complexRule comparator="Eq" title="其他权益工具-其中：优先股" test=" $_GBC_c3677caf0e384a30b62aff570f4edd20 +  $_GBC_31de6e6e3245453bb81137017f32526d" id="Cbb3b1f78d9244bd587545f732a750cef"/>
        </m:item>
        <m:item xlName="_GBC_56e159f7d5fe4df4bcad89d75aeb34ae" concept="clcid-pte:QiTaQuanYiGongJuYongXuZhai" label="其他权益工具-永续债" mulRef="_GBC_57faea4e453e49ad93821b7dd6ce8bc4" unitRef="_GBC_cef77704267643d794145c73763360e5" addr="T0R32C3S1_1" formatStyle="Comma">
          <m:complexRule comparator="Eq" title="其他权益工具-永续债" test=" $_GBC_885424eb670f4e9ab89ef8def1ef5ca2 +  $_GBC_e17ba5ca57b44d3b979e1bcc360525f3" id="C8fdf91ebf8054cab926c4db6117af80c"/>
        </m:item>
        <m:item xlName="_GBC_3349987ce0a54a13838c500a4c80696f" concept="clcid-pte:QiTaQuanYiGongJuQiTa" label="其他权益工具-其他" mulRef="_GBC_57faea4e453e49ad93821b7dd6ce8bc4" unitRef="_GBC_cef77704267643d794145c73763360e5" addr="T0R32C4S1_1" formatStyle="Comma">
          <m:complexRule comparator="Eq" title="其他权益工具-其他" test=" $_GBC_2d71b862596249ccbec39ded5462fc34 +  $_GBC_a543ecf27ae64d37802ba6b3403e63d5" id="C92e9cd6d899f4ca2807b8f2d360f8325"/>
        </m:item>
        <m:item xlName="_GBC_4b9b0e4135be4bce9e7a2e1b4c694fde" concept="clcid-pte:ZiBenGongJi" label="资本公积" mulRef="_GBC_57faea4e453e49ad93821b7dd6ce8bc4" unitRef="_GBC_cef77704267643d794145c73763360e5" addr="T0R32C5S1_1" formatStyle="Comma">
          <m:complexRule comparator="Eq" title="资本公积" test=" $_GBC_e7e04f7d01204105956d91f5c1571e28 +  $_GBC_3627c41bf40e462c8620f1263ac7419f" id="C578b337d0e8d4c07a06f8950ddeb39f5" radius="0.0001"/>
        </m:item>
        <m:item xlName="_GBC_58d5b4e7bf4d4cef96162b1c5c4219c4" concept="clcid-pte:KuCunGu" label="库存股" mulRef="_GBC_57faea4e453e49ad93821b7dd6ce8bc4" unitRef="_GBC_cef77704267643d794145c73763360e5" addr="T0R32C6S1_1" baseScale="-1" formatStyle="Comma" keyCode="abs" keyAction="108">
          <m:complexRule comparator="Eq" title="库存股" test=" $_GBC_9f2d69e7d06844c69ea1f80787d08bbf +  $_GBC_cfb742bc65374c42aec857140a23c67b" id="Cd5c03eee161b4480ad44a31dadb2ee58" radius="0.0001"/>
        </m:item>
        <m:item xlName="_GBC_849fa937d1094f1199307eed74b112b2" concept="clcid-pte:QiTaZongHeShouYiZiChanFuZhaiBiaoXiangMu" label="其他综合收益（资产负债表项目）" mulRef="_GBC_57faea4e453e49ad93821b7dd6ce8bc4" unitRef="_GBC_cef77704267643d794145c73763360e5" addr="T0R32C7S1_1" formatStyle="Comma">
          <m:complexRule comparator="Eq" title="其他综合收益（资产负债表项目）" test=" $_GBC_4a6bcd6c044c48fc98aae3ad1b8aa16e +  $_GBC_22fc524f34c3429d8663894de117905f" id="C98dd7be260914eafa4f4504d678c7c9e"/>
        </m:item>
        <m:item xlName="_GBC_7088f12529cd421aa18cf348bb7fa8ea" concept="clcid-pte:ZhuanXiangChuBei" label="专项储备" mulRef="_GBC_57faea4e453e49ad93821b7dd6ce8bc4" unitRef="_GBC_cef77704267643d794145c73763360e5" addr="T0R32C8S1_1" formatStyle="Comma">
          <m:complexRule comparator="Eq" title="专项储备" test=" $_GBC_d49744c39d574e4ba85cc0b415a054e4 +  $_GBC_96bb018f4932409099361a683927bf0f" id="C9d9ed1eaafe74d679d7874f163db4a4b" radius="0.0001"/>
        </m:item>
        <m:item xlName="_GBC_86c522eda51b492da3b0173e60d366af" concept="clcid-pte:YingYuGongJi" label="盈余公积" mulRef="_GBC_57faea4e453e49ad93821b7dd6ce8bc4" unitRef="_GBC_cef77704267643d794145c73763360e5" addr="T0R32C9S1_1" formatStyle="Comma">
          <m:complexRule comparator="Eq" title="盈余公积" test=" $_GBC_448e9d5c6c324c7b977e3120b163c949 +  $_GBC_c6732712698a45e4a89bee4861e3db6b" id="C228575689f0849548b25293abb72645f"/>
        </m:item>
        <m:item xlName="_GBC_c523622b6a654605a82b7c2c65cce1e3" concept="clcid-pte:YiBanFengXianZhunBei" label="一般风险准备" mulRef="_GBC_57faea4e453e49ad93821b7dd6ce8bc4" unitRef="_GBC_cef77704267643d794145c73763360e5" addr="T0R32C10S1_1" formatStyle="Comma">
          <m:complexRule comparator="Eq" title="一般风险准备" test=" $_GBC_76a84421833441ae8dacfed428ac73a7 +  $_GBC_3b86797cd0ef43538ea94d1f6fe0fbe9" id="C869e591176f946879087880399f904bb"/>
        </m:item>
        <m:item xlName="_GBC_98bcc931f5194f8693b6a3f0393e6fa3" concept="clcid-pte:WeiFenPeiLiRun" label="未分配利润" mulRef="_GBC_57faea4e453e49ad93821b7dd6ce8bc4" unitRef="_GBC_cef77704267643d794145c73763360e5" addr="T0R32C11S1_1" formatStyle="Comma">
          <m:complexRule comparator="Eq" title="未分配利润" test=" $_GBC_0029fc559a9c4f1e97bf224794aa2515 +  $_GBC_c725506b3ad84eccb3fac140c784126f" id="Cbc9b4879331c489cb41a009af10b273f"/>
        </m:item>
        <m:item xlName="_GBC_a62fbd31daa84c91aecac59031c841ce" concept="clcid-pte:QiTaDeGuiShuYuMuGongSiSuoYouZheQuanYi" label="其他的归属于母公司所有者权益" mulRef="_GBC_57faea4e453e49ad93821b7dd6ce8bc4" unitRef="_GBC_cef77704267643d794145c73763360e5" addr="T0R32C12S1_1" formatStyle="Comma">
          <m:complexRule comparator="Eq" title="其他的归属于母公司所有者权益" test=" $_GBC_1d766371e8a64b23a5479e8f00d7c981 +  $_GBC_86e681f063cf4e4e8e042efca13c686d" id="Cb36578df0435426491cb31f8b1a33d1c"/>
        </m:item>
        <m:item xlName="_GBC_f67f5174b7ea4b4398f8d91d0767ab73" concept="clcid-pte:GuiShuYuMuGongSiSuoYouZheQuanYiHeJi" label="归属于母公司所有者权益合计" mulRef="_GBC_57faea4e453e49ad93821b7dd6ce8bc4" unitRef="_GBC_cef77704267643d794145c73763360e5" addr="T0R32C13S1_1" formatStyle="Comma">
          <m:complexRule comparator="Eq" title="归属于母公司所有者权益合计" test=" $_GBC_cc9ba51b117641a2bf7b77cee68b1f69 +  $_GBC_9b533eea753f42678e94aac87164c8f9" id="C7d8bd86519764c4aab476e1ad2cdd452"/>
        </m:item>
        <m:item xlName="_GBC_8c6fd9faa3a146e89c0c5b479ea25bae" concept="clcid-pte:ShaoShuGuDongQuanYi" label="少数股东权益" mulRef="_GBC_57faea4e453e49ad93821b7dd6ce8bc4" unitRef="_GBC_cef77704267643d794145c73763360e5" addr="T0R32C14S1_1" formatStyle="Comma">
          <m:complexRule comparator="Eq" title="少数股东权益" test=" $_GBC_5a51fde8d9bd442ea9614c5e602523a4 +  $_GBC_c1baf9fd3a7c43e3b0765626d3f4786a" id="Cc82e69a07fe0417faa1a6c5db1274daf"/>
        </m:item>
        <m:item xlName="_GBC_15bd00861a964a9cb380909eb91ed9b4" concept="clcid-pte:GuDongQuanYiHeJi" label="股东权益合计" mulRef="_GBC_57faea4e453e49ad93821b7dd6ce8bc4" unitRef="_GBC_cef77704267643d794145c73763360e5" addr="T0R32C15S1_1" formatStyle="Comma">
          <m:complexRule comparator="Eq" title="股东权益合计" test=" $_GBC_b247fe380cff44978c88ba0c44328776 +  $_GBC_2aea7e65200c4636b30927f80555b840" id="C9d1a0cba97554c1ba43dda49654a9225"/>
        </m:item>
        <m:placeholder xlName="_PLD_20eb9c9dd1e14fb0a0790f87b63a489d" headerRef="241" wordText="项目" addr="T1R0C0S4_1"/>
        <m:placeholder xlName="_PLD_95c0e6e5f75a49daa1b601f67b7dd704" wordText="2023年半年度" addr="T1R0C1S1_15"/>
        <m:placeholder xlName="_PLD_3c5d65171933469ea16eac46afc03a54" wordText="归属于母公司所有者权益" addr="T1R1C1S1_13"/>
        <m:placeholder xlName="_PLD_ba7b1c99b1634f48939c500d6c46ce09" wordText="少数股东权益" addr="T1R1C14S3_1"/>
        <m:placeholder xlName="_PLD_fb367567c5f141a5863649df07435b71" wordText="所有者权益合计" addr="T1R1C15S3_1"/>
        <m:placeholder xlName="_PLD_36b3a5c009c04b53b0bd25afc2596e7e" wordText="实收资本(或股本)" addr="T1R2C1S2_1"/>
        <m:placeholder xlName="_PLD_c0579a9940424a129a85d26955bb30bc" wordText="其他权益工具" addr="T1R2C2S1_3"/>
        <m:placeholder xlName="_PLD_f728bf12d1d64c4fa04dfc828a7a0411" wordText="资本公积" addr="T1R2C5S2_1"/>
        <m:placeholder xlName="_PLD_8c191e0685ac4367b113504c484a11e9" wordText="减：库存股" addr="T1R2C6S2_1"/>
        <m:placeholder xlName="_PLD_68ae3206209542ea8491f40d49bafeb7" wordText="其他综合收益" addr="T1R2C7S2_1"/>
        <m:placeholder xlName="_PLD_6402f064d7a041d58973d8b8205096d0" wordText="专项储备" addr="T1R2C8S2_1"/>
        <m:placeholder xlName="_PLD_b1d22d8686164205bfa14ef647cebfcd" wordText="盈余公积" addr="T1R2C9S2_1"/>
        <m:placeholder xlName="_PLD_c5c57d0195b14864b413898a9c76e89d" wordText="一般风险准备" addr="T1R2C10S2_1"/>
        <m:placeholder xlName="_PLD_c9bffd2027d24ca1955db036ad79f5ea" wordText="未分配利润" addr="T1R2C11S2_1"/>
        <m:placeholder xlName="_PLD_de6da1e2128f48e49564e44af75ff7ab" wordText="其他" addr="T1R2C12S2_1">
          <m:placeholder xlName="_PLD_ff5e808cf3794086a9aee4c489a9f6eb" wordText="其他"/>
        </m:placeholder>
        <m:placeholder xlName="_PLD_e6df9793a438430a8df9730b2cdd8a99" wordText="小计" addr="T1R2C13S2_1"/>
        <m:placeholder xlName="_PLD_052ae87eff474159aaedec0c5ce4bb50" wordText="优先股" addr="T1R3C2S1_1"/>
        <m:placeholder xlName="_PLD_f40d311f528a48d8a47457e11ad5ccd5" wordText="永续债" addr="T1R3C3S1_1"/>
        <m:placeholder xlName="_PLD_90f98adf8eaf44078005d57f570c4291" wordText="其他" addr="T1R3C4S1_1"/>
        <m:placeholder xlName="_PLD_7e9607e7cfb34d74bf0fce08e0866d34" wordText="一、上年期末余额" addr="T1R4C0S1_1"/>
        <m:item xlName="_GBC_03c5cfb554bf41ab890acf4e1d52232e" concept="clcid-pte:GuBen" label="股本" periodRef="上年同期期初数" mulRef="_GBC_57faea4e453e49ad93821b7dd6ce8bc4" unitRef="_GBC_cef77704267643d794145c73763360e5" addr="T1R4C1S1_1" formatStyle="Comma">
          <m:axisValue occRef="调整前的值"/>
        </m:item>
        <m:item xlName="_GBC_96fc1ba8ea3a43e0a868ac1b8a617ed1" concept="clcid-pte:QiTaQuanYiGongJuQiZhongYouXianGu" label="其他权益工具-其中：优先股" periodRef="上年同期期初数" mulRef="_GBC_57faea4e453e49ad93821b7dd6ce8bc4" unitRef="_GBC_cef77704267643d794145c73763360e5" addr="T1R4C2S1_1" formatStyle="Comma">
          <m:axisValue occRef="调整前的值"/>
        </m:item>
        <m:item xlName="_GBC_7eea436044ae46509888c4f305d57b25" concept="clcid-pte:QiTaQuanYiGongJuYongXuZhai" label="其他权益工具-永续债" periodRef="上年同期期初数" mulRef="_GBC_57faea4e453e49ad93821b7dd6ce8bc4" unitRef="_GBC_cef77704267643d794145c73763360e5" addr="T1R4C3S1_1" formatStyle="Comma">
          <m:axisValue occRef="调整前的值"/>
        </m:item>
        <m:item xlName="_GBC_e85d38b585c44491bd3c9c9523ae5370" concept="clcid-pte:QiTaQuanYiGongJuQiTa" label="其他权益工具-其他" periodRef="上年同期期初数" mulRef="_GBC_57faea4e453e49ad93821b7dd6ce8bc4" unitRef="_GBC_cef77704267643d794145c73763360e5" addr="T1R4C4S1_1" formatStyle="Comma">
          <m:axisValue occRef="调整前的值"/>
        </m:item>
        <m:item xlName="_GBC_dec44f60461549f3be1e73f4aeae5289" concept="clcid-pte:ZiBenGongJi" label="资本公积" periodRef="上年同期期初数" mulRef="_GBC_57faea4e453e49ad93821b7dd6ce8bc4" unitRef="_GBC_cef77704267643d794145c73763360e5" addr="T1R4C5S1_1" formatStyle="Comma">
          <m:axisValue occRef="调整前的值"/>
        </m:item>
        <m:item xlName="_GBC_fe26a4f475f74c9fa0b068cd3869ae67" concept="clcid-pte:KuCunGu" label="库存股" periodRef="上年同期期初数" mulRef="_GBC_57faea4e453e49ad93821b7dd6ce8bc4" unitRef="_GBC_cef77704267643d794145c73763360e5" addr="T1R4C6S1_1" baseScale="-1" formatStyle="Comma" keyCode="abs" keyAction="108">
          <m:axisValue occRef="调整前的值"/>
        </m:item>
        <m:item xlName="_GBC_c4b282f6bdc44520a21dc165d784e9ca" concept="clcid-pte:QiTaZongHeShouYiZiChanFuZhaiBiaoXiangMu" label="其他综合收益（资产负债表项目）" periodRef="上年同期期初数" mulRef="_GBC_57faea4e453e49ad93821b7dd6ce8bc4" unitRef="_GBC_cef77704267643d794145c73763360e5" addr="T1R4C7S1_1" formatStyle="Comma">
          <m:axisValue occRef="调整前的值"/>
        </m:item>
        <m:item xlName="_GBC_a56a795ea53340228687a85f4206f4b5" concept="clcid-pte:ZhuanXiangChuBei" label="专项储备" periodRef="上年同期期初数" mulRef="_GBC_57faea4e453e49ad93821b7dd6ce8bc4" unitRef="_GBC_cef77704267643d794145c73763360e5" addr="T1R4C8S1_1" formatStyle="Comma">
          <m:axisValue occRef="调整前的值"/>
        </m:item>
        <m:item xlName="_GBC_664343ec5888483ea5cf6596a562f2f8" concept="clcid-pte:YingYuGongJi" label="盈余公积" periodRef="上年同期期初数" mulRef="_GBC_57faea4e453e49ad93821b7dd6ce8bc4" unitRef="_GBC_cef77704267643d794145c73763360e5" addr="T1R4C9S1_1" formatStyle="Comma">
          <m:axisValue occRef="调整前的值"/>
        </m:item>
        <m:item xlName="_GBC_50708f74fb2445dcb118885acdf81d3e" concept="clcid-pte:YiBanFengXianZhunBei" label="一般风险准备" periodRef="上年同期期初数" mulRef="_GBC_57faea4e453e49ad93821b7dd6ce8bc4" unitRef="_GBC_cef77704267643d794145c73763360e5" addr="T1R4C10S1_1" formatStyle="Comma">
          <m:axisValue occRef="调整前的值"/>
        </m:item>
        <m:item xlName="_GBC_fe4c74b5dad143278ceb8e58654833c5" concept="clcid-pte:WeiFenPeiLiRun" label="未分配利润" periodRef="上年同期期初数" mulRef="_GBC_57faea4e453e49ad93821b7dd6ce8bc4" unitRef="_GBC_cef77704267643d794145c73763360e5" addr="T1R4C11S1_1" formatStyle="Comma">
          <m:axisValue occRef="调整前的值"/>
        </m:item>
        <m:item xlName="_GBC_4d671feae64b4b4ebc18f7ed23cefb37" concept="clcid-pte:QiTaDeGuiShuYuMuGongSiSuoYouZheQuanYi" label="其他的归属于母公司所有者权益" periodRef="上年同期期初数" mulRef="_GBC_57faea4e453e49ad93821b7dd6ce8bc4" unitRef="_GBC_cef77704267643d794145c73763360e5" addr="T1R4C12S1_1" formatStyle="Comma">
          <m:axisValue occRef="调整前的值"/>
        </m:item>
        <m:item xlName="_GBC_af5e3f40a72541b1bf4a041c5523ac96" concept="clcid-pte:GuiShuYuMuGongSiSuoYouZheQuanYiHeJi" label="归属于母公司所有者权益合计" periodRef="上年同期期初数" mulRef="_GBC_57faea4e453e49ad93821b7dd6ce8bc4" unitRef="_GBC_cef77704267643d794145c73763360e5" addr="T1R4C13S1_1" formatStyle="Comma">
          <m:axisValue occRef="调整前的值"/>
        </m:item>
        <m:item xlName="_GBC_89ba5b10739d4ce3917108e88e495dd3" concept="clcid-pte:ShaoShuGuDongQuanYi" label="少数股东权益" periodRef="上年同期期初数" mulRef="_GBC_57faea4e453e49ad93821b7dd6ce8bc4" unitRef="_GBC_cef77704267643d794145c73763360e5" addr="T1R4C14S1_1" formatStyle="Comma">
          <m:axisValue occRef="调整前的值"/>
        </m:item>
        <m:item xlName="_GBC_f2c3f85fa9cd4305a289999283b486ee" concept="clcid-pte:GuDongQuanYiHeJi" label="股东权益合计" periodRef="上年同期期初数" mulRef="_GBC_57faea4e453e49ad93821b7dd6ce8bc4" unitRef="_GBC_cef77704267643d794145c73763360e5" addr="T1R4C15S1_1" formatStyle="Comma">
          <m:axisValue occRef="调整前的值"/>
        </m:item>
        <m:placeholder xlName="_PLD_fd33bb0caf614a75b319dc40c7515dcc" wordText="加：会计政策变更" addr="T1R5C0S1_1"/>
        <m:item xlName="_GBC_cbb6c5b6139b4c23b673a773aef5d91c" concept="clcid-pte:KuaiJiZhengCeBianGengDaoZhiShiShouZiBenHuoGuBenJingEBianDongJinE" label="会计政策变更导致实收资本（或股本）净额变动金额" periodRef="上年同期期初数" mulRef="_GBC_57faea4e453e49ad93821b7dd6ce8bc4" unitRef="_GBC_cef77704267643d794145c73763360e5" addr="T1R5C1S1_1" formatStyle="Comma"/>
        <m:item xlName="_GBC_cdea65499cbb4e5399d7a632d5348341" concept="clcid-pte:HuiJiZhengCeBianGengDaoZhiYouXianGuBianDongJinE" label="会计政策变更导致优先股变动金额" periodRef="上年同期期初数" mulRef="_GBC_57faea4e453e49ad93821b7dd6ce8bc4" unitRef="_GBC_cef77704267643d794145c73763360e5" addr="T1R5C2S1_1" formatStyle="Comma"/>
        <m:item xlName="_GBC_0b4f15e6cd8f4253af247f98bc944f52" concept="clcid-pte:HuiJiZhengCeBianGengDaoZhiYongXuZhaiBianDongJinE" label="会计政策变更导致永续债变动金额" periodRef="上年同期期初数" mulRef="_GBC_57faea4e453e49ad93821b7dd6ce8bc4" unitRef="_GBC_cef77704267643d794145c73763360e5" addr="T1R5C3S1_1" formatStyle="Comma"/>
        <m:item xlName="_GBC_6647706ce50e46e6b20b1cc64cbba3ef" concept="clcid-pte:HuiJiZhengCeBianGengDaoZhiQiTaQuanYiGongJuZhongDeQiTaBianDongJinE" label="会计政策变更导致其他权益工具中的其他变动金额" periodRef="上年同期期初数" mulRef="_GBC_57faea4e453e49ad93821b7dd6ce8bc4" unitRef="_GBC_cef77704267643d794145c73763360e5" addr="T1R5C4S1_1" formatStyle="Comma"/>
        <m:item xlName="_GBC_7c17c286d32e497cbd9726c4e2e214e0" concept="clcid-pte:KuaiJiZhengCeBianGengDaoZhiZiBenGongJiBianDongJinE" label="会计政策变更导致资本公积变动金额" periodRef="上年同期期初数" mulRef="_GBC_57faea4e453e49ad93821b7dd6ce8bc4" unitRef="_GBC_cef77704267643d794145c73763360e5" addr="T1R5C5S1_1" formatStyle="Comma"/>
        <m:item xlName="_GBC_cf728a050d9d4295a2932ac26aee8087" concept="clcid-pte:KuaiJiZhengCeBianGengDaoZhiKuCunGuBianDongJinE" label="会计政策变更导致库存股变动金额" periodRef="上年同期期初数" mulRef="_GBC_57faea4e453e49ad93821b7dd6ce8bc4" unitRef="_GBC_cef77704267643d794145c73763360e5" addr="T1R5C6S1_1" baseScale="-1" formatStyle="Comma"/>
        <m:item xlName="_GBC_65a94a67a35749cea759f717d9ce1b59" concept="clcid-pte:HuiJiZhengCeBianGengDaoZhiQiTaZongHeShouYiBianDongJinE" label="会计政策变更导致其他综合收益变动金额" periodRef="上年同期期初数" mulRef="_GBC_57faea4e453e49ad93821b7dd6ce8bc4" unitRef="_GBC_cef77704267643d794145c73763360e5" addr="T1R5C7S1_1" formatStyle="Comma"/>
        <m:item xlName="_GBC_3cccbdce52d84ef48d7e82af0c52c4b3" concept="clcid-pte:KuaiJiZhengCeBianGengDaoZhiZhuanXiangChuBeiBianDongJinE" label="会计政策变更导致专项储备变动金额" periodRef="上年同期期初数" mulRef="_GBC_57faea4e453e49ad93821b7dd6ce8bc4" unitRef="_GBC_cef77704267643d794145c73763360e5" addr="T1R5C8S1_1" formatStyle="Comma"/>
        <m:item xlName="_GBC_c7c6d6f1cd9c4cab8074673df314696b" concept="clcid-pte:KuaiJiZhengCeBianGengDaoZhiYingYuGongJiBianDongJinE" label="会计政策变更导致盈余公积变动金额" periodRef="上年同期期初数" mulRef="_GBC_57faea4e453e49ad93821b7dd6ce8bc4" unitRef="_GBC_cef77704267643d794145c73763360e5" addr="T1R5C9S1_1" formatStyle="Comma"/>
        <m:item xlName="_GBC_1da9a3d2800340f3b3824c574a73339f" concept="clcid-pte:KuaiJiZhengCeBianGengDaoZhiYiBanFengXianZhunBeiBianDongJinE" label="会计政策变更导致一般风险准备变动金额" periodRef="上年同期期初数" mulRef="_GBC_57faea4e453e49ad93821b7dd6ce8bc4" unitRef="_GBC_cef77704267643d794145c73763360e5" addr="T1R5C10S1_1" formatStyle="Comma"/>
        <m:item xlName="_GBC_a7115342c53144f4a6953ca044b1d02e" concept="clcid-pte:KuaiJiZhengCeBianGengDaoZhiWeiFenPeiLiRunBianDongJinE" label="会计政策变更导致未分配利润变动金额" periodRef="上年同期期初数" mulRef="_GBC_57faea4e453e49ad93821b7dd6ce8bc4" unitRef="_GBC_cef77704267643d794145c73763360e5" addr="T1R5C11S1_1" formatStyle="Comma"/>
        <m:item xlName="_GBC_282634407f63431b9649e7e871b4a468" concept="clcid-pte:KuaiJiZhengCeBianGengDaoZhiQiTaDeGuiShuYuMuGongSiSuoYouZheQuanYiBianDongJinE" label="会计政策变更导致其他的归属于母公司所有者权益变动金额" periodRef="上年同期期初数" mulRef="_GBC_57faea4e453e49ad93821b7dd6ce8bc4" unitRef="_GBC_cef77704267643d794145c73763360e5" addr="T1R5C12S1_1" formatStyle="Comma"/>
        <m:item xlName="_GBC_63da0f51ec0d467e951154bd49806f3a" concept="clcid-pte:KuaiJiZhengCeBianGengDaoZhiGuiShuYuMuGongSiSuoYouZheQuanYiBianDongJinE" label="会计政策变更导致归属于母公司所有者权益变动金额" periodRef="上年同期期初数" mulRef="_GBC_57faea4e453e49ad93821b7dd6ce8bc4" unitRef="_GBC_cef77704267643d794145c73763360e5" addr="T1R5C13S1_1" formatStyle="Comma"/>
        <m:item xlName="_GBC_0538a95199c44a88989bf93b00e6c8af" concept="clcid-pte:KuaiJiZhengCeBianGengDaoZhiShaoShuGuDongQuanYiBianDongJinE" label="会计政策变更导致少数股东权益变动金额" periodRef="上年同期期初数" mulRef="_GBC_57faea4e453e49ad93821b7dd6ce8bc4" unitRef="_GBC_cef77704267643d794145c73763360e5" addr="T1R5C14S1_1" formatStyle="Comma"/>
        <m:item xlName="_GBC_ec6669d1b002490880daab099a7ca507" concept="clcid-pte:KuaiJiZhengCeBianGengDaoZhiGuDongQuanYiHeJiBianDongJinE" label="会计政策变更导致股东权益合计变动金额" periodRef="上年同期期初数" mulRef="_GBC_57faea4e453e49ad93821b7dd6ce8bc4" unitRef="_GBC_cef77704267643d794145c73763360e5" addr="T1R5C15S1_1" formatStyle="Comma"/>
        <m:placeholder xlName="_PLD_15b4364437fa4ad39040010f7c204056" wordText="前期差错更正" indent="200" addr="T1R6C0S1_1"/>
        <m:item xlName="_GBC_6402bc2dd768467faf3248711fd5706f" concept="clcid-pte:QianQiChaCuoGengZhengDaoZhiShiShouZiBenHuoGuBenJingEBianDongJinE" label="前期差错更正导致实收资本（或股本）净额变动金额" periodRef="上年同期期初数" mulRef="_GBC_57faea4e453e49ad93821b7dd6ce8bc4" unitRef="_GBC_cef77704267643d794145c73763360e5" addr="T1R6C1S1_1" formatStyle="Comma"/>
        <m:item xlName="_GBC_533c60ff0b7b49ad9c774e7aef07c6a6" concept="clcid-pte:QianQiChaCuoGengZhengDaoZhiYouXianGuBianDongJinE" label="前期差错更正导致优先股变动金额" periodRef="上年同期期初数" mulRef="_GBC_57faea4e453e49ad93821b7dd6ce8bc4" unitRef="_GBC_cef77704267643d794145c73763360e5" addr="T1R6C2S1_1" formatStyle="Comma"/>
        <m:item xlName="_GBC_2a592b212be749069542cdc7652b647b" concept="clcid-pte:QianQiChaCuoGengZhengDaoZhiYongXuZhaiBianDongJinE" label="前期差错更正导致永续债变动金额" periodRef="上年同期期初数" mulRef="_GBC_57faea4e453e49ad93821b7dd6ce8bc4" unitRef="_GBC_cef77704267643d794145c73763360e5" addr="T1R6C3S1_1" formatStyle="Comma"/>
        <m:item xlName="_GBC_842b17944268496e8dda5a1ea12e0ce8" concept="clcid-pte:QianQiChaCuoGengZhengDaoZhiQiTaQuanYiGongJuZhongDeQiTaBianDongJinE" label="前期差错更正导致其他权益工具中的其他变动金额" periodRef="上年同期期初数" mulRef="_GBC_57faea4e453e49ad93821b7dd6ce8bc4" unitRef="_GBC_cef77704267643d794145c73763360e5" addr="T1R6C4S1_1" formatStyle="Comma"/>
        <m:item xlName="_GBC_90791c4411ec41f69a37b2001a11bcad" concept="clcid-pte:QianQiChaCuoGengZhengDaoZhiZiBenGongJiBianDongJinE" label="前期差错更正导致资本公积变动金额" periodRef="上年同期期初数" mulRef="_GBC_57faea4e453e49ad93821b7dd6ce8bc4" unitRef="_GBC_cef77704267643d794145c73763360e5" addr="T1R6C5S1_1" formatStyle="Comma"/>
        <m:item xlName="_GBC_4754e5884be8435887c09872ce6b032d" concept="clcid-pte:QianQiChaCuoGengZhengDaoZhiKuCunGuBianDongJinE" label="前期差错更正导致库存股变动金额" periodRef="上年同期期初数" mulRef="_GBC_57faea4e453e49ad93821b7dd6ce8bc4" unitRef="_GBC_cef77704267643d794145c73763360e5" addr="T1R6C6S1_1" baseScale="-1" formatStyle="Comma"/>
        <m:item xlName="_GBC_afb904f12206429fb34ebb2b9b1e1fdf" concept="clcid-pte:QianQiChaCuoGengZhengDaoZhiQiTaZongHeShouYiBianDongJinE" label="前期差错更正导致其他综合收益变动金额" periodRef="上年同期期初数" mulRef="_GBC_57faea4e453e49ad93821b7dd6ce8bc4" unitRef="_GBC_cef77704267643d794145c73763360e5" addr="T1R6C7S1_1" formatStyle="Comma"/>
        <m:item xlName="_GBC_2f4dfcaa5c024f02827b7cc0c9aba6a3" concept="clcid-pte:QianQiChaCuoGengZhengDaoZhiZhuanXiangChuBeiBianDongJinE" label="前期差错更正导致专项储备变动金额" periodRef="上年同期期初数" mulRef="_GBC_57faea4e453e49ad93821b7dd6ce8bc4" unitRef="_GBC_cef77704267643d794145c73763360e5" addr="T1R6C8S1_1" formatStyle="Comma"/>
        <m:item xlName="_GBC_1f7c6ea4410349eaabc6ddcb3490cb0a" concept="clcid-pte:QianQiChaCuoGengZhengDaoZhiYingYuGongJiBianDongJinE" label="前期差错更正导致盈余公积变动金额" periodRef="上年同期期初数" mulRef="_GBC_57faea4e453e49ad93821b7dd6ce8bc4" unitRef="_GBC_cef77704267643d794145c73763360e5" addr="T1R6C9S1_1" formatStyle="Comma"/>
        <m:item xlName="_GBC_cf210726d28242a99ea33371c07fa423" concept="clcid-pte:QianQiChaCuoGengZhengDaoZhiYiBanFengXianZhunBeiBianDongJinE" label="前期差错更正导致一般风险准备变动金额" periodRef="上年同期期初数" mulRef="_GBC_57faea4e453e49ad93821b7dd6ce8bc4" unitRef="_GBC_cef77704267643d794145c73763360e5" addr="T1R6C10S1_1" formatStyle="Comma"/>
        <m:item xlName="_GBC_bd2e99f30ec24df1b9b66a8ce0288037" concept="clcid-pte:QianQiChaCuoGengZhengDaoZhiWeiFenPeiLiRunBianDongJinE" label="前期差错更正导致未分配利润变动金额" periodRef="上年同期期初数" mulRef="_GBC_57faea4e453e49ad93821b7dd6ce8bc4" unitRef="_GBC_cef77704267643d794145c73763360e5" addr="T1R6C11S1_1" formatStyle="Comma"/>
        <m:item xlName="_GBC_44abafb4085045c9b4c917931d870be6" concept="clcid-pte:QianQiChaCuoGengZhengDaoZhiQiTaDeGuiShuYuMuGongSiSuoYouZheQuanYiBianDongJinE" label="前期差错更正导致其他的归属于母公司所有者权益变动金额" periodRef="上年同期期初数" mulRef="_GBC_57faea4e453e49ad93821b7dd6ce8bc4" unitRef="_GBC_cef77704267643d794145c73763360e5" addr="T1R6C12S1_1" formatStyle="Comma"/>
        <m:item xlName="_GBC_4ec12afb11c045f08907816731f7b68b" concept="clcid-pte:QianQiChaCuoGengZhengDaoZhiGuiShuYuMuGongSiSuoYouZheQuanYiBianDongJinE" label="前期差错更正导致归属于母公司所有者权益变动金额" periodRef="上年同期期初数" mulRef="_GBC_57faea4e453e49ad93821b7dd6ce8bc4" unitRef="_GBC_cef77704267643d794145c73763360e5" addr="T1R6C13S1_1" formatStyle="Comma"/>
        <m:item xlName="_GBC_3072809418a749dd94b1d1e159a27064" concept="clcid-pte:QianQiChaCuoGengZhengDaoZhiShaoShuGuDongQuanYiBianDongJinE" label="前期差错更正导致少数股东权益变动金额" periodRef="上年同期期初数" mulRef="_GBC_57faea4e453e49ad93821b7dd6ce8bc4" unitRef="_GBC_cef77704267643d794145c73763360e5" addr="T1R6C14S1_1" formatStyle="Comma"/>
        <m:item xlName="_GBC_19cb9b2d447644ec8c344aa0bd417c5d" concept="clcid-pte:QianQiChaCuoGengZhengDaoZhiGuDongQuanYiHeJiBianDongJinE" label="前期差错更正导致股东权益合计变动金额" periodRef="上年同期期初数" mulRef="_GBC_57faea4e453e49ad93821b7dd6ce8bc4" unitRef="_GBC_cef77704267643d794145c73763360e5" addr="T1R6C15S1_1" formatStyle="Comma"/>
        <m:placeholder xlName="_PLD_87118e97730e486dbbcc5e072b67665f" wordText="其他" indent="200" addr="T1R7C0S1_1"/>
        <m:item xlName="_GBC_20538a9c712240c983e30f50639f5ec8" concept="clcid-pte:QiTaZhuiSuTiaoZhengDaoZhiShiShouZiBenBianDongJinE" label="实收资本变动金额（其他追溯调整）" periodRef="上年同期期初数" mulRef="_GBC_57faea4e453e49ad93821b7dd6ce8bc4" unitRef="_GBC_cef77704267643d794145c73763360e5" addr="T1R7C1S1_1" formatStyle="Comma"/>
        <m:item xlName="_GBC_02dc66cdaff44058a1951cdcfe8d8de0" concept="clcid-pte:YouXianGuBianDongJinEQiTaZhuiSuDiaoZheng" label="优先股变动金额（其他追溯调整）" periodRef="上年同期期初数" mulRef="_GBC_57faea4e453e49ad93821b7dd6ce8bc4" unitRef="_GBC_cef77704267643d794145c73763360e5" addr="T1R7C2S1_1" formatStyle="Comma"/>
        <m:item xlName="_GBC_0b6206bdbda44fba8bd9398a4f4527c1" concept="clcid-pte:YongXuZhaiBianDongJinEQiTaZhuiSuDiaoZheng" label="永续债变动金额（其他追溯调整）" periodRef="上年同期期初数" mulRef="_GBC_57faea4e453e49ad93821b7dd6ce8bc4" unitRef="_GBC_cef77704267643d794145c73763360e5" addr="T1R7C3S1_1" formatStyle="Comma"/>
        <m:item xlName="_GBC_b5bf697bac504def9c26f8ff65fa7391" concept="clcid-pte:QiTaQuanYiGongJuZhongDeQiTaBianDongJinEQiTaZhuiSuDiaoZheng" label="其他权益工具中的其他变动金额（其他追溯调整）" periodRef="上年同期期初数" mulRef="_GBC_57faea4e453e49ad93821b7dd6ce8bc4" unitRef="_GBC_cef77704267643d794145c73763360e5" addr="T1R7C4S1_1" formatStyle="Comma"/>
        <m:item xlName="_GBC_50383c62ee7048a6a302cbb560d030b3" concept="clcid-pte:QiTaZhuiSuTiaoZhengDaoZhiZiBenGongJiBianDongJinE" label="资本公积变动金额（其他追溯调整）" periodRef="上年同期期初数" mulRef="_GBC_57faea4e453e49ad93821b7dd6ce8bc4" unitRef="_GBC_cef77704267643d794145c73763360e5" addr="T1R7C5S1_1" formatStyle="Comma"/>
        <m:item xlName="_GBC_6234cc73c37f4a8d8ecbc76eeca00723" concept="clcid-pte:QiTaZhuiSuTiaoZhengDaoZhiKuCunGuBianDongJinE" label="库存股变动金额（其他追溯调整）" periodRef="上年同期期初数" mulRef="_GBC_57faea4e453e49ad93821b7dd6ce8bc4" unitRef="_GBC_cef77704267643d794145c73763360e5" addr="T1R7C6S1_1" baseScale="-1" formatStyle="Comma"/>
        <m:item xlName="_GBC_a20dc66ccb474cfea444f14c080543b9" concept="clcid-pte:QiTaZongHeShouYiBianDongJinEQiTaZhuiSuDiaoZheng" label="其他综合收益变动金额（其他追溯调整）" periodRef="上年同期期初数" mulRef="_GBC_57faea4e453e49ad93821b7dd6ce8bc4" unitRef="_GBC_cef77704267643d794145c73763360e5" addr="T1R7C7S1_1" formatStyle="Comma"/>
        <m:item xlName="_GBC_2683713a5d974a86865c7f301d2cc93e" concept="clcid-pte:QiTaZhuiSuTiaoZhengDaoZhiZhuanXiangChuBeiBianDongJinE" label="专项储备变动金额（其他追溯调整）" periodRef="上年同期期初数" mulRef="_GBC_57faea4e453e49ad93821b7dd6ce8bc4" unitRef="_GBC_cef77704267643d794145c73763360e5" addr="T1R7C8S1_1" formatStyle="Comma"/>
        <m:item xlName="_GBC_9d77ac6f539d468fb064f49c75ced935" concept="clcid-pte:QiTaZhuiSuTiaoZhengDaoZhiYingYuGongJiBianDongJinE" label="盈余公积变动金额（其他追溯调整）" periodRef="上年同期期初数" mulRef="_GBC_57faea4e453e49ad93821b7dd6ce8bc4" unitRef="_GBC_cef77704267643d794145c73763360e5" addr="T1R7C9S1_1" formatStyle="Comma"/>
        <m:item xlName="_GBC_523805662d15403ba6cae1dfe49ccad4" concept="clcid-pte:QiTaZhuiSuTiaoZhengDaoZhiYiBanFengXianZhunBeiBianDongJinE" label="一般风险准备变动金额（其他追溯调整）" periodRef="上年同期期初数" mulRef="_GBC_57faea4e453e49ad93821b7dd6ce8bc4" unitRef="_GBC_cef77704267643d794145c73763360e5" addr="T1R7C10S1_1" formatStyle="Comma"/>
        <m:item xlName="_GBC_7241d5b3eeab4fdeb3ed56214313b50d" concept="clcid-pte:QiTaZhuiSuTiaoZhengDaoZhiWeiFenPeiLiRunBianDongJinE" label="未分配利润变动金额（其他追溯调整）" periodRef="上年同期期初数" mulRef="_GBC_57faea4e453e49ad93821b7dd6ce8bc4" unitRef="_GBC_cef77704267643d794145c73763360e5" addr="T1R7C11S1_1" formatStyle="Comma"/>
        <m:item xlName="_GBC_16d94b3bade24b20998b869c69dc6d51" concept="clcid-pte:QiTaZhuiSuTiaoZhengDaoZhiQiTaGuiShuYuMuGongSiSuoYouZheQuanYiBianDongJinE" label="其他归属于母公司所有者权益变动金额（其他追溯调整）" periodRef="上年同期期初数" mulRef="_GBC_57faea4e453e49ad93821b7dd6ce8bc4" unitRef="_GBC_cef77704267643d794145c73763360e5" addr="T1R7C12S1_1" formatStyle="Comma"/>
        <m:item xlName="_GBC_8c951bcb3ca14ead9292b54e5465c61b" concept="clcid-pte:QiTaZhuiSuTiaoZhengDaoZhiGuiShuYuMuGongSiSuoYouZheQuanYiBianDongJinE" label="归属于母公司所有者权益变动金额（其他追溯调整）" periodRef="上年同期期初数" mulRef="_GBC_57faea4e453e49ad93821b7dd6ce8bc4" unitRef="_GBC_cef77704267643d794145c73763360e5" addr="T1R7C13S1_1" formatStyle="Comma"/>
        <m:item xlName="_GBC_6682b5e82bf4400e8bd428b55c43003c" concept="clcid-pte:QiTaZhuiSuTiaoZhengDaoZhiShaoShuGuDongQuanYiBianDongJinE" label="少数股东权益变动金额（其他追溯调整）" periodRef="上年同期期初数" mulRef="_GBC_57faea4e453e49ad93821b7dd6ce8bc4" unitRef="_GBC_cef77704267643d794145c73763360e5" addr="T1R7C14S1_1" formatStyle="Comma"/>
        <m:item xlName="_GBC_485b46324fb44b18842afbc8b03abd2a" concept="clcid-pte:QiTaZhuiSuTiaoZhengDaoZhiGuDongQuanYiBianDongJinE" label="股东权益变动金额（其他追溯调整）" periodRef="上年同期期初数" mulRef="_GBC_57faea4e453e49ad93821b7dd6ce8bc4" unitRef="_GBC_cef77704267643d794145c73763360e5" addr="T1R7C15S1_1" formatStyle="Comma"/>
        <m:placeholder xlName="_PLD_b579c38070f04b86951daea3037af89c" wordText="二、本年期初余额" addr="T1R8C0S1_1"/>
        <m:item xlName="_GBC_463429ab366c4a0faabd8fd5c4eeb15c" concept="clcid-pte:GuBen" label="股本" periodRef="上年同期期初数" mulRef="_GBC_57faea4e453e49ad93821b7dd6ce8bc4" unitRef="_GBC_cef77704267643d794145c73763360e5" addr="T1R8C1S1_1" formatStyle="Comma">
          <m:complexRule comparator="Eq" title="股本@上年同期期初数" test=" $_GBC_03c5cfb554bf41ab890acf4e1d52232e +  $_GBC_cbb6c5b6139b4c23b673a773aef5d91c +  $_GBC_6402bc2dd768467faf3248711fd5706f +  $_GBC_20538a9c712240c983e30f50639f5ec8" id="Cacadd4b996484f79a10f40a11121cd54" radius="0.0001"/>
        </m:item>
        <m:item xlName="_GBC_0fd8b540968644f4948b0a43dcc1580f" concept="clcid-pte:QiTaQuanYiGongJuQiZhongYouXianGu" label="其他权益工具-其中：优先股" periodRef="上年同期期初数" mulRef="_GBC_57faea4e453e49ad93821b7dd6ce8bc4" unitRef="_GBC_cef77704267643d794145c73763360e5" addr="T1R8C2S1_1" formatStyle="Comma">
          <m:complexRule comparator="Eq" title="其他权益工具-其中：优先股@上年同期期初数" test=" $_GBC_96fc1ba8ea3a43e0a868ac1b8a617ed1 +  $_GBC_cdea65499cbb4e5399d7a632d5348341 +  $_GBC_533c60ff0b7b49ad9c774e7aef07c6a6 +  $_GBC_02dc66cdaff44058a1951cdcfe8d8de0" id="C3ecf1ea3f36a4b19964c431ce5c3f6b7"/>
        </m:item>
        <m:item xlName="_GBC_8f96f4b9e9d5432b84f3d53bd2fbdaba" concept="clcid-pte:QiTaQuanYiGongJuYongXuZhai" label="其他权益工具-永续债" periodRef="上年同期期初数" mulRef="_GBC_57faea4e453e49ad93821b7dd6ce8bc4" unitRef="_GBC_cef77704267643d794145c73763360e5" addr="T1R8C3S1_1" formatStyle="Comma">
          <m:complexRule comparator="Eq" title="其他权益工具-永续债@上年同期期初数" test=" $_GBC_7eea436044ae46509888c4f305d57b25 +  $_GBC_0b4f15e6cd8f4253af247f98bc944f52 +  $_GBC_2a592b212be749069542cdc7652b647b +  $_GBC_0b6206bdbda44fba8bd9398a4f4527c1" id="Cbeb1deb87986402f8bc40b3775c7a656"/>
        </m:item>
        <m:item xlName="_GBC_6163291996f64057b05ad30337ffe9e0" concept="clcid-pte:QiTaQuanYiGongJuQiTa" label="其他权益工具-其他" periodRef="上年同期期初数" mulRef="_GBC_57faea4e453e49ad93821b7dd6ce8bc4" unitRef="_GBC_cef77704267643d794145c73763360e5" addr="T1R8C4S1_1" formatStyle="Comma">
          <m:complexRule comparator="Eq" title="其他权益工具-其他@上年同期期初数" test=" $_GBC_e85d38b585c44491bd3c9c9523ae5370 +  $_GBC_6647706ce50e46e6b20b1cc64cbba3ef +  $_GBC_842b17944268496e8dda5a1ea12e0ce8 +  $_GBC_b5bf697bac504def9c26f8ff65fa7391" id="C69d30ee5dfb6420ca69ac691e1b294df"/>
        </m:item>
        <m:item xlName="_GBC_8ad228b791ff43f5ad1561d7ca684671" concept="clcid-pte:ZiBenGongJi" label="资本公积" periodRef="上年同期期初数" mulRef="_GBC_57faea4e453e49ad93821b7dd6ce8bc4" unitRef="_GBC_cef77704267643d794145c73763360e5" addr="T1R8C5S1_1" formatStyle="Comma">
          <m:complexRule comparator="Eq" title="资本公积@上年同期期初数" test=" $_GBC_dec44f60461549f3be1e73f4aeae5289 +  $_GBC_7c17c286d32e497cbd9726c4e2e214e0 +  $_GBC_90791c4411ec41f69a37b2001a11bcad +  $_GBC_50383c62ee7048a6a302cbb560d030b3" id="C218dd0d2edea4141b5991a882e34d59a" radius="0.0001"/>
        </m:item>
        <m:item xlName="_GBC_9abb5ce9cbd9452986403063087da14c" concept="clcid-pte:KuCunGu" label="库存股" periodRef="上年同期期初数" mulRef="_GBC_57faea4e453e49ad93821b7dd6ce8bc4" unitRef="_GBC_cef77704267643d794145c73763360e5" addr="T1R8C6S1_1" baseScale="-1" formatStyle="Comma" keyCode="abs" keyAction="108">
          <m:complexRule comparator="Eq" title="库存股@上年同期期初数" test=" $_GBC_fe26a4f475f74c9fa0b068cd3869ae67 +  $_GBC_cf728a050d9d4295a2932ac26aee8087 +  $_GBC_4754e5884be8435887c09872ce6b032d +  $_GBC_6234cc73c37f4a8d8ecbc76eeca00723" id="C72130a559c394f5ea371e437282caf23" radius="0.0001"/>
        </m:item>
        <m:item xlName="_GBC_717af8769d284587b4e0d85c55c54be4" concept="clcid-pte:QiTaZongHeShouYiZiChanFuZhaiBiaoXiangMu" label="其他综合收益（资产负债表项目）" periodRef="上年同期期初数" mulRef="_GBC_57faea4e453e49ad93821b7dd6ce8bc4" unitRef="_GBC_cef77704267643d794145c73763360e5" addr="T1R8C7S1_1" formatStyle="Comma">
          <m:complexRule comparator="Eq" title="其他综合收益（资产负债表项目）@上年同期期初数" test=" $_GBC_c4b282f6bdc44520a21dc165d784e9ca +  $_GBC_65a94a67a35749cea759f717d9ce1b59 +  $_GBC_afb904f12206429fb34ebb2b9b1e1fdf +  $_GBC_a20dc66ccb474cfea444f14c080543b9" id="Ca5abbf53a04a44a2af04950312e8bfc0"/>
        </m:item>
        <m:item xlName="_GBC_0dbc1d28380d4b48b03711d88ed56f1b" concept="clcid-pte:ZhuanXiangChuBei" label="专项储备" periodRef="上年同期期初数" mulRef="_GBC_57faea4e453e49ad93821b7dd6ce8bc4" unitRef="_GBC_cef77704267643d794145c73763360e5" addr="T1R8C8S1_1" formatStyle="Comma">
          <m:complexRule comparator="Eq" title="专项储备@上年同期期初数" test=" $_GBC_a56a795ea53340228687a85f4206f4b5 +  $_GBC_3cccbdce52d84ef48d7e82af0c52c4b3 +  $_GBC_2f4dfcaa5c024f02827b7cc0c9aba6a3 +  $_GBC_2683713a5d974a86865c7f301d2cc93e" id="C56802032f03847ef9ae1e1a7b8fbb339" radius="0.0001"/>
        </m:item>
        <m:item xlName="_GBC_6931f14de9ae4e9db2c9b7f81f158218" concept="clcid-pte:YingYuGongJi" label="盈余公积" periodRef="上年同期期初数" mulRef="_GBC_57faea4e453e49ad93821b7dd6ce8bc4" unitRef="_GBC_cef77704267643d794145c73763360e5" addr="T1R8C9S1_1" formatStyle="Comma">
          <m:complexRule comparator="Eq" title="盈余公积@上年同期期初数" test=" $_GBC_664343ec5888483ea5cf6596a562f2f8 +  $_GBC_c7c6d6f1cd9c4cab8074673df314696b +  $_GBC_1f7c6ea4410349eaabc6ddcb3490cb0a +  $_GBC_9d77ac6f539d468fb064f49c75ced935" id="C225e6835b0d44f15b00707521964718b" radius="0.0001"/>
        </m:item>
        <m:item xlName="_GBC_a4f1aa6de84044b6a6b3214765a7508e" concept="clcid-pte:YiBanFengXianZhunBei" label="一般风险准备" periodRef="上年同期期初数" mulRef="_GBC_57faea4e453e49ad93821b7dd6ce8bc4" unitRef="_GBC_cef77704267643d794145c73763360e5" addr="T1R8C10S1_1" formatStyle="Comma">
          <m:complexRule comparator="Eq" title="一般风险准备@上年同期期初数" test=" $_GBC_50708f74fb2445dcb118885acdf81d3e +  $_GBC_1da9a3d2800340f3b3824c574a73339f +  $_GBC_cf210726d28242a99ea33371c07fa423 +  $_GBC_523805662d15403ba6cae1dfe49ccad4" id="C03c8676aba364ecc8b63daadc24bc086" radius="0.0001"/>
        </m:item>
        <m:item xlName="_GBC_e78cfa47dbb84664a5ca613f752a1673" concept="clcid-pte:WeiFenPeiLiRun" label="未分配利润" periodRef="上年同期期初数" mulRef="_GBC_57faea4e453e49ad93821b7dd6ce8bc4" unitRef="_GBC_cef77704267643d794145c73763360e5" addr="T1R8C11S1_1" formatStyle="Comma">
          <m:complexRule comparator="Eq" title="未分配利润@上年同期期初数" test=" $_GBC_fe4c74b5dad143278ceb8e58654833c5 +  $_GBC_a7115342c53144f4a6953ca044b1d02e +  $_GBC_bd2e99f30ec24df1b9b66a8ce0288037 +  $_GBC_7241d5b3eeab4fdeb3ed56214313b50d" id="C2642b55a20c544059378e9f837771cee" radius="0.0001"/>
        </m:item>
        <m:item xlName="_GBC_be34bee636684ecba5f8a8345f1c13d8" concept="clcid-pte:QiTaDeGuiShuYuMuGongSiSuoYouZheQuanYi" label="其他的归属于母公司所有者权益" periodRef="上年同期期初数" mulRef="_GBC_57faea4e453e49ad93821b7dd6ce8bc4" unitRef="_GBC_cef77704267643d794145c73763360e5" addr="T1R8C12S1_1" formatStyle="Comma">
          <m:complexRule comparator="Eq" title="其他的归属于母公司所有者权益@上年同期期初数" test=" $_GBC_4d671feae64b4b4ebc18f7ed23cefb37 +  $_GBC_282634407f63431b9649e7e871b4a468 +  $_GBC_44abafb4085045c9b4c917931d870be6 +  $_GBC_16d94b3bade24b20998b869c69dc6d51" id="C73b0eee979f944f8aef9e048395a605d"/>
        </m:item>
        <m:item xlName="_GBC_d37b2a094fd64c50b8c74275b2ea7c89" concept="clcid-pte:GuiShuYuMuGongSiSuoYouZheQuanYiHeJi" label="归属于母公司所有者权益合计" periodRef="上年同期期初数" mulRef="_GBC_57faea4e453e49ad93821b7dd6ce8bc4" unitRef="_GBC_cef77704267643d794145c73763360e5" addr="T1R8C13S1_1" formatStyle="Comma">
          <m:complexRule comparator="Eq" title="归属于母公司所有者权益合计@上年同期期初数" test=" $_GBC_af5e3f40a72541b1bf4a041c5523ac96 +  $_GBC_63da0f51ec0d467e951154bd49806f3a +  $_GBC_4ec12afb11c045f08907816731f7b68b +  $_GBC_8c951bcb3ca14ead9292b54e5465c61b" id="C06ba9ba183434695bff0785a01479a4d"/>
        </m:item>
        <m:item xlName="_GBC_1cbab821d4a348188e555da7c3810735" concept="clcid-pte:ShaoShuGuDongQuanYi" label="少数股东权益" periodRef="上年同期期初数" mulRef="_GBC_57faea4e453e49ad93821b7dd6ce8bc4" unitRef="_GBC_cef77704267643d794145c73763360e5" addr="T1R8C14S1_1" formatStyle="Comma">
          <m:complexRule comparator="Eq" title="少数股东权益@上年同期期初数" test=" $_GBC_89ba5b10739d4ce3917108e88e495dd3 +  $_GBC_0538a95199c44a88989bf93b00e6c8af +  $_GBC_3072809418a749dd94b1d1e159a27064 +  $_GBC_6682b5e82bf4400e8bd428b55c43003c" id="C1ac51bd18f764f409d3b9bbc4b277db8"/>
        </m:item>
        <m:item xlName="_GBC_b753d2879310430b85393d22ce74cca7" concept="clcid-pte:GuDongQuanYiHeJi" label="股东权益合计" periodRef="上年同期期初数" mulRef="_GBC_57faea4e453e49ad93821b7dd6ce8bc4" unitRef="_GBC_cef77704267643d794145c73763360e5" addr="T1R8C15S1_1" formatStyle="Comma">
          <m:complexRule comparator="Eq" title="股东权益合计@上年同期期初数" test=" $_GBC_f2c3f85fa9cd4305a289999283b486ee +  $_GBC_ec6669d1b002490880daab099a7ca507 +  $_GBC_19cb9b2d447644ec8c344aa0bd417c5d +  $_GBC_485b46324fb44b18842afbc8b03abd2a" id="C01c517df19f44a95aceffdad39e09540"/>
        </m:item>
        <m:placeholder xlName="_PLD_186aec2424a047ee9af21797aa0ee0d8" wordText="三、本期增减变动金额（减少以“－”号填列）" addr="T1R9C0S1_1"/>
        <m:item xlName="_GBC_3ab306b1e7af486988948f50073e1e67" concept="clcid-pte:ShiShouZiBenHuoGuBenJingEZengJianBianDongJinE" label="实收资本（或股本）净额增减变动金额" periodRef="上年同期数" mulRef="_GBC_57faea4e453e49ad93821b7dd6ce8bc4" unitRef="_GBC_cef77704267643d794145c73763360e5" addr="T1R9C1S1_1" formatStyle="Comma">
          <m:complexRule comparator="Eq" title="实收资本（或股本）净额增减变动金额@上年同期数" test=" $_GBC_802c69e087664468a07e3b734b3e7330 +  $_GBC_a0579762ca92417caaf047cb2040bf0c +  $_GBC_8cff02e59f8948deb5ea81de506ed6dc +  $_GBC_430d37ec6126471183ece184d3516982 +  $_GBC_eab4d4a58623419d9efabdb8339f5e20 +  $_GBC_2676c42a988c46f6b5a9849d5eeef601" id="C53909bdf0b3141bebeae146fb585a9dc" radius="0.0001"/>
        </m:item>
        <m:item xlName="_GBC_a406be1c3baa4df6a5adc5e008b96345" concept="clcid-pte:QiTaQuanYiGongJuZhongDeYouXianGuZengJianBianDongJinE" label="其他权益工具中的优先股增减变动金额" periodRef="上年同期数" mulRef="_GBC_57faea4e453e49ad93821b7dd6ce8bc4" unitRef="_GBC_cef77704267643d794145c73763360e5" addr="T1R9C2S1_1" formatStyle="Comma">
          <m:complexRule comparator="Eq" title="其他权益工具中的优先股增减变动金额@上年同期数" test=" $_GBC_52eadeb19e3c441c8f85edab58469a44 +  $_GBC_952f29ff8a8f45f188783ccf48e71084 +  $_GBC_6dbdeadb2b3b4d9ba71df27224f26802 +  $_GBC_94fe73400621450cac12f08a1054f7d9 +  $_GBC_4b1c45a69ab94d19a6c532f02af9fd18 +  $_GBC_ae3ef5802f7446f0bcc22d4a78b16cd8" id="C520990ef75d14e8bb5dbbdbc1a4ecd3b"/>
        </m:item>
        <m:item xlName="_GBC_8e60ab9c28924845857bd1e82a8403e4" concept="clcid-pte:QiTaQuanYiGongJuZhongDeYongXuZhaiZengJianBianDongJinE" label="其他权益工具中的永续债增减变动金额" periodRef="上年同期数" mulRef="_GBC_57faea4e453e49ad93821b7dd6ce8bc4" unitRef="_GBC_cef77704267643d794145c73763360e5" addr="T1R9C3S1_1" formatStyle="Comma">
          <m:complexRule comparator="Eq" title="其他权益工具中的永续债增减变动金额@上年同期数" test=" $_GBC_3b9240c9c12f4c25855d092a5dee368b +  $_GBC_81ba35c21491471987f8073a505b252e +  $_GBC_44dce36183f44ecea2f0d5d0a3609d8f +  $_GBC_936c172f6a2644e29eef9fe3059a2874 +  $_GBC_d11afdb09ca14a31bc6beef23131529f +  $_GBC_c4e6b9f953a04e17ae3c32312cf2e1f7" id="C102f4f555d21473a8f12fac26a1e5c9f"/>
        </m:item>
        <m:item xlName="_GBC_dc6cc1a8b5fa4bf48da6ed469bff45b0" concept="clcid-pte:QiTaQuanYiGongJuZhongDeQiTaZengJianBianDongJinE" label="其他权益工具中的其他增减变动金额" periodRef="上年同期数" mulRef="_GBC_57faea4e453e49ad93821b7dd6ce8bc4" unitRef="_GBC_cef77704267643d794145c73763360e5" addr="T1R9C4S1_1" formatStyle="Comma">
          <m:complexRule comparator="Eq" title="其他权益工具中的其他增减变动金额@上年同期数" test=" $_GBC_acdac506a67e44d7a55f8fc0a02638f8 +  $_GBC_8d182ef8f62f44b1b7c0e0cadad7b881 +  $_GBC_f518f6f42b8a41bd81a235ebe8d92f16 +  $_GBC_c8e67d47d3ec4963a1d3e7865b30560f +  $_GBC_03e97aa6ea4a4b519ced030588aa471a +  $_GBC_27961524d7774e3f86ed7c4a22afb04a" id="C2727e6885de14f5d8bfbeb789d1440b1"/>
        </m:item>
        <m:item xlName="_GBC_8473cb7ae7f4427b8dd131df489fa36a" concept="clcid-pte:ZiBenGongJiZengJianBianDongJinE" label="资本公积增减变动金额" periodRef="上年同期数" mulRef="_GBC_57faea4e453e49ad93821b7dd6ce8bc4" unitRef="_GBC_cef77704267643d794145c73763360e5" addr="T1R9C5S1_1" formatStyle="Comma">
          <m:complexRule comparator="Eq" title="资本公积增减变动金额@上年同期数" test=" $_GBC_916928073d1d42609094dd23caca6bf8 +  $_GBC_806b3d8c93aa496eb49165610c3ab1ab +  $_GBC_7934e6fe9097456eba711b68c1b1d62a +  $_GBC_3ecde6efd34847ae98d6d9a11fcda816 +  $_GBC_123c502f45394be3933e710bc4539de6 +  $_GBC_c1db1f975a7c4e8faf299858942810aa" id="C072620ec64ff4869b3e67f8ebe36047b" radius="0.0001"/>
        </m:item>
        <m:item xlName="_GBC_7647911c99b747d2aa762d221138c9c4" concept="clcid-pte:KuCunGuZengJianBianDongJinE" label="库存股增减变动金额" periodRef="上年同期数" mulRef="_GBC_57faea4e453e49ad93821b7dd6ce8bc4" unitRef="_GBC_cef77704267643d794145c73763360e5" addr="T1R9C6S1_1" baseScale="-1" formatStyle="Comma">
          <m:complexRule comparator="Eq" title="库存股增减变动金额@上年同期数" test=" $_GBC_868ab14ce1df4dfe920b230da9d9c552 +  $_GBC_d92e4ed1fc8c4f2d9d7842540776c31e +  $_GBC_0cca19fbe18f458bbf003ea00b3d79e6 +  $_GBC_37d0d9ec3b4b4fa29f2ff16f15400d7e +  $_GBC_3b6659952c004368b0c7c6aff8663dfc +  $_GBC_81c186b80d8a44d2ad835db4dbde16cc" id="C77b824ccffcd47b7b5e7a8a2a530c0a9" radius="0.0001"/>
        </m:item>
        <m:item xlName="_GBC_54c2f06d10694c42b164f9f7c8c24c19" concept="clcid-pte:QiTaZongHeShouYiZengJianBianDongJinE" label="其他综合收益增减变动金额" periodRef="上年同期数" mulRef="_GBC_57faea4e453e49ad93821b7dd6ce8bc4" unitRef="_GBC_cef77704267643d794145c73763360e5" addr="T1R9C7S1_1" formatStyle="Comma">
          <m:complexRule comparator="Eq" title="其他综合收益增减变动金额@上年同期数" test=" $_GBC_e708d80e615845c6b5681de2185b0007 +  $_GBC_7804215cb69b4528966bc2b0a4f1814b +  $_GBC_4f4335680a2047c1899af03f368290a4 +  $_GBC_2e73d6ddb696406e96149c75c2c4fdda +  $_GBC_3d320060f9464615bead55bf1ca49dc4 +  $_GBC_c6a83ad34784471db367147a514c59e3" id="C99a3ae7b814f49dbb1f1f18a13920669"/>
        </m:item>
        <m:item xlName="_GBC_45c28bff7f2947e79a97e03816b44836" concept="clcid-pte:ZhuanXiangChuBeiZengJianBianDongJinE" label="专项储备增减变动金额" periodRef="上年同期数" mulRef="_GBC_57faea4e453e49ad93821b7dd6ce8bc4" unitRef="_GBC_cef77704267643d794145c73763360e5" addr="T1R9C8S1_1" formatStyle="Comma">
          <m:complexRule comparator="Eq" title="专项储备增减变动金额@上年同期数" test=" $_GBC_667e0af20faa4c74aba487c313fbf9e0 +  $_GBC_23e3d55860aa479bb06d190d1039eec0 +  $_GBC_5a43adf18f00498987cde669cf8d0c01 +  $_GBC_4ce5335277bd4d48a9d69ac5be9eebb0 +  $_GBC_95b00eb2bffd4944863b929b1b9f8b23 +  $_GBC_33324cdf575543d6987aa6f520f8714d" id="Cec021baa7d0d48688294ac0d3ea41a3a"/>
        </m:item>
        <m:item xlName="_GBC_5282e64d76064ff496bef9da7ba3cb38" concept="clcid-pte:YingYuGongJiZengJianBianDongJinE" label="盈余公积增减变动金额" periodRef="上年同期数" mulRef="_GBC_57faea4e453e49ad93821b7dd6ce8bc4" unitRef="_GBC_cef77704267643d794145c73763360e5" addr="T1R9C9S1_1" formatStyle="Comma">
          <m:complexRule comparator="Eq" title="盈余公积增减变动金额@上年同期数" test=" $_GBC_e27e9253381a44ada9c7782ab31d8907 +  $_GBC_24e1bb854a804ff1ba371eea8001ce3f +  $_GBC_735a55d211944938a2d263ddf68e530f +  $_GBC_c2fec544370340428694cbc22c7cee29 +  $_GBC_81aee495f58648c79fb2c06c1a8294b9 +  $_GBC_48beb7d2645f4bd8b828e39d20d114f7" id="C478fb58a135a41f3b60570b11f757248"/>
        </m:item>
        <m:item xlName="_GBC_aff81b712af942d1950df7bfb16184b1" concept="clcid-pte:YiBanFengXianZhunBeiZengJianBianDongJinE" label="一般风险准备增减变动金额" periodRef="上年同期数" mulRef="_GBC_57faea4e453e49ad93821b7dd6ce8bc4" unitRef="_GBC_cef77704267643d794145c73763360e5" addr="T1R9C10S1_1" formatStyle="Comma">
          <m:complexRule comparator="Eq" title="一般风险准备增减变动金额@上年同期数" test=" $_GBC_0359fcb6ac69444e8b71676cd2d2ff7f +  $_GBC_88201ca3f86140e49229a500777e62bc +  $_GBC_72931f17a7d1410882c66f7378bd2446 +  $_GBC_dfb42f2cfbb24873a0bfcf16281ed0db +  $_GBC_610d4f46b18b4115b1e7a898ab90bab2 +  $_GBC_022de88bf39d4c298dac658baa6860ba" id="C1734a8fe476c4e7dad6407937d6fc708"/>
        </m:item>
        <m:item xlName="_GBC_9b887145f03844beb15e2690e45ded4b" concept="clcid-pte:WeiFenPeiLiRunZengJianBianDongJinE" label="未分配利润增减变动金额" periodRef="上年同期数" mulRef="_GBC_57faea4e453e49ad93821b7dd6ce8bc4" unitRef="_GBC_cef77704267643d794145c73763360e5" addr="T1R9C11S1_1" formatStyle="Comma">
          <m:complexRule comparator="Eq" title="未分配利润增减变动金额@上年同期数" test=" $_GBC_174d255cf893431d87e2889c0ad5199f +  $_GBC_7ae77f219bd14664912830fece3defdf +  $_GBC_c6a210c669454df998a35bf4f4f9e735 +  $_GBC_ff8d4bcf07cf45b39cc669b82cad2f0d +  $_GBC_c987802dfc49480c807d397d5ace6d36 +  $_GBC_6ad7a628fd4a40f9a5c166bea7190b07" id="C5747f1d8763745d18be3b5309eb42dcd"/>
        </m:item>
        <m:item xlName="_GBC_721ced58af704b468077b49a45594ec0" concept="clcid-pte:QiTaDeGuiShuYuMuGongSiSuoYouZheQuanYiZengJianBianDongJinE" label="其他的归属于母公司所有者权益增减变动金额" periodRef="上年同期数" mulRef="_GBC_57faea4e453e49ad93821b7dd6ce8bc4" unitRef="_GBC_cef77704267643d794145c73763360e5" addr="T1R9C12S1_1" formatStyle="Comma">
          <m:complexRule comparator="Eq" title="其他的归属于母公司所有者权益增减变动金额@上年同期数" test=" $_GBC_f60eee346d6f4fe399814f9f840b7fb0 +  $_GBC_15bd914be84d464fb951582665b9d15a +  $_GBC_1f6c9e24eb314f7e845a2e9c6d5bbc88 +  $_GBC_0d008b73933a467cbd8659c4f5bd8043 +  $_GBC_c392cb7d6a93438795a5eb0adc871ed1 +  $_GBC_9146dc7852714f72859555c3a917811f" id="C889fc7ff749b4b81abc0d03402ac30b3"/>
        </m:item>
        <m:item xlName="_GBC_519747a00c6949a5bcc152eacbd03ac1" concept="clcid-pte:GuiShuYuMuGongSiSuoYouZheQuanYiZengJianBianDongJinE" label="归属于母公司所有者权益增减变动金额" periodRef="上年同期数" mulRef="_GBC_57faea4e453e49ad93821b7dd6ce8bc4" unitRef="_GBC_cef77704267643d794145c73763360e5" addr="T1R9C13S1_1" formatStyle="Comma">
          <m:complexRule comparator="Eq" title="归属于母公司所有者权益变动金额小计变动金额@上年同期数" test=" $_GBC_5ab6ff086fc54fad97be75e70fc3b662 +  $_GBC_882b6062a2a2475382acd8f785ad87f1 +  $_GBC_eef9846c4eb04edf9eec851ff3c8faa6 +  $_GBC_e71b72f9ef7d428a8dea9bcc77266085 +  $_GBC_fb7838c03552463eab0b3449e1123883 +  $_GBC_04961ef429474a9fb1c50cbe4d5f0f11" id="C0f038884a326499cb53793f83ebf32d8"/>
        </m:item>
        <m:item xlName="_GBC_380e1cfcc313459cae08cf7858170444" concept="clcid-pte:ShaoShuGuDongQuanYiZengJianBianDongJinE" label="少数股东权益增减变动金额" periodRef="上年同期数" mulRef="_GBC_57faea4e453e49ad93821b7dd6ce8bc4" unitRef="_GBC_cef77704267643d794145c73763360e5" addr="T1R9C14S1_1" formatStyle="Comma">
          <m:complexRule comparator="Eq" title="少数股东权益增减变动金额@上年同期数" test=" $_GBC_2b02821ed4154232b4102fd750268034 +  $_GBC_282d8d3d7ee243d59e5e3cc078d12bbf +  $_GBC_de1cf52aca904f13915a874a5b459013 +  $_GBC_ef98f3a8249e4a3897bb7f985d3f116f +  $_GBC_7b23cace12da44a69d75927ba5396346 +  $_GBC_7cca13db814d4298b7018c7e2dd9bc51" id="Cf367d758f8e0442aa2e4d71acce864be"/>
        </m:item>
        <m:item xlName="_GBC_7d38c3e4015b4306aa517461216f709f" concept="clcid-pte:GuDongQuanYiHeJiZengJianBianDongJinE" label="股东权益合计增减变动金额" periodRef="上年同期数" mulRef="_GBC_57faea4e453e49ad93821b7dd6ce8bc4" unitRef="_GBC_cef77704267643d794145c73763360e5" addr="T1R9C15S1_1" formatStyle="Comma">
          <m:complexRule comparator="Eq" title="股东权益合计增减变动金额@上年同期数" test=" $_GBC_e8d4f2f1d8884f1397ed576255c946d1 +  $_GBC_ec91a07899f34b3ea8f5859f0fce58c1 +  $_GBC_e9f3261b89304a5aa6fae80844a60013 +  $_GBC_947043cecdef4ed68860f917d334d9da +  $_GBC_1bb139523e184a629609d6d98aa70be7 +  $_GBC_c9027bfcd66641318c72f7e7633b96c5" id="Cbf43683071444fea9cfa42c26b62b5fc"/>
        </m:item>
        <m:placeholder xlName="_PLD_17bf1a1d144b41e18dbd63758cccc7b5" wordText="（一）综合收益总额" addr="T1R10C0S1_1"/>
        <m:item xlName="_GBC_802c69e087664468a07e3b734b3e7330" concept="clcid-pte:ZongHeShouYiZongEDaoZhiGuBenBianDongJinE" label="综合收益总额导致股本变动金额" periodRef="上年同期数" mulRef="_GBC_57faea4e453e49ad93821b7dd6ce8bc4" unitRef="_GBC_cef77704267643d794145c73763360e5" addr="T1R10C1S1_1" formatStyle="Comma"/>
        <m:item xlName="_GBC_52eadeb19e3c441c8f85edab58469a44" concept="clcid-pte:ZongHeShouYiZongEDaoZhiYouXianGuBianDongJinE" label="综合收益总额导致优先股变动金额" periodRef="上年同期数" mulRef="_GBC_57faea4e453e49ad93821b7dd6ce8bc4" unitRef="_GBC_cef77704267643d794145c73763360e5" addr="T1R10C2S1_1" formatStyle="Comma"/>
        <m:item xlName="_GBC_3b9240c9c12f4c25855d092a5dee368b" concept="clcid-pte:ZongHeShouYiZongEDaoZhiYongXuZhaiBianDongJinE" label="综合收益总额导致永续债变动金额" periodRef="上年同期数" mulRef="_GBC_57faea4e453e49ad93821b7dd6ce8bc4" unitRef="_GBC_cef77704267643d794145c73763360e5" addr="T1R10C3S1_1" formatStyle="Comma"/>
        <m:item xlName="_GBC_acdac506a67e44d7a55f8fc0a02638f8" concept="clcid-pte:ZongHeShouYiZongEDaoZhiQiTaQuanYiGongJuZhongDeQiTaBianDongJinE" label="综合收益总额导致其他权益工具中的其他变动金额" periodRef="上年同期数" mulRef="_GBC_57faea4e453e49ad93821b7dd6ce8bc4" unitRef="_GBC_cef77704267643d794145c73763360e5" addr="T1R10C4S1_1" formatStyle="Comma"/>
        <m:item xlName="_GBC_916928073d1d42609094dd23caca6bf8" concept="clcid-pte:ZongHeShouYiZongEDaoZhiZiBenGongJiBianDongJinE" label="综合收益总额导致资本公积变动金额" periodRef="上年同期数" mulRef="_GBC_57faea4e453e49ad93821b7dd6ce8bc4" unitRef="_GBC_cef77704267643d794145c73763360e5" addr="T1R10C5S1_1" formatStyle="Comma"/>
        <m:item xlName="_GBC_868ab14ce1df4dfe920b230da9d9c552" concept="clcid-pte:ZongHeShouYiZongEDaoZhiKuCunGuBianDongJinE" label="综合收益总额导致库存股变动金额" periodRef="上年同期数" mulRef="_GBC_57faea4e453e49ad93821b7dd6ce8bc4" unitRef="_GBC_cef77704267643d794145c73763360e5" addr="T1R10C6S1_1" baseScale="-1" formatStyle="Comma"/>
        <m:item xlName="_GBC_e708d80e615845c6b5681de2185b0007" concept="clcid-pte:ZongHeShouYiZongEDaoZhiQiTaZongHeShouYiBianDongJinE" label="综合收益总额导致其他综合收益变动金额" periodRef="上年同期数" mulRef="_GBC_57faea4e453e49ad93821b7dd6ce8bc4" unitRef="_GBC_cef77704267643d794145c73763360e5" addr="T1R10C7S1_1" formatStyle="Comma"/>
        <m:item xlName="_GBC_667e0af20faa4c74aba487c313fbf9e0" concept="clcid-pte:ZongHeShouYiZongEDaoZhiZhuanXiangChuBeiBianDongJinE" label="综合收益总额导致专项储备变动金额" periodRef="上年同期数" mulRef="_GBC_57faea4e453e49ad93821b7dd6ce8bc4" unitRef="_GBC_cef77704267643d794145c73763360e5" addr="T1R10C8S1_1" formatStyle="Comma"/>
        <m:item xlName="_GBC_e27e9253381a44ada9c7782ab31d8907" concept="clcid-pte:ZongHeShouYiZongEDaoZhiYingYuGongJiBianDongJinE" label="综合收益总额导致盈余公积变动金额" periodRef="上年同期数" mulRef="_GBC_57faea4e453e49ad93821b7dd6ce8bc4" unitRef="_GBC_cef77704267643d794145c73763360e5" addr="T1R10C9S1_1" formatStyle="Comma"/>
        <m:item xlName="_GBC_0359fcb6ac69444e8b71676cd2d2ff7f" concept="clcid-pte:ZongHeShouYiZongEDaoZhiYiBanFengXianZhunBeiBianDongJinE" label="综合收益总额导致一般风险准备变动金额" periodRef="上年同期数" mulRef="_GBC_57faea4e453e49ad93821b7dd6ce8bc4" unitRef="_GBC_cef77704267643d794145c73763360e5" addr="T1R10C10S1_1" formatStyle="Comma"/>
        <m:item xlName="_GBC_174d255cf893431d87e2889c0ad5199f" concept="clcid-pte:ZongHeShouYiZongEDaoZhiWeiFenPeiLiRunBianDongJinE" label="综合收益总额导致未分配利润变动金额" periodRef="上年同期数" mulRef="_GBC_57faea4e453e49ad93821b7dd6ce8bc4" unitRef="_GBC_cef77704267643d794145c73763360e5" addr="T1R10C11S1_1" formatStyle="Comma"/>
        <m:item xlName="_GBC_f60eee346d6f4fe399814f9f840b7fb0" concept="clcid-pte:ZongHeShouYiZongEDaoZhiQiTaDeGuiShuYuMuGongSiSuoYouZheQuanYiBianDongJinE" label="综合收益总额导致其他的归属于母公司所有者权益变动金额" periodRef="上年同期数" mulRef="_GBC_57faea4e453e49ad93821b7dd6ce8bc4" unitRef="_GBC_cef77704267643d794145c73763360e5" addr="T1R10C12S1_1" formatStyle="Comma"/>
        <m:item xlName="_GBC_5ab6ff086fc54fad97be75e70fc3b662" concept="clcid-pte:ZongHeShouYiZongEDaoZhiGuiShuYuMuGongSiSuoYouZheQuanYiBianDongJinE" label="综合收益总额导致归属于母公司所有者权益变动金额" periodRef="上年同期数" mulRef="_GBC_57faea4e453e49ad93821b7dd6ce8bc4" unitRef="_GBC_cef77704267643d794145c73763360e5" addr="T1R10C13S1_1" formatStyle="Comma"/>
        <m:item xlName="_GBC_2b02821ed4154232b4102fd750268034" concept="clcid-pte:ZongHeShouYiZongEDaoZhiShaoShuGuDongQuanYiBianDongJinE" label="综合收益总额导致少数股东权益变动金额" periodRef="上年同期数" mulRef="_GBC_57faea4e453e49ad93821b7dd6ce8bc4" unitRef="_GBC_cef77704267643d794145c73763360e5" addr="T1R10C14S1_1" formatStyle="Comma"/>
        <m:item xlName="_GBC_e8d4f2f1d8884f1397ed576255c946d1" concept="clcid-pte:ZongHeShouYiZongEDaoZhiGuDongQuanYiHeJiBianDongJinE" label="综合收益总额导致股东权益合计变动金额" periodRef="上年同期数" mulRef="_GBC_57faea4e453e49ad93821b7dd6ce8bc4" unitRef="_GBC_cef77704267643d794145c73763360e5" addr="T1R10C15S1_1" formatStyle="Comma"/>
        <m:placeholder xlName="_PLD_d55056423dbf4ac187d64bd43c03aca3" wordText="（二）所有者投入和减少资本" addr="T1R11C0S1_1"/>
        <m:item xlName="_GBC_a0579762ca92417caaf047cb2040bf0c" concept="clcid-pte:SuoYouZheTouRuHeJianShaoZiBenDaoZhiShiShouZiBenHuoGuBenJingEBianDongJinE" label="所有者投入和减少资本导致实收资本（或股本）净额变动金额" periodRef="上年同期数" mulRef="_GBC_57faea4e453e49ad93821b7dd6ce8bc4" unitRef="_GBC_cef77704267643d794145c73763360e5" addr="T1R11C1S1_1" formatStyle="Comma">
          <m:complexRule comparator="Eq" title="所有者投入和减少资本导致实收资本（或股本）净额变动金额@上年同期数" test=" $_GBC_ca6baab852ec4f198275214ba965c0f4 +  $_GBC_9108465a1b5c489fb37638632dcb0e0a +  $_GBC_f84d332240dc4b248a21eb60465f98c5 +  $_GBC_fbc723d0530841df9ca8a4f88b1baeb0" id="C5313d956f0c849dc9ffcdf8cc1fcb399" radius="0.0001"/>
        </m:item>
        <m:item xlName="_GBC_952f29ff8a8f45f188783ccf48e71084" concept="clcid-pte:SuoYouZheTouRuHeJianShaoZiBenDaoZhiQiTaQuanYiGongJuZhongDeYouXianGuBianDongJinE" label="所有者投入和减少资本导致其他权益工具中的优先股变动金额" periodRef="上年同期数" mulRef="_GBC_57faea4e453e49ad93821b7dd6ce8bc4" unitRef="_GBC_cef77704267643d794145c73763360e5" addr="T1R11C2S1_1" formatStyle="Comma">
          <m:complexRule comparator="Eq" title="所有者投入和减少资本导致其他权益工具中的优先股变动金额@上年同期数" test=" $_GBC_8afc9aa7f29649c8868107ef25af0d4b +  $_GBC_975f950347ee48ea8b534f2e5e94c9f1 +  $_GBC_2e06268a72434e7fada026cbb548fdaf +  $_GBC_c525c90052b244aaa5ca4ca778e04e2d" id="Cad7ead0a6e9f44339f1f17fdcf3ffbbf"/>
        </m:item>
        <m:item xlName="_GBC_81ba35c21491471987f8073a505b252e" concept="clcid-pte:SuoYouZheTouRuHeJianShaoZiBenDaoZhiQiTaQuanYiGongJuZhongDeYongXuZhaiBianDongJinE" label="所有者投入和减少资本导致其他权益工具中的永续债变动金额" periodRef="上年同期数" mulRef="_GBC_57faea4e453e49ad93821b7dd6ce8bc4" unitRef="_GBC_cef77704267643d794145c73763360e5" addr="T1R11C3S1_1" formatStyle="Comma">
          <m:complexRule comparator="Eq" title="所有者投入和减少资本导致其他权益工具中的永续债变动金额@上年同期数" test=" $_GBC_94969bd82e17487ab14f291bf17d5e40 +  $_GBC_824eaa6a19484117a66319b1cf14da52 +  $_GBC_a29d30d951394af4ad76a0535f339db1 +  $_GBC_89e8c27f0aa74d0e89c363a46fae7fd5" id="C90161a0e8be941d69e9339d576ecdc5b"/>
        </m:item>
        <m:item xlName="_GBC_8d182ef8f62f44b1b7c0e0cadad7b881" concept="clcid-pte:SuoYouZheTouRuHeJianShaoZiBenDaoZhiQiTaQuanYiGongJuZhongDeQiTaBianDongJinE" label="所有者投入和减少资本导致其他权益工具中的其他变动金额" periodRef="上年同期数" mulRef="_GBC_57faea4e453e49ad93821b7dd6ce8bc4" unitRef="_GBC_cef77704267643d794145c73763360e5" addr="T1R11C4S1_1" formatStyle="Comma">
          <m:complexRule comparator="Eq" title="所有者投入和减少资本导致其他权益工具中的其他变动金额@上年同期数" test=" $_GBC_bc24f4297f4a46ee85ddec50283e4c6f +  $_GBC_26dd46f784024ab2ac0221ec77e913a3 +  $_GBC_156fd6cf4b5c4786a15282f618c22e3d +  $_GBC_539d07c2c60a426a83b28573097b9381" id="C4b925acd6f34494ca5c388225b4141a9"/>
        </m:item>
        <m:item xlName="_GBC_806b3d8c93aa496eb49165610c3ab1ab" concept="clcid-pte:SuoYouZheTouRuHeJianShaoZiBenDaoZhiZiBenGongJiBianDongJinE" label="所有者投入和减少资本导致资本公积变动金额" periodRef="上年同期数" mulRef="_GBC_57faea4e453e49ad93821b7dd6ce8bc4" unitRef="_GBC_cef77704267643d794145c73763360e5" addr="T1R11C5S1_1" formatStyle="Comma">
          <m:complexRule comparator="Eq" title="所有者投入和减少资本导致资本公积变动金额@上年同期数" test=" $_GBC_9459eec2dc6740c59c791f59ba7d2f84 +  $_GBC_68f75ab59c6a4a0498b32628014823e1 +  $_GBC_9103c2ed730542e6b478c1333f235d44 +  $_GBC_83789e7fdefc4741bcd6c60fecebd0af" id="Cb61bd8aa3be04f1fa1e5d251f5fb79c8" radius="0.0001"/>
        </m:item>
        <m:item xlName="_GBC_d92e4ed1fc8c4f2d9d7842540776c31e" concept="clcid-pte:SuoYouZheTouRuHeJianShaoZiBenDaoZhiKuCunGuBianDongJinE" label="所有者投入和减少资本导致库存股变动金额" periodRef="上年同期数" mulRef="_GBC_57faea4e453e49ad93821b7dd6ce8bc4" unitRef="_GBC_cef77704267643d794145c73763360e5" addr="T1R11C6S1_1" baseScale="-1" formatStyle="Comma">
          <m:complexRule comparator="Eq" title="所有者投入和减少资本导致库存股变动金额@上年同期数" test=" $_GBC_0ee7cd7ac85642a8a1e5034f252ca9d2 +  $_GBC_bd6b57d04ee14a2ea1cc5a28549ffb93 +  $_GBC_63eefd0ca94b4e3a8e63e7a0a7cba44a +  $_GBC_333683fa00cd46b4b379e9866e44f2d2" id="C1b3fd37c07944c92b538005cb34db0a9" radius="0.0001"/>
        </m:item>
        <m:item xlName="_GBC_7804215cb69b4528966bc2b0a4f1814b" concept="clcid-pte:SuoYouZheTouRuHeJianShaoZiBenDaoZhiQiTaZongHeShouYiBianDongJinE" label="所有者投入和减少资本导致其他综合收益变动金额" periodRef="上年同期数" mulRef="_GBC_57faea4e453e49ad93821b7dd6ce8bc4" unitRef="_GBC_cef77704267643d794145c73763360e5" addr="T1R11C7S1_1" formatStyle="Comma">
          <m:complexRule comparator="Eq" title="所有者投入和减少资本导致其他综合收益变动金额@上年同期数" test=" $_GBC_920ee0a2c0d3493a85e149c9fd9b2de7 +  $_GBC_ef0f45029ee043fcb43641dffe988a62 +  $_GBC_6627c5b24e7f4ef98d6dbb5ef0bfdc91 +  $_GBC_12c8ed4b4b454e498a4f135204a8821f" id="Cf79293c7ba0c4f288a9adde1b6ed1b50"/>
        </m:item>
        <m:item xlName="_GBC_23e3d55860aa479bb06d190d1039eec0" concept="clcid-pte:SuoYouZheTouRuHeJianShaoZiBenDaoZhiZhuanXiangChuBeiBianDongJinE" label="所有者投入和减少资本导致专项储备变动金额" periodRef="上年同期数" mulRef="_GBC_57faea4e453e49ad93821b7dd6ce8bc4" unitRef="_GBC_cef77704267643d794145c73763360e5" addr="T1R11C8S1_1" formatStyle="Comma">
          <m:complexRule comparator="Eq" title="所有者投入和减少资本导致专项储备变动金额@上年同期数" test=" $_GBC_aafdf12eb7294c67896155049135d04e +  $_GBC_fef26d11c0d0485bb33fd93140da213e +  $_GBC_b64f7ca08d5b46cdb7ea27384fcdacaa +  $_GBC_ce9c57fb808c4a9e95599c44e09d5ee6" id="Cebfe86b976354692891b97f34329c101"/>
        </m:item>
        <m:item xlName="_GBC_24e1bb854a804ff1ba371eea8001ce3f" concept="clcid-pte:SuoYouZheTouRuHeJianShaoZiBenDaoZhiYingYuGongJiBianDongJinE" label="所有者投入和减少资本导致盈余公积变动金额" periodRef="上年同期数" mulRef="_GBC_57faea4e453e49ad93821b7dd6ce8bc4" unitRef="_GBC_cef77704267643d794145c73763360e5" addr="T1R11C9S1_1" formatStyle="Comma">
          <m:complexRule comparator="Eq" title="所有者投入和减少资本导致盈余公积变动金额@上年同期数" test=" $_GBC_f07cb5795c734e08857a09af6c38f38a +  $_GBC_8a336b417a2c470abe2a97509ac97f9a +  $_GBC_56f52488147b4ca68d869c67ceb9f6f7 +  $_GBC_51e1afe005204948a98b6439aa8d7fbc" id="Ca4a52ab7a60c4cb4b32641a45726d11f"/>
        </m:item>
        <m:item xlName="_GBC_88201ca3f86140e49229a500777e62bc" concept="clcid-pte:SuoYouZheTouRuHeJianShaoZiBenDaoZhiYiBanFengXianZhunBeiBianDongJinE" label="所有者投入和减少资本导致一般风险准备变动金额" periodRef="上年同期数" mulRef="_GBC_57faea4e453e49ad93821b7dd6ce8bc4" unitRef="_GBC_cef77704267643d794145c73763360e5" addr="T1R11C10S1_1" formatStyle="Comma">
          <m:complexRule comparator="Eq" title="所有者投入和减少资本导致一般风险准备变动金额@上年同期数" test=" $_GBC_cff5370505bc4323bc8745c345bed8de +  $_GBC_708e1efad4fb457cb182441ed9137b92 +  $_GBC_08840849e0bd4082b3deff5bb052b316 +  $_GBC_a0db3f2049024161997a08e49a268c57" id="C3ca09f67ff9448d4a7b8c2f74f506176"/>
        </m:item>
        <m:item xlName="_GBC_7ae77f219bd14664912830fece3defdf" concept="clcid-pte:SuoYouZheTouRuHeJianShaoZiBenDaoZhiWeiFenPeiLiRunBianDongJinE" label="所有者投入和减少资本导致未分配利润变动金额" periodRef="上年同期数" mulRef="_GBC_57faea4e453e49ad93821b7dd6ce8bc4" unitRef="_GBC_cef77704267643d794145c73763360e5" addr="T1R11C11S1_1" formatStyle="Comma">
          <m:complexRule comparator="Eq" title="所有者投入和减少资本导致未分配利润变动金额@上年同期数" test=" $_GBC_c038ae5e8e2a4804be7ea9a4bedf46e0 +  $_GBC_39f06864c6204dbca4cd4fbc2525a0f3 +  $_GBC_3f7351ae83d844bab493b5e50829c0c1 +  $_GBC_f3a9587ed49648509050a77eff7c7484" id="Ccb0e5390c3b64870a52f96a9a21ad222"/>
        </m:item>
        <m:item xlName="_GBC_15bd914be84d464fb951582665b9d15a" concept="clcid-pte:SuoYouZheTouRuHeJianShaoZiBenDaoZhiQiTaDeGuiShuYuMuGongSiSuoYouZheQuanYiBianDongJinE" label="所有者投入和减少资本导致其他的归属于母公司所有者权益变动金额" periodRef="上年同期数" mulRef="_GBC_57faea4e453e49ad93821b7dd6ce8bc4" unitRef="_GBC_cef77704267643d794145c73763360e5" addr="T1R11C12S1_1" formatStyle="Comma">
          <m:complexRule comparator="Eq" title="所有者投入资本导致其他的归属于母公司所有者权益变动金额@上年同期数" test=" $_GBC_5f8e09d1e5ae4258aea441912db886fe +  $_GBC_1e3eb6f0fce143068a98e771c41a89ff +  $_GBC_b67e1f9a773e49bca7ae2b391f1ff025 +  $_GBC_006131a602674a809ec07a76818bca9f" id="Cd8bf905bd2bb4a66b21f00650e5fa376"/>
        </m:item>
        <m:item xlName="_GBC_882b6062a2a2475382acd8f785ad87f1" concept="clcid-pte:SuoYouZheTouRuHeJianShaoZiBenDaoZhiGuiShuYuMuGongSiSuoYouZheQuanYiBianDongJinE" label="所有者投入和减少资本导致归属于母公司所有者权益变动金额" periodRef="上年同期数" mulRef="_GBC_57faea4e453e49ad93821b7dd6ce8bc4" unitRef="_GBC_cef77704267643d794145c73763360e5" addr="T1R11C13S1_1" formatStyle="Comma">
          <m:complexRule comparator="Eq" title="所有者投入和减少资本导致归属于母公司所有者权益变动金额小计@上年同期数" test=" $_GBC_e9f487fc08214c8d94bce453a50a4836 +  $_GBC_189ffcb8fdcc4f83928e465e56cbb851 +  $_GBC_80156df58ae3401d8e23f70dfc73c149 +  $_GBC_cc57d09de13745a9b29a8eec6135a9cc" id="Cc4d2195062c149a2b3d3386557f4c39b"/>
        </m:item>
        <m:item xlName="_GBC_282d8d3d7ee243d59e5e3cc078d12bbf" concept="clcid-pte:SuoYouZheTouRuHeJianShaoZiBenDaoZhiShaoShuGuDongQuanYiBianDongJinE" label="所有者投入和减少资本导致少数股东权益变动金额" periodRef="上年同期数" mulRef="_GBC_57faea4e453e49ad93821b7dd6ce8bc4" unitRef="_GBC_cef77704267643d794145c73763360e5" addr="T1R11C14S1_1" formatStyle="Comma">
          <m:complexRule comparator="Eq" title="所有者投入和减少资本导致少数股东权益变动金额@上年同期数" test=" $_GBC_3b54eca378434bb6a945064edefe7334 +  $_GBC_28989a233af64c0b9a9c7de51ab43e60 +  $_GBC_f37042e93b6446808275df5409a15bfe +  $_GBC_cb8f40edb77c48f9be79ead9a570419d" id="C5ecb6681d4a94268877f48770e91e255"/>
        </m:item>
        <m:item xlName="_GBC_ec91a07899f34b3ea8f5859f0fce58c1" concept="clcid-pte:SuoYouZheTouRuHeJianShaoZiBenDaoZhiGuDongQuanYiHeJiBianDongJinE" label="所有者投入和减少资本导致股东权益合计变动金额" periodRef="上年同期数" mulRef="_GBC_57faea4e453e49ad93821b7dd6ce8bc4" unitRef="_GBC_cef77704267643d794145c73763360e5" addr="T1R11C15S1_1" formatStyle="Comma">
          <m:complexRule comparator="Eq" title="所有者投入和减少资本导致股东权益合计变动金额@上年同期数" test=" $_GBC_a2dec3d0119c48f891244c5c36ef0717 +  $_GBC_3aaccfb1127e44b4a791afd447710638 +  $_GBC_cff48673eaa14a398b76db67bd2cf63f +  $_GBC_53227fa04a0c40a58406780c03dda291" id="C037bfef82dce441f80932095230ffd18"/>
        </m:item>
        <m:placeholder xlName="_PLD_284541025868477ca26973c13dd9ff9e" wordText="1．所有者投入的普通股" addr="T1R12C0S1_1"/>
        <m:item xlName="_GBC_ca6baab852ec4f198275214ba965c0f4" concept="clcid-pte:GuDongTouRuDePuTongGuDaoZhiGuBenBianDongJinE" label="股东投入的普通股导致股本变动金额" periodRef="上年同期数" mulRef="_GBC_57faea4e453e49ad93821b7dd6ce8bc4" unitRef="_GBC_cef77704267643d794145c73763360e5" addr="T1R12C1S1_1" formatStyle="Comma"/>
        <m:item xlName="_GBC_8afc9aa7f29649c8868107ef25af0d4b" concept="clcid-pte:GuDongTouRuDePuTongGuDaoZhiYouXianGuBianDongJinE" label="股东投入的普通股导致优先股变动金额" periodRef="上年同期数" mulRef="_GBC_57faea4e453e49ad93821b7dd6ce8bc4" unitRef="_GBC_cef77704267643d794145c73763360e5" addr="T1R12C2S1_1" formatStyle="Comma"/>
        <m:item xlName="_GBC_94969bd82e17487ab14f291bf17d5e40" concept="clcid-pte:GuDongTouRuDePuTongGuDaoZhiYongXuZhaiBianDongJinE" label="股东投入的普通股导致永续债变动金额" periodRef="上年同期数" mulRef="_GBC_57faea4e453e49ad93821b7dd6ce8bc4" unitRef="_GBC_cef77704267643d794145c73763360e5" addr="T1R12C3S1_1" formatStyle="Comma"/>
        <m:item xlName="_GBC_bc24f4297f4a46ee85ddec50283e4c6f" concept="clcid-pte:GuDongTouRuDePuTongGuDaoZhiQiTaQuanYiGongJuZhongDeQiTaBianDongJinE" label="股东投入的普通股导致其他权益工具中的其他变动金额" periodRef="上年同期数" mulRef="_GBC_57faea4e453e49ad93821b7dd6ce8bc4" unitRef="_GBC_cef77704267643d794145c73763360e5" addr="T1R12C4S1_1" formatStyle="Comma"/>
        <m:item xlName="_GBC_9459eec2dc6740c59c791f59ba7d2f84" concept="clcid-pte:GuDongTouRuDePuTongGuDaoZhiZiBenGongJiBianDongJinE" label="股东投入的普通股导致资本公积变动金额" periodRef="上年同期数" mulRef="_GBC_57faea4e453e49ad93821b7dd6ce8bc4" unitRef="_GBC_cef77704267643d794145c73763360e5" addr="T1R12C5S1_1" formatStyle="Comma"/>
        <m:item xlName="_GBC_0ee7cd7ac85642a8a1e5034f252ca9d2" concept="clcid-pte:GuDongTouRuDePuTongGuDaoZhiKuCunGuBianDongJinE" label="股东投入的普通股导致库存股变动金额" periodRef="上年同期数" mulRef="_GBC_57faea4e453e49ad93821b7dd6ce8bc4" unitRef="_GBC_cef77704267643d794145c73763360e5" addr="T1R12C6S1_1" baseScale="-1" formatStyle="Comma"/>
        <m:item xlName="_GBC_920ee0a2c0d3493a85e149c9fd9b2de7" concept="clcid-pte:GuDongTouRuDePuTongGuDaoZhiQiTaZongHeShouYiBianDongJinE" label="股东投入的普通股导致其他综合收益变动金额" periodRef="上年同期数" mulRef="_GBC_57faea4e453e49ad93821b7dd6ce8bc4" unitRef="_GBC_cef77704267643d794145c73763360e5" addr="T1R12C7S1_1" formatStyle="Comma"/>
        <m:item xlName="_GBC_aafdf12eb7294c67896155049135d04e" concept="clcid-pte:GuDongTouRuDePuTongGuDaoZhiZhuanXiangChuBeiBianDongJinE" label="股东投入的普通股导致专项储备变动金额" periodRef="上年同期数" mulRef="_GBC_57faea4e453e49ad93821b7dd6ce8bc4" unitRef="_GBC_cef77704267643d794145c73763360e5" addr="T1R12C8S1_1" formatStyle="Comma"/>
        <m:item xlName="_GBC_f07cb5795c734e08857a09af6c38f38a" concept="clcid-pte:GuDongTouRuDePuTongGuDaoZhiYingYuGongJiBianDongJinE" label="股东投入的普通股导致盈余公积变动金额" periodRef="上年同期数" mulRef="_GBC_57faea4e453e49ad93821b7dd6ce8bc4" unitRef="_GBC_cef77704267643d794145c73763360e5" addr="T1R12C9S1_1" formatStyle="Comma"/>
        <m:item xlName="_GBC_cff5370505bc4323bc8745c345bed8de" concept="clcid-pte:GuDongTouRuDePuTongGuDaoZhiYiBanFengXianZhunBeiBianDongJinE" label="股东投入的普通股导致一般风险准备变动金额" periodRef="上年同期数" mulRef="_GBC_57faea4e453e49ad93821b7dd6ce8bc4" unitRef="_GBC_cef77704267643d794145c73763360e5" addr="T1R12C10S1_1" formatStyle="Comma"/>
        <m:item xlName="_GBC_c038ae5e8e2a4804be7ea9a4bedf46e0" concept="clcid-pte:GuDongTouRuDePuTongGuDaoZhiWeiFenPeiLiRunBianDongJinE" label="股东投入的普通股导致未分配利润变动金额" periodRef="上年同期数" mulRef="_GBC_57faea4e453e49ad93821b7dd6ce8bc4" unitRef="_GBC_cef77704267643d794145c73763360e5" addr="T1R12C11S1_1" formatStyle="Comma"/>
        <m:item xlName="_GBC_5f8e09d1e5ae4258aea441912db886fe" concept="clcid-pte:GuDongTouRuDePuTongGuDaoZhiQiTaDeGuiShuYuMuGongSiSuoYouZheQuanYiBianDongJinE" label="股东投入的普通股导致其他的归属于母公司所有者权益变动金额" periodRef="上年同期数" mulRef="_GBC_57faea4e453e49ad93821b7dd6ce8bc4" unitRef="_GBC_cef77704267643d794145c73763360e5" addr="T1R12C12S1_1" formatStyle="Comma"/>
        <m:item xlName="_GBC_e9f487fc08214c8d94bce453a50a4836" concept="clcid-pte:GuDongTouRuDePuTongGuDaoZhiGuiShuYuMuGongSiSuoYouZheQuanYiBianDongJinE" label="股东投入的普通股导致归属于母公司所有者权益变动金额" periodRef="上年同期数" mulRef="_GBC_57faea4e453e49ad93821b7dd6ce8bc4" unitRef="_GBC_cef77704267643d794145c73763360e5" addr="T1R12C13S1_1" formatStyle="Comma"/>
        <m:item xlName="_GBC_3b54eca378434bb6a945064edefe7334" concept="clcid-pte:GuDongTouRuDePuTongGuDaoZhiShaoShuGuDongQuanYiBianDongJinE" label="股东投入的普通股导致少数股东权益变动金额" periodRef="上年同期数" mulRef="_GBC_57faea4e453e49ad93821b7dd6ce8bc4" unitRef="_GBC_cef77704267643d794145c73763360e5" addr="T1R12C14S1_1" formatStyle="Comma"/>
        <m:item xlName="_GBC_a2dec3d0119c48f891244c5c36ef0717" concept="clcid-pte:GuDongTouRuDePuTongGuDaoZhiGuDongQuanYiHeJiBianDongJinE" label="股东投入的普通股导致股东权益合计变动金额" periodRef="上年同期数" mulRef="_GBC_57faea4e453e49ad93821b7dd6ce8bc4" unitRef="_GBC_cef77704267643d794145c73763360e5" addr="T1R12C15S1_1" formatStyle="Comma"/>
        <m:placeholder xlName="_PLD_13b4ec8d0fe34f9797d68eab8f95768d" wordText="2．其他权益工具持有者投入资本" addr="T1R13C0S1_1"/>
        <m:item xlName="_GBC_9108465a1b5c489fb37638632dcb0e0a" concept="clcid-pte:QiTaQuanYiGongJuChiYouZheTouRuZiBenDaoZhiGuBenBianDongJinE" label="其他权益工具持有者投入资本导致股本变动金额" periodRef="上年同期数" mulRef="_GBC_57faea4e453e49ad93821b7dd6ce8bc4" unitRef="_GBC_cef77704267643d794145c73763360e5" addr="T1R13C1S1_1" formatStyle="Comma"/>
        <m:item xlName="_GBC_975f950347ee48ea8b534f2e5e94c9f1" concept="clcid-pte:QiTaQuanYiGongJuChiYouZheTouRuZiBenDaoZhiYouXianGuBianDongJinE" label="其他权益工具持有者投入资本导致优先股变动金额" periodRef="上年同期数" mulRef="_GBC_57faea4e453e49ad93821b7dd6ce8bc4" unitRef="_GBC_cef77704267643d794145c73763360e5" addr="T1R13C2S1_1" formatStyle="Comma"/>
        <m:item xlName="_GBC_824eaa6a19484117a66319b1cf14da52" concept="clcid-pte:QiTaQuanYiGongJuChiYouZheTouRuZiBenDaoZhiYongXuZhaiBianDongJinE" label="其他权益工具持有者投入资本导致永续债变动金额" periodRef="上年同期数" mulRef="_GBC_57faea4e453e49ad93821b7dd6ce8bc4" unitRef="_GBC_cef77704267643d794145c73763360e5" addr="T1R13C3S1_1" formatStyle="Comma"/>
        <m:item xlName="_GBC_26dd46f784024ab2ac0221ec77e913a3" concept="clcid-pte:QiTaQuanYiGongJuChiYouZheTouRuZiBenDaoZhiQiTaQuanYiGongJuZhongDeQiTaBianDongJinE" label="其他权益工具持有者投入资本导致其他权益工具中的其他变动金额" periodRef="上年同期数" mulRef="_GBC_57faea4e453e49ad93821b7dd6ce8bc4" unitRef="_GBC_cef77704267643d794145c73763360e5" addr="T1R13C4S1_1" formatStyle="Comma"/>
        <m:item xlName="_GBC_68f75ab59c6a4a0498b32628014823e1" concept="clcid-pte:QiTaQuanYiGongJuChiYouZheTouRuZiBenDaoZhiZiBenGongJiBianDongJinE" label="其他权益工具持有者投入资本导致资本公积变动金额" periodRef="上年同期数" mulRef="_GBC_57faea4e453e49ad93821b7dd6ce8bc4" unitRef="_GBC_cef77704267643d794145c73763360e5" addr="T1R13C5S1_1" formatStyle="Comma"/>
        <m:item xlName="_GBC_bd6b57d04ee14a2ea1cc5a28549ffb93" concept="clcid-pte:QiTaQuanYiGongJuChiYouZheTouRuZiBenDaoZhiKuCunGuBianDongJinE" label="其他权益工具持有者投入资本导致库存股变动金额" periodRef="上年同期数" mulRef="_GBC_57faea4e453e49ad93821b7dd6ce8bc4" unitRef="_GBC_cef77704267643d794145c73763360e5" addr="T1R13C6S1_1" baseScale="-1" formatStyle="Comma"/>
        <m:item xlName="_GBC_ef0f45029ee043fcb43641dffe988a62" concept="clcid-pte:QiTaQuanYiGongJuChiYouZheTouRuZiBenDaoZhiQiTaZongHeShouYiBianDongJinE" label="其他权益工具持有者投入资本导致其他综合收益变动金额" periodRef="上年同期数" mulRef="_GBC_57faea4e453e49ad93821b7dd6ce8bc4" unitRef="_GBC_cef77704267643d794145c73763360e5" addr="T1R13C7S1_1" formatStyle="Comma"/>
        <m:item xlName="_GBC_fef26d11c0d0485bb33fd93140da213e" concept="clcid-pte:QiTaQuanYiGongJuChiYouZheTouRuZiBenDaoZhiZhuanXiangChuBeiBianDongJinE" label="其他权益工具持有者投入资本导致专项储备变动金额" periodRef="上年同期数" mulRef="_GBC_57faea4e453e49ad93821b7dd6ce8bc4" unitRef="_GBC_cef77704267643d794145c73763360e5" addr="T1R13C8S1_1" formatStyle="Comma"/>
        <m:item xlName="_GBC_8a336b417a2c470abe2a97509ac97f9a" concept="clcid-pte:QiTaQuanYiGongJuChiYouZheTouRuZiBenDaoZhiYingYuGongJiBianDongJinE" label="其他权益工具持有者投入资本导致盈余公积变动金额" periodRef="上年同期数" mulRef="_GBC_57faea4e453e49ad93821b7dd6ce8bc4" unitRef="_GBC_cef77704267643d794145c73763360e5" addr="T1R13C9S1_1" formatStyle="Comma"/>
        <m:item xlName="_GBC_708e1efad4fb457cb182441ed9137b92" concept="clcid-pte:QiTaQuanYiGongJuChiYouZheTouRuZiBenDaoZhiYiBanFengXianZhunBeiBianDongJinE" label="其他权益工具持有者投入资本导致一般风险准备变动金额" periodRef="上年同期数" mulRef="_GBC_57faea4e453e49ad93821b7dd6ce8bc4" unitRef="_GBC_cef77704267643d794145c73763360e5" addr="T1R13C10S1_1" formatStyle="Comma"/>
        <m:item xlName="_GBC_39f06864c6204dbca4cd4fbc2525a0f3" concept="clcid-pte:QiTaQuanYiGongJuChiYouZheTouRuZiBenDaoZhiWeiFenPeiLiRunBianDongJinE" label="其他权益工具持有者投入资本导致未分配利润变动金额" periodRef="上年同期数" mulRef="_GBC_57faea4e453e49ad93821b7dd6ce8bc4" unitRef="_GBC_cef77704267643d794145c73763360e5" addr="T1R13C11S1_1" formatStyle="Comma"/>
        <m:item xlName="_GBC_1e3eb6f0fce143068a98e771c41a89ff" concept="clcid-pte:QiTaQuanYiGongJuChiYouZheTouRuZiBenDaoZhiQiTaDeGuiShuYuMuGongSiSuoYouZheQuanYiBianDongJinE" label="其他权益工具持有者投入资本导致其他的归属于母公司所有者权益变动金额" periodRef="上年同期数" mulRef="_GBC_57faea4e453e49ad93821b7dd6ce8bc4" unitRef="_GBC_cef77704267643d794145c73763360e5" addr="T1R13C12S1_1" formatStyle="Comma"/>
        <m:item xlName="_GBC_189ffcb8fdcc4f83928e465e56cbb851" concept="clcid-pte:QiTaQuanYiGongJuChiYouZheTouRuZiBenDaoZhiGuiShuYuMuGongSiSuoYouZheQuanYiBianDongJinE" label="其他权益工具持有者投入资本导致归属于母公司所有者权益变动金额" periodRef="上年同期数" mulRef="_GBC_57faea4e453e49ad93821b7dd6ce8bc4" unitRef="_GBC_cef77704267643d794145c73763360e5" addr="T1R13C13S1_1" formatStyle="Comma"/>
        <m:item xlName="_GBC_28989a233af64c0b9a9c7de51ab43e60" concept="clcid-pte:QiTaQuanYiGongJuChiYouZheTouRuZiBenDaoZhiShaoShuGuDongQuanYiBianDongJinE" label="其他权益工具持有者投入资本导致少数股东权益变动金额" periodRef="上年同期数" mulRef="_GBC_57faea4e453e49ad93821b7dd6ce8bc4" unitRef="_GBC_cef77704267643d794145c73763360e5" addr="T1R13C14S1_1" formatStyle="Comma"/>
        <m:item xlName="_GBC_3aaccfb1127e44b4a791afd447710638" concept="clcid-pte:QiTaQuanYiGongJuChiYouZheTouRuZiBenDaoZhiGuDongQuanYiHeJiBianDongJinE" label="其他权益工具持有者投入资本导致股东权益合计变动金额" periodRef="上年同期数" mulRef="_GBC_57faea4e453e49ad93821b7dd6ce8bc4" unitRef="_GBC_cef77704267643d794145c73763360e5" addr="T1R13C15S1_1" formatStyle="Comma"/>
        <m:placeholder xlName="_PLD_f1f3be9263a748c28f276e78f447b133" wordText="3．股份支付计入所有者权益的金额" addr="T1R14C0S1_1"/>
        <m:item xlName="_GBC_f84d332240dc4b248a21eb60465f98c5" concept="clcid-pte:GuFenZhiFuJiRuSuoYouZheQuanYiDeJinEDaoZhiShiShouZiBenHuoGuBenJingEBianDongJinE" label="股份支付计入所有者权益的金额导致实收资本（或股本）净额变动金额" periodRef="上年同期数" mulRef="_GBC_57faea4e453e49ad93821b7dd6ce8bc4" unitRef="_GBC_cef77704267643d794145c73763360e5" addr="T1R14C1S1_1" formatStyle="Comma"/>
        <m:item xlName="_GBC_2e06268a72434e7fada026cbb548fdaf" concept="clcid-pte:GuFenZhiFuJiRuSuoYouZheQuanYiDeJinEDaoZhiQiTaQuanYiGongJuZhongDeYouXianGuBianDongJinE" label="股份支付计入所有者权益的金额导致其他权益工具中的优先股变动金额" periodRef="上年同期数" mulRef="_GBC_57faea4e453e49ad93821b7dd6ce8bc4" unitRef="_GBC_cef77704267643d794145c73763360e5" addr="T1R14C2S1_1" formatStyle="Comma"/>
        <m:item xlName="_GBC_a29d30d951394af4ad76a0535f339db1" concept="clcid-pte:GuFenZhiFuJiRuSuoYouZheQuanYiDeJinEDaoZhiQiTaQuanYiGongJuZhongDeYongXuZhaiBianDongJinE" label="股份支付计入所有者权益的金额导致其他权益工具中的永续债变动金额" periodRef="上年同期数" mulRef="_GBC_57faea4e453e49ad93821b7dd6ce8bc4" unitRef="_GBC_cef77704267643d794145c73763360e5" addr="T1R14C3S1_1" formatStyle="Comma"/>
        <m:item xlName="_GBC_156fd6cf4b5c4786a15282f618c22e3d" concept="clcid-pte:GuFenZhiFuJiRuSuoYouZheQuanYiDeJinEDaoZhiQiTaQuanYiGongJuZhongDeQiTaBianDongJinE" label="股份支付计入所有者权益的金额导致其他权益工具中的其他变动金额" periodRef="上年同期数" mulRef="_GBC_57faea4e453e49ad93821b7dd6ce8bc4" unitRef="_GBC_cef77704267643d794145c73763360e5" addr="T1R14C4S1_1" formatStyle="Comma"/>
        <m:item xlName="_GBC_9103c2ed730542e6b478c1333f235d44" concept="clcid-pte:GuFenZhiFuJiRuSuoYouZheQuanYiDeJinEDaoZhiZiBenGongJiBianDongJinE" label="股份支付计入所有者权益的金额导致资本公积变动金额" periodRef="上年同期数" mulRef="_GBC_57faea4e453e49ad93821b7dd6ce8bc4" unitRef="_GBC_cef77704267643d794145c73763360e5" addr="T1R14C5S1_1" formatStyle="Comma"/>
        <m:item xlName="_GBC_63eefd0ca94b4e3a8e63e7a0a7cba44a" concept="clcid-pte:GuFenZhiFuJiRuSuoYouZheQuanYiDeJinEDaoZhiKuCunGuBianDongJinE" label="股份支付计入所有者权益的金额导致库存股变动金额" periodRef="上年同期数" mulRef="_GBC_57faea4e453e49ad93821b7dd6ce8bc4" unitRef="_GBC_cef77704267643d794145c73763360e5" addr="T1R14C6S1_1" baseScale="-1" formatStyle="Comma"/>
        <m:item xlName="_GBC_6627c5b24e7f4ef98d6dbb5ef0bfdc91" concept="clcid-pte:GuFenZhiFuJiRuSuoYouZheQuanYiDeJinEDaoZhiQiTaZongHeShouYiBianDongJinE" label="股份支付计入所有者权益的金额导致其他综合收益变动金额" periodRef="上年同期数" mulRef="_GBC_57faea4e453e49ad93821b7dd6ce8bc4" unitRef="_GBC_cef77704267643d794145c73763360e5" addr="T1R14C7S1_1" formatStyle="Comma"/>
        <m:item xlName="_GBC_b64f7ca08d5b46cdb7ea27384fcdacaa" concept="clcid-pte:GuFenZhiFuJiRuSuoYouZheQuanYiDeJinEDaoZhiZhuanXiangChuBeiBianDongJinE" label="股份支付计入所有者权益的金额导致专项储备变动金额" periodRef="上年同期数" mulRef="_GBC_57faea4e453e49ad93821b7dd6ce8bc4" unitRef="_GBC_cef77704267643d794145c73763360e5" addr="T1R14C8S1_1" formatStyle="Comma"/>
        <m:item xlName="_GBC_56f52488147b4ca68d869c67ceb9f6f7" concept="clcid-pte:GuFenZhiFuJiRuSuoYouZheQuanYiDeJinEDaoZhiYingYuGongJiBianDongJinE" label="股份支付计入所有者权益的金额导致盈余公积变动金额" periodRef="上年同期数" mulRef="_GBC_57faea4e453e49ad93821b7dd6ce8bc4" unitRef="_GBC_cef77704267643d794145c73763360e5" addr="T1R14C9S1_1" formatStyle="Comma"/>
        <m:item xlName="_GBC_08840849e0bd4082b3deff5bb052b316" concept="clcid-pte:GuFenZhiFuJiRuSuoYouZheQuanYiDeJinEDaoZhiYiBanFengXianZhunBeiBianDongJinE" label="股份支付计入所有者权益的金额导致一般风险准备变动金额" periodRef="上年同期数" mulRef="_GBC_57faea4e453e49ad93821b7dd6ce8bc4" unitRef="_GBC_cef77704267643d794145c73763360e5" addr="T1R14C10S1_1" formatStyle="Comma"/>
        <m:item xlName="_GBC_3f7351ae83d844bab493b5e50829c0c1" concept="clcid-pte:GuFenZhiFuJiRuSuoYouZheQuanYiDeJinEDaoZhiWeiFenPeiLiRunBianDongJinE" label="股份支付计入所有者权益的金额导致未分配利润变动金额" periodRef="上年同期数" mulRef="_GBC_57faea4e453e49ad93821b7dd6ce8bc4" unitRef="_GBC_cef77704267643d794145c73763360e5" addr="T1R14C11S1_1" formatStyle="Comma"/>
        <m:item xlName="_GBC_b67e1f9a773e49bca7ae2b391f1ff025" concept="clcid-pte:GuFenZhiFuJiRuSuoYouZheQuanYiDeJinEDaoZhiQiTaDeGuiShuYuMuGongSiSuoYouZheQuanYiBianDongJinE" label="股份支付计入所有者权益的金额导致其他的归属于母公司所有者权益变动金额" periodRef="上年同期数" mulRef="_GBC_57faea4e453e49ad93821b7dd6ce8bc4" unitRef="_GBC_cef77704267643d794145c73763360e5" addr="T1R14C12S1_1" formatStyle="Comma"/>
        <m:item xlName="_GBC_80156df58ae3401d8e23f70dfc73c149" concept="clcid-pte:GuFenZhiFuJiRuSuoYouZheQuanYiDeJinEDaoZhiGuiShuYuMuGongSiSuoYouZheQuanYiBianDongJinE" label="股份支付计入所有者权益的金额导致归属于母公司所有者权益变动金额" periodRef="上年同期数" mulRef="_GBC_57faea4e453e49ad93821b7dd6ce8bc4" unitRef="_GBC_cef77704267643d794145c73763360e5" addr="T1R14C13S1_1" formatStyle="Comma"/>
        <m:item xlName="_GBC_f37042e93b6446808275df5409a15bfe" concept="clcid-pte:GuFenZhiFuJiRuSuoYouZheQuanYiDeJinEDaoZhiShaoShuGuDongQuanYiBianDongJinE" label="股份支付计入所有者权益的金额导致少数股东权益变动金额" periodRef="上年同期数" mulRef="_GBC_57faea4e453e49ad93821b7dd6ce8bc4" unitRef="_GBC_cef77704267643d794145c73763360e5" addr="T1R14C14S1_1" formatStyle="Comma"/>
        <m:item xlName="_GBC_cff48673eaa14a398b76db67bd2cf63f" concept="clcid-pte:GuFenZhiFuJiRuSuoYouZheQuanYiDeJinEDaoZhiGuDongQuanYiHeJiBianDongJinE" label="股份支付计入所有者权益的金额导致股东权益合计变动金额" periodRef="上年同期数" mulRef="_GBC_57faea4e453e49ad93821b7dd6ce8bc4" unitRef="_GBC_cef77704267643d794145c73763360e5" addr="T1R14C15S1_1" formatStyle="Comma"/>
        <m:placeholder xlName="_PLD_b361f3a237774bcd8ac416b2b21655eb" wordText="4．其他" addr="T1R15C0S1_1"/>
        <m:item xlName="_GBC_fbc723d0530841df9ca8a4f88b1baeb0" concept="clcid-pte:QiTaSuoYouZheTouRuHeJianShaoZiBenDaoZhiShiShouZiBenHuoGuBenJingEBianDongJinE" label="其他所有者投入和减少资本导致实收资本（或股本）净额变动金额" periodRef="上年同期数" mulRef="_GBC_57faea4e453e49ad93821b7dd6ce8bc4" unitRef="_GBC_cef77704267643d794145c73763360e5" addr="T1R15C1S1_1" formatStyle="Comma"/>
        <m:item xlName="_GBC_c525c90052b244aaa5ca4ca778e04e2d" concept="clcid-pte:QiTaSuoYouZheTouRuHeJianShaoZiBenDaoZhiQiTaQuanYiGongJuZhongDeYouXianGuBianDongJinE" label="其他所有者投入和减少资本导致其他权益工具中的优先股变动金额" periodRef="上年同期数" mulRef="_GBC_57faea4e453e49ad93821b7dd6ce8bc4" unitRef="_GBC_cef77704267643d794145c73763360e5" addr="T1R15C2S1_1" formatStyle="Comma"/>
        <m:item xlName="_GBC_89e8c27f0aa74d0e89c363a46fae7fd5" concept="clcid-pte:QiTaSuoYouZheTouRuHeJianShaoZiBenDaoZhiQiTaQuanYiGongJuZhongDeYongXuZhaiBianDongJinE" label="其他所有者投入和减少资本导致其他权益工具中的永续债变动金额" periodRef="上年同期数" mulRef="_GBC_57faea4e453e49ad93821b7dd6ce8bc4" unitRef="_GBC_cef77704267643d794145c73763360e5" addr="T1R15C3S1_1" formatStyle="Comma"/>
        <m:item xlName="_GBC_539d07c2c60a426a83b28573097b9381" concept="clcid-pte:QiTaSuoYouZheTouRuHeJianShaoZiBenDaoZhiQiTaQuanYiGongJuZhongDeQiTaBianDongJinE" label="其他所有者投入和减少资本导致其他权益工具中的其他变动金额" periodRef="上年同期数" mulRef="_GBC_57faea4e453e49ad93821b7dd6ce8bc4" unitRef="_GBC_cef77704267643d794145c73763360e5" addr="T1R15C4S1_1" formatStyle="Comma"/>
        <m:item xlName="_GBC_83789e7fdefc4741bcd6c60fecebd0af" concept="clcid-pte:QiTaSuoYouZheTouRuHeJianShaoZiBenDaoZhiZiBenGongJiBianDongJinE" label="其他所有者投入和减少资本导致资本公积变动金额" periodRef="上年同期数" mulRef="_GBC_57faea4e453e49ad93821b7dd6ce8bc4" unitRef="_GBC_cef77704267643d794145c73763360e5" addr="T1R15C5S1_1" formatStyle="Comma"/>
        <m:item xlName="_GBC_333683fa00cd46b4b379e9866e44f2d2" concept="clcid-pte:QiTaSuoYouZheTouRuHeJianShaoZiBenDaoZhiKuCunGuBianDongJinE" label="其他所有者投入和减少资本导致库存股变动金额" periodRef="上年同期数" mulRef="_GBC_57faea4e453e49ad93821b7dd6ce8bc4" unitRef="_GBC_cef77704267643d794145c73763360e5" addr="T1R15C6S1_1" baseScale="-1" formatStyle="Comma"/>
        <m:item xlName="_GBC_12c8ed4b4b454e498a4f135204a8821f" concept="clcid-pte:QiTaSuoYouZheTouRuHeJianShaoZiBenDaoZhiQiTaZongHeShouYiBianDongJinE" label="其他所有者投入和减少资本导致其他综合收益变动金额" periodRef="上年同期数" mulRef="_GBC_57faea4e453e49ad93821b7dd6ce8bc4" unitRef="_GBC_cef77704267643d794145c73763360e5" addr="T1R15C7S1_1" formatStyle="Comma"/>
        <m:item xlName="_GBC_ce9c57fb808c4a9e95599c44e09d5ee6" concept="clcid-pte:QiTaSuoYouZheTouRuHeJianShaoZiBenDaoZhiZhuanXiangChuBeiBianDongJinE" label="其他所有者投入和减少资本导致专项储备变动金额" periodRef="上年同期数" mulRef="_GBC_57faea4e453e49ad93821b7dd6ce8bc4" unitRef="_GBC_cef77704267643d794145c73763360e5" addr="T1R15C8S1_1" formatStyle="Comma"/>
        <m:item xlName="_GBC_51e1afe005204948a98b6439aa8d7fbc" concept="clcid-pte:QiTaSuoYouZheTouRuHeJianShaoZiBenDaoZhiYingYuGongJiBianDongJinE" label="其他所有者投入和减少资本导致盈余公积变动金额" periodRef="上年同期数" mulRef="_GBC_57faea4e453e49ad93821b7dd6ce8bc4" unitRef="_GBC_cef77704267643d794145c73763360e5" addr="T1R15C9S1_1" formatStyle="Comma"/>
        <m:item xlName="_GBC_a0db3f2049024161997a08e49a268c57" concept="clcid-pte:QiTaSuoYouZheTouRuHeJianShaoZiBenDaoZhiYiBanFengXianZhunBeiBianDongJinE" label="其他所有者投入和减少资本导致一般风险准备变动金额" periodRef="上年同期数" mulRef="_GBC_57faea4e453e49ad93821b7dd6ce8bc4" unitRef="_GBC_cef77704267643d794145c73763360e5" addr="T1R15C10S1_1" formatStyle="Comma"/>
        <m:item xlName="_GBC_f3a9587ed49648509050a77eff7c7484" concept="clcid-pte:QiTaSuoYouZheTouRuHeJianShaoZiBenDaoZhiWeiFenPeiLiRunBianDongJinE" label="其他所有者投入和减少资本导致未分配利润变动金额" periodRef="上年同期数" mulRef="_GBC_57faea4e453e49ad93821b7dd6ce8bc4" unitRef="_GBC_cef77704267643d794145c73763360e5" addr="T1R15C11S1_1" formatStyle="Comma"/>
        <m:item xlName="_GBC_006131a602674a809ec07a76818bca9f" concept="clcid-pte:QiTaSuoYouZheTouRuHeJianShaoZiBenDaoZhiQiTaDeGuiShuYuMuGongSiSuoYouZheQuanYiBianDongJinE" label="其他所有者投入和减少资本导致其他的归属于母公司所有者权益变动金额" periodRef="上年同期数" mulRef="_GBC_57faea4e453e49ad93821b7dd6ce8bc4" unitRef="_GBC_cef77704267643d794145c73763360e5" addr="T1R15C12S1_1" formatStyle="Comma"/>
        <m:item xlName="_GBC_cc57d09de13745a9b29a8eec6135a9cc" concept="clcid-pte:QiTaSuoYouZheTouRuHeJianShaoZiBenDaoZhiGuiShuYuMuGongSiSuoYouZheQuanYiBianDongJinE" label="其他所有者投入和减少资本导致归属于母公司所有者权益变动金额" periodRef="上年同期数" mulRef="_GBC_57faea4e453e49ad93821b7dd6ce8bc4" unitRef="_GBC_cef77704267643d794145c73763360e5" addr="T1R15C13S1_1" formatStyle="Comma"/>
        <m:item xlName="_GBC_cb8f40edb77c48f9be79ead9a570419d" concept="clcid-pte:QiTaSuoYouZheTouRuHeJianShaoZiBenDaoZhiShaoShuGuDongQuanYiBianDongJinE" label="其他所有者投入和减少资本导致少数股东权益变动金额" periodRef="上年同期数" mulRef="_GBC_57faea4e453e49ad93821b7dd6ce8bc4" unitRef="_GBC_cef77704267643d794145c73763360e5" addr="T1R15C14S1_1" formatStyle="Comma"/>
        <m:item xlName="_GBC_53227fa04a0c40a58406780c03dda291" concept="clcid-pte:QiTaSuoYouZheTouRuHeJianShaoZiBenDaoZhiGuDongQuanYiHeJiBianDongJinE" label="其他所有者投入和减少资本导致股东权益合计变动金额" periodRef="上年同期数" mulRef="_GBC_57faea4e453e49ad93821b7dd6ce8bc4" unitRef="_GBC_cef77704267643d794145c73763360e5" addr="T1R15C15S1_1" formatStyle="Comma"/>
        <m:placeholder xlName="_PLD_a7e75a2d1ed049d9bbdb0ef093ac9478" wordText="（三）利润分配" addr="T1R16C0S1_1"/>
        <m:item xlName="_GBC_8cff02e59f8948deb5ea81de506ed6dc" concept="clcid-pte:LiRunFenPeiDaoZhiShiShouZiBenHuoGuBenJingEBianDongJinE" label="利润分配导致实收资本（或股本）净额变动金额" periodRef="上年同期数" mulRef="_GBC_57faea4e453e49ad93821b7dd6ce8bc4" unitRef="_GBC_cef77704267643d794145c73763360e5" addr="T1R16C1S1_1" formatStyle="Comma">
          <m:complexRule comparator="Eq" title="利润分配导致实收资本（或股本）净额变动金额@上年同期数" test=" $_GBC_1e8b4e4e6521461aa29b69819f4e314c +  $_GBC_a7f89ae428824c5382c9a6a97fb5fc53 +  $_GBC_3003f6166e484522945649c1cc43e1ba +  $_GBC_49a218b412d440d18c50034e3ac33cba" id="C61f23fed5a564527a2563126bf44d6e2" radius="0.0001"/>
        </m:item>
        <m:item xlName="_GBC_6dbdeadb2b3b4d9ba71df27224f26802" concept="clcid-pte:LiRunFenPeiDaoZhiQiTaQuanYiGongJuZhongDeYouXianGuBianDongJinE" label="利润分配导致其他权益工具中的优先股变动金额" periodRef="上年同期数" mulRef="_GBC_57faea4e453e49ad93821b7dd6ce8bc4" unitRef="_GBC_cef77704267643d794145c73763360e5" addr="T1R16C2S1_1" formatStyle="Comma">
          <m:complexRule comparator="Eq" title="利润分配导致其他权益工具中的优先股变动金额@上年同期数" test=" $_GBC_4ae6393180754f7c8b5f6927148f0bcc +  $_GBC_d3e313b8a07c42478fb6c61fecbef7c5 +  $_GBC_5be55735ceb543b8881f377d4ffd25ab +  $_GBC_287b3643fe9f4dd8ae3b570cd789c71d" id="C1ec7ed378f234847bbc724e41dc0847b"/>
        </m:item>
        <m:item xlName="_GBC_44dce36183f44ecea2f0d5d0a3609d8f" concept="clcid-pte:LiRunFenPeiDaoZhiQiTaQuanYiGongJuZhongDeYongXuZhaiBianDongJinE" label="利润分配导致其他权益工具中的永续债变动金额" periodRef="上年同期数" mulRef="_GBC_57faea4e453e49ad93821b7dd6ce8bc4" unitRef="_GBC_cef77704267643d794145c73763360e5" addr="T1R16C3S1_1" formatStyle="Comma">
          <m:complexRule comparator="Eq" title="利润分配导致其他权益工具中的永续债变动金额@上年同期数" test=" $_GBC_935160af0dff4f61b19e613190a9886e +  $_GBC_86b836fe78594e77b6f7a7d647b4cbb9 +  $_GBC_b69ec3ba321943cf96e6cce9293d7478 +  $_GBC_7a9878d497e6470abe05fb1ab441f4dd" id="C72ea128cb10942ee80dd71fae225ece0"/>
        </m:item>
        <m:item xlName="_GBC_f518f6f42b8a41bd81a235ebe8d92f16" concept="clcid-pte:LiRunFenPeiDaoZhiQiTaQuanYiGongJuZhongDeQiTaBianDongJinE" label="利润分配导致其他权益工具中的其他变动金额" periodRef="上年同期数" mulRef="_GBC_57faea4e453e49ad93821b7dd6ce8bc4" unitRef="_GBC_cef77704267643d794145c73763360e5" addr="T1R16C4S1_1" formatStyle="Comma">
          <m:complexRule comparator="Eq" title="利润分配导致其他权益工具中的其他变动金额@上年同期数" test=" $_GBC_49d82f884064488288fefd396fcf09cc +  $_GBC_6409f592632148bb918d1b3d0be90717 +  $_GBC_2a13264b2c004630afef4619ce26c2fe +  $_GBC_3acdd25e64a24e17a2d1ca28d182e6d1" id="C4a17a1d92e104ced98f1c053178221d9"/>
        </m:item>
        <m:item xlName="_GBC_7934e6fe9097456eba711b68c1b1d62a" concept="clcid-pte:LiRunFenPeiDaoZhiZiBenGongJiBianDongJinE" label="利润分配导致资本公积变动金额" periodRef="上年同期数" mulRef="_GBC_57faea4e453e49ad93821b7dd6ce8bc4" unitRef="_GBC_cef77704267643d794145c73763360e5" addr="T1R16C5S1_1" formatStyle="Comma">
          <m:complexRule comparator="Eq" title="利润分配导致资本公积变动金额@上年同期数" test=" $_GBC_aa394c51f338497e9ea19a2579b6e8d3 +  $_GBC_952eb7e4afb34abb9db3764a32407d2c +  $_GBC_5696e6a003164113bcdff8b0d1be437b +  $_GBC_af2a7a1252ac41e9bef6babfd762e41c" id="Cb88ab689000a49d0b9ddf63820e920d1" radius="0.0001"/>
        </m:item>
        <m:item xlName="_GBC_0cca19fbe18f458bbf003ea00b3d79e6" concept="clcid-pte:LiRunFenPeiDaoZhiKuCunGuBianDongJinE" label="利润分配导致库存股变动金额" periodRef="上年同期数" mulRef="_GBC_57faea4e453e49ad93821b7dd6ce8bc4" unitRef="_GBC_cef77704267643d794145c73763360e5" addr="T1R16C6S1_1" baseScale="-1" formatStyle="Comma">
          <m:complexRule comparator="Eq" title="利润分配导致库存股变动金额@上年同期数" test=" $_GBC_6ea742672e3048cd85a51ed53db2907e +  $_GBC_d7d2613373a344cd8c4d394821420ea8 +  $_GBC_0187f2c819764d38b8beaa22e179695d +  $_GBC_65e632c5b00d4ef7a7620d9b8713f8e5" id="C3e06a12809714f0fb1215a5e100052c3" radius="0.0001"/>
        </m:item>
        <m:item xlName="_GBC_4f4335680a2047c1899af03f368290a4" concept="clcid-pte:LiRunFenPeiDaoZhiQiTaZongHeShouYiBianDongJinE" label="利润分配导致其他综合收益变动金额" periodRef="上年同期数" mulRef="_GBC_57faea4e453e49ad93821b7dd6ce8bc4" unitRef="_GBC_cef77704267643d794145c73763360e5" addr="T1R16C7S1_1" formatStyle="Comma">
          <m:complexRule comparator="Eq" title="利润分配导致其他综合收益变动金额@上年同期数" test=" $_GBC_d252b325af8d4e3087396e6cea2a1c44 +  $_GBC_6bde1610cbd949a58dbdc60da9367839 +  $_GBC_ee0d088a36a4403ca0f85e52ad4fd818 +  $_GBC_61c3ee3a348a47b1ba6ac6c2b4d5cfc7" id="C3c98669b538d464fb97c76a0925b677e"/>
        </m:item>
        <m:item xlName="_GBC_5a43adf18f00498987cde669cf8d0c01" concept="clcid-pte:LiRunFenPeiDaoZhiZhuanXiangChuBeiBianDongJinE" label="利润分配导致专项储备变动金额" periodRef="上年同期数" mulRef="_GBC_57faea4e453e49ad93821b7dd6ce8bc4" unitRef="_GBC_cef77704267643d794145c73763360e5" addr="T1R16C8S1_1" formatStyle="Comma">
          <m:complexRule comparator="Eq" title="利润分配导致专项储备变动金额@上年同期数" test=" $_GBC_014ecfd05b0f42d5bf5b06bfdaddc2fc +  $_GBC_0784c6d1c5ce4f0cb1a86cdac5af5f91 +  $_GBC_02289b58a7564f9ab8258718078507ce +  $_GBC_1f67bd299ed94d4194f6d1d362c6a615" id="Ce899006157f54a5f948a63146a22f0de"/>
        </m:item>
        <m:item xlName="_GBC_735a55d211944938a2d263ddf68e530f" concept="clcid-pte:LiRunFenPeiDaoZhiYingYuGongJiBianDongJinE" label="利润分配导致盈余公积变动金额" periodRef="上年同期数" mulRef="_GBC_57faea4e453e49ad93821b7dd6ce8bc4" unitRef="_GBC_cef77704267643d794145c73763360e5" addr="T1R16C9S1_1" formatStyle="Comma">
          <m:complexRule comparator="Eq" title="利润分配导致盈余公积变动金额@上年同期数" test=" $_GBC_48b00a4dbffb477a94ca770d44992ade +  $_GBC_0ee556f1f37647f891568be346ba24d3 +  $_GBC_2337d820a173434e9ce28248d06889a1 +  $_GBC_afc9fb3d8ef14cf19d092708904ed019" id="C4e1f7b2ce0104c94ad7ff071986e31df"/>
        </m:item>
        <m:item xlName="_GBC_72931f17a7d1410882c66f7378bd2446" concept="clcid-pte:LiRunFenPeiDaoZhiYiBanFengXianZhunBeiBianDongJinE" label="利润分配导致一般风险准备变动金额" periodRef="上年同期数" mulRef="_GBC_57faea4e453e49ad93821b7dd6ce8bc4" unitRef="_GBC_cef77704267643d794145c73763360e5" addr="T1R16C10S1_1" formatStyle="Comma">
          <m:complexRule comparator="Eq" title="利润分配导致一般风险准备变动金额@上年同期数" test=" $_GBC_3ae9c91c7cfb435dae346625fd97ba77 +  $_GBC_94ee4ff2a44a4f54834af8c87eb8fb91 +  $_GBC_c6e060f617964a88bf533bbf44f3c126 +  $_GBC_58fdd24d1dad47a9b6ad6db366e2c23d" id="C5488486c8f944584a9d054e773750e55"/>
        </m:item>
        <m:item xlName="_GBC_c6a210c669454df998a35bf4f4f9e735" concept="clcid-pte:LiRunFenPeiDaoZhiWeiFenPeiLiRunBianDongJinE" label="利润分配导致未分配利润变动金额" periodRef="上年同期数" mulRef="_GBC_57faea4e453e49ad93821b7dd6ce8bc4" unitRef="_GBC_cef77704267643d794145c73763360e5" addr="T1R16C11S1_1" formatStyle="Comma">
          <m:complexRule comparator="Eq" title="利润分配导致未分配利润变动金额@上年同期数" test=" $_GBC_47567c73ef814c5db712b835a07094a3 +  $_GBC_f9c36577c937400ba03449fd7e178714 +  $_GBC_06663aea81954a448741795eff18882b +  $_GBC_26d360d5069c44458cc6f235b0624ee9" id="Cdfc8e98de40b497989de8760721884b9"/>
        </m:item>
        <m:item xlName="_GBC_1f6c9e24eb314f7e845a2e9c6d5bbc88" concept="clcid-pte:LiRunFenPeiDaoZhiQiTaDeGuiShuYuMuGongSiSuoYouZheQuanYiBianDongJinE" label="利润分配导致其他的归属于母公司所有者权益变动金额" periodRef="上年同期数" mulRef="_GBC_57faea4e453e49ad93821b7dd6ce8bc4" unitRef="_GBC_cef77704267643d794145c73763360e5" addr="T1R16C12S1_1" formatStyle="Comma">
          <m:complexRule comparator="Eq" title="利润分配导致其他的归属于母公司所有者权益变动金额@上年同期数" test=" $_GBC_6db71d37532645e58d862157dfcc7953 +  $_GBC_1a2045845ff7423ebaf5ebc7999ef4ba +  $_GBC_2007060cffe14ef481553ba4cccecaab +  $_GBC_8f4a1742dc334e05b5056ea80d66b9c8" id="Cf3ab5f0e102d48a7a919d703033b99e6"/>
        </m:item>
        <m:item xlName="_GBC_eef9846c4eb04edf9eec851ff3c8faa6" concept="clcid-pte:LiRunFenPeiDaoZhiGuiShuYuMuGongSiSuoYouZheQuanYiBianDongJinE" label="利润分配导致归属于母公司所有者权益变动金额" periodRef="上年同期数" mulRef="_GBC_57faea4e453e49ad93821b7dd6ce8bc4" unitRef="_GBC_cef77704267643d794145c73763360e5" addr="T1R16C13S1_1" formatStyle="Comma">
          <m:complexRule comparator="Eq" title="利润分配导致归属于母公司所有者权益变动金额小计@上年同期数" test=" $_GBC_f5dd5e57af5945888ad13f14efb2fde3 +  $_GBC_f7a1fc6d82b546af97d914be32614c07 +  $_GBC_6bc8ede00edc40e59f953361c92eb559 +  $_GBC_44c76e3b720b448e9594bb6d730138f7" id="C7b01681b10ae449fa9434d3e34f1adb9"/>
        </m:item>
        <m:item xlName="_GBC_de1cf52aca904f13915a874a5b459013" concept="clcid-pte:LiRunFenPeiDaoZhiShaoShuGuDongQuanYiBianDongJinE" label="利润分配导致少数股东权益变动金额" periodRef="上年同期数" mulRef="_GBC_57faea4e453e49ad93821b7dd6ce8bc4" unitRef="_GBC_cef77704267643d794145c73763360e5" addr="T1R16C14S1_1" formatStyle="Comma">
          <m:complexRule comparator="Eq" title="利润分配导致少数股东权益变动金额@上年同期数" test=" $_GBC_e901b5ea7f304905a601de66781579ee +  $_GBC_51a3b0d4c6b0486b84539b65e5a62abd +  $_GBC_80d74d2547154c35ae2d19c6c42a1b72 +  $_GBC_6909b66769724588afd860e8e453b2ff" id="C53e553207c6944c89aa0a231514b95a8"/>
        </m:item>
        <m:item xlName="_GBC_e9f3261b89304a5aa6fae80844a60013" concept="clcid-pte:LiRunFenPeiDaoZhiGuDongQuanYiHeJiBianDongJinE" label="利润分配导致股东权益合计变动金额" periodRef="上年同期数" mulRef="_GBC_57faea4e453e49ad93821b7dd6ce8bc4" unitRef="_GBC_cef77704267643d794145c73763360e5" addr="T1R16C15S1_1" formatStyle="Comma">
          <m:complexRule comparator="Eq" title="利润分配导致股东权益合计变动金额@上年同期数" test=" $_GBC_f8c6f31ea25446b28cf6cea7344eef89 +  $_GBC_06c8c7b57bdc4592bb44c707f646848a +  $_GBC_1174c85e38a44988b8ec9884cc5757e2 +  $_GBC_d58b6741cced4fe7806546c0229261d5" id="Ce33b6159c338499597f6bf256bce6538"/>
        </m:item>
        <m:placeholder xlName="_PLD_728c39864cdd4a7c93d6a2bae73ac47f" wordText="1．提取盈余公积" addr="T1R17C0S1_1"/>
        <m:item xlName="_GBC_1e8b4e4e6521461aa29b69819f4e314c" concept="clcid-pte:TiQuYingYuGongJiDaoZhiShiShouZiBenHuoGuBenJingEBianDongJinE" label="提取盈余公积导致实收资本（或股本）净额变动金额" periodRef="上年同期数" mulRef="_GBC_57faea4e453e49ad93821b7dd6ce8bc4" unitRef="_GBC_cef77704267643d794145c73763360e5" addr="T1R17C1S1_1" formatStyle="Comma"/>
        <m:item xlName="_GBC_4ae6393180754f7c8b5f6927148f0bcc" concept="clcid-pte:TiQuYingYuGongJiDaoZhiQiTaQuanYiGongJuZhongDeYouXianGuBianDongJinE" label="提取盈余公积导致其他权益工具中的优先股变动金额" periodRef="上年同期数" mulRef="_GBC_57faea4e453e49ad93821b7dd6ce8bc4" unitRef="_GBC_cef77704267643d794145c73763360e5" addr="T1R17C2S1_1" formatStyle="Comma"/>
        <m:item xlName="_GBC_935160af0dff4f61b19e613190a9886e" concept="clcid-pte:TiQuYingYuGongJiDaoZhiQiTaQuanYiGongJuZhongDeYongXuZhaiBianDongJinE" label="提取盈余公积导致其他权益工具中的永续债变动金额" periodRef="上年同期数" mulRef="_GBC_57faea4e453e49ad93821b7dd6ce8bc4" unitRef="_GBC_cef77704267643d794145c73763360e5" addr="T1R17C3S1_1" formatStyle="Comma"/>
        <m:item xlName="_GBC_49d82f884064488288fefd396fcf09cc" concept="clcid-pte:TiQuYingYuGongJiDaoZhiQiTaQuanYiGongJuZhongDeQiTaBianDongJinE" label="提取盈余公积导致其他权益工具中的其他变动金额" periodRef="上年同期数" mulRef="_GBC_57faea4e453e49ad93821b7dd6ce8bc4" unitRef="_GBC_cef77704267643d794145c73763360e5" addr="T1R17C4S1_1" formatStyle="Comma"/>
        <m:item xlName="_GBC_aa394c51f338497e9ea19a2579b6e8d3" concept="clcid-pte:TiQuYingYuGongJiDaoZhiZiBenGongJiBianDongJinE" label="提取盈余公积导致资本公积变动金额" periodRef="上年同期数" mulRef="_GBC_57faea4e453e49ad93821b7dd6ce8bc4" unitRef="_GBC_cef77704267643d794145c73763360e5" addr="T1R17C5S1_1" formatStyle="Comma"/>
        <m:item xlName="_GBC_6ea742672e3048cd85a51ed53db2907e" concept="clcid-pte:TiQuYingYuGongJiDaoZhiKuCunGuBianDongJinE" label="提取盈余公积导致库存股变动金额" periodRef="上年同期数" mulRef="_GBC_57faea4e453e49ad93821b7dd6ce8bc4" unitRef="_GBC_cef77704267643d794145c73763360e5" addr="T1R17C6S1_1" baseScale="-1" formatStyle="Comma"/>
        <m:item xlName="_GBC_d252b325af8d4e3087396e6cea2a1c44" concept="clcid-pte:TiQuYingYuGongJiDaoZhiQiTaZongHeShouYiBianDongJinE" label="提取盈余公积导致其他综合收益变动金额" periodRef="上年同期数" mulRef="_GBC_57faea4e453e49ad93821b7dd6ce8bc4" unitRef="_GBC_cef77704267643d794145c73763360e5" addr="T1R17C7S1_1" formatStyle="Comma"/>
        <m:item xlName="_GBC_014ecfd05b0f42d5bf5b06bfdaddc2fc" concept="clcid-pte:TiQuYingYuGongJiDaoZhiZhuanXiangChuBeiBianDongJinE" label="提取盈余公积导致专项储备变动金额" periodRef="上年同期数" mulRef="_GBC_57faea4e453e49ad93821b7dd6ce8bc4" unitRef="_GBC_cef77704267643d794145c73763360e5" addr="T1R17C8S1_1" formatStyle="Comma"/>
        <m:item xlName="_GBC_48b00a4dbffb477a94ca770d44992ade" concept="clcid-pte:TiQuYingYuGongJiDaoZhiYingYuGongJiBianDongJinE" label="提取盈余公积导致盈余公积变动金额" periodRef="上年同期数" mulRef="_GBC_57faea4e453e49ad93821b7dd6ce8bc4" unitRef="_GBC_cef77704267643d794145c73763360e5" addr="T1R17C9S1_1" formatStyle="Comma"/>
        <m:item xlName="_GBC_3ae9c91c7cfb435dae346625fd97ba77" concept="clcid-pte:TiQuYingYuGongJiDaoZhiYiBanFengXianZhunBeiBianDongJinE" label="提取盈余公积导致一般风险准备变动金额" periodRef="上年同期数" mulRef="_GBC_57faea4e453e49ad93821b7dd6ce8bc4" unitRef="_GBC_cef77704267643d794145c73763360e5" addr="T1R17C10S1_1" formatStyle="Comma"/>
        <m:item xlName="_GBC_47567c73ef814c5db712b835a07094a3" concept="clcid-pte:TiQuYingYuGongJiDaoZhiWeiFenPeiLiRunBianDongJinE" label="提取盈余公积导致未分配利润变动金额" periodRef="上年同期数" mulRef="_GBC_57faea4e453e49ad93821b7dd6ce8bc4" unitRef="_GBC_cef77704267643d794145c73763360e5" addr="T1R17C11S1_1" formatStyle="Comma"/>
        <m:item xlName="_GBC_6db71d37532645e58d862157dfcc7953" concept="clcid-pte:TiQuYingYuGongJiDaoZhiQiTaDeGuiShuYuMuGongSiSuoYouZheQuanYiBianDongJinE" label="提取盈余公积导致其他的归属于母公司所有者权益变动金额" periodRef="上年同期数" mulRef="_GBC_57faea4e453e49ad93821b7dd6ce8bc4" unitRef="_GBC_cef77704267643d794145c73763360e5" addr="T1R17C12S1_1" formatStyle="Comma"/>
        <m:item xlName="_GBC_f5dd5e57af5945888ad13f14efb2fde3" concept="clcid-pte:TiQuYingYuGongJiDaoZhiGuiShuYuMuGongSiSuoYouZheQuanYiBianDongJinE" label="提取盈余公积导致归属于母公司所有者权益变动金额" periodRef="上年同期数" mulRef="_GBC_57faea4e453e49ad93821b7dd6ce8bc4" unitRef="_GBC_cef77704267643d794145c73763360e5" addr="T1R17C13S1_1" formatStyle="Comma"/>
        <m:item xlName="_GBC_e901b5ea7f304905a601de66781579ee" concept="clcid-pte:TiQuYingYuGongJiDaoZhiShaoShuGuDongQuanYiBianDongJinE" label="提取盈余公积导致少数股东权益变动金额" periodRef="上年同期数" mulRef="_GBC_57faea4e453e49ad93821b7dd6ce8bc4" unitRef="_GBC_cef77704267643d794145c73763360e5" addr="T1R17C14S1_1" formatStyle="Comma"/>
        <m:item xlName="_GBC_f8c6f31ea25446b28cf6cea7344eef89" concept="clcid-pte:TiQuYingYuGongJiDaoZhiGuDongQuanYiHeJiBianDongJinE" label="提取盈余公积导致股东权益合计变动金额" periodRef="上年同期数" mulRef="_GBC_57faea4e453e49ad93821b7dd6ce8bc4" unitRef="_GBC_cef77704267643d794145c73763360e5" addr="T1R17C15S1_1" formatStyle="Comma"/>
        <m:placeholder xlName="_PLD_6d8c8a0de80b4f6a97fdb16b82b3a6ac" wordText="2．提取一般风险准备" addr="T1R18C0S1_1"/>
        <m:item xlName="_GBC_a7f89ae428824c5382c9a6a97fb5fc53" concept="clcid-pte:TiQuYiBanFengXianZhunBeiDaoZhiShiShouZiBenHuoGuBenJingEBianDongJinE" label="提取一般风险准备导致实收资本（或股本）净额变动金额" periodRef="上年同期数" mulRef="_GBC_57faea4e453e49ad93821b7dd6ce8bc4" unitRef="_GBC_cef77704267643d794145c73763360e5" addr="T1R18C1S1_1" formatStyle="Comma"/>
        <m:item xlName="_GBC_d3e313b8a07c42478fb6c61fecbef7c5" concept="clcid-pte:TiQuYiBanFengXianZhunBeiDaoZhiQiTaQuanYiGongJuZhongDeYouXianGuBianDongJinE" label="提取一般风险准备导致其他权益工具中的优先股变动金额" periodRef="上年同期数" mulRef="_GBC_57faea4e453e49ad93821b7dd6ce8bc4" unitRef="_GBC_cef77704267643d794145c73763360e5" addr="T1R18C2S1_1" formatStyle="Comma"/>
        <m:item xlName="_GBC_86b836fe78594e77b6f7a7d647b4cbb9" concept="clcid-pte:TiQuYiBanFengXianZhunBeiDaoZhiQiTaQuanYiGongJuZhongDeYongXuZhaiBianDongJinE" label="提取一般风险准备导致其他权益工具中的永续债变动金额" periodRef="上年同期数" mulRef="_GBC_57faea4e453e49ad93821b7dd6ce8bc4" unitRef="_GBC_cef77704267643d794145c73763360e5" addr="T1R18C3S1_1" formatStyle="Comma"/>
        <m:item xlName="_GBC_6409f592632148bb918d1b3d0be90717" concept="clcid-pte:TiQuYiBanFengXianZhunBeiDaoZhiQiTaQuanYiGongJuZhongDeQiTaBianDongJinE" label="提取一般风险准备导致其他权益工具中的其他变动金额" periodRef="上年同期数" mulRef="_GBC_57faea4e453e49ad93821b7dd6ce8bc4" unitRef="_GBC_cef77704267643d794145c73763360e5" addr="T1R18C4S1_1" formatStyle="Comma"/>
        <m:item xlName="_GBC_952eb7e4afb34abb9db3764a32407d2c" concept="clcid-pte:TiQuYiBanFengXianZhunBeiDaoZhiZiBenGongJiBianDongJinE" label="提取一般风险准备导致资本公积变动金额" periodRef="上年同期数" mulRef="_GBC_57faea4e453e49ad93821b7dd6ce8bc4" unitRef="_GBC_cef77704267643d794145c73763360e5" addr="T1R18C5S1_1" formatStyle="Comma"/>
        <m:item xlName="_GBC_d7d2613373a344cd8c4d394821420ea8" concept="clcid-pte:TiQuYiBanFengXianZhunBeiDaoZhiKuCunGuBianDongJinE" label="提取一般风险准备导致库存股变动金额" periodRef="上年同期数" mulRef="_GBC_57faea4e453e49ad93821b7dd6ce8bc4" unitRef="_GBC_cef77704267643d794145c73763360e5" addr="T1R18C6S1_1" baseScale="-1" formatStyle="Comma"/>
        <m:item xlName="_GBC_6bde1610cbd949a58dbdc60da9367839" concept="clcid-pte:TiQuYiBanFengXianZhunBeiDaoZhiQiTaZongHeShouYiBianDongJinE" label="提取一般风险准备导致其他综合收益变动金额" periodRef="上年同期数" mulRef="_GBC_57faea4e453e49ad93821b7dd6ce8bc4" unitRef="_GBC_cef77704267643d794145c73763360e5" addr="T1R18C7S1_1" formatStyle="Comma"/>
        <m:item xlName="_GBC_0784c6d1c5ce4f0cb1a86cdac5af5f91" concept="clcid-pte:TiQuYiBanFengXianZhunBeiDaoZhiZhuanXiangChuBeiBianDongJinE" label="提取一般风险准备导致专项储备变动金额" periodRef="上年同期数" mulRef="_GBC_57faea4e453e49ad93821b7dd6ce8bc4" unitRef="_GBC_cef77704267643d794145c73763360e5" addr="T1R18C8S1_1" formatStyle="Comma"/>
        <m:item xlName="_GBC_0ee556f1f37647f891568be346ba24d3" concept="clcid-pte:TiQuYiBanFengXianZhunBeiDaoZhiYingYuGongJiBianDongJinE" label="提取一般风险准备导致盈余公积变动金额" periodRef="上年同期数" mulRef="_GBC_57faea4e453e49ad93821b7dd6ce8bc4" unitRef="_GBC_cef77704267643d794145c73763360e5" addr="T1R18C9S1_1" formatStyle="Comma"/>
        <m:item xlName="_GBC_94ee4ff2a44a4f54834af8c87eb8fb91" concept="clcid-pte:TiQuYiBanFengXianZhunBeiDaoZhiYiBanFengXianZhunBeiBianDongJinE" label="提取一般风险准备导致一般风险准备变动金额" periodRef="上年同期数" mulRef="_GBC_57faea4e453e49ad93821b7dd6ce8bc4" unitRef="_GBC_cef77704267643d794145c73763360e5" addr="T1R18C10S1_1" formatStyle="Comma"/>
        <m:item xlName="_GBC_f9c36577c937400ba03449fd7e178714" concept="clcid-pte:TiQuYiBanFengXianZhunBeiDaoZhiWeiFenPeiLiRunBianDongJinE" label="提取一般风险准备导致未分配利润变动金额" periodRef="上年同期数" mulRef="_GBC_57faea4e453e49ad93821b7dd6ce8bc4" unitRef="_GBC_cef77704267643d794145c73763360e5" addr="T1R18C11S1_1" formatStyle="Comma"/>
        <m:item xlName="_GBC_1a2045845ff7423ebaf5ebc7999ef4ba" concept="clcid-pte:TiQuYiBanFengXianZhunBeiDaoZhiQiTaDeGuiShuYuMuGongSiSuoYouZheQuanYiBianDongJinE" label="提取一般风险准备导致其他的归属于母公司所有者权益变动金额" periodRef="上年同期数" mulRef="_GBC_57faea4e453e49ad93821b7dd6ce8bc4" unitRef="_GBC_cef77704267643d794145c73763360e5" addr="T1R18C12S1_1" formatStyle="Comma"/>
        <m:item xlName="_GBC_f7a1fc6d82b546af97d914be32614c07" concept="clcid-pte:TiQuYiBanFengXianZhunBeiDaoZhiGuiShuYuMuGongSiSuoYouZheQuanYiBianDongJinE" label="提取一般风险准备导致归属于母公司所有者权益变动金额" periodRef="上年同期数" mulRef="_GBC_57faea4e453e49ad93821b7dd6ce8bc4" unitRef="_GBC_cef77704267643d794145c73763360e5" addr="T1R18C13S1_1" formatStyle="Comma"/>
        <m:item xlName="_GBC_51a3b0d4c6b0486b84539b65e5a62abd" concept="clcid-pte:TiQuYiBanFengXianZhunBeiDaoZhiShaoShuGuDongQuanYiBianDongJinE" label="提取一般风险准备导致少数股东权益变动金额" periodRef="上年同期数" mulRef="_GBC_57faea4e453e49ad93821b7dd6ce8bc4" unitRef="_GBC_cef77704267643d794145c73763360e5" addr="T1R18C14S1_1" formatStyle="Comma"/>
        <m:item xlName="_GBC_06c8c7b57bdc4592bb44c707f646848a" concept="clcid-pte:TiQuYiBanFengXianZhunBeiDaoZhiGuDongQuanYiHeJiBianDongJinE" label="提取一般风险准备导致股东权益合计变动金额" periodRef="上年同期数" mulRef="_GBC_57faea4e453e49ad93821b7dd6ce8bc4" unitRef="_GBC_cef77704267643d794145c73763360e5" addr="T1R18C15S1_1" formatStyle="Comma"/>
        <m:placeholder xlName="_PLD_a5531db3e1d84f3897cb962fdc73ab3d" wordText="3．对所有者（或股东）的分配" addr="T1R19C0S1_1"/>
        <m:item xlName="_GBC_3003f6166e484522945649c1cc43e1ba" concept="clcid-pte:DuiSuoYouZheHuoGuDongDeFenPeiDaoZhiShiShouZiBenHuoGuBenJingEBianDongJinE" label="对所有者（或股东）的分配导致实收资本（或股本）净额变动金额" periodRef="上年同期数" mulRef="_GBC_57faea4e453e49ad93821b7dd6ce8bc4" unitRef="_GBC_cef77704267643d794145c73763360e5" addr="T1R19C1S1_1" formatStyle="Comma"/>
        <m:item xlName="_GBC_5be55735ceb543b8881f377d4ffd25ab" concept="clcid-pte:DuiSuoYouZheHuoGuDongDeFenPeiDaoZhiQiTaQuanYiGongJuZhongDeYouXianGuBianDongJinE" label="对所有者（或股东）的分配导致其他权益工具中的优先股变动金额" periodRef="上年同期数" mulRef="_GBC_57faea4e453e49ad93821b7dd6ce8bc4" unitRef="_GBC_cef77704267643d794145c73763360e5" addr="T1R19C2S1_1" formatStyle="Comma"/>
        <m:item xlName="_GBC_b69ec3ba321943cf96e6cce9293d7478" concept="clcid-pte:DuiSuoYouZheHuoGuDongDeFenPeiDaoZhiQiTaQuanYiGongJuZhongDeYongXuZhaiBianDongJinE" label="对所有者（或股东）的分配导致其他权益工具中的永续债变动金额" periodRef="上年同期数" mulRef="_GBC_57faea4e453e49ad93821b7dd6ce8bc4" unitRef="_GBC_cef77704267643d794145c73763360e5" addr="T1R19C3S1_1" formatStyle="Comma"/>
        <m:item xlName="_GBC_2a13264b2c004630afef4619ce26c2fe" concept="clcid-pte:DuiSuoYouZheHuoGuDongDeFenPeiDaoZhiQiTaQuanYiGongJuZhongDeQiTaBianDongJinE" label="对所有者（或股东）的分配导致其他权益工具中的其他变动金额" periodRef="上年同期数" mulRef="_GBC_57faea4e453e49ad93821b7dd6ce8bc4" unitRef="_GBC_cef77704267643d794145c73763360e5" addr="T1R19C4S1_1" formatStyle="Comma"/>
        <m:item xlName="_GBC_5696e6a003164113bcdff8b0d1be437b" concept="clcid-pte:DuiSuoYouZheHuoGuDongDeFenPeiDaoZhiZiBenGongJiBianDongJinE" label="对所有者（或股东）的分配导致资本公积变动金额" periodRef="上年同期数" mulRef="_GBC_57faea4e453e49ad93821b7dd6ce8bc4" unitRef="_GBC_cef77704267643d794145c73763360e5" addr="T1R19C5S1_1" formatStyle="Comma"/>
        <m:item xlName="_GBC_0187f2c819764d38b8beaa22e179695d" concept="clcid-pte:DuiSuoYouZheHuoGuDongDeFenPeiDaoZhiKuCunGuBianDongJinE" label="对所有者（或股东）的分配导致库存股变动金额" periodRef="上年同期数" mulRef="_GBC_57faea4e453e49ad93821b7dd6ce8bc4" unitRef="_GBC_cef77704267643d794145c73763360e5" addr="T1R19C6S1_1" baseScale="-1" formatStyle="Comma"/>
        <m:item xlName="_GBC_ee0d088a36a4403ca0f85e52ad4fd818" concept="clcid-pte:DuiSuoYouZheHuoGuDongDeFenPeiDaoZhiQiTaZongHeShouYiBianDongJinE" label="对所有者（或股东）的分配导致其他综合收益变动金额" periodRef="上年同期数" mulRef="_GBC_57faea4e453e49ad93821b7dd6ce8bc4" unitRef="_GBC_cef77704267643d794145c73763360e5" addr="T1R19C7S1_1" formatStyle="Comma"/>
        <m:item xlName="_GBC_02289b58a7564f9ab8258718078507ce" concept="clcid-pte:DuiSuoYouZheHuoGuDongDeFenPeiDaoZhiZhuanXiangChuBeiBianDongJinE" label="对所有者（或股东）的分配导致专项储备变动金额" periodRef="上年同期数" mulRef="_GBC_57faea4e453e49ad93821b7dd6ce8bc4" unitRef="_GBC_cef77704267643d794145c73763360e5" addr="T1R19C8S1_1" formatStyle="Comma"/>
        <m:item xlName="_GBC_2337d820a173434e9ce28248d06889a1" concept="clcid-pte:DuiSuoYouZheHuoGuDongDeFenPeiDaoZhiYingYuGongJiBianDongJinE" label="对所有者（或股东）的分配导致盈余公积变动金额" periodRef="上年同期数" mulRef="_GBC_57faea4e453e49ad93821b7dd6ce8bc4" unitRef="_GBC_cef77704267643d794145c73763360e5" addr="T1R19C9S1_1" formatStyle="Comma"/>
        <m:item xlName="_GBC_c6e060f617964a88bf533bbf44f3c126" concept="clcid-pte:DuiSuoYouZheHuoGuDongDeFenPeiDaoZhiYiBanFengXianZhunBeiBianDongJinE" label="对所有者（或股东）的分配导致一般风险准备变动金额" periodRef="上年同期数" mulRef="_GBC_57faea4e453e49ad93821b7dd6ce8bc4" unitRef="_GBC_cef77704267643d794145c73763360e5" addr="T1R19C10S1_1" formatStyle="Comma"/>
        <m:item xlName="_GBC_06663aea81954a448741795eff18882b" concept="clcid-pte:DuiSuoYouZheHuoGuDongDeFenPeiDaoZhiWeiFenPeiLiRunBianDongJinE" label="对所有者（或股东）的分配导致未分配利润变动金额" periodRef="上年同期数" mulRef="_GBC_57faea4e453e49ad93821b7dd6ce8bc4" unitRef="_GBC_cef77704267643d794145c73763360e5" addr="T1R19C11S1_1" formatStyle="Comma"/>
        <m:item xlName="_GBC_2007060cffe14ef481553ba4cccecaab" concept="clcid-pte:DuiSuoYouZheHuoGuDongDeFenPeiDaoZhiQiTaDeGuiShuYuMuGongSiSuoYouZheQuanYiBianDongJinE" label="对所有者（或股东）的分配导致其他的归属于母公司所有者权益变动金额" periodRef="上年同期数" mulRef="_GBC_57faea4e453e49ad93821b7dd6ce8bc4" unitRef="_GBC_cef77704267643d794145c73763360e5" addr="T1R19C12S1_1" formatStyle="Comma"/>
        <m:item xlName="_GBC_6bc8ede00edc40e59f953361c92eb559" concept="clcid-pte:DuiSuoYouZheHuoGuDongDeFenPeiDaoZhiGuiShuYuMuGongSiSuoYouZheQuanYiBianDongJinE" label="对所有者（或股东）的分配导致归属于母公司所有者权益变动金额" periodRef="上年同期数" mulRef="_GBC_57faea4e453e49ad93821b7dd6ce8bc4" unitRef="_GBC_cef77704267643d794145c73763360e5" addr="T1R19C13S1_1" formatStyle="Comma"/>
        <m:item xlName="_GBC_80d74d2547154c35ae2d19c6c42a1b72" concept="clcid-pte:DuiSuoYouZheHuoGuDongDeFenPeiDaoZhiShaoShuGuDongQuanYiBianDongJinE" label="对所有者（或股东）的分配导致少数股东权益变动金额" periodRef="上年同期数" mulRef="_GBC_57faea4e453e49ad93821b7dd6ce8bc4" unitRef="_GBC_cef77704267643d794145c73763360e5" addr="T1R19C14S1_1" formatStyle="Comma"/>
        <m:item xlName="_GBC_1174c85e38a44988b8ec9884cc5757e2" concept="clcid-pte:DuiSuoYouZheHuoGuDongDeFenPeiDaoZhiGuDongQuanYiHeJiBianDongJinE" label="对所有者（或股东）的分配导致股东权益合计变动金额" periodRef="上年同期数" mulRef="_GBC_57faea4e453e49ad93821b7dd6ce8bc4" unitRef="_GBC_cef77704267643d794145c73763360e5" addr="T1R19C15S1_1" formatStyle="Comma"/>
        <m:placeholder xlName="_PLD_f3206f8cddd54371b8a1b220dc836af8" wordText="4．其他" addr="T1R20C0S1_1"/>
        <m:item xlName="_GBC_49a218b412d440d18c50034e3ac33cba" concept="clcid-pte:QiTaLiRunFenPeiDaoZhiShiShouZiBenHuoGuBenJingEBianDongJinE" label="其他利润分配导致实收资本（或股本）净额变动金额" periodRef="上年同期数" mulRef="_GBC_57faea4e453e49ad93821b7dd6ce8bc4" unitRef="_GBC_cef77704267643d794145c73763360e5" addr="T1R20C1S1_1" formatStyle="Comma"/>
        <m:item xlName="_GBC_287b3643fe9f4dd8ae3b570cd789c71d" concept="clcid-pte:QiTaLiRunFenPeiDaoZhiQiTaQuanYiGongJuZhongDeYouXianGuBianDongJinE" label="其他利润分配导致其他权益工具中的优先股变动金额" periodRef="上年同期数" mulRef="_GBC_57faea4e453e49ad93821b7dd6ce8bc4" unitRef="_GBC_cef77704267643d794145c73763360e5" addr="T1R20C2S1_1" formatStyle="Comma"/>
        <m:item xlName="_GBC_7a9878d497e6470abe05fb1ab441f4dd" concept="clcid-pte:QiTaLiRunFenPeiDaoZhiQiTaQuanYiGongJuZhongDeYongXuZhaiBianDongJinE" label="其他利润分配导致其他权益工具中的永续债变动金额" periodRef="上年同期数" mulRef="_GBC_57faea4e453e49ad93821b7dd6ce8bc4" unitRef="_GBC_cef77704267643d794145c73763360e5" addr="T1R20C3S1_1" formatStyle="Comma"/>
        <m:item xlName="_GBC_3acdd25e64a24e17a2d1ca28d182e6d1" concept="clcid-pte:QiTaLiRunFenPeiDaoZhiQiTaQuanYiGongJuZhongDeQiTaBianDongJinE" label="其他利润分配导致其他权益工具中的其他变动金额" periodRef="上年同期数" mulRef="_GBC_57faea4e453e49ad93821b7dd6ce8bc4" unitRef="_GBC_cef77704267643d794145c73763360e5" addr="T1R20C4S1_1" formatStyle="Comma"/>
        <m:item xlName="_GBC_af2a7a1252ac41e9bef6babfd762e41c" concept="clcid-pte:QiTaLiRunFenPeiDaoZhiZiBenGongJiBianDongJinE" label="其他利润分配导致资本公积变动金额" periodRef="上年同期数" mulRef="_GBC_57faea4e453e49ad93821b7dd6ce8bc4" unitRef="_GBC_cef77704267643d794145c73763360e5" addr="T1R20C5S1_1" formatStyle="Comma"/>
        <m:item xlName="_GBC_65e632c5b00d4ef7a7620d9b8713f8e5" concept="clcid-pte:QiTaLiRunFenPeiDaoZhiKuCunGuBianDongJinE" label="其他利润分配导致库存股变动金额" periodRef="上年同期数" mulRef="_GBC_57faea4e453e49ad93821b7dd6ce8bc4" unitRef="_GBC_cef77704267643d794145c73763360e5" addr="T1R20C6S1_1" baseScale="-1" formatStyle="Comma"/>
        <m:item xlName="_GBC_61c3ee3a348a47b1ba6ac6c2b4d5cfc7" concept="clcid-pte:QiTaLiRunFenPeiDaoZhiQiTaZongHeShouYiBianDongJinE" label="其他利润分配导致其他综合收益变动金额" periodRef="上年同期数" mulRef="_GBC_57faea4e453e49ad93821b7dd6ce8bc4" unitRef="_GBC_cef77704267643d794145c73763360e5" addr="T1R20C7S1_1" formatStyle="Comma"/>
        <m:item xlName="_GBC_1f67bd299ed94d4194f6d1d362c6a615" concept="clcid-pte:QiTaLiRunFenPeiDaoZhiZhuanXiangChuBeiBianDongJinE" label="其他利润分配导致专项储备变动金额" periodRef="上年同期数" mulRef="_GBC_57faea4e453e49ad93821b7dd6ce8bc4" unitRef="_GBC_cef77704267643d794145c73763360e5" addr="T1R20C8S1_1" formatStyle="Comma"/>
        <m:item xlName="_GBC_afc9fb3d8ef14cf19d092708904ed019" concept="clcid-pte:QiTaLiRunFenPeiDaoZhiYingYuGongJiBianDongJinE" label="其他利润分配导致盈余公积变动金额" periodRef="上年同期数" mulRef="_GBC_57faea4e453e49ad93821b7dd6ce8bc4" unitRef="_GBC_cef77704267643d794145c73763360e5" addr="T1R20C9S1_1" formatStyle="Comma"/>
        <m:item xlName="_GBC_58fdd24d1dad47a9b6ad6db366e2c23d" concept="clcid-pte:QiTaLiRunFenPeiDaoZhiYiBanFengXianZhunBeiBianDongJinE" label="其他利润分配导致一般风险准备变动金额" periodRef="上年同期数" mulRef="_GBC_57faea4e453e49ad93821b7dd6ce8bc4" unitRef="_GBC_cef77704267643d794145c73763360e5" addr="T1R20C10S1_1" formatStyle="Comma"/>
        <m:item xlName="_GBC_26d360d5069c44458cc6f235b0624ee9" concept="clcid-pte:QiTaLiRunFenPeiDaoZhiWeiFenPeiLiRunBianDongJinE" label="其他利润分配导致未分配利润变动金额" periodRef="上年同期数" mulRef="_GBC_57faea4e453e49ad93821b7dd6ce8bc4" unitRef="_GBC_cef77704267643d794145c73763360e5" addr="T1R20C11S1_1" formatStyle="Comma"/>
        <m:item xlName="_GBC_8f4a1742dc334e05b5056ea80d66b9c8" concept="clcid-pte:QiTaLiRunFenPeiDaoZhiQiTaDeGuiShuYuMuGongSiSuoYouZheQuanYiBianDongJinE" label="其他利润分配导致其他的归属于母公司所有者权益变动金额" periodRef="上年同期数" mulRef="_GBC_57faea4e453e49ad93821b7dd6ce8bc4" unitRef="_GBC_cef77704267643d794145c73763360e5" addr="T1R20C12S1_1" formatStyle="Comma"/>
        <m:item xlName="_GBC_44c76e3b720b448e9594bb6d730138f7" concept="clcid-pte:QiTaLiRunFenPeiDaoZhiGuiShuYuMuGongSiSuoYouZheQuanYiBianDongJinE" label="其他利润分配导致归属于母公司所有者权益变动金额" periodRef="上年同期数" mulRef="_GBC_57faea4e453e49ad93821b7dd6ce8bc4" unitRef="_GBC_cef77704267643d794145c73763360e5" addr="T1R20C13S1_1" formatStyle="Comma"/>
        <m:item xlName="_GBC_6909b66769724588afd860e8e453b2ff" concept="clcid-pte:QiTaLiRunFenPeiDaoZhiShaoShuGuDongQuanYiBianDongJinE" label="其他利润分配导致少数股东权益变动金额" periodRef="上年同期数" mulRef="_GBC_57faea4e453e49ad93821b7dd6ce8bc4" unitRef="_GBC_cef77704267643d794145c73763360e5" addr="T1R20C14S1_1" formatStyle="Comma"/>
        <m:item xlName="_GBC_d58b6741cced4fe7806546c0229261d5" concept="clcid-pte:QiTaLiRunFenPeiDaoZhiGuDongQuanYiHeJiBianDongJinE" label="其他利润分配导致股东权益合计变动金额" periodRef="上年同期数" mulRef="_GBC_57faea4e453e49ad93821b7dd6ce8bc4" unitRef="_GBC_cef77704267643d794145c73763360e5" addr="T1R20C15S1_1" formatStyle="Comma"/>
        <m:placeholder xlName="_PLD_c0c9652bd3724ad8b729d3650a0840d4" wordText="（四）所有者权益内部结转" addr="T1R21C0S1_1"/>
        <m:item xlName="_GBC_430d37ec6126471183ece184d3516982" concept="clcid-pte:SuoYouZheQuanYiNeiBuJieZhuanDaoZhiShiShouZiBenHuoGuBenJingEBianDongJinE" label="所有者权益内部结转导致实收资本（或股本）净额变动金额" periodRef="上年同期数" mulRef="_GBC_57faea4e453e49ad93821b7dd6ce8bc4" unitRef="_GBC_cef77704267643d794145c73763360e5" addr="T1R21C1S1_1" formatStyle="Comma">
          <m:complexRule comparator="Eq" title="所有者权益内部结转导致实收资本（或股本）净额变动金额@上年同期数" test="$_GBC_bf04be8498d547e59a1185e2d46aa05b+$_GBC_eb63993f80ff4579a864af9645d114a0+$_GBC_d26d092affbd43a0b1c90581e7769e6c+$_GBC_0f4b3618500946cc83ef37cd55d83d7e+$_GBC_937abba58d3541e995a07871c147d5e6+$_GBC_ae5842fb36d0410cb539392af747b07a" id="C12d66cf7151d40feb4d8413eda8d7ec7"/>
        </m:item>
        <m:item xlName="_GBC_94fe73400621450cac12f08a1054f7d9" concept="clcid-pte:SuoYouZheQuanYiNeiBuJieZhuanDaoZhiQiTaQuanYiGongJuZhongDeYouXianGuBianDongJinE" label="所有者权益内部结转导致其他权益工具中的优先股变动金额" periodRef="上年同期数" mulRef="_GBC_57faea4e453e49ad93821b7dd6ce8bc4" unitRef="_GBC_cef77704267643d794145c73763360e5" addr="T1R21C2S1_1" formatStyle="Comma">
          <m:complexRule comparator="Eq" title="所有者权益内部结转导致其他权益工具中的优先股变动金额@上年同期数" test="$_GBC_9199b321dc514bc28c56e9040e3defb1+$_GBC_4136aa32eb084f848c77279e3ede1c1b+$_GBC_90b3b1714451496ea7e7ee0d61b848ca+$_GBC_2bb3f22e821449d696dffc7e6dd24dd1+$_GBC_970b72db13644cb0be5d37d6fd96a027+$_GBC_6c0ad08e91f74fb0a199ce4ee0043c1a" id="Cd1b067a7c417432291b73f1f87632f23"/>
        </m:item>
        <m:item xlName="_GBC_936c172f6a2644e29eef9fe3059a2874" concept="clcid-pte:SuoYouZheQuanYiNeiBuJieZhuanDaoZhiQiTaQuanYiGongJuZhongDeYongXuZhaiBianDongJinE" label="所有者权益内部结转导致其他权益工具中的永续债变动金额" periodRef="上年同期数" mulRef="_GBC_57faea4e453e49ad93821b7dd6ce8bc4" unitRef="_GBC_cef77704267643d794145c73763360e5" addr="T1R21C3S1_1" formatStyle="Comma">
          <m:complexRule comparator="Eq" title="所有者权益内部结转导致其他权益工具中的永续债变动金额@上年同期数" test="$_GBC_d733da77ac52492db3fbc7946a7ee42b+$_GBC_1344334d12ae457e9728a551f139d9d1+$_GBC_87799245699145b8bafec2718280bb27+$_GBC_053126ae18604890ab9e3e5b96ffbbe4+$_GBC_fb6ee8ee92ae431eb9ef99ca2a40d6f7+$_GBC_b5d9c584c167498bab1b94c554b6a079" id="C162de281af614100908cdd8825938790"/>
        </m:item>
        <m:item xlName="_GBC_c8e67d47d3ec4963a1d3e7865b30560f" concept="clcid-pte:SuoYouZheQuanYiNeiBuJieZhuanDaoZhiQiTaQuanYiGongJuZhongDeQiTaBianDongJinE" label="所有者权益内部结转导致其他权益工具中的其他变动金额" periodRef="上年同期数" mulRef="_GBC_57faea4e453e49ad93821b7dd6ce8bc4" unitRef="_GBC_cef77704267643d794145c73763360e5" addr="T1R21C4S1_1" formatStyle="Comma">
          <m:complexRule comparator="Eq" title="所有者权益内部结转导致其他权益工具中的其他变动金额@上年同期数" test="$_GBC_acc561dd655c4989bbae811acd4952c0+$_GBC_91ba1fe97fa54df9848eb466833b14bd+$_GBC_eaa55c1173454b8cada43f367c0e0082+$_GBC_6d88dad9a78a4048a1ac19fe21e8bfe7+$_GBC_c3bbe967210a4717b41a0c6a96189ec6+$_GBC_12c4e5f3a0444383aaf493f4ffc7a5e6" id="C982f483a17f04a9c8f652af6d2e70fba"/>
        </m:item>
        <m:item xlName="_GBC_3ecde6efd34847ae98d6d9a11fcda816" concept="clcid-pte:SuoYouZheQuanYiNeiBuJieZhuanDaoZhiZiBenGongJiBianDongJinE" label="所有者权益内部结转导致资本公积变动金额" periodRef="上年同期数" mulRef="_GBC_57faea4e453e49ad93821b7dd6ce8bc4" unitRef="_GBC_cef77704267643d794145c73763360e5" addr="T1R21C5S1_1" formatStyle="Comma">
          <m:complexRule comparator="Eq" title="所有者权益内部结转导致资本公积变动金额@上年同期数" test="$_GBC_ccbb29ef9a2047999b720f1e0b4e1d0d+$_GBC_afc890304eca464f8689b95d06afcd77+$_GBC_225b260231434c3d87cbfbd727351fde+$_GBC_98ea0a4011be495492820c1cbcc97b9b+$_GBC_385640e82d0242b88a0272f9c7cb923e+$_GBC_29348654486c4f0ea15f0c6ed9ca0cd2" id="Cf4cdc83dc44748fb92dc6217780ea5a7"/>
        </m:item>
        <m:item xlName="_GBC_37d0d9ec3b4b4fa29f2ff16f15400d7e" concept="clcid-pte:SuoYouZheQuanYiNeiBuJieZhuanDaoZhiKuCunGuBianDongJinE" label="所有者权益内部结转导致库存股变动金额" periodRef="上年同期数" mulRef="_GBC_57faea4e453e49ad93821b7dd6ce8bc4" unitRef="_GBC_cef77704267643d794145c73763360e5" addr="T1R21C6S1_1" baseScale="-1" formatStyle="Comma">
          <m:complexRule comparator="Eq" title="所有者权益内部结转导致库存股变动金额@上年同期数" test="$_GBC_f93caa586f7d415cabd5832002827c52+$_GBC_9e3b43f0c0c743db847fb5e22e5b15fb+$_GBC_2e36b5bf4f79489b8fc8e7f59c68ffd1+$_GBC_3eaf854c7f474c3fa18ab8734b869f23+$_GBC_6f5a9223aa7d45b5bc013c777fde5e6e+$_GBC_6b2960393e724312b89aed57d0f67b59" id="C8e6e73e70c0144f7a07d6bc86fdcf05a"/>
        </m:item>
        <m:item xlName="_GBC_2e73d6ddb696406e96149c75c2c4fdda" concept="clcid-pte:SuoYouZheQuanYiNeiBuJieZhuanDaoZhiQiTaZongHeShouYiBianDongJinE" label="所有者权益内部结转导致其他综合收益变动金额" periodRef="上年同期数" mulRef="_GBC_57faea4e453e49ad93821b7dd6ce8bc4" unitRef="_GBC_cef77704267643d794145c73763360e5" addr="T1R21C7S1_1" formatStyle="Comma">
          <m:complexRule comparator="Eq" title="所有者权益内部结转导致其他综合收益变动金额@上年同期数" test="$_GBC_afb7341c1ff649e6a368bce327a2b4fd+$_GBC_5c5b36f278b94cdea9411aaf4e97ec32+$_GBC_85576da5466645b2bbb0ab07ee457c13+$_GBC_d9a1c5a86b2a491daf8174d342854d75+$_GBC_1961f8b0faa146889b2cb2774d5c8f6e+$_GBC_4fa8fe1b687846b9a7a436d93bfc67e8" id="C44c14f33b389479ba3e45f44914fc5c4"/>
        </m:item>
        <m:item xlName="_GBC_4ce5335277bd4d48a9d69ac5be9eebb0" concept="clcid-pte:SuoYouZheQuanYiNeiBuJieZhuanDaoZhiZhuanXiangChuBeiBianDongJinE" label="所有者权益内部结转导致专项储备变动金额" periodRef="上年同期数" mulRef="_GBC_57faea4e453e49ad93821b7dd6ce8bc4" unitRef="_GBC_cef77704267643d794145c73763360e5" addr="T1R21C8S1_1" formatStyle="Comma">
          <m:complexRule comparator="Eq" title="所有者权益内部结转导致专项储备变动金额@上年同期数" test="$_GBC_accaf0d24bb64e8a9bd8c02e0dac0fb0+$_GBC_93b68f30dad94f13b973ef2ce2786f5f+$_GBC_4ab7b429222d4c1d8954867ab8bb7e0a+$_GBC_7590db42daeb416eb5d0cd0b63bb38bc+$_GBC_2c9e084b964342a08f0b6cb3805482bb+$_GBC_363d14d6cb7843be9501729881436ac6" id="C33242f8eb60649a290c100a42fd1491d"/>
        </m:item>
        <m:item xlName="_GBC_c2fec544370340428694cbc22c7cee29" concept="clcid-pte:SuoYouZheQuanYiNeiBuJieZhuanDaoZhiYingYuGongJiBianDongJinE" label="所有者权益内部结转导致盈余公积变动金额" periodRef="上年同期数" mulRef="_GBC_57faea4e453e49ad93821b7dd6ce8bc4" unitRef="_GBC_cef77704267643d794145c73763360e5" addr="T1R21C9S1_1" formatStyle="Comma">
          <m:complexRule comparator="Eq" title="所有者权益内部结转导致盈余公积变动金额@上年同期数" test="$_GBC_ebef1b6d3bcd4ebc8ccafb6a90c8f3ed+$_GBC_4fd253aa392843bebc34fc4e1d2db0a7+$_GBC_dc67aa2fc0934ef2815745af61082151+$_GBC_8aed8e1c89094099b5799a9187acd918+$_GBC_2e5e1fa5d5154e2bb58a71a13e2d924a+$_GBC_b36f662d63064d78a6a7204abf4ddbef" id="C54f018306e9e401f96ceaaaef4347046"/>
        </m:item>
        <m:item xlName="_GBC_dfb42f2cfbb24873a0bfcf16281ed0db" concept="clcid-pte:SuoYouZheQuanYiNeiBuJieZhuanDaoZhiYiBanFengXianZhunBeiBianDongJinE" label="所有者权益内部结转导致一般风险准备变动金额" periodRef="上年同期数" mulRef="_GBC_57faea4e453e49ad93821b7dd6ce8bc4" unitRef="_GBC_cef77704267643d794145c73763360e5" addr="T1R21C10S1_1" formatStyle="Comma">
          <m:complexRule comparator="Eq" title="所有者权益内部结转导致一般风险准备变动金额@上年同期数" test="$_GBC_d472b085a9784616ab6db2c2a8c88d9e+$_GBC_1af28c6b5a8e4a0cb0185bf95c848354+$_GBC_c702307c02bc4959bc84c6c6a7be22fc+$_GBC_816547e82f2e49a18d5031af465b73e9+$_GBC_1d239374c1cb4eaea35c50211a138ef3+$_GBC_208b6540442340de9e598ea7c0db0cee" id="Cb4c2770528f844808b3c97e9535d6458"/>
        </m:item>
        <m:item xlName="_GBC_ff8d4bcf07cf45b39cc669b82cad2f0d" concept="clcid-pte:SuoYouZheQuanYiNeiBuJieZhuanDaoZhiWeiFenPeiLiRunBianDongJinE" label="所有者权益内部结转导致未分配利润变动金额" periodRef="上年同期数" mulRef="_GBC_57faea4e453e49ad93821b7dd6ce8bc4" unitRef="_GBC_cef77704267643d794145c73763360e5" addr="T1R21C11S1_1" formatStyle="Comma">
          <m:complexRule comparator="Eq" title="所有者权益内部结转导致未分配利润变动金额@上年同期数" test="$_GBC_8e59015789774dd8a0d2b1ac6d65626e+$_GBC_ff2a5de4adba48a3bccffedeae19ab3f+$_GBC_32d95abc6f08486e9e0bb456d0f8556d+$_GBC_c816a46c7dc644ca98e040983fd16b9f+$_GBC_3e16df2a75614cf986f2bce2df5d9c14+$_GBC_fdf5dd7181d94849a5c3dbc073fe8696" id="C2972d4a91d5743ed851885e03bb78cb4"/>
        </m:item>
        <m:item xlName="_GBC_0d008b73933a467cbd8659c4f5bd8043" concept="clcid-pte:SuoYouZheQuanYiNeiBuJieZhuanDaoZhiQiTaDeGuiShuYuMuGongSiSuoYouZheQuanYiBianDongJinE" label="所有者权益内部结转导致其他的归属于母公司所有者权益变动金额" periodRef="上年同期数" mulRef="_GBC_57faea4e453e49ad93821b7dd6ce8bc4" unitRef="_GBC_cef77704267643d794145c73763360e5" addr="T1R21C12S1_1" formatStyle="Comma">
          <m:complexRule comparator="Eq" title="所有者权益内部结转导致其他的归属于母公司所有者权益变动金额@上年同期数" test="$_GBC_5e7b85fb01a8406b86df38a4233c8bf2+$_GBC_a29704f05df34e399f22f02305a3faff+$_GBC_794fd6cb546147c29222352e60f6a203+$_GBC_d0ba753231234813afb70cb8bbd7b7aa+$_GBC_29833085531b48f6a8771c35248c4faa+$_GBC_22c14178dbee40739a16b3406551c24b" id="Cb2b24c6f5d0b452f82cb711f6a28dc27"/>
        </m:item>
        <m:item xlName="_GBC_e71b72f9ef7d428a8dea9bcc77266085" concept="clcid-pte:SuoYouZheQuanYiNeiBuJieZhuanDaoZhiGuiShuYuMuGongSiSuoYouZheQuanYiBianDongJinE" label="所有者权益内部结转导致归属于母公司所有者权益变动金额" periodRef="上年同期数" mulRef="_GBC_57faea4e453e49ad93821b7dd6ce8bc4" unitRef="_GBC_cef77704267643d794145c73763360e5" addr="T1R21C13S1_1" formatStyle="Comma">
          <m:complexRule comparator="Eq" title="所有者权益内部结转导致归属于母公司所有者权益变动金额@上年同期数" test="$_GBC_a85b8ca137c546fe83d2702829a4a7dd+$_GBC_8d297b1c99a1477783760352c6e3262a+$_GBC_4d36b52c9826459dbfb2625d5d5f2102+$_GBC_ece7cc83c32f4aedbfbe05f68d9f8d33+$_GBC_942ac6651806465a852248c40fcc1d8b+$_GBC_458ba861a17b43ae939896906d5cce46" id="C6763e1279ffd474d9f01ce5ff9da00e5"/>
        </m:item>
        <m:item xlName="_GBC_ef98f3a8249e4a3897bb7f985d3f116f" concept="clcid-pte:SuoYouZheQuanYiNeiBuJieZhuanDaoZhiShaoShuGuDongQuanYiBianDongJinE" label="所有者权益内部结转导致少数股东权益变动金额" periodRef="上年同期数" mulRef="_GBC_57faea4e453e49ad93821b7dd6ce8bc4" unitRef="_GBC_cef77704267643d794145c73763360e5" addr="T1R21C14S1_1" formatStyle="Comma">
          <m:complexRule comparator="Eq" title="所有者权益内部结转导致少数股东权益变动金额@上年同期数" test="$_GBC_2c9ca9a6ea5744e8ba1a450fd22ce3e5+$_GBC_77b7c8d5762f43d7938ad4955d9ddc10+$_GBC_dd0e8b9a001e4f34a3e379c5614f782d+$_GBC_5e1a1dee8dc244008ae9bee11f27f7f1+$_GBC_0f6ffeb5377846099c76150ac426c2d6+$_GBC_309577731f3d400aa2a509e0fc061450" id="C090b974de3ec4f29989b55777c417a81"/>
        </m:item>
        <m:item xlName="_GBC_947043cecdef4ed68860f917d334d9da" concept="clcid-pte:SuoYouZheQuanYiNeiBuJieZhuanDaoZhiGuDongQuanYiHeJiBianDongJinE" label="所有者权益内部结转导致股东权益合计变动金额" periodRef="上年同期数" mulRef="_GBC_57faea4e453e49ad93821b7dd6ce8bc4" unitRef="_GBC_cef77704267643d794145c73763360e5" addr="T1R21C15S1_1" formatStyle="Comma">
          <m:complexRule comparator="Eq" title="所有者权益内部结转导致股东权益合计变动金额@上年同期数" test="$_GBC_e1d655f11a904ba186d3514897b4d61e+$_GBC_7f576144fca7409795c4b5e197352233+$_GBC_a505feb07267402fae4a5ff9725e32df+$_GBC_8caecef7cd2542e983587ff2e36acb73+$_GBC_3c77ebf54d7748cbbe3f15c96f110b0d+$_GBC_42b76103de594df2b912400e6d7b145d" id="C2bdf0e2885034c73b147453dd4514a19"/>
        </m:item>
        <m:placeholder xlName="_PLD_469a000ac571436189f1cb682bbe4ce7" wordText="1．资本公积转增资本（或股本）" addr="T1R22C0S1_1"/>
        <m:item xlName="_GBC_bf04be8498d547e59a1185e2d46aa05b" concept="clcid-pte:ZiBenGongJiZhuanZengZiBenHuoGuBenDaoZhiShiShouZiBenHuoGuBenJingEBianDongJinE" label="资本公积转增资本（或股本）导致实收资本（或股本）净额变动金额" periodRef="上年同期数" mulRef="_GBC_57faea4e453e49ad93821b7dd6ce8bc4" unitRef="_GBC_cef77704267643d794145c73763360e5" addr="T1R22C1S1_1" formatStyle="Comma"/>
        <m:item xlName="_GBC_9199b321dc514bc28c56e9040e3defb1" concept="clcid-pte:ZiBenGongJiZhuanZengZiBenHuoGuBenDaoZhiQiTaQuanYiGongJuZhongDeYouXianGuBianDongJinE" label="资本公积转增资本（或股本）导致其他权益工具中的优先股变动金额" periodRef="上年同期数" mulRef="_GBC_57faea4e453e49ad93821b7dd6ce8bc4" unitRef="_GBC_cef77704267643d794145c73763360e5" addr="T1R22C2S1_1" formatStyle="Comma"/>
        <m:item xlName="_GBC_d733da77ac52492db3fbc7946a7ee42b" concept="clcid-pte:ZiBenGongJiZhuanZengZiBenHuoGuBenDaoZhiQiTaQuanYiGongJuZhongDeYongXuZhaiBianDongJinE" label="资本公积转增资本（或股本）导致其他权益工具中的永续债变动金额" periodRef="上年同期数" mulRef="_GBC_57faea4e453e49ad93821b7dd6ce8bc4" unitRef="_GBC_cef77704267643d794145c73763360e5" addr="T1R22C3S1_1" formatStyle="Comma"/>
        <m:item xlName="_GBC_acc561dd655c4989bbae811acd4952c0" concept="clcid-pte:ZiBenGongJiZhuanZengZiBenHuoGuBenDaoZhiQiTaQuanYiGongJuZhongDeQiTaBianDongJinE" label="资本公积转增资本（或股本）导致其他权益工具中的其他变动金额" periodRef="上年同期数" mulRef="_GBC_57faea4e453e49ad93821b7dd6ce8bc4" unitRef="_GBC_cef77704267643d794145c73763360e5" addr="T1R22C4S1_1" formatStyle="Comma"/>
        <m:item xlName="_GBC_ccbb29ef9a2047999b720f1e0b4e1d0d" concept="clcid-pte:ZiBenGongJiZhuanZengZiBenHuoGuBenDaoZhiZiBenGongJiBianDongJinE" label="资本公积转增资本（或股本）导致资本公积变动金额" periodRef="上年同期数" mulRef="_GBC_57faea4e453e49ad93821b7dd6ce8bc4" unitRef="_GBC_cef77704267643d794145c73763360e5" addr="T1R22C5S1_1" formatStyle="Comma"/>
        <m:item xlName="_GBC_f93caa586f7d415cabd5832002827c52" concept="clcid-pte:ZiBenGongJiZhuanZengZiBenHuoGuBenDaoZhiKuCunGuBianDongJinE" label="资本公积转增资本（或股本）导致库存股变动金额" periodRef="上年同期数" mulRef="_GBC_57faea4e453e49ad93821b7dd6ce8bc4" unitRef="_GBC_cef77704267643d794145c73763360e5" addr="T1R22C6S1_1" baseScale="-1" formatStyle="Comma"/>
        <m:item xlName="_GBC_afb7341c1ff649e6a368bce327a2b4fd" concept="clcid-pte:ZiBenGongJiZhuanZengZiBenHuoGuBenDaoZhiQiTaZongHeShouYiBianDongJinE" label="资本公积转增资本（或股本）导致其他综合收益变动金额" periodRef="上年同期数" mulRef="_GBC_57faea4e453e49ad93821b7dd6ce8bc4" unitRef="_GBC_cef77704267643d794145c73763360e5" addr="T1R22C7S1_1" formatStyle="Comma"/>
        <m:item xlName="_GBC_accaf0d24bb64e8a9bd8c02e0dac0fb0" concept="clcid-pte:ZiBenGongJiZhuanZengZiBenHuoGuBenDaoZhiZhuanXiangChuBeiBianDongJinE" label="资本公积转增资本（或股本）导致专项储备变动金额" periodRef="上年同期数" mulRef="_GBC_57faea4e453e49ad93821b7dd6ce8bc4" unitRef="_GBC_cef77704267643d794145c73763360e5" addr="T1R22C8S1_1" formatStyle="Comma"/>
        <m:item xlName="_GBC_ebef1b6d3bcd4ebc8ccafb6a90c8f3ed" concept="clcid-pte:ZiBenGongJiZhuanZengZiBenHuoGuBenDaoZhiYingYuGongJiBianDongJinE" label="资本公积转增资本（或股本）导致盈余公积变动金额" periodRef="上年同期数" mulRef="_GBC_57faea4e453e49ad93821b7dd6ce8bc4" unitRef="_GBC_cef77704267643d794145c73763360e5" addr="T1R22C9S1_1" formatStyle="Comma"/>
        <m:item xlName="_GBC_d472b085a9784616ab6db2c2a8c88d9e" concept="clcid-pte:ZiBenGongJiZhuanZengZiBenHuoGuBenDaoZhiYiBanFengXianZhunBeiBianDongJinE" label="资本公积转增资本（或股本）导致一般风险准备变动金额" periodRef="上年同期数" mulRef="_GBC_57faea4e453e49ad93821b7dd6ce8bc4" unitRef="_GBC_cef77704267643d794145c73763360e5" addr="T1R22C10S1_1" formatStyle="Comma"/>
        <m:item xlName="_GBC_8e59015789774dd8a0d2b1ac6d65626e" concept="clcid-pte:ZiBenGongJiZhuanZengZiBenHuoGuBenDaoZhiWeiFenPeiLiRunBianDongJinE" label="资本公积转增资本（或股本）导致未分配利润变动金额" periodRef="上年同期数" mulRef="_GBC_57faea4e453e49ad93821b7dd6ce8bc4" unitRef="_GBC_cef77704267643d794145c73763360e5" addr="T1R22C11S1_1" formatStyle="Comma"/>
        <m:item xlName="_GBC_5e7b85fb01a8406b86df38a4233c8bf2" concept="clcid-pte:ZiBenGongJiZhuanZengZiBenHuoGuBenDaoZhiQiTaDeGuiShuYuMuGongSiSuoYouZheQuanYiBianDongJinE" label="资本公积转增资本（或股本）导致其他的归属于母公司所有者权益变动金额" periodRef="上年同期数" mulRef="_GBC_57faea4e453e49ad93821b7dd6ce8bc4" unitRef="_GBC_cef77704267643d794145c73763360e5" addr="T1R22C12S1_1" formatStyle="Comma"/>
        <m:item xlName="_GBC_a85b8ca137c546fe83d2702829a4a7dd" concept="clcid-pte:ZiBenGongJiZhuanZengZiBenHuoGuBenDaoZhiGuiShuYuMuGongSiSuoYouZheQuanYiBianDongJinE" label="资本公积转增资本（或股本）导致归属于母公司所有者权益变动金额" periodRef="上年同期数" mulRef="_GBC_57faea4e453e49ad93821b7dd6ce8bc4" unitRef="_GBC_cef77704267643d794145c73763360e5" addr="T1R22C13S1_1" formatStyle="Comma"/>
        <m:item xlName="_GBC_2c9ca9a6ea5744e8ba1a450fd22ce3e5" concept="clcid-pte:ZiBenGongJiZhuanZengZiBenHuoGuBenDaoZhiShaoShuGuDongQuanYiBianDongJinE" label="资本公积转增资本（或股本）导致少数股东权益变动金额" periodRef="上年同期数" mulRef="_GBC_57faea4e453e49ad93821b7dd6ce8bc4" unitRef="_GBC_cef77704267643d794145c73763360e5" addr="T1R22C14S1_1" formatStyle="Comma"/>
        <m:item xlName="_GBC_e1d655f11a904ba186d3514897b4d61e" concept="clcid-pte:ZiBenGongJiZhuanZengZiBenHuoGuBenDaoZhiGuDongQuanYiHeJiBianDongJinE" label="资本公积转增资本（或股本）导致股东权益合计变动金额" periodRef="上年同期数" mulRef="_GBC_57faea4e453e49ad93821b7dd6ce8bc4" unitRef="_GBC_cef77704267643d794145c73763360e5" addr="T1R22C15S1_1" formatStyle="Comma"/>
        <m:placeholder xlName="_PLD_8874e17dc09c419baab53299f7967f44" wordText="2．盈余公积转增资本（或股本）" addr="T1R23C0S1_1"/>
        <m:item xlName="_GBC_eb63993f80ff4579a864af9645d114a0" concept="clcid-pte:YingYuGongJiZhuanZengZiBenHuoGuBenDaoZhiShiShouZiBenHuoGuBenJingEBianDongJinE" label="盈余公积转增资本（或股本）导致实收资本（或股本）净额变动金额" periodRef="上年同期数" mulRef="_GBC_57faea4e453e49ad93821b7dd6ce8bc4" unitRef="_GBC_cef77704267643d794145c73763360e5" addr="T1R23C1S1_1" formatStyle="Comma"/>
        <m:item xlName="_GBC_4136aa32eb084f848c77279e3ede1c1b" concept="clcid-pte:YingYuGongJiZhuanZengZiBenHuoGuBenDaoZhiQiTaQuanYiGongJuZhongDeYouXianGuBianDongJinE" label="盈余公积转增资本（或股本）导致其他权益工具中的优先股变动金额" periodRef="上年同期数" mulRef="_GBC_57faea4e453e49ad93821b7dd6ce8bc4" unitRef="_GBC_cef77704267643d794145c73763360e5" addr="T1R23C2S1_1" formatStyle="Comma"/>
        <m:item xlName="_GBC_1344334d12ae457e9728a551f139d9d1" concept="clcid-pte:YingYuGongJiZhuanZengZiBenHuoGuBenDaoZhiQiTaQuanYiGongJuZhongDeYongXuZhaiBianDongJinE" label="盈余公积转增资本（或股本）导致其他权益工具中的永续债变动金额" periodRef="上年同期数" mulRef="_GBC_57faea4e453e49ad93821b7dd6ce8bc4" unitRef="_GBC_cef77704267643d794145c73763360e5" addr="T1R23C3S1_1" formatStyle="Comma"/>
        <m:item xlName="_GBC_91ba1fe97fa54df9848eb466833b14bd" concept="clcid-pte:YingYuGongJiZhuanZengZiBenHuoGuBenDaoZhiQiTaQuanYiGongJuZhongDeQiTaBianDongJinE" label="盈余公积转增资本（或股本）导致其他权益工具中的其他变动金额" periodRef="上年同期数" mulRef="_GBC_57faea4e453e49ad93821b7dd6ce8bc4" unitRef="_GBC_cef77704267643d794145c73763360e5" addr="T1R23C4S1_1" formatStyle="Comma"/>
        <m:item xlName="_GBC_afc890304eca464f8689b95d06afcd77" concept="clcid-pte:YingYuGongJiZhuanZengZiBenHuoGuBenDaoZhiZiBenGongJiBianDongJinE" label="盈余公积转增资本（或股本）导致资本公积变动金额" periodRef="上年同期数" mulRef="_GBC_57faea4e453e49ad93821b7dd6ce8bc4" unitRef="_GBC_cef77704267643d794145c73763360e5" addr="T1R23C5S1_1" formatStyle="Comma"/>
        <m:item xlName="_GBC_9e3b43f0c0c743db847fb5e22e5b15fb" concept="clcid-pte:YingYuGongJiZhuanZengZiBenHuoGuBenDaoZhiKuCunGuBianDongJinE" label="盈余公积转增资本（或股本）导致库存股变动金额" periodRef="上年同期数" mulRef="_GBC_57faea4e453e49ad93821b7dd6ce8bc4" unitRef="_GBC_cef77704267643d794145c73763360e5" addr="T1R23C6S1_1" baseScale="-1" formatStyle="Comma"/>
        <m:item xlName="_GBC_5c5b36f278b94cdea9411aaf4e97ec32" concept="clcid-pte:YingYuGongJiZhuanZengZiBenHuoGuBenDaoZhiQiTaZongHeShouYiBianDongJinE" label="盈余公积转增资本（或股本）导致其他综合收益变动金额" periodRef="上年同期数" mulRef="_GBC_57faea4e453e49ad93821b7dd6ce8bc4" unitRef="_GBC_cef77704267643d794145c73763360e5" addr="T1R23C7S1_1" formatStyle="Comma"/>
        <m:item xlName="_GBC_93b68f30dad94f13b973ef2ce2786f5f" concept="clcid-pte:YingYuGongJiZhuanZengZiBenHuoGuBenDaoZhiZhuanXiangChuBeiBianDongJinE" label="盈余公积转增资本（或股本）导致专项储备变动金额" periodRef="上年同期数" mulRef="_GBC_57faea4e453e49ad93821b7dd6ce8bc4" unitRef="_GBC_cef77704267643d794145c73763360e5" addr="T1R23C8S1_1" formatStyle="Comma"/>
        <m:item xlName="_GBC_4fd253aa392843bebc34fc4e1d2db0a7" concept="clcid-pte:YingYuGongJiZhuanZengZiBenHuoGuBenDaoZhiYingYuGongJiBianDongJinE" label="盈余公积转增资本（或股本）导致盈余公积变动金额" periodRef="上年同期数" mulRef="_GBC_57faea4e453e49ad93821b7dd6ce8bc4" unitRef="_GBC_cef77704267643d794145c73763360e5" addr="T1R23C9S1_1" formatStyle="Comma"/>
        <m:item xlName="_GBC_1af28c6b5a8e4a0cb0185bf95c848354" concept="clcid-pte:YingYuGongJiZhuanZengZiBenHuoGuBenDaoZhiYiBanFengXianZhunBeiBianDongJinE" label="盈余公积转增资本（或股本）导致一般风险准备变动金额" periodRef="上年同期数" mulRef="_GBC_57faea4e453e49ad93821b7dd6ce8bc4" unitRef="_GBC_cef77704267643d794145c73763360e5" addr="T1R23C10S1_1" formatStyle="Comma"/>
        <m:item xlName="_GBC_ff2a5de4adba48a3bccffedeae19ab3f" concept="clcid-pte:YingYuGongJiZhuanZengZiBenHuoGuBenDaoZhiWeiFenPeiLiRunBianDongJinE" label="盈余公积转增资本（或股本）导致未分配利润变动金额" periodRef="上年同期数" mulRef="_GBC_57faea4e453e49ad93821b7dd6ce8bc4" unitRef="_GBC_cef77704267643d794145c73763360e5" addr="T1R23C11S1_1" formatStyle="Comma"/>
        <m:item xlName="_GBC_a29704f05df34e399f22f02305a3faff" concept="clcid-pte:YingYuGongJiZhuanZengZiBenHuoGuBenDaoZhiQiTaDeGuiShuYuMuGongSiSuoYouZheQuanYiBianDongJinE" label="盈余公积转增资本（或股本）导致其他的归属于母公司所有者权益变动金额" periodRef="上年同期数" mulRef="_GBC_57faea4e453e49ad93821b7dd6ce8bc4" unitRef="_GBC_cef77704267643d794145c73763360e5" addr="T1R23C12S1_1" formatStyle="Comma"/>
        <m:item xlName="_GBC_8d297b1c99a1477783760352c6e3262a" concept="clcid-pte:YingYuGongJiZhuanZengZiBenHuoGuBenDaoZhiGuiShuYuMuGongSiSuoYouZheQuanYiBianDongJinE" label="盈余公积转增资本（或股本）导致归属于母公司所有者权益变动金额" periodRef="上年同期数" mulRef="_GBC_57faea4e453e49ad93821b7dd6ce8bc4" unitRef="_GBC_cef77704267643d794145c73763360e5" addr="T1R23C13S1_1" formatStyle="Comma"/>
        <m:item xlName="_GBC_77b7c8d5762f43d7938ad4955d9ddc10" concept="clcid-pte:YingYuGongJiZhuanZengZiBenHuoGuBenDaoZhiShaoShuGuDongQuanYiBianDongJinE" label="盈余公积转增资本（或股本）导致少数股东权益变动金额" periodRef="上年同期数" mulRef="_GBC_57faea4e453e49ad93821b7dd6ce8bc4" unitRef="_GBC_cef77704267643d794145c73763360e5" addr="T1R23C14S1_1" formatStyle="Comma"/>
        <m:item xlName="_GBC_7f576144fca7409795c4b5e197352233" concept="clcid-pte:YingYuGongJiZhuanZengZiBenHuoGuBenDaoZhiGuDongQuanYiHeJiBianDongJinE" label="盈余公积转增资本（或股本）导致股东权益合计变动金额" periodRef="上年同期数" mulRef="_GBC_57faea4e453e49ad93821b7dd6ce8bc4" unitRef="_GBC_cef77704267643d794145c73763360e5" addr="T1R23C15S1_1" formatStyle="Comma"/>
        <m:placeholder xlName="_PLD_e3c6e2e078f649258bfa4dadb9266249" wordText="3．盈余公积弥补亏损" addr="T1R24C0S1_1"/>
        <m:item xlName="_GBC_d26d092affbd43a0b1c90581e7769e6c" concept="clcid-pte:YingYuGongJiMiBuKuiSunDaoZhiShiShouZiBenHuoGuBenJingEBianDongJinE" label="盈余公积弥补亏损导致实收资本（或股本）净额变动金额" periodRef="上年同期数" mulRef="_GBC_57faea4e453e49ad93821b7dd6ce8bc4" unitRef="_GBC_cef77704267643d794145c73763360e5" addr="T1R24C1S1_1" formatStyle="Comma"/>
        <m:item xlName="_GBC_90b3b1714451496ea7e7ee0d61b848ca" concept="clcid-pte:YingYuGongJiMiBuKuiSunDaoZhiQiTaQuanYiGongJuZhongDeYouXianGuBianDongJinE" label="盈余公积弥补亏损导致其他权益工具中的优先股变动金额" periodRef="上年同期数" mulRef="_GBC_57faea4e453e49ad93821b7dd6ce8bc4" unitRef="_GBC_cef77704267643d794145c73763360e5" addr="T1R24C2S1_1" formatStyle="Comma"/>
        <m:item xlName="_GBC_87799245699145b8bafec2718280bb27" concept="clcid-pte:YingYuGongJiMiBuKuiSunDaoZhiQiTaQuanYiGongJuZhongDeYongXuZhaiBianDongJinE" label="盈余公积弥补亏损导致其他权益工具中的永续债变动金额" periodRef="上年同期数" mulRef="_GBC_57faea4e453e49ad93821b7dd6ce8bc4" unitRef="_GBC_cef77704267643d794145c73763360e5" addr="T1R24C3S1_1" formatStyle="Comma"/>
        <m:item xlName="_GBC_eaa55c1173454b8cada43f367c0e0082" concept="clcid-pte:YingYuGongJiMiBuKuiSunDaoZhiQiTaQuanYiGongJuZhongDeQiTaBianDongJinE" label="盈余公积弥补亏损导致其他权益工具中的其他变动金额" periodRef="上年同期数" mulRef="_GBC_57faea4e453e49ad93821b7dd6ce8bc4" unitRef="_GBC_cef77704267643d794145c73763360e5" addr="T1R24C4S1_1" formatStyle="Comma"/>
        <m:item xlName="_GBC_225b260231434c3d87cbfbd727351fde" concept="clcid-pte:YingYuGongJiMiBuKuiSunDaoZhiZiBenGongJiBianDongJinE" label="盈余公积弥补亏损导致资本公积变动金额" periodRef="上年同期数" mulRef="_GBC_57faea4e453e49ad93821b7dd6ce8bc4" unitRef="_GBC_cef77704267643d794145c73763360e5" addr="T1R24C5S1_1" formatStyle="Comma"/>
        <m:item xlName="_GBC_2e36b5bf4f79489b8fc8e7f59c68ffd1" concept="clcid-pte:YingYuGongJiMiBuKuiSunDaoZhiKuCunGuBianDongJinE" label="盈余公积弥补亏损导致库存股变动金额" periodRef="上年同期数" mulRef="_GBC_57faea4e453e49ad93821b7dd6ce8bc4" unitRef="_GBC_cef77704267643d794145c73763360e5" addr="T1R24C6S1_1" baseScale="-1" formatStyle="Comma"/>
        <m:item xlName="_GBC_85576da5466645b2bbb0ab07ee457c13" concept="clcid-pte:YingYuGongJiMiBuKuiSunDaoZhiQiTaZongHeShouYiBianDongJinE" label="盈余公积弥补亏损导致其他综合收益变动金额" periodRef="上年同期数" mulRef="_GBC_57faea4e453e49ad93821b7dd6ce8bc4" unitRef="_GBC_cef77704267643d794145c73763360e5" addr="T1R24C7S1_1" formatStyle="Comma"/>
        <m:item xlName="_GBC_4ab7b429222d4c1d8954867ab8bb7e0a" concept="clcid-pte:YingYuGongJiMiBuKuiSunDaoZhiZhuanXiangChuBeiBianDongJinE" label="盈余公积弥补亏损导致专项储备变动金额" periodRef="上年同期数" mulRef="_GBC_57faea4e453e49ad93821b7dd6ce8bc4" unitRef="_GBC_cef77704267643d794145c73763360e5" addr="T1R24C8S1_1" formatStyle="Comma"/>
        <m:item xlName="_GBC_dc67aa2fc0934ef2815745af61082151" concept="clcid-pte:YingYuGongJiMiBuKuiSunDaoZhiYingYuGongJiBianDongJinE" label="盈余公积弥补亏损导致盈余公积变动金额" periodRef="上年同期数" mulRef="_GBC_57faea4e453e49ad93821b7dd6ce8bc4" unitRef="_GBC_cef77704267643d794145c73763360e5" addr="T1R24C9S1_1" formatStyle="Comma"/>
        <m:item xlName="_GBC_c702307c02bc4959bc84c6c6a7be22fc" concept="clcid-pte:YingYuGongJiMiBuKuiSunDaoZhiYiBanFengXianZhunBeiBianDongJinE" label="盈余公积弥补亏损导致一般风险准备变动金额" periodRef="上年同期数" mulRef="_GBC_57faea4e453e49ad93821b7dd6ce8bc4" unitRef="_GBC_cef77704267643d794145c73763360e5" addr="T1R24C10S1_1" formatStyle="Comma"/>
        <m:item xlName="_GBC_32d95abc6f08486e9e0bb456d0f8556d" concept="clcid-pte:YingYuGongJiMiBuKuiSunDaoZhiWeiFenPeiLiRunBianDongJinE" label="盈余公积弥补亏损导致未分配利润变动金额" periodRef="上年同期数" mulRef="_GBC_57faea4e453e49ad93821b7dd6ce8bc4" unitRef="_GBC_cef77704267643d794145c73763360e5" addr="T1R24C11S1_1" formatStyle="Comma"/>
        <m:item xlName="_GBC_794fd6cb546147c29222352e60f6a203" concept="clcid-pte:YingYuGongJiMiBuKuiSunDaoZhiQiTaDeGuiShuYuMuGongSiSuoYouZheQuanYiBianDongJinE" label="盈余公积弥补亏损导致其他的归属于母公司所有者权益变动金额" periodRef="上年同期数" mulRef="_GBC_57faea4e453e49ad93821b7dd6ce8bc4" unitRef="_GBC_cef77704267643d794145c73763360e5" addr="T1R24C12S1_1" formatStyle="Comma"/>
        <m:item xlName="_GBC_4d36b52c9826459dbfb2625d5d5f2102" concept="clcid-pte:YingYuGongJiMiBuKuiSunDaoZhiGuiShuYuMuGongSiSuoYouZheQuanYiBianDongJinE" label="盈余公积弥补亏损导致归属于母公司所有者权益变动金额" periodRef="上年同期数" mulRef="_GBC_57faea4e453e49ad93821b7dd6ce8bc4" unitRef="_GBC_cef77704267643d794145c73763360e5" addr="T1R24C13S1_1" formatStyle="Comma"/>
        <m:item xlName="_GBC_dd0e8b9a001e4f34a3e379c5614f782d" concept="clcid-pte:YingYuGongJiMiBuKuiSunDaoZhiShaoShuGuDongQuanYiBianDongJinE" label="盈余公积弥补亏损导致少数股东权益变动金额" periodRef="上年同期数" mulRef="_GBC_57faea4e453e49ad93821b7dd6ce8bc4" unitRef="_GBC_cef77704267643d794145c73763360e5" addr="T1R24C14S1_1" formatStyle="Comma"/>
        <m:item xlName="_GBC_a505feb07267402fae4a5ff9725e32df" concept="clcid-pte:YingYuGongJiMiBuKuiSunDaoZhiGuDongQuanYiHeJiBianDongJinE" label="盈余公积弥补亏损导致股东权益合计变动金额" periodRef="上年同期数" mulRef="_GBC_57faea4e453e49ad93821b7dd6ce8bc4" unitRef="_GBC_cef77704267643d794145c73763360e5" addr="T1R24C15S1_1" formatStyle="Comma"/>
        <m:placeholder xlName="_PLD_7a03b853b8c74c2fb2e89f59e327b578" wordText="4．设定受益计划变动额结转留存收益" addr="T1R25C0S1_1"/>
        <m:item xlName="_GBC_0f4b3618500946cc83ef37cd55d83d7e" concept="clcid-pte:SheDingShouYiJiHuaBianDongEJieZhuanLiuCunShouYiDaoZhiShiShouZiBenHuoGuBenJingEBianDongJinE" label="设定受益计划变动额结转留存收益导致实收资本（或股本）净额变动金额" periodRef="上年同期数" mulRef="_GBC_57faea4e453e49ad93821b7dd6ce8bc4" unitRef="_GBC_cef77704267643d794145c73763360e5" addr="T1R25C1S1_1" formatStyle="Comma"/>
        <m:item xlName="_GBC_2bb3f22e821449d696dffc7e6dd24dd1" concept="clcid-pte:SheDingShouYiJiHuaBianDongEJieZhuanLiuCunShouYiDaoZhiQiTaQuanYiGongJuZhongDeYouXianGuBianDongJinE" label="设定受益计划变动额结转留存收益导致其他权益工具中的优先股变动金额" periodRef="上年同期数" mulRef="_GBC_57faea4e453e49ad93821b7dd6ce8bc4" unitRef="_GBC_cef77704267643d794145c73763360e5" addr="T1R25C2S1_1" formatStyle="Comma"/>
        <m:item xlName="_GBC_053126ae18604890ab9e3e5b96ffbbe4" concept="clcid-pte:SheDingShouYiJiHuaBianDongEJieZhuanLiuCunShouYiDaoZhiQiTaQuanYiGongJuZhongDeYongXuZhaiBianDongJinE" label="设定受益计划变动额结转留存收益导致其他权益工具中的永续债变动金额" periodRef="上年同期数" mulRef="_GBC_57faea4e453e49ad93821b7dd6ce8bc4" unitRef="_GBC_cef77704267643d794145c73763360e5" addr="T1R25C3S1_1" formatStyle="Comma"/>
        <m:item xlName="_GBC_6d88dad9a78a4048a1ac19fe21e8bfe7" concept="clcid-pte:SheDingShouYiJiHuaBianDongEJieZhuanLiuCunShouYiDaoZhiQiTaQuanYiGongJuZhongDeQiTaBianDongJinE" label="设定受益计划变动额结转留存收益导致其他权益工具中的其他变动金额" periodRef="上年同期数" mulRef="_GBC_57faea4e453e49ad93821b7dd6ce8bc4" unitRef="_GBC_cef77704267643d794145c73763360e5" addr="T1R25C4S1_1" formatStyle="Comma"/>
        <m:item xlName="_GBC_98ea0a4011be495492820c1cbcc97b9b" concept="clcid-pte:SheDingShouYiJiHuaBianDongEJieZhuanLiuCunShouYiDaoZhiZiBenGongJiBianDongJinE" label="设定受益计划变动额结转留存收益导致资本公积变动金额" periodRef="上年同期数" mulRef="_GBC_57faea4e453e49ad93821b7dd6ce8bc4" unitRef="_GBC_cef77704267643d794145c73763360e5" addr="T1R25C5S1_1" formatStyle="Comma"/>
        <m:item xlName="_GBC_3eaf854c7f474c3fa18ab8734b869f23" concept="clcid-pte:SheDingShouYiJiHuaBianDongEJieZhuanLiuCunShouYiDaoZhiKuCunGuBianDongJinE" label="设定受益计划变动额结转留存收益导致库存股变动金额" periodRef="上年同期数" mulRef="_GBC_57faea4e453e49ad93821b7dd6ce8bc4" unitRef="_GBC_cef77704267643d794145c73763360e5" addr="T1R25C6S1_1" baseScale="-1" formatStyle="Comma"/>
        <m:item xlName="_GBC_d9a1c5a86b2a491daf8174d342854d75" concept="clcid-pte:SheDingShouYiJiHuaBianDongEJieZhuanLiuCunShouYiDaoZhiQiTaZongHeShouYiBianDongJinE" label="设定受益计划变动额结转留存收益导致其他综合收益变动金额" periodRef="上年同期数" mulRef="_GBC_57faea4e453e49ad93821b7dd6ce8bc4" unitRef="_GBC_cef77704267643d794145c73763360e5" addr="T1R25C7S1_1" formatStyle="Comma"/>
        <m:item xlName="_GBC_7590db42daeb416eb5d0cd0b63bb38bc" concept="clcid-pte:SheDingShouYiJiHuaBianDongEJieZhuanLiuCunShouYiDaoZhiZhuanXiangChuBeiBianDongJinE" label="设定受益计划变动额结转留存收益导致专项储备变动金额" periodRef="上年同期数" mulRef="_GBC_57faea4e453e49ad93821b7dd6ce8bc4" unitRef="_GBC_cef77704267643d794145c73763360e5" addr="T1R25C8S1_1" formatStyle="Comma"/>
        <m:item xlName="_GBC_8aed8e1c89094099b5799a9187acd918" concept="clcid-pte:SheDingShouYiJiHuaBianDongEJieZhuanLiuCunShouYiDaoZhiYingYuGongJiBianDongJinE" label="设定受益计划变动额结转留存收益导致盈余公积变动金额" periodRef="上年同期数" mulRef="_GBC_57faea4e453e49ad93821b7dd6ce8bc4" unitRef="_GBC_cef77704267643d794145c73763360e5" addr="T1R25C9S1_1" formatStyle="Comma"/>
        <m:item xlName="_GBC_816547e82f2e49a18d5031af465b73e9" concept="clcid-pte:SheDingShouYiJiHuaBianDongEJieZhuanLiuCunShouYiDaoZhiYiBanFengXianZhunBeiBianDongJinE" label="设定受益计划变动额结转留存收益导致一般风险准备变动金额" periodRef="上年同期数" mulRef="_GBC_57faea4e453e49ad93821b7dd6ce8bc4" unitRef="_GBC_cef77704267643d794145c73763360e5" addr="T1R25C10S1_1" formatStyle="Comma"/>
        <m:item xlName="_GBC_c816a46c7dc644ca98e040983fd16b9f" concept="clcid-pte:SheDingShouYiJiHuaBianDongEJieZhuanLiuCunShouYiDaoZhiWeiFenPeiLiRunBianDongJinE" label="设定受益计划变动额结转留存收益导致未分配利润变动金额" periodRef="上年同期数" mulRef="_GBC_57faea4e453e49ad93821b7dd6ce8bc4" unitRef="_GBC_cef77704267643d794145c73763360e5" addr="T1R25C11S1_1" formatStyle="Comma"/>
        <m:item xlName="_GBC_d0ba753231234813afb70cb8bbd7b7aa" concept="clcid-pte:SheDingShouYiJiHuaBianDongEJieZhuanLiuCunShouYiDaoZhiQiTaDeGuiShuYuMuGongSiSuoYouZheQuanYiBianDongJinE" label="设定受益计划变动额结转留存收益导致其他的归属于母公司所有者权益变动金额" periodRef="上年同期数" mulRef="_GBC_57faea4e453e49ad93821b7dd6ce8bc4" unitRef="_GBC_cef77704267643d794145c73763360e5" addr="T1R25C12S1_1" formatStyle="Comma"/>
        <m:item xlName="_GBC_ece7cc83c32f4aedbfbe05f68d9f8d33" concept="clcid-pte:SheDingShouYiJiHuaBianDongEJieZhuanLiuCunShouYiDaoZhiGuiShuYuMuGongSiSuoYouZheQuanYiBianDongJinE" label="设定受益计划变动额结转留存收益导致归属于母公司所有者权益变动金额" periodRef="上年同期数" mulRef="_GBC_57faea4e453e49ad93821b7dd6ce8bc4" unitRef="_GBC_cef77704267643d794145c73763360e5" addr="T1R25C13S1_1" formatStyle="Comma"/>
        <m:item xlName="_GBC_5e1a1dee8dc244008ae9bee11f27f7f1" concept="clcid-pte:SheDingShouYiJiHuaBianDongEJieZhuanLiuCunShouYiDaoZhiShaoShuGuDongQuanYiBianDongJinE" label="设定受益计划变动额结转留存收益导致少数股东权益变动金额" periodRef="上年同期数" mulRef="_GBC_57faea4e453e49ad93821b7dd6ce8bc4" unitRef="_GBC_cef77704267643d794145c73763360e5" addr="T1R25C14S1_1" formatStyle="Comma"/>
        <m:item xlName="_GBC_8caecef7cd2542e983587ff2e36acb73" concept="clcid-pte:SheDingShouYiJiHuaBianDongEJieZhuanLiuCunShouYiDaoZhiGuDongQuanYiHeJiBianDongJinE" label="设定受益计划变动额结转留存收益导致股东权益合计变动金额" periodRef="上年同期数" mulRef="_GBC_57faea4e453e49ad93821b7dd6ce8bc4" unitRef="_GBC_cef77704267643d794145c73763360e5" addr="T1R25C15S1_1" formatStyle="Comma"/>
        <m:placeholder xlName="_PLD_1db95d2c039e4fb6b41eae5a5c0aeb0a" wordText="5．其他综合收益结转留存收益" addr="T1R26C0S1_1"/>
        <m:item xlName="_GBC_937abba58d3541e995a07871c147d5e6" concept="clcid-pte:QiTaZongHeShouYiJieZhuanLiuCunShouYiDaoZhiShiShouZiBenHuoGuBenJingEBianDongJinE" label="其他综合收益结转留存收益导致实收资本（或股本）净额变动金额" periodRef="上年同期数" mulRef="_GBC_57faea4e453e49ad93821b7dd6ce8bc4" unitRef="_GBC_cef77704267643d794145c73763360e5" addr="T1R26C1S1_1" formatStyle="Comma"/>
        <m:item xlName="_GBC_970b72db13644cb0be5d37d6fd96a027" concept="clcid-pte:QiTaZongHeShouYiJieZhuanLiuCunShouYiDaoZhiQiTaQuanYiGongJuZhongDeYouXianGuBianDongJinE" label="其他综合收益结转留存收益导致其他权益工具中的优先股变动金额" periodRef="上年同期数" mulRef="_GBC_57faea4e453e49ad93821b7dd6ce8bc4" unitRef="_GBC_cef77704267643d794145c73763360e5" addr="T1R26C2S1_1" formatStyle="Comma"/>
        <m:item xlName="_GBC_fb6ee8ee92ae431eb9ef99ca2a40d6f7" concept="clcid-pte:QiTaZongHeShouYiJieZhuanLiuCunShouYiDaoZhiQiTaQuanYiGongJuZhongDeYongXuZhaiBianDongJinE" label="其他综合收益结转留存收益导致其他权益工具中的永续债变动金额" periodRef="上年同期数" mulRef="_GBC_57faea4e453e49ad93821b7dd6ce8bc4" unitRef="_GBC_cef77704267643d794145c73763360e5" addr="T1R26C3S1_1" formatStyle="Comma"/>
        <m:item xlName="_GBC_c3bbe967210a4717b41a0c6a96189ec6" concept="clcid-pte:QiTaZongHeShouYiJieZhuanLiuCunShouYiDaoZhiQiTaQuanYiGongJuZhongDeQiTaBianDongJinE" label="其他综合收益结转留存收益导致其他权益工具中的其他变动金额" periodRef="上年同期数" mulRef="_GBC_57faea4e453e49ad93821b7dd6ce8bc4" unitRef="_GBC_cef77704267643d794145c73763360e5" addr="T1R26C4S1_1" formatStyle="Comma"/>
        <m:item xlName="_GBC_385640e82d0242b88a0272f9c7cb923e" concept="clcid-pte:QiTaZongHeShouYiJieZhuanLiuCunShouYiDaoZhiZiBenGongJiBianDongJinE" label="其他综合收益结转留存收益导致资本公积变动金额" periodRef="上年同期数" mulRef="_GBC_57faea4e453e49ad93821b7dd6ce8bc4" unitRef="_GBC_cef77704267643d794145c73763360e5" addr="T1R26C5S1_1" formatStyle="Comma"/>
        <m:item xlName="_GBC_6f5a9223aa7d45b5bc013c777fde5e6e" concept="clcid-pte:QiTaZongHeShouYiJieZhuanLiuCunShouYiDaoZhiKuCunGuBianDongJinE" label="其他综合收益结转留存收益导致库存股变动金额" periodRef="上年同期数" mulRef="_GBC_57faea4e453e49ad93821b7dd6ce8bc4" unitRef="_GBC_cef77704267643d794145c73763360e5" addr="T1R26C6S1_1" baseScale="-1" formatStyle="Comma"/>
        <m:item xlName="_GBC_1961f8b0faa146889b2cb2774d5c8f6e" concept="clcid-pte:QiTaZongHeShouYiJieZhuanLiuCunShouYiDaoZhiQiTaZongHeShouYiBianDongJinE" label="其他综合收益结转留存收益导致其他综合收益变动金额" periodRef="上年同期数" mulRef="_GBC_57faea4e453e49ad93821b7dd6ce8bc4" unitRef="_GBC_cef77704267643d794145c73763360e5" addr="T1R26C7S1_1" formatStyle="Comma"/>
        <m:item xlName="_GBC_2c9e084b964342a08f0b6cb3805482bb" concept="clcid-pte:QiTaZongHeShouYiJieZhuanLiuCunShouYiDaoZhiZhuanXiangChuBeiBianDongJinE" label="其他综合收益结转留存收益导致专项储备变动金额" periodRef="上年同期数" mulRef="_GBC_57faea4e453e49ad93821b7dd6ce8bc4" unitRef="_GBC_cef77704267643d794145c73763360e5" addr="T1R26C8S1_1" formatStyle="Comma"/>
        <m:item xlName="_GBC_2e5e1fa5d5154e2bb58a71a13e2d924a" concept="clcid-pte:QiTaZongHeShouYiJieZhuanLiuCunShouYiDaoZhiYingYuGongJiBianDongJinE" label="其他综合收益结转留存收益导致盈余公积变动金额" periodRef="上年同期数" mulRef="_GBC_57faea4e453e49ad93821b7dd6ce8bc4" unitRef="_GBC_cef77704267643d794145c73763360e5" addr="T1R26C9S1_1" formatStyle="Comma"/>
        <m:item xlName="_GBC_1d239374c1cb4eaea35c50211a138ef3" concept="clcid-pte:QiTaZongHeShouYiJieZhuanLiuCunShouYiDaoZhiYiBanFengXianZhunBeiBianDongJinE" label="其他综合收益结转留存收益导致一般风险准备变动金额" periodRef="上年同期数" mulRef="_GBC_57faea4e453e49ad93821b7dd6ce8bc4" unitRef="_GBC_cef77704267643d794145c73763360e5" addr="T1R26C10S1_1" formatStyle="Comma"/>
        <m:item xlName="_GBC_3e16df2a75614cf986f2bce2df5d9c14" concept="clcid-pte:QiTaZongHeShouYiJieZhuanLiuCunShouYiDaoZhiWeiFenPeiLiRunBianDongJinE" label="其他综合收益结转留存收益导致未分配利润变动金额" periodRef="上年同期数" mulRef="_GBC_57faea4e453e49ad93821b7dd6ce8bc4" unitRef="_GBC_cef77704267643d794145c73763360e5" addr="T1R26C11S1_1" formatStyle="Comma"/>
        <m:item xlName="_GBC_29833085531b48f6a8771c35248c4faa" concept="clcid-pte:QiTaZongHeShouYiJieZhuanLiuCunShouYiDaoZhiQiTaDeGuiShuYuMuGongSiSuoYouZheQuanYiBianDongJinE" label="其他综合收益结转留存收益导致其他的归属于母公司所有者权益变动金额" periodRef="上年同期数" mulRef="_GBC_57faea4e453e49ad93821b7dd6ce8bc4" unitRef="_GBC_cef77704267643d794145c73763360e5" addr="T1R26C12S1_1" formatStyle="Comma"/>
        <m:item xlName="_GBC_942ac6651806465a852248c40fcc1d8b" concept="clcid-pte:QiTaZongHeShouYiJieZhuanLiuCunShouYiDaoZhiGuiShuYuMuGongSiSuoYouZheQuanYiBianDongJinE" label="其他综合收益结转留存收益导致归属于母公司所有者权益变动金额" periodRef="上年同期数" mulRef="_GBC_57faea4e453e49ad93821b7dd6ce8bc4" unitRef="_GBC_cef77704267643d794145c73763360e5" addr="T1R26C13S1_1" formatStyle="Comma"/>
        <m:item xlName="_GBC_0f6ffeb5377846099c76150ac426c2d6" concept="clcid-pte:QiTaZongHeShouYiJieZhuanLiuCunShouYiDaoZhiShaoShuGuDongQuanYiBianDongJinE" label="其他综合收益结转留存收益导致少数股东权益变动金额" periodRef="上年同期数" mulRef="_GBC_57faea4e453e49ad93821b7dd6ce8bc4" unitRef="_GBC_cef77704267643d794145c73763360e5" addr="T1R26C14S1_1" formatStyle="Comma"/>
        <m:item xlName="_GBC_3c77ebf54d7748cbbe3f15c96f110b0d" concept="clcid-pte:QiTaZongHeShouYiJieZhuanLiuCunShouYiDaoZhiGuDongQuanYiHeJiBianDongJinE" label="其他综合收益结转留存收益导致股东权益合计变动金额" periodRef="上年同期数" mulRef="_GBC_57faea4e453e49ad93821b7dd6ce8bc4" unitRef="_GBC_cef77704267643d794145c73763360e5" addr="T1R26C15S1_1" formatStyle="Comma"/>
        <m:placeholder xlName="_PLD_44b366cf670e4514b5f91bc8cef97e27" wordText="6．其他" addr="T1R27C0S1_1"/>
        <m:item xlName="_GBC_ae5842fb36d0410cb539392af747b07a" concept="clcid-pte:QiTaSuoYouZheQuanYiNeiBuJieZhuanDaoZhiShiShouZiBenHuoGuBenJingEBianDongJinE" label="其他所有者权益内部结转导致实收资本（或股本）净额变动金额" periodRef="上年同期数" mulRef="_GBC_57faea4e453e49ad93821b7dd6ce8bc4" unitRef="_GBC_cef77704267643d794145c73763360e5" addr="T1R27C1S1_1" formatStyle="Comma"/>
        <m:item xlName="_GBC_6c0ad08e91f74fb0a199ce4ee0043c1a" concept="clcid-pte:QiTaSuoYouZheQuanYiNeiBuJieZhuanDaoZhiQiTaQuanYiGongJuZhongDeYouXianGuBianDongJinE" label="其他所有者权益内部结转导致其他权益工具中的优先股变动金额" periodRef="上年同期数" mulRef="_GBC_57faea4e453e49ad93821b7dd6ce8bc4" unitRef="_GBC_cef77704267643d794145c73763360e5" addr="T1R27C2S1_1" formatStyle="Comma"/>
        <m:item xlName="_GBC_b5d9c584c167498bab1b94c554b6a079" concept="clcid-pte:QiTaSuoYouZheQuanYiNeiBuJieZhuanDaoZhiQiTaQuanYiGongJuZhongDeYongXuZhaiBianDongJinE" label="其他所有者权益内部结转导致其他权益工具中的永续债变动金额" periodRef="上年同期数" mulRef="_GBC_57faea4e453e49ad93821b7dd6ce8bc4" unitRef="_GBC_cef77704267643d794145c73763360e5" addr="T1R27C3S1_1" formatStyle="Comma"/>
        <m:item xlName="_GBC_12c4e5f3a0444383aaf493f4ffc7a5e6" concept="clcid-pte:QiTaSuoYouZheQuanYiNeiBuJieZhuanDaoZhiQiTaQuanYiGongJuZhongDeQiTaBianDongJinE" label="其他所有者权益内部结转导致其他权益工具中的其他变动金额" periodRef="上年同期数" mulRef="_GBC_57faea4e453e49ad93821b7dd6ce8bc4" unitRef="_GBC_cef77704267643d794145c73763360e5" addr="T1R27C4S1_1" formatStyle="Comma"/>
        <m:item xlName="_GBC_29348654486c4f0ea15f0c6ed9ca0cd2" concept="clcid-pte:QiTaSuoYouZheQuanYiNeiBuJieZhuanDaoZhiZiBenGongJiBianDongJinE" label="其他所有者权益内部结转导致资本公积变动金额" periodRef="上年同期数" mulRef="_GBC_57faea4e453e49ad93821b7dd6ce8bc4" unitRef="_GBC_cef77704267643d794145c73763360e5" addr="T1R27C5S1_1" formatStyle="Comma"/>
        <m:item xlName="_GBC_6b2960393e724312b89aed57d0f67b59" concept="clcid-pte:QiTaSuoYouZheQuanYiNeiBuJieZhuanDaoZhiKuCunGuBianDongJinE" label="其他所有者权益内部结转导致库存股变动金额" periodRef="上年同期数" mulRef="_GBC_57faea4e453e49ad93821b7dd6ce8bc4" unitRef="_GBC_cef77704267643d794145c73763360e5" addr="T1R27C6S1_1" baseScale="-1" formatStyle="Comma"/>
        <m:item xlName="_GBC_4fa8fe1b687846b9a7a436d93bfc67e8" concept="clcid-pte:QiTaSuoYouZheQuanYiNeiBuJieZhuanDaoZhiQiTaZongHeShouYiBianDongJinE" label="其他所有者权益内部结转导致其他综合收益变动金额" periodRef="上年同期数" mulRef="_GBC_57faea4e453e49ad93821b7dd6ce8bc4" unitRef="_GBC_cef77704267643d794145c73763360e5" addr="T1R27C7S1_1" formatStyle="Comma"/>
        <m:item xlName="_GBC_363d14d6cb7843be9501729881436ac6" concept="clcid-pte:QiTaSuoYouZheQuanYiNeiBuJieZhuanDaoZhiZhuanXiangChuBeiBianDongJinE" label="其他所有者权益内部结转导致专项储备变动金额" periodRef="上年同期数" mulRef="_GBC_57faea4e453e49ad93821b7dd6ce8bc4" unitRef="_GBC_cef77704267643d794145c73763360e5" addr="T1R27C8S1_1" formatStyle="Comma"/>
        <m:item xlName="_GBC_b36f662d63064d78a6a7204abf4ddbef" concept="clcid-pte:QiTaSuoYouZheQuanYiNeiBuJieZhuanDaoZhiYingYuGongJiBianDongJinE" label="其他所有者权益内部结转导致盈余公积变动金额" periodRef="上年同期数" mulRef="_GBC_57faea4e453e49ad93821b7dd6ce8bc4" unitRef="_GBC_cef77704267643d794145c73763360e5" addr="T1R27C9S1_1" formatStyle="Comma"/>
        <m:item xlName="_GBC_208b6540442340de9e598ea7c0db0cee" concept="clcid-pte:QiTaSuoYouZheQuanYiNeiBuJieZhuanDaoZhiYiBanFengXianZhunBeiBianDongJinE" label="其他所有者权益内部结转导致一般风险准备变动金额" periodRef="上年同期数" mulRef="_GBC_57faea4e453e49ad93821b7dd6ce8bc4" unitRef="_GBC_cef77704267643d794145c73763360e5" addr="T1R27C10S1_1" formatStyle="Comma"/>
        <m:item xlName="_GBC_fdf5dd7181d94849a5c3dbc073fe8696" concept="clcid-pte:QiTaSuoYouZheQuanYiNeiBuJieZhuanDaoZhiWeiFenPeiLiRunBianDongJinE" label="其他所有者权益内部结转导致未分配利润变动金额" periodRef="上年同期数" mulRef="_GBC_57faea4e453e49ad93821b7dd6ce8bc4" unitRef="_GBC_cef77704267643d794145c73763360e5" addr="T1R27C11S1_1" formatStyle="Comma"/>
        <m:item xlName="_GBC_22c14178dbee40739a16b3406551c24b" concept="clcid-pte:QiTaSuoYouZheQuanYiNeiBuJieZhuanDaoZhiQiTaDeGuiShuYuMuGongSiSuoYouZheQuanYiBianDongJinE" label="其他所有者权益内部结转导致其他的归属于母公司所有者权益变动金额" periodRef="上年同期数" mulRef="_GBC_57faea4e453e49ad93821b7dd6ce8bc4" unitRef="_GBC_cef77704267643d794145c73763360e5" addr="T1R27C12S1_1" formatStyle="Comma"/>
        <m:item xlName="_GBC_458ba861a17b43ae939896906d5cce46" concept="clcid-pte:QiTaSuoYouZheQuanYiNeiBuJieZhuanDaoZhiGuiShuYuMuGongSiSuoYouZheQuanYiBianDongJinE" label="其他所有者权益内部结转导致归属于母公司所有者权益变动金额" periodRef="上年同期数" mulRef="_GBC_57faea4e453e49ad93821b7dd6ce8bc4" unitRef="_GBC_cef77704267643d794145c73763360e5" addr="T1R27C13S1_1" formatStyle="Comma"/>
        <m:item xlName="_GBC_309577731f3d400aa2a509e0fc061450" concept="clcid-pte:QiTaSuoYouZheQuanYiNeiBuJieZhuanDaoZhiShaoShuGuDongQuanYiBianDongJinE" label="其他所有者权益内部结转导致少数股东权益变动金额" periodRef="上年同期数" mulRef="_GBC_57faea4e453e49ad93821b7dd6ce8bc4" unitRef="_GBC_cef77704267643d794145c73763360e5" addr="T1R27C14S1_1" formatStyle="Comma"/>
        <m:item xlName="_GBC_42b76103de594df2b912400e6d7b145d" concept="clcid-pte:QiTaSuoYouZheQuanYiNeiBuJieZhuanDaoZhiGuDongQuanYiHeJiBianDongJinE" label="其他所有者权益内部结转导致股东权益合计变动金额" periodRef="上年同期数" mulRef="_GBC_57faea4e453e49ad93821b7dd6ce8bc4" unitRef="_GBC_cef77704267643d794145c73763360e5" addr="T1R27C15S1_1" formatStyle="Comma"/>
        <m:placeholder xlName="_PLD_4c2ffccd1b8247f8b48874b508665dc1" wordText="（五）专项储备" addr="T1R28C0S1_1"/>
        <m:item xlName="_GBC_eab4d4a58623419d9efabdb8339f5e20" concept="clcid-pte:ZhuanXiangChuBeiDaoZhiShiShouZiBenHuoGuBenJingEBianDongJinE" label="专项储备导致实收资本（或股本）净额变动金额" periodRef="上年同期数" mulRef="_GBC_57faea4e453e49ad93821b7dd6ce8bc4" unitRef="_GBC_cef77704267643d794145c73763360e5" addr="T1R28C1S1_1" formatStyle="Comma">
          <m:complexRule comparator="Eq" title="专项储备导致实收资本（或股本）净额变动金额@上年同期数" test=" $_GBC_a85c70fc74bf454ebba721c53742c829 -  $_GBC_8beae39ad81341c4a253510fd537287b" id="C389b1749716e4b5eab687122968fc892" radius="0.0001"/>
        </m:item>
        <m:item xlName="_GBC_4b1c45a69ab94d19a6c532f02af9fd18" concept="clcid-pte:ZhuanXiangChuBeiDaoZhiQiTaQuanYiGongJuZhongDeYouXianGuBianDongJinE" label="专项储备导致其他权益工具中的优先股变动金额" periodRef="上年同期数" mulRef="_GBC_57faea4e453e49ad93821b7dd6ce8bc4" unitRef="_GBC_cef77704267643d794145c73763360e5" addr="T1R28C2S1_1" formatStyle="Comma">
          <m:complexRule comparator="Eq" title="专项储备导致其他权益工具中的优先股变动金额@上年同期数" test=" $_GBC_5e937e388776445795d8e702ba81c2c9 -  $_GBC_de0bc9e60d5f4a46b0adbc94de2b5751" id="Cf69cbbfe1877432ebc21251ae643fb9e"/>
        </m:item>
        <m:item xlName="_GBC_d11afdb09ca14a31bc6beef23131529f" concept="clcid-pte:ZhuanXiangChuBeiDaoZhiQiTaQuanYiGongJuZhongDeYongXuZhaiBianDongJinE" label="专项储备导致其他权益工具中的永续债变动金额" periodRef="上年同期数" mulRef="_GBC_57faea4e453e49ad93821b7dd6ce8bc4" unitRef="_GBC_cef77704267643d794145c73763360e5" addr="T1R28C3S1_1" formatStyle="Comma">
          <m:complexRule comparator="Eq" title="专项储备导致其他权益工具中的永续债变动金额@上年同期数" test=" $_GBC_f4f4bafc2f9e4b14979abf042af2284d -  $_GBC_9d8d8bdf23d548b08edf33a18477bf21" id="Cc7d845b792d44f4b822fb9c1d9e4ffdf"/>
        </m:item>
        <m:item xlName="_GBC_03e97aa6ea4a4b519ced030588aa471a" concept="clcid-pte:ZhuanXiangChuBeiDaoZhiQiTaQuanYiGongJuZhongDeQiTaBianDongJinE" label="专项储备导致其他权益工具中的其他变动金额" periodRef="上年同期数" mulRef="_GBC_57faea4e453e49ad93821b7dd6ce8bc4" unitRef="_GBC_cef77704267643d794145c73763360e5" addr="T1R28C4S1_1" formatStyle="Comma">
          <m:complexRule comparator="Eq" title="专项储备导致其他权益工具中的其他变动金额@上年同期数" test=" $_GBC_3007dbb786274840bc4fa4a48abdf483 -  $_GBC_be84b88270eb42feab48855714e851ad" id="C199cc9f3a07b4047bc4716e58efb0b5d"/>
        </m:item>
        <m:item xlName="_GBC_123c502f45394be3933e710bc4539de6" concept="clcid-pte:ZhuanXiangChuBeiDaoZhiZiBenGongJiBianDongJinE" label="专项储备导致资本公积变动金额" periodRef="上年同期数" mulRef="_GBC_57faea4e453e49ad93821b7dd6ce8bc4" unitRef="_GBC_cef77704267643d794145c73763360e5" addr="T1R28C5S1_1" formatStyle="Comma">
          <m:complexRule comparator="Eq" title="专项储备导致资本公积变动金额@上年同期数" test=" $_GBC_85e1ee5904a040aea5532001b3b87679 -  $_GBC_2972bc028dc244e1b148a8970a1c2df9" id="Cc82f8f514d204c24b74f1ff20220658f" radius="0.0001"/>
        </m:item>
        <m:item xlName="_GBC_3b6659952c004368b0c7c6aff8663dfc" concept="clcid-pte:ZhuanXiangChuBeiDaoZhiKuCunGuBianDongJinE" label="专项储备导致库存股变动金额" periodRef="上年同期数" mulRef="_GBC_57faea4e453e49ad93821b7dd6ce8bc4" unitRef="_GBC_cef77704267643d794145c73763360e5" addr="T1R28C6S1_1" baseScale="-1" formatStyle="Comma">
          <m:complexRule comparator="Eq" title="专项储备导致库存股变动金额@上年同期数" test=" $_GBC_2b60682356a84b46b4561756283c3ab5 -  $_GBC_c690b2eeecdf4c7b85a4fbe9d5ce602c" id="Ce0af9016408149048ca2b2cfabc346d5" radius="0.0001"/>
        </m:item>
        <m:item xlName="_GBC_3d320060f9464615bead55bf1ca49dc4" concept="clcid-pte:ZhuanXiangChuBeiDaoZhiQiTaZongHeShouYiBianDongJinE" label="专项储备导致其他综合收益变动金额" periodRef="上年同期数" mulRef="_GBC_57faea4e453e49ad93821b7dd6ce8bc4" unitRef="_GBC_cef77704267643d794145c73763360e5" addr="T1R28C7S1_1" formatStyle="Comma">
          <m:complexRule comparator="Eq" title="专项储备导致其他综合收益变动金额@上年同期数" test=" $_GBC_b5bb2cb078c3409a817fc6fa7c59e12b -  $_GBC_a20a6615113c4f948499aee5ebc821ff" id="C355d0f2086064a839a9c62c843767643"/>
        </m:item>
        <m:item xlName="_GBC_95b00eb2bffd4944863b929b1b9f8b23" concept="clcid-pte:ZhuanXiangChuBeiDaoZhiZhuanXiangChuBeiBianDongJinE" label="专项储备导致专项储备变动金额" periodRef="上年同期数" mulRef="_GBC_57faea4e453e49ad93821b7dd6ce8bc4" unitRef="_GBC_cef77704267643d794145c73763360e5" addr="T1R28C8S1_1" formatStyle="Comma">
          <m:complexRule comparator="Eq" title="专项储备导致专项储备变动金额@上年同期数" test=" $_GBC_b248c426426345f482b5568c5acd2033 -  $_GBC_c3cf9a94610c44f3818b34ea8d57a9f7" id="C6a8dcfae13ba427397da7a18299835b7"/>
        </m:item>
        <m:item xlName="_GBC_81aee495f58648c79fb2c06c1a8294b9" concept="clcid-pte:ZhuanXiangChuBeiDaoZhiYingYuGongJiBianDongJinE" label="专项储备导致盈余公积变动金额" periodRef="上年同期数" mulRef="_GBC_57faea4e453e49ad93821b7dd6ce8bc4" unitRef="_GBC_cef77704267643d794145c73763360e5" addr="T1R28C9S1_1" formatStyle="Comma">
          <m:complexRule comparator="Eq" title="专项储备导致盈余公积变动金额@上年同期数" test=" $_GBC_d4dc2d31423b46fea3c07e7c4524df5e -  $_GBC_5ccabffd56d244689235f10d7f810595" id="C05cdbf693080445cb769d0f18db3a4d5"/>
        </m:item>
        <m:item xlName="_GBC_610d4f46b18b4115b1e7a898ab90bab2" concept="clcid-pte:ZhuanXiangChuBeiDaoZhiYiBanFengXianZhunBeiBianDongJinE" label="专项储备导致一般风险准备变动金额" periodRef="上年同期数" mulRef="_GBC_57faea4e453e49ad93821b7dd6ce8bc4" unitRef="_GBC_cef77704267643d794145c73763360e5" addr="T1R28C10S1_1" formatStyle="Comma">
          <m:complexRule comparator="Eq" title="专项储备导致一般风险准备变动金额@上年同期数" test=" $_GBC_dd2eb12f7e464fe0ba81ba536c884fe7 -  $_GBC_5682b2f180d740d183e615b172d8b18e" id="C59642b4c93ac466fa1e49fcd98c51600"/>
        </m:item>
        <m:item xlName="_GBC_c987802dfc49480c807d397d5ace6d36" concept="clcid-pte:ZhuanXiangChuBeiDaoZhiWeiFenPeiLiRunBianDongJinE" label="专项储备导致未分配利润变动金额" periodRef="上年同期数" mulRef="_GBC_57faea4e453e49ad93821b7dd6ce8bc4" unitRef="_GBC_cef77704267643d794145c73763360e5" addr="T1R28C11S1_1" formatStyle="Comma">
          <m:complexRule comparator="Eq" title="专项储备导致未分配利润变动金额@上年同期数" test=" $_GBC_c1e587046f604ee8ba66fb6c8bb8a144 -  $_GBC_cbe9fed180ed4accbf80b4421a3b14d1" id="Ccde035e163fa431796baab355dd17530"/>
        </m:item>
        <m:item xlName="_GBC_c392cb7d6a93438795a5eb0adc871ed1" concept="clcid-pte:ZhuanXiangChuBeiDaoZhiQiTaDeGuiShuYuMuGongSiSuoYouZheQuanYiBianDongJinE" label="专项储备导致其他的归属于母公司所有者权益变动金额" periodRef="上年同期数" mulRef="_GBC_57faea4e453e49ad93821b7dd6ce8bc4" unitRef="_GBC_cef77704267643d794145c73763360e5" addr="T1R28C12S1_1" formatStyle="Comma">
          <m:complexRule comparator="Eq" title="专项储备导致其他的归属于母公司所有者权益变动金额@上年同期数" test=" $_GBC_fba31e06b8374488afb5c8e32dc920a8 -  $_GBC_2bde003808fd4a4a8d5a92db60568e7f" id="C2ac374a3541b4b008bdf8910a490e03d"/>
        </m:item>
        <m:item xlName="_GBC_fb7838c03552463eab0b3449e1123883" concept="clcid-pte:ZhuanXiangChuBeiDaoZhiGuiShuYuMuGongSiSuoYouZheQuanYiBianDongJinE" label="专项储备导致归属于母公司所有者权益变动金额" periodRef="上年同期数" mulRef="_GBC_57faea4e453e49ad93821b7dd6ce8bc4" unitRef="_GBC_cef77704267643d794145c73763360e5" addr="T1R28C13S1_1" formatStyle="Comma">
          <m:complexRule comparator="Eq" title="专项储备导致归属于母公司所有者权益变动金额小计@上年同期数" test=" $_GBC_1d1ae9ce74cc466ab594f03ba9a5bb71 -  $_GBC_936616ca2d1f46938813e49bff971bfe" id="Cfb0cc6c307ce41f1b6dcddb237a0efc2"/>
        </m:item>
        <m:item xlName="_GBC_7b23cace12da44a69d75927ba5396346" concept="clcid-pte:ZhuanXiangChuBeiDaoZhiShaoShuGuDongQuanYiBianDongJinE" label="专项储备导致少数股东权益变动金额" periodRef="上年同期数" mulRef="_GBC_57faea4e453e49ad93821b7dd6ce8bc4" unitRef="_GBC_cef77704267643d794145c73763360e5" addr="T1R28C14S1_1" formatStyle="Comma">
          <m:complexRule comparator="Eq" title="专项储备导致少数股东权益变动金额@上年同期数" test=" $_GBC_740a0889d6084626803c581db78c840d -  $_GBC_45cc33ff9c6442e0a45cfb9d0c17f349" id="Cd42b60d02e3e4a658d0703e1e9074c60"/>
        </m:item>
        <m:item xlName="_GBC_1bb139523e184a629609d6d98aa70be7" concept="clcid-pte:ZhuanXiangChuBeiDaoZhiGuDongQuanYiHeJiBianDongJinE" label="专项储备导致股东权益合计变动金额" periodRef="上年同期数" mulRef="_GBC_57faea4e453e49ad93821b7dd6ce8bc4" unitRef="_GBC_cef77704267643d794145c73763360e5" addr="T1R28C15S1_1" formatStyle="Comma">
          <m:complexRule comparator="Eq" title="专项储备导致股东权益合计变动金额@上年同期数" test=" $_GBC_8627424b15414944b3da2f5646ee8213 -  $_GBC_fd36f77b22e04dea8a481a25c009bc68" id="C982608635c7a4cb29ca7eb6c2c9b200e"/>
        </m:item>
        <m:placeholder xlName="_PLD_d7da1c1428f3471c9d74c89a582725d7" wordText="1．本期提取" addr="T1R29C0S1_1"/>
        <m:item xlName="_GBC_a85c70fc74bf454ebba721c53742c829" concept="clcid-pte:TiQuDaoZhiShiShouZiBenHuoGuBenJingEBianDongJinE" label="提取导致实收资本（或股本）净额变动金额" periodRef="上年同期数" mulRef="_GBC_57faea4e453e49ad93821b7dd6ce8bc4" unitRef="_GBC_cef77704267643d794145c73763360e5" addr="T1R29C1S1_1" formatStyle="Comma"/>
        <m:item xlName="_GBC_5e937e388776445795d8e702ba81c2c9" concept="clcid-pte:TiQuDaoZhiQiTaQuanYiGongJuZhongDeYouXianGuBianDongJinE" label="提取导致其他权益工具中的优先股变动金额" periodRef="上年同期数" mulRef="_GBC_57faea4e453e49ad93821b7dd6ce8bc4" unitRef="_GBC_cef77704267643d794145c73763360e5" addr="T1R29C2S1_1" formatStyle="Comma"/>
        <m:item xlName="_GBC_f4f4bafc2f9e4b14979abf042af2284d" concept="clcid-pte:TiQuDaoZhiQiTaQuanYiGongJuZhongDeYongXuZhaiBianDongJinE" label="提取导致其他权益工具中的永续债变动金额" periodRef="上年同期数" mulRef="_GBC_57faea4e453e49ad93821b7dd6ce8bc4" unitRef="_GBC_cef77704267643d794145c73763360e5" addr="T1R29C3S1_1" formatStyle="Comma"/>
        <m:item xlName="_GBC_3007dbb786274840bc4fa4a48abdf483" concept="clcid-pte:TiQuDaoZhiQiTaQuanYiGongJuZhongDeQiTaBianDongJinE" label="提取导致其他权益工具中的其他变动金额" periodRef="上年同期数" mulRef="_GBC_57faea4e453e49ad93821b7dd6ce8bc4" unitRef="_GBC_cef77704267643d794145c73763360e5" addr="T1R29C4S1_1" formatStyle="Comma"/>
        <m:item xlName="_GBC_85e1ee5904a040aea5532001b3b87679" concept="clcid-pte:TiQuDaoZhiZiBenGongJiBianDongJinE" label="提取导致资本公积变动金额" periodRef="上年同期数" mulRef="_GBC_57faea4e453e49ad93821b7dd6ce8bc4" unitRef="_GBC_cef77704267643d794145c73763360e5" addr="T1R29C5S1_1" formatStyle="Comma"/>
        <m:item xlName="_GBC_2b60682356a84b46b4561756283c3ab5" concept="clcid-pte:TiQuDaoZhiKuCunGuBianDongJinE" label="提取导致库存股变动金额" periodRef="上年同期数" mulRef="_GBC_57faea4e453e49ad93821b7dd6ce8bc4" unitRef="_GBC_cef77704267643d794145c73763360e5" addr="T1R29C6S1_1" baseScale="-1" formatStyle="Comma"/>
        <m:item xlName="_GBC_b5bb2cb078c3409a817fc6fa7c59e12b" concept="clcid-pte:TiQuDaoZhiQiTaZongHeShouYiBianDongJinE" label="提取导致其他综合收益变动金额" periodRef="上年同期数" mulRef="_GBC_57faea4e453e49ad93821b7dd6ce8bc4" unitRef="_GBC_cef77704267643d794145c73763360e5" addr="T1R29C7S1_1" formatStyle="Comma"/>
        <m:item xlName="_GBC_b248c426426345f482b5568c5acd2033" concept="clcid-pte:TiQuDaoZhiZhuanXiangChuBeiBianDongJinE" label="提取导致专项储备变动金额" periodRef="上年同期数" mulRef="_GBC_57faea4e453e49ad93821b7dd6ce8bc4" unitRef="_GBC_cef77704267643d794145c73763360e5" addr="T1R29C8S1_1" formatStyle="Comma"/>
        <m:item xlName="_GBC_d4dc2d31423b46fea3c07e7c4524df5e" concept="clcid-pte:TiQuDaoZhiYingYuGongJiBianDongJinE" label="提取导致盈余公积变动金额" periodRef="上年同期数" mulRef="_GBC_57faea4e453e49ad93821b7dd6ce8bc4" unitRef="_GBC_cef77704267643d794145c73763360e5" addr="T1R29C9S1_1" formatStyle="Comma"/>
        <m:item xlName="_GBC_dd2eb12f7e464fe0ba81ba536c884fe7" concept="clcid-pte:TiQuDaoZhiYiBanFengXianZhunBeiBianDongJinE" label="提取导致一般风险准备变动金额" periodRef="上年同期数" mulRef="_GBC_57faea4e453e49ad93821b7dd6ce8bc4" unitRef="_GBC_cef77704267643d794145c73763360e5" addr="T1R29C10S1_1" formatStyle="Comma"/>
        <m:item xlName="_GBC_c1e587046f604ee8ba66fb6c8bb8a144" concept="clcid-pte:TiQuDaoZhiWeiFenPeiLiRunBianDongJinE" label="提取导致未分配利润变动金额" periodRef="上年同期数" mulRef="_GBC_57faea4e453e49ad93821b7dd6ce8bc4" unitRef="_GBC_cef77704267643d794145c73763360e5" addr="T1R29C11S1_1" formatStyle="Comma"/>
        <m:item xlName="_GBC_fba31e06b8374488afb5c8e32dc920a8" concept="clcid-pte:TiQuDaoZhiQiTaDeGuiShuYuMuGongSiSuoYouZheQuanYiBianDongJinE" label="提取导致其他的归属于母公司所有者权益变动金额" periodRef="上年同期数" mulRef="_GBC_57faea4e453e49ad93821b7dd6ce8bc4" unitRef="_GBC_cef77704267643d794145c73763360e5" addr="T1R29C12S1_1" formatStyle="Comma"/>
        <m:item xlName="_GBC_1d1ae9ce74cc466ab594f03ba9a5bb71" concept="clcid-pte:TiQuZhuanXiangChuBeiDaoZhiGuiShuYuMuGongSiSuoYouZheQuanYiBianDongJinE" label="提取专项储备导致归属于母公司所有者权益变动金额" periodRef="上年同期数" mulRef="_GBC_57faea4e453e49ad93821b7dd6ce8bc4" unitRef="_GBC_cef77704267643d794145c73763360e5" addr="T1R29C13S1_1" formatStyle="Comma"/>
        <m:item xlName="_GBC_740a0889d6084626803c581db78c840d" concept="clcid-pte:TiQuDaoZhiShaoShuGuDongQuanYiBianDongJinE" label="提取导致少数股东权益变动金额" periodRef="上年同期数" mulRef="_GBC_57faea4e453e49ad93821b7dd6ce8bc4" unitRef="_GBC_cef77704267643d794145c73763360e5" addr="T1R29C14S1_1" formatStyle="Comma"/>
        <m:item xlName="_GBC_8627424b15414944b3da2f5646ee8213" concept="clcid-pte:TiQuDaoZhiGuDongQuanYiHeJiBianDongJinE" label="提取导致股东权益合计变动金额" periodRef="上年同期数" mulRef="_GBC_57faea4e453e49ad93821b7dd6ce8bc4" unitRef="_GBC_cef77704267643d794145c73763360e5" addr="T1R29C15S1_1" formatStyle="Comma"/>
        <m:placeholder xlName="_PLD_f11a5c1cf32e432cb3dba158baca32fc" wordText="2．本期使用" addr="T1R30C0S1_1"/>
        <m:item xlName="_GBC_8beae39ad81341c4a253510fd537287b" concept="clcid-pte:ShiYongDaoZhiShiShouZiBenHuoGuBenJingEBianDongJinE" label="使用导致实收资本（或股本）净额变动金额" periodRef="上年同期数" mulRef="_GBC_57faea4e453e49ad93821b7dd6ce8bc4" unitRef="_GBC_cef77704267643d794145c73763360e5" addr="T1R30C1S1_1" formatStyle="Comma"/>
        <m:item xlName="_GBC_de0bc9e60d5f4a46b0adbc94de2b5751" concept="clcid-pte:ShiYongDaoZhiQiTaQuanYiGongJuZhongDeYouXianGuBianDongJinE" label="使用导致其他权益工具中的优先股变动金额" periodRef="上年同期数" mulRef="_GBC_57faea4e453e49ad93821b7dd6ce8bc4" unitRef="_GBC_cef77704267643d794145c73763360e5" addr="T1R30C2S1_1" formatStyle="Comma"/>
        <m:item xlName="_GBC_9d8d8bdf23d548b08edf33a18477bf21" concept="clcid-pte:ShiYongDaoZhiQiTaQuanYiGongJuZhongDeYongXuZhaiBianDongJinE" label="使用导致其他权益工具中的永续债变动金额" periodRef="上年同期数" mulRef="_GBC_57faea4e453e49ad93821b7dd6ce8bc4" unitRef="_GBC_cef77704267643d794145c73763360e5" addr="T1R30C3S1_1" formatStyle="Comma"/>
        <m:item xlName="_GBC_be84b88270eb42feab48855714e851ad" concept="clcid-pte:ShiYongDaoZhiQiTaQuanYiGongJuZhongDeQiTaBianDongJinE" label="使用导致其他权益工具中的其他变动金额" periodRef="上年同期数" mulRef="_GBC_57faea4e453e49ad93821b7dd6ce8bc4" unitRef="_GBC_cef77704267643d794145c73763360e5" addr="T1R30C4S1_1" formatStyle="Comma"/>
        <m:item xlName="_GBC_2972bc028dc244e1b148a8970a1c2df9" concept="clcid-pte:ShiYongDaoZhiZiBenGongJiBianDongJinE" label="使用导致资本公积变动金额" periodRef="上年同期数" mulRef="_GBC_57faea4e453e49ad93821b7dd6ce8bc4" unitRef="_GBC_cef77704267643d794145c73763360e5" addr="T1R30C5S1_1" formatStyle="Comma"/>
        <m:item xlName="_GBC_c690b2eeecdf4c7b85a4fbe9d5ce602c" concept="clcid-pte:ShiYongDaoZhiKuCunGuBianDongJinE" label="使用导致库存股变动金额" periodRef="上年同期数" mulRef="_GBC_57faea4e453e49ad93821b7dd6ce8bc4" unitRef="_GBC_cef77704267643d794145c73763360e5" addr="T1R30C6S1_1" baseScale="-1" formatStyle="Comma"/>
        <m:item xlName="_GBC_a20a6615113c4f948499aee5ebc821ff" concept="clcid-pte:ShiYongDaoZhiQiTaZongHeShouYiBianDongJinE" label="使用导致其他综合收益变动金额" periodRef="上年同期数" mulRef="_GBC_57faea4e453e49ad93821b7dd6ce8bc4" unitRef="_GBC_cef77704267643d794145c73763360e5" addr="T1R30C7S1_1" formatStyle="Comma"/>
        <m:item xlName="_GBC_c3cf9a94610c44f3818b34ea8d57a9f7" concept="clcid-pte:ShiYongDaoZhiZhuanXiangChuBeiBianDongJinE" label="使用导致专项储备变动金额" periodRef="上年同期数" mulRef="_GBC_57faea4e453e49ad93821b7dd6ce8bc4" unitRef="_GBC_cef77704267643d794145c73763360e5" addr="T1R30C8S1_1" formatStyle="Comma"/>
        <m:item xlName="_GBC_5ccabffd56d244689235f10d7f810595" concept="clcid-pte:ShiYongDaoZhiYingYuGongJiBianDongJinE" label="使用导致盈余公积变动金额" periodRef="上年同期数" mulRef="_GBC_57faea4e453e49ad93821b7dd6ce8bc4" unitRef="_GBC_cef77704267643d794145c73763360e5" addr="T1R30C9S1_1" formatStyle="Comma"/>
        <m:item xlName="_GBC_5682b2f180d740d183e615b172d8b18e" concept="clcid-pte:ShiYongDaoZhiYiBanFengXianZhunBeiBianDongJinE" label="使用导致一般风险准备变动金额" periodRef="上年同期数" mulRef="_GBC_57faea4e453e49ad93821b7dd6ce8bc4" unitRef="_GBC_cef77704267643d794145c73763360e5" addr="T1R30C10S1_1" formatStyle="Comma"/>
        <m:item xlName="_GBC_cbe9fed180ed4accbf80b4421a3b14d1" concept="clcid-pte:ShiYongDaoZhiWeiFenPeiLiRunBianDongJinE" label="使用导致未分配利润变动金额" periodRef="上年同期数" mulRef="_GBC_57faea4e453e49ad93821b7dd6ce8bc4" unitRef="_GBC_cef77704267643d794145c73763360e5" addr="T1R30C11S1_1" formatStyle="Comma"/>
        <m:item xlName="_GBC_2bde003808fd4a4a8d5a92db60568e7f" concept="clcid-pte:ShiYongDaoZhiQiTaDeGuiShuYuMuGongSiSuoYouZheQuanYiBianDongJinE" label="使用导致其他的归属于母公司所有者权益变动金额" periodRef="上年同期数" mulRef="_GBC_57faea4e453e49ad93821b7dd6ce8bc4" unitRef="_GBC_cef77704267643d794145c73763360e5" addr="T1R30C12S1_1" formatStyle="Comma"/>
        <m:item xlName="_GBC_936616ca2d1f46938813e49bff971bfe" concept="clcid-pte:ShiYongZhuanXiangChuBeiDaoZhiGuiShuYuMuGongSiSuoYouZheQuanYiBianDongJinE" label="使用专项储备导致归属于母公司所有者权益变动金额" periodRef="上年同期数" mulRef="_GBC_57faea4e453e49ad93821b7dd6ce8bc4" unitRef="_GBC_cef77704267643d794145c73763360e5" addr="T1R30C13S1_1" formatStyle="Comma"/>
        <m:item xlName="_GBC_45cc33ff9c6442e0a45cfb9d0c17f349" concept="clcid-pte:ShiYongDaoZhiShaoShuGuDongQuanYiBianDongJinE" label="使用导致少数股东权益变动金额" periodRef="上年同期数" mulRef="_GBC_57faea4e453e49ad93821b7dd6ce8bc4" unitRef="_GBC_cef77704267643d794145c73763360e5" addr="T1R30C14S1_1" formatStyle="Comma"/>
        <m:item xlName="_GBC_fd36f77b22e04dea8a481a25c009bc68" concept="clcid-pte:ShiYongDaoZhiGuDongQuanYiHeJiBianDongJinE" label="使用导致股东权益合计变动金额" periodRef="上年同期数" mulRef="_GBC_57faea4e453e49ad93821b7dd6ce8bc4" unitRef="_GBC_cef77704267643d794145c73763360e5" addr="T1R30C15S1_1" formatStyle="Comma"/>
        <m:placeholder xlName="_PLD_749e92980f334c9cae023bb1dba136fc" wordText="（六）其他" addr="T1R31C0S1_1"/>
        <m:item xlName="_GBC_2676c42a988c46f6b5a9849d5eeef601" concept="clcid-pte:QiTaDaoZhiShiShouZiBenHuoGuBenJingEBianDongJinE" label="其他导致实收资本（或股本）净额变动金额" periodRef="上年同期数" mulRef="_GBC_57faea4e453e49ad93821b7dd6ce8bc4" unitRef="_GBC_cef77704267643d794145c73763360e5" addr="T1R31C1S1_1" formatStyle="Comma"/>
        <m:item xlName="_GBC_ae3ef5802f7446f0bcc22d4a78b16cd8" concept="clcid-pte:QiTaDaoZhiQiTaQuanYiGongJuZhongDeYouXianGuBianDongJinE" label="其他导致其他权益工具中的优先股变动金额" periodRef="上年同期数" mulRef="_GBC_57faea4e453e49ad93821b7dd6ce8bc4" unitRef="_GBC_cef77704267643d794145c73763360e5" addr="T1R31C2S1_1" formatStyle="Comma"/>
        <m:item xlName="_GBC_c4e6b9f953a04e17ae3c32312cf2e1f7" concept="clcid-pte:QiTaDaoZhiQiTaQuanYiGongJuZhongDeYongXuZhaiBianDongJinE" label="其他导致其他权益工具中的永续债变动金额" periodRef="上年同期数" mulRef="_GBC_57faea4e453e49ad93821b7dd6ce8bc4" unitRef="_GBC_cef77704267643d794145c73763360e5" addr="T1R31C3S1_1" formatStyle="Comma"/>
        <m:item xlName="_GBC_27961524d7774e3f86ed7c4a22afb04a" concept="clcid-pte:QiTaDaoZhiQiTaQuanYiGongJuZhongDeQiTaBianDongJinE" label="其他导致其他权益工具中的其他变动金额" periodRef="上年同期数" mulRef="_GBC_57faea4e453e49ad93821b7dd6ce8bc4" unitRef="_GBC_cef77704267643d794145c73763360e5" addr="T1R31C4S1_1" formatStyle="Comma"/>
        <m:item xlName="_GBC_c1db1f975a7c4e8faf299858942810aa" concept="clcid-pte:QiTaDaoZhiZiBenGongJiBianDongJinE" label="其他导致资本公积变动金额" periodRef="上年同期数" mulRef="_GBC_57faea4e453e49ad93821b7dd6ce8bc4" unitRef="_GBC_cef77704267643d794145c73763360e5" addr="T1R31C5S1_1" formatStyle="Comma"/>
        <m:item xlName="_GBC_81c186b80d8a44d2ad835db4dbde16cc" concept="clcid-pte:QiTaDaoZhiKuCunGuBianDongJinE" label="其他导致库存股变动金额" periodRef="上年同期数" mulRef="_GBC_57faea4e453e49ad93821b7dd6ce8bc4" unitRef="_GBC_cef77704267643d794145c73763360e5" addr="T1R31C6S1_1" baseScale="-1" formatStyle="Comma"/>
        <m:item xlName="_GBC_c6a83ad34784471db367147a514c59e3" concept="clcid-pte:QiTaDaoZhiQiTaZongHeShouYiBianDongJinE" label="其他导致其他综合收益变动金额" periodRef="上年同期数" mulRef="_GBC_57faea4e453e49ad93821b7dd6ce8bc4" unitRef="_GBC_cef77704267643d794145c73763360e5" addr="T1R31C7S1_1" formatStyle="Comma"/>
        <m:item xlName="_GBC_33324cdf575543d6987aa6f520f8714d" concept="clcid-pte:QiTaDaoZhiZhuanXiangChuBeiBianDongJinE" label="其他导致专项储备变动金额" periodRef="上年同期数" mulRef="_GBC_57faea4e453e49ad93821b7dd6ce8bc4" unitRef="_GBC_cef77704267643d794145c73763360e5" addr="T1R31C8S1_1" formatStyle="Comma"/>
        <m:item xlName="_GBC_48beb7d2645f4bd8b828e39d20d114f7" concept="clcid-pte:QiTaDaoZhiYingYuGongJiBianDongJinE" label="其他导致盈余公积变动金额" periodRef="上年同期数" mulRef="_GBC_57faea4e453e49ad93821b7dd6ce8bc4" unitRef="_GBC_cef77704267643d794145c73763360e5" addr="T1R31C9S1_1" formatStyle="Comma"/>
        <m:item xlName="_GBC_022de88bf39d4c298dac658baa6860ba" concept="clcid-pte:QiTaDaoZhiYiBanFengXianZhunBeiBianDongJinE" label="其他导致一般风险准备变动金额" periodRef="上年同期数" mulRef="_GBC_57faea4e453e49ad93821b7dd6ce8bc4" unitRef="_GBC_cef77704267643d794145c73763360e5" addr="T1R31C10S1_1" formatStyle="Comma"/>
        <m:item xlName="_GBC_6ad7a628fd4a40f9a5c166bea7190b07" concept="clcid-pte:QiTaDaoZhiWeiFenPeiLiRunBianDongJinE" label="其他导致未分配利润变动金额" periodRef="上年同期数" mulRef="_GBC_57faea4e453e49ad93821b7dd6ce8bc4" unitRef="_GBC_cef77704267643d794145c73763360e5" addr="T1R31C11S1_1" formatStyle="Comma"/>
        <m:item xlName="_GBC_9146dc7852714f72859555c3a917811f" concept="clcid-pte:QiTaDaoZhiQiTaDeGuiShuYuMuGongSiSuoYouZheQuanYiBianDongJinE" label="其他导致其他的归属于母公司所有者权益变动金额" periodRef="上年同期数" mulRef="_GBC_57faea4e453e49ad93821b7dd6ce8bc4" unitRef="_GBC_cef77704267643d794145c73763360e5" addr="T1R31C12S1_1" formatStyle="Comma"/>
        <m:item xlName="_GBC_04961ef429474a9fb1c50cbe4d5f0f11" concept="clcid-pte:QiTaDaoZhiGuiShuYuMuGongSiSuoYouZheQuanYiBianDongJinE" label="其他导致归属于母公司所有者权益变动金额" periodRef="上年同期数" mulRef="_GBC_57faea4e453e49ad93821b7dd6ce8bc4" unitRef="_GBC_cef77704267643d794145c73763360e5" addr="T1R31C13S1_1" formatStyle="Comma"/>
        <m:item xlName="_GBC_7cca13db814d4298b7018c7e2dd9bc51" concept="clcid-pte:QiTaDaoZhiShaoShuGuDongQuanYiBianDongJinE" label="其他导致少数股东权益变动金额" periodRef="上年同期数" mulRef="_GBC_57faea4e453e49ad93821b7dd6ce8bc4" unitRef="_GBC_cef77704267643d794145c73763360e5" addr="T1R31C14S1_1" formatStyle="Comma"/>
        <m:item xlName="_GBC_c9027bfcd66641318c72f7e7633b96c5" concept="clcid-pte:QiTaDaoZhiGuDongQuanYiHeJiBianDongJinE" label="其他导致股东权益合计变动金额" periodRef="上年同期数" mulRef="_GBC_57faea4e453e49ad93821b7dd6ce8bc4" unitRef="_GBC_cef77704267643d794145c73763360e5" addr="T1R31C15S1_1" formatStyle="Comma"/>
        <m:placeholder xlName="_PLD_e9c8435b637745858c6ad855ad7bbea0" wordText="四、本期期末余额" addr="T1R32C0S1_1"/>
        <m:item xlName="_GBC_7eb44bdf2b8b4859af253e7579d54199" concept="clcid-pte:GuBen" label="股本" periodRef="上年同期期末数" mulRef="_GBC_57faea4e453e49ad93821b7dd6ce8bc4" unitRef="_GBC_cef77704267643d794145c73763360e5" addr="T1R32C1S1_1" formatStyle="Comma">
          <m:complexRule comparator="Eq" title="股本@上年同期期末数" test=" $_GBC_463429ab366c4a0faabd8fd5c4eeb15c +  $_GBC_3ab306b1e7af486988948f50073e1e67" id="C89033ad94ff54efabeb7a729c2ecaa3a" radius="0.0001"/>
        </m:item>
        <m:item xlName="_GBC_bea1f4801a4e497d88b193481d641092" concept="clcid-pte:QiTaQuanYiGongJuQiZhongYouXianGu" label="其他权益工具-其中：优先股" periodRef="上年同期期末数" mulRef="_GBC_57faea4e453e49ad93821b7dd6ce8bc4" unitRef="_GBC_cef77704267643d794145c73763360e5" addr="T1R32C2S1_1" formatStyle="Comma">
          <m:complexRule comparator="Eq" title="其他权益工具-其中：优先股@上年同期期末数" test=" $_GBC_0fd8b540968644f4948b0a43dcc1580f +  $_GBC_a406be1c3baa4df6a5adc5e008b96345" id="Ca4e2475ebb8947529204055b7dad3eca"/>
        </m:item>
        <m:item xlName="_GBC_c6defc2332ba467a869cd3809be2b287" concept="clcid-pte:QiTaQuanYiGongJuYongXuZhai" label="其他权益工具-永续债" periodRef="上年同期期末数" mulRef="_GBC_57faea4e453e49ad93821b7dd6ce8bc4" unitRef="_GBC_cef77704267643d794145c73763360e5" addr="T1R32C3S1_1" formatStyle="Comma">
          <m:complexRule comparator="Eq" title="其他权益工具-永续债@上年同期期末数" test=" $_GBC_8f96f4b9e9d5432b84f3d53bd2fbdaba +  $_GBC_8e60ab9c28924845857bd1e82a8403e4" id="Cf7b29952c13e4c5099ec7e60356ec65d"/>
        </m:item>
        <m:item xlName="_GBC_f2079c4e099049de85451d46ac8f32da" concept="clcid-pte:QiTaQuanYiGongJuQiTa" label="其他权益工具-其他" periodRef="上年同期期末数" mulRef="_GBC_57faea4e453e49ad93821b7dd6ce8bc4" unitRef="_GBC_cef77704267643d794145c73763360e5" addr="T1R32C4S1_1" formatStyle="Comma">
          <m:complexRule comparator="Eq" title="其他权益工具-其他@上年同期期末数" test=" $_GBC_6163291996f64057b05ad30337ffe9e0 +  $_GBC_dc6cc1a8b5fa4bf48da6ed469bff45b0" id="C750ae56979084ef6ae83b8c296ac4f01"/>
        </m:item>
        <m:item xlName="_GBC_0fecb488dad34fc2ac4cd822558963ec" concept="clcid-pte:ZiBenGongJi" label="资本公积" periodRef="上年同期期末数" mulRef="_GBC_57faea4e453e49ad93821b7dd6ce8bc4" unitRef="_GBC_cef77704267643d794145c73763360e5" addr="T1R32C5S1_1" formatStyle="Comma">
          <m:complexRule comparator="Eq" title="资本公积@上年同期期末数" test=" $_GBC_8ad228b791ff43f5ad1561d7ca684671 +  $_GBC_8473cb7ae7f4427b8dd131df489fa36a" id="C0f2fceeea6c54419afd7b05a442d79a4" radius="0.0001"/>
        </m:item>
        <m:item xlName="_GBC_bea769b36a464377a6bf2c1152808bd1" concept="clcid-pte:KuCunGu" label="库存股" periodRef="上年同期期末数" mulRef="_GBC_57faea4e453e49ad93821b7dd6ce8bc4" unitRef="_GBC_cef77704267643d794145c73763360e5" addr="T1R32C6S1_1" baseScale="-1" formatStyle="Comma" keyCode="abs" keyAction="108">
          <m:complexRule comparator="Eq" title="库存股@上年同期期末数" test=" $_GBC_9abb5ce9cbd9452986403063087da14c +  $_GBC_7647911c99b747d2aa762d221138c9c4" id="C654167ed562b421e8342a6622fb68c88" radius="0.0001"/>
        </m:item>
        <m:item xlName="_GBC_d6c5b5c52c6646cb9df5587ce8b360a3" concept="clcid-pte:QiTaZongHeShouYiZiChanFuZhaiBiaoXiangMu" label="其他综合收益（资产负债表项目）" periodRef="上年同期期末数" mulRef="_GBC_57faea4e453e49ad93821b7dd6ce8bc4" unitRef="_GBC_cef77704267643d794145c73763360e5" addr="T1R32C7S1_1" formatStyle="Comma">
          <m:complexRule comparator="Eq" title="其他综合收益（资产负债表项目）@上年同期期末数" test=" $_GBC_717af8769d284587b4e0d85c55c54be4 +  $_GBC_54c2f06d10694c42b164f9f7c8c24c19" id="C088d66b96ea34ab88c75948db56a24fc"/>
        </m:item>
        <m:item xlName="_GBC_92eea6b4f9a04a21946c2faaeb61710b" concept="clcid-pte:ZhuanXiangChuBei" label="专项储备" periodRef="上年同期期末数" mulRef="_GBC_57faea4e453e49ad93821b7dd6ce8bc4" unitRef="_GBC_cef77704267643d794145c73763360e5" addr="T1R32C8S1_1" formatStyle="Comma">
          <m:complexRule comparator="Eq" title="专项储备@上年同期期末数" test=" $_GBC_0dbc1d28380d4b48b03711d88ed56f1b +  $_GBC_45c28bff7f2947e79a97e03816b44836" id="C119e5c19d1ac41fa903134375027014f" radius="0.0001"/>
        </m:item>
        <m:item xlName="_GBC_a35e560ac4364b7eaed002728f549847" concept="clcid-pte:YingYuGongJi" label="盈余公积" periodRef="上年同期期末数" mulRef="_GBC_57faea4e453e49ad93821b7dd6ce8bc4" unitRef="_GBC_cef77704267643d794145c73763360e5" addr="T1R32C9S1_1" formatStyle="Comma">
          <m:complexRule comparator="Eq" title="盈余公积@上年同期期末数" test=" $_GBC_6931f14de9ae4e9db2c9b7f81f158218 +  $_GBC_5282e64d76064ff496bef9da7ba3cb38" id="C7b5c5dc470134a0faa5634e0046cb776"/>
        </m:item>
        <m:item xlName="_GBC_92e2f15230dd4a8c8bb1a3863063fb32" concept="clcid-pte:YiBanFengXianZhunBei" label="一般风险准备" periodRef="上年同期期末数" mulRef="_GBC_57faea4e453e49ad93821b7dd6ce8bc4" unitRef="_GBC_cef77704267643d794145c73763360e5" addr="T1R32C10S1_1" formatStyle="Comma">
          <m:complexRule comparator="Eq" title="一般风险准备@上年同期期末数" test=" $_GBC_a4f1aa6de84044b6a6b3214765a7508e +  $_GBC_aff81b712af942d1950df7bfb16184b1" id="Cca55c06eeec4415e8f0f8db936a47363"/>
        </m:item>
        <m:item xlName="_GBC_8b96d618590a46ccacfbdcf492cc8634" concept="clcid-pte:WeiFenPeiLiRun" label="未分配利润" periodRef="上年同期期末数" mulRef="_GBC_57faea4e453e49ad93821b7dd6ce8bc4" unitRef="_GBC_cef77704267643d794145c73763360e5" addr="T1R32C11S1_1" formatStyle="Comma">
          <m:complexRule comparator="Eq" title="未分配利润@上年同期期末数" test=" $_GBC_e78cfa47dbb84664a5ca613f752a1673 +  $_GBC_9b887145f03844beb15e2690e45ded4b" id="Cd9b8f009fce54f9192f2c633f25e1bf4"/>
        </m:item>
        <m:item xlName="_GBC_4cf593472787413d876b79e9732c3e9d" concept="clcid-pte:QiTaDeGuiShuYuMuGongSiSuoYouZheQuanYi" label="其他的归属于母公司所有者权益" periodRef="上年同期期末数" mulRef="_GBC_57faea4e453e49ad93821b7dd6ce8bc4" unitRef="_GBC_cef77704267643d794145c73763360e5" addr="T1R32C12S1_1" formatStyle="Comma">
          <m:complexRule comparator="Eq" title="其他的归属于母公司所有者权益@上年同期期末数" test=" $_GBC_be34bee636684ecba5f8a8345f1c13d8 +  $_GBC_721ced58af704b468077b49a45594ec0" id="C3d44058508f24ac08dd0b1b462a58ff9"/>
        </m:item>
        <m:item xlName="_GBC_0acdbc5b983044479054b15ca68d2979" concept="clcid-pte:GuiShuYuMuGongSiSuoYouZheQuanYiHeJi" label="归属于母公司所有者权益合计" periodRef="上年同期期末数" mulRef="_GBC_57faea4e453e49ad93821b7dd6ce8bc4" unitRef="_GBC_cef77704267643d794145c73763360e5" addr="T1R32C13S1_1" formatStyle="Comma">
          <m:complexRule comparator="Eq" title="归属于母公司所有者权益合计@上年同期期末数" test=" $_GBC_d37b2a094fd64c50b8c74275b2ea7c89 +  $_GBC_519747a00c6949a5bcc152eacbd03ac1" id="C31e776daf88f40b0863e78a29aba83a3"/>
        </m:item>
        <m:item xlName="_GBC_0a1b1326dd2a43fda5f3faab39696304" concept="clcid-pte:ShaoShuGuDongQuanYi" label="少数股东权益" periodRef="上年同期期末数" mulRef="_GBC_57faea4e453e49ad93821b7dd6ce8bc4" unitRef="_GBC_cef77704267643d794145c73763360e5" addr="T1R32C14S1_1" formatStyle="Comma">
          <m:complexRule comparator="Eq" title="少数股东权益@上年同期期末数" test=" $_GBC_1cbab821d4a348188e555da7c3810735 +  $_GBC_380e1cfcc313459cae08cf7858170444" id="Cf81d66ee32d1440483997046fdfa4444"/>
        </m:item>
        <m:item xlName="_GBC_a76d478b7a47434f83ee62b5544b78f3" concept="clcid-pte:GuDongQuanYiHeJi" label="股东权益合计" periodRef="上年同期期末数" mulRef="_GBC_57faea4e453e49ad93821b7dd6ce8bc4" unitRef="_GBC_cef77704267643d794145c73763360e5" addr="T1R32C15S1_1" formatStyle="Comma">
          <m:complexRule comparator="Eq" title="股东权益合计@上年同期期末数" test=" $_GBC_b753d2879310430b85393d22ce74cca7 +  $_GBC_7d38c3e4015b4306aa517461216f709f" id="C7c400e50e33e4cfdad4511005789595d"/>
        </m:item>
        <m:item xlName="_GBC_076a4a0998a840bab20f0ed83e5bab3d" headerRef="241" concept="clcid-mr:GongSiFuZeRenXingMing" label="公司负责人姓名" binding="true"/>
        <m:item xlName="_GBC_5b21002df9e248fa81a6770579ce76cd" headerRef="241" concept="clcid-mr:ZhuGuanKuaiJiGongZuoFuZeRenXingMing" label="主管会计工作负责人姓名" binding="true"/>
        <m:item xlName="_GBC_6a446d6543174dc48c72d440eefb0b71" headerRef="241" concept="clcid-mr:KuaiJiJiGouFuZeRenXingMing" label="会计机构负责人姓名" binding="true"/>
      </m:region>
      <m:region xlName="_GBC_24560eea01804b8b9d3678736eb60ca8" title="母公司所有者权益变动表&#10;" mandatory="false" helpId="112001001" matrix="true" matrixTablePrefix="母公司所有者权益变动表">
        <m:item xlName="_GBC_048773409e614c6bb753000b028316a5" indRef="167" headerRef="242" concept="clcid-ci-ar:DanWeiMuGongSiGuDongQuanYiDiaoJieBiao" label="单位：母公司股东权益调节表" selectOptions="_buildInScales" controlType="Combobox" cellType="Scale" keyCode="InitialValue:元" keyAction="31"/>
        <m:item xlName="_GBC_5214b7a188334da286fc3038d017d072" indRef="168" headerRef="242" concept="clcid-ci-ar:BiZhongMuGongSiGuDongQuanYiDiaoJieBiao" label="币种：母公司股东权益调节表" selectOptions="_buildInISO4217" controlType="Combobox" cellType="Measure" keyCode="InitialValue:人民币" keyAction="31"/>
        <m:placeholder xlName="_PLD_e16babcb874e4410be91226aac3d24db" headerRef="242" wordText="项目" addr="T2R0C0S3_1"/>
        <m:placeholder xlName="_PLD_f6e21c3ce66d4e148eea3bf743a653b8" wordText="2024年半年度" addr="T2R0C1S1_11"/>
        <m:placeholder xlName="_PLD_0b6e9703ed65458cb162afd47e6cc9f5" wordText="实收资本 (或股本)" addr="T2R1C1S2_1"/>
        <m:placeholder xlName="_PLD_385a3413585444238bb59d181b958311" wordText="其他权益工具" addr="T2R1C2S1_3"/>
        <m:placeholder xlName="_PLD_670488de432c4150880353e82f6ebb21" wordText="资本公积" addr="T2R1C5S2_1"/>
        <m:placeholder xlName="_PLD_c1c25c4e521b4e8aba5ccfef16a558c5" wordText="减：库存股" addr="T2R1C6S2_1"/>
        <m:placeholder xlName="_PLD_4ef83c170ca54a08ac6fcebc6a487dcd" wordText="其他综合收益" addr="T2R1C7S2_1"/>
        <m:placeholder xlName="_PLD_5a42f2a835d44138928915520fc5e902" wordText="专项储备" addr="T2R1C8S2_1"/>
        <m:placeholder xlName="_PLD_dbef0e1514f54b8ab8b43e975d3451b6" wordText="盈余公积" addr="T2R1C9S2_1"/>
        <m:placeholder xlName="_PLD_63b6c2969ec64e7abb1802f027c1069a" wordText="未分配利润" addr="T2R1C10S2_1"/>
        <m:placeholder xlName="_PLD_cdd38492b3a84e28b52c6700432babfd" wordText="所有者权益合计" addr="T2R1C11S2_1"/>
        <m:placeholder xlName="_PLD_90c1cf3c29414463ba491093caed23a7" wordText="优先股" addr="T2R2C2S1_1"/>
        <m:placeholder xlName="_PLD_7dac20c025664b94b7a2176be4c24d00" wordText="永续债" addr="T2R2C3S1_1"/>
        <m:placeholder xlName="_PLD_23829f284d5149ee92e64b94083b1ade" wordText="其他" addr="T2R2C4S1_1"/>
        <m:placeholder xlName="_PLD_b5131b53bda244fcbd76916797d6b666" wordText="一、上年期末余额" addr="T2R3C0S1_1"/>
        <m:item xlName="_GBC_cc625cf898204a919461d4578243eef7" concept="clcid-pte:GuBen" label="股本" periodRef="本期期初数" mulRef="_GBC_048773409e614c6bb753000b028316a5" unitRef="_GBC_5214b7a188334da286fc3038d017d072" addr="T2R3C1S1_1" formatStyle="Comma">
          <m:axisValue occRef="调整前的值"/>
          <m:axisValue occRef="母公司"/>
        </m:item>
        <m:item xlName="_GBC_fdb89b10340b4c258db06f241229201f" concept="clcid-pte:QiTaQuanYiGongJuQiZhongYouXianGu" label="其他权益工具-其中：优先股" periodRef="本期期初数" mulRef="_GBC_048773409e614c6bb753000b028316a5" unitRef="_GBC_5214b7a188334da286fc3038d017d072" addr="T2R3C2S1_1" formatStyle="Comma">
          <m:axisValue occRef="调整前的值"/>
          <m:axisValue occRef="母公司"/>
        </m:item>
        <m:item xlName="_GBC_07d105c6f1c1416ca3fd6df57b2b2f12" concept="clcid-pte:QiTaQuanYiGongJuYongXuZhai" label="其他权益工具-永续债" periodRef="本期期初数" mulRef="_GBC_048773409e614c6bb753000b028316a5" unitRef="_GBC_5214b7a188334da286fc3038d017d072" addr="T2R3C3S1_1" formatStyle="Comma">
          <m:axisValue occRef="调整前的值"/>
          <m:axisValue occRef="母公司"/>
        </m:item>
        <m:item xlName="_GBC_386146902ff8485ba3c6c9d718c71576" concept="clcid-pte:QiTaQuanYiGongJuQiTa" label="其他权益工具-其他" periodRef="本期期初数" mulRef="_GBC_048773409e614c6bb753000b028316a5" unitRef="_GBC_5214b7a188334da286fc3038d017d072" addr="T2R3C4S1_1" formatStyle="Comma">
          <m:axisValue occRef="调整前的值"/>
          <m:axisValue occRef="母公司"/>
        </m:item>
        <m:item xlName="_GBC_de8fb7bf082c45e0880256c003bc224a" concept="clcid-pte:ZiBenGongJi" label="资本公积" periodRef="本期期初数" mulRef="_GBC_048773409e614c6bb753000b028316a5" unitRef="_GBC_5214b7a188334da286fc3038d017d072" addr="T2R3C5S1_1" formatStyle="Comma">
          <m:axisValue occRef="调整前的值"/>
          <m:axisValue occRef="母公司"/>
        </m:item>
        <m:item xlName="_GBC_c3c4805dff0044f59a880539deb85270" concept="clcid-pte:KuCunGu" label="库存股" periodRef="本期期初数" mulRef="_GBC_048773409e614c6bb753000b028316a5" unitRef="_GBC_5214b7a188334da286fc3038d017d072" addr="T2R3C6S1_1" baseScale="-1" formatStyle="Comma" keyCode="abs" keyAction="108">
          <m:axisValue occRef="调整前的值"/>
          <m:axisValue occRef="母公司"/>
        </m:item>
        <m:item xlName="_GBC_04b8c38c13634f59a03c45b91e6a2197" concept="clcid-pte:QiTaZongHeShouYiZiChanFuZhaiBiaoXiangMu" label="其他综合收益（资产负债表项目）" periodRef="本期期初数" mulRef="_GBC_048773409e614c6bb753000b028316a5" unitRef="_GBC_5214b7a188334da286fc3038d017d072" addr="T2R3C7S1_1" formatStyle="Comma">
          <m:axisValue occRef="调整前的值"/>
          <m:axisValue occRef="母公司"/>
        </m:item>
        <m:item xlName="_GBC_3e3192905f5e4e7fa65153abca247ee6" concept="clcid-pte:ZhuanXiangChuBei" label="专项储备" periodRef="本期期初数" mulRef="_GBC_048773409e614c6bb753000b028316a5" unitRef="_GBC_5214b7a188334da286fc3038d017d072" addr="T2R3C8S1_1" formatStyle="Comma">
          <m:axisValue occRef="调整前的值"/>
          <m:axisValue occRef="母公司"/>
        </m:item>
        <m:item xlName="_GBC_b314d612b70b41c58b60a84b8e96915b" concept="clcid-pte:YingYuGongJi" label="盈余公积" periodRef="本期期初数" mulRef="_GBC_048773409e614c6bb753000b028316a5" unitRef="_GBC_5214b7a188334da286fc3038d017d072" addr="T2R3C9S1_1" formatStyle="Comma">
          <m:axisValue occRef="调整前的值"/>
          <m:axisValue occRef="母公司"/>
        </m:item>
        <m:item xlName="_GBC_03576e5b4c2c46179b503f63e6fe29e0" concept="clcid-pte:WeiFenPeiLiRun" label="未分配利润" periodRef="本期期初数" mulRef="_GBC_048773409e614c6bb753000b028316a5" unitRef="_GBC_5214b7a188334da286fc3038d017d072" addr="T2R3C10S1_1" formatStyle="Comma">
          <m:axisValue occRef="调整前的值"/>
          <m:axisValue occRef="母公司"/>
        </m:item>
        <m:item xlName="_GBC_3031f9c299ae4ba3b3b6f9d39dcd72ba" concept="clcid-pte:GuDongQuanYiHeJi" label="股东权益合计" periodRef="本期期初数" mulRef="_GBC_048773409e614c6bb753000b028316a5" unitRef="_GBC_5214b7a188334da286fc3038d017d072" addr="T2R3C11S1_1" formatStyle="Comma">
          <m:axisValue occRef="调整前的值"/>
          <m:axisValue occRef="母公司"/>
        </m:item>
        <m:placeholder xlName="_PLD_66de901175bd4e50a35a24f0fca7513d" wordText="加：会计政策变更" addr="T2R4C0S1_1"/>
        <m:item xlName="_GBC_42cf02b25c1d4f5ea3574d5fb4ed5e49" concept="clcid-pte:KuaiJiZhengCeBianGengDaoZhiShiShouZiBenHuoGuBenJingEBianDongJinE" label="会计政策变更导致实收资本（或股本）净额变动金额" periodRef="本期期初数" mulRef="_GBC_048773409e614c6bb753000b028316a5" unitRef="_GBC_5214b7a188334da286fc3038d017d072" addr="T2R4C1S1_1" formatStyle="Comma">
          <m:axisValue occRef="母公司"/>
        </m:item>
        <m:item xlName="_GBC_87ebf33c3b1c454f8dde54b2d7b59428" concept="clcid-pte:HuiJiZhengCeBianGengDaoZhiYouXianGuBianDongJinE" label="会计政策变更导致优先股变动金额" periodRef="本期期初数" mulRef="_GBC_048773409e614c6bb753000b028316a5" unitRef="_GBC_5214b7a188334da286fc3038d017d072" addr="T2R4C2S1_1" formatStyle="Comma">
          <m:axisValue occRef="母公司"/>
        </m:item>
        <m:item xlName="_GBC_dffe6871d62645dcab0d6ede5c12c9ed" concept="clcid-pte:HuiJiZhengCeBianGengDaoZhiYongXuZhaiBianDongJinE" label="会计政策变更导致永续债变动金额" periodRef="本期期初数" mulRef="_GBC_048773409e614c6bb753000b028316a5" unitRef="_GBC_5214b7a188334da286fc3038d017d072" addr="T2R4C3S1_1" formatStyle="Comma">
          <m:axisValue occRef="母公司"/>
        </m:item>
        <m:item xlName="_GBC_2361def70b0c4b59a4b0d6a3c2f89ed1" concept="clcid-pte:HuiJiZhengCeBianGengDaoZhiQiTaQuanYiGongJuZhongDeQiTaBianDongJinE" label="会计政策变更导致其他权益工具中的其他变动金额" periodRef="本期期初数" mulRef="_GBC_048773409e614c6bb753000b028316a5" unitRef="_GBC_5214b7a188334da286fc3038d017d072" addr="T2R4C4S1_1" formatStyle="Comma">
          <m:axisValue occRef="母公司"/>
        </m:item>
        <m:item xlName="_GBC_d71a6a60f98c428d87f9df73c8134349" concept="clcid-pte:KuaiJiZhengCeBianGengDaoZhiZiBenGongJiBianDongJinE" label="会计政策变更导致资本公积变动金额" periodRef="本期期初数" mulRef="_GBC_048773409e614c6bb753000b028316a5" unitRef="_GBC_5214b7a188334da286fc3038d017d072" addr="T2R4C5S1_1" formatStyle="Comma">
          <m:axisValue occRef="母公司"/>
        </m:item>
        <m:item xlName="_GBC_e121f1b17ae245d8a3b2ab915e6dc29a" concept="clcid-pte:KuaiJiZhengCeBianGengDaoZhiKuCunGuBianDongJinE" label="会计政策变更导致库存股变动金额" periodRef="本期期初数" mulRef="_GBC_048773409e614c6bb753000b028316a5" unitRef="_GBC_5214b7a188334da286fc3038d017d072" addr="T2R4C6S1_1" baseScale="-1" formatStyle="Comma">
          <m:axisValue occRef="母公司"/>
        </m:item>
        <m:item xlName="_GBC_3aa0f4cb3fd24f17a2db6808f3f82d74" concept="clcid-pte:HuiJiZhengCeBianGengDaoZhiQiTaZongHeShouYiBianDongJinE" label="会计政策变更导致其他综合收益变动金额" periodRef="本期期初数" mulRef="_GBC_048773409e614c6bb753000b028316a5" unitRef="_GBC_5214b7a188334da286fc3038d017d072" addr="T2R4C7S1_1" formatStyle="Comma">
          <m:axisValue occRef="母公司"/>
        </m:item>
        <m:item xlName="_GBC_6b7d8a5d2abc4ef1bc671e165d780eed" concept="clcid-pte:KuaiJiZhengCeBianGengDaoZhiZhuanXiangChuBeiBianDongJinE" label="会计政策变更导致专项储备变动金额" periodRef="本期期初数" mulRef="_GBC_048773409e614c6bb753000b028316a5" unitRef="_GBC_5214b7a188334da286fc3038d017d072" addr="T2R4C8S1_1" formatStyle="Comma">
          <m:axisValue occRef="母公司"/>
        </m:item>
        <m:item xlName="_GBC_1b87389f7fa74712bb34bd031de8679d" concept="clcid-pte:KuaiJiZhengCeBianGengDaoZhiYingYuGongJiBianDongJinE" label="会计政策变更导致盈余公积变动金额" periodRef="本期期初数" mulRef="_GBC_048773409e614c6bb753000b028316a5" unitRef="_GBC_5214b7a188334da286fc3038d017d072" addr="T2R4C9S1_1" formatStyle="Comma">
          <m:axisValue occRef="母公司"/>
        </m:item>
        <m:item xlName="_GBC_14bdacb8504c464eaf8712b0f4939a2f" concept="clcid-pte:KuaiJiZhengCeBianGengDaoZhiWeiFenPeiLiRunBianDongJinE" label="会计政策变更导致未分配利润变动金额" periodRef="本期期初数" mulRef="_GBC_048773409e614c6bb753000b028316a5" unitRef="_GBC_5214b7a188334da286fc3038d017d072" addr="T2R4C10S1_1" formatStyle="Comma">
          <m:axisValue occRef="母公司"/>
        </m:item>
        <m:item xlName="_GBC_72b6d96ffb154813a58db31263d56881" concept="clcid-pte:KuaiJiZhengCeBianGengDaoZhiGuDongQuanYiHeJiBianDongJinE" label="会计政策变更导致股东权益合计变动金额" periodRef="本期期初数" mulRef="_GBC_048773409e614c6bb753000b028316a5" unitRef="_GBC_5214b7a188334da286fc3038d017d072" addr="T2R4C11S1_1" formatStyle="Comma">
          <m:axisValue occRef="母公司"/>
        </m:item>
        <m:placeholder xlName="_PLD_3bfc3b7951f4488f95a7180f02c989cf" wordText="前期差错更正" indent="200" addr="T2R5C0S1_1"/>
        <m:item xlName="_GBC_56b3e92bb36145f78e2377f60b4c06b7" concept="clcid-pte:QianQiChaCuoGengZhengDaoZhiShiShouZiBenHuoGuBenJingEBianDongJinE" label="前期差错更正导致实收资本（或股本）净额变动金额" periodRef="本期期初数" mulRef="_GBC_048773409e614c6bb753000b028316a5" unitRef="_GBC_5214b7a188334da286fc3038d017d072" addr="T2R5C1S1_1" formatStyle="Comma">
          <m:axisValue occRef="母公司"/>
        </m:item>
        <m:item xlName="_GBC_893b147b48ba44f08045e2630c9956ad" concept="clcid-pte:QianQiChaCuoGengZhengDaoZhiYouXianGuBianDongJinE" label="前期差错更正导致优先股变动金额" periodRef="本期期初数" mulRef="_GBC_048773409e614c6bb753000b028316a5" unitRef="_GBC_5214b7a188334da286fc3038d017d072" addr="T2R5C2S1_1" formatStyle="Comma">
          <m:axisValue occRef="母公司"/>
        </m:item>
        <m:item xlName="_GBC_4475808d26dd4f6184d7ed8cff00f9e4" concept="clcid-pte:QianQiChaCuoGengZhengDaoZhiYongXuZhaiBianDongJinE" label="前期差错更正导致永续债变动金额" periodRef="本期期初数" mulRef="_GBC_048773409e614c6bb753000b028316a5" unitRef="_GBC_5214b7a188334da286fc3038d017d072" addr="T2R5C3S1_1" formatStyle="Comma">
          <m:axisValue occRef="母公司"/>
        </m:item>
        <m:item xlName="_GBC_29aaf13003fe4c1e9785635e73bed9ce" concept="clcid-pte:QianQiChaCuoGengZhengDaoZhiQiTaQuanYiGongJuZhongDeQiTaBianDongJinE" label="前期差错更正导致其他权益工具中的其他变动金额" periodRef="本期期初数" mulRef="_GBC_048773409e614c6bb753000b028316a5" unitRef="_GBC_5214b7a188334da286fc3038d017d072" addr="T2R5C4S1_1" formatStyle="Comma">
          <m:axisValue occRef="母公司"/>
        </m:item>
        <m:item xlName="_GBC_184498442a114d1693b2cc6a823a3a7d" concept="clcid-pte:QianQiChaCuoGengZhengDaoZhiZiBenGongJiBianDongJinE" label="前期差错更正导致资本公积变动金额" periodRef="本期期初数" mulRef="_GBC_048773409e614c6bb753000b028316a5" unitRef="_GBC_5214b7a188334da286fc3038d017d072" addr="T2R5C5S1_1" formatStyle="Comma">
          <m:axisValue occRef="母公司"/>
        </m:item>
        <m:item xlName="_GBC_560baab250d940f08ae6f2c2627eb8c3" concept="clcid-pte:QianQiChaCuoGengZhengDaoZhiKuCunGuBianDongJinE" label="前期差错更正导致库存股变动金额" periodRef="本期期初数" mulRef="_GBC_048773409e614c6bb753000b028316a5" unitRef="_GBC_5214b7a188334da286fc3038d017d072" addr="T2R5C6S1_1" baseScale="-1" formatStyle="Comma">
          <m:axisValue occRef="母公司"/>
        </m:item>
        <m:item xlName="_GBC_e1a35126a405468199aff67b2756d145" concept="clcid-pte:QianQiChaCuoGengZhengDaoZhiQiTaZongHeShouYiBianDongJinE" label="前期差错更正导致其他综合收益变动金额" periodRef="本期期初数" mulRef="_GBC_048773409e614c6bb753000b028316a5" unitRef="_GBC_5214b7a188334da286fc3038d017d072" addr="T2R5C7S1_1" formatStyle="Comma">
          <m:axisValue occRef="母公司"/>
        </m:item>
        <m:item xlName="_GBC_44166282a2da4958927cac26cb5adc9f" concept="clcid-pte:QianQiChaCuoGengZhengDaoZhiZhuanXiangChuBeiBianDongJinE" label="前期差错更正导致专项储备变动金额" periodRef="本期期初数" mulRef="_GBC_048773409e614c6bb753000b028316a5" unitRef="_GBC_5214b7a188334da286fc3038d017d072" addr="T2R5C8S1_1" formatStyle="Comma">
          <m:axisValue occRef="母公司"/>
        </m:item>
        <m:item xlName="_GBC_58529cea90a5428a8a18b7de60847df0" concept="clcid-pte:QianQiChaCuoGengZhengDaoZhiYingYuGongJiBianDongJinE" label="前期差错更正导致盈余公积变动金额" periodRef="本期期初数" mulRef="_GBC_048773409e614c6bb753000b028316a5" unitRef="_GBC_5214b7a188334da286fc3038d017d072" addr="T2R5C9S1_1" formatStyle="Comma">
          <m:axisValue occRef="母公司"/>
        </m:item>
        <m:item xlName="_GBC_d852a19ca6804da6b1133b550e243e77" concept="clcid-pte:QianQiChaCuoGengZhengDaoZhiWeiFenPeiLiRunBianDongJinE" label="前期差错更正导致未分配利润变动金额" periodRef="本期期初数" mulRef="_GBC_048773409e614c6bb753000b028316a5" unitRef="_GBC_5214b7a188334da286fc3038d017d072" addr="T2R5C10S1_1" formatStyle="Comma">
          <m:axisValue occRef="母公司"/>
        </m:item>
        <m:item xlName="_GBC_4a12c1ecf41c4171bfe14446ef7af394" concept="clcid-pte:QianQiChaCuoGengZhengDaoZhiGuDongQuanYiHeJiBianDongJinE" label="前期差错更正导致股东权益合计变动金额" periodRef="本期期初数" mulRef="_GBC_048773409e614c6bb753000b028316a5" unitRef="_GBC_5214b7a188334da286fc3038d017d072" addr="T2R5C11S1_1" formatStyle="Comma">
          <m:axisValue occRef="母公司"/>
        </m:item>
        <m:placeholder xlName="_PLD_dc9b9aaf7e384b1eae7dcabb517c2b1e" wordText="其他" indent="200" addr="T2R6C0S1_1"/>
        <m:item xlName="_GBC_a4e50167b0234173b1e047cdce723fcf" concept="clcid-pte:QiTaZhuiSuTiaoZhengDaoZhiShiShouZiBenBianDongJinE" label="实收资本变动金额（其他追溯调整）" periodRef="本期期初数" mulRef="_GBC_048773409e614c6bb753000b028316a5" unitRef="_GBC_5214b7a188334da286fc3038d017d072" addr="T2R6C1S1_1" formatStyle="Comma">
          <m:axisValue occRef="母公司"/>
        </m:item>
        <m:item xlName="_GBC_b20c116230be4667a5054a719ba106a9" concept="clcid-pte:YouXianGuBianDongJinEQiTaZhuiSuDiaoZheng" label="优先股变动金额（其他追溯调整）" periodRef="本期期初数" mulRef="_GBC_048773409e614c6bb753000b028316a5" unitRef="_GBC_5214b7a188334da286fc3038d017d072" addr="T2R6C2S1_1" formatStyle="Comma">
          <m:axisValue occRef="母公司"/>
        </m:item>
        <m:item xlName="_GBC_b050b7d154134645b725462d713936e9" concept="clcid-pte:YongXuZhaiBianDongJinEQiTaZhuiSuDiaoZheng" label="永续债变动金额（其他追溯调整）" periodRef="本期期初数" mulRef="_GBC_048773409e614c6bb753000b028316a5" unitRef="_GBC_5214b7a188334da286fc3038d017d072" addr="T2R6C3S1_1" formatStyle="Comma">
          <m:axisValue occRef="母公司"/>
        </m:item>
        <m:item xlName="_GBC_67c49c05a94d45a39f5a6d2db97c0ecf" concept="clcid-pte:QiTaQuanYiGongJuZhongDeQiTaBianDongJinEQiTaZhuiSuDiaoZheng" label="其他权益工具中的其他变动金额（其他追溯调整）" periodRef="本期期初数" mulRef="_GBC_048773409e614c6bb753000b028316a5" unitRef="_GBC_5214b7a188334da286fc3038d017d072" addr="T2R6C4S1_1" formatStyle="Comma">
          <m:axisValue occRef="母公司"/>
        </m:item>
        <m:item xlName="_GBC_addef84ef97b49f69c8539767a5ced3e" concept="clcid-pte:QiTaZhuiSuTiaoZhengDaoZhiZiBenGongJiBianDongJinE" label="资本公积变动金额（其他追溯调整）" periodRef="本期期初数" mulRef="_GBC_048773409e614c6bb753000b028316a5" unitRef="_GBC_5214b7a188334da286fc3038d017d072" addr="T2R6C5S1_1" formatStyle="Comma">
          <m:axisValue occRef="母公司"/>
        </m:item>
        <m:item xlName="_GBC_0876a4a3903e42468a38c4f7f12b4707" concept="clcid-pte:QiTaZhuiSuTiaoZhengDaoZhiKuCunGuBianDongJinE" label="库存股变动金额（其他追溯调整）" periodRef="本期期初数" mulRef="_GBC_048773409e614c6bb753000b028316a5" unitRef="_GBC_5214b7a188334da286fc3038d017d072" addr="T2R6C6S1_1" baseScale="-1" formatStyle="Comma">
          <m:axisValue occRef="母公司"/>
        </m:item>
        <m:item xlName="_GBC_7989400e56554a8984bc4146fdf22a1b" concept="clcid-pte:QiTaZongHeShouYiBianDongJinEQiTaZhuiSuDiaoZheng" label="其他综合收益变动金额（其他追溯调整）" periodRef="本期期初数" mulRef="_GBC_048773409e614c6bb753000b028316a5" unitRef="_GBC_5214b7a188334da286fc3038d017d072" addr="T2R6C7S1_1" formatStyle="Comma">
          <m:axisValue occRef="母公司"/>
        </m:item>
        <m:item xlName="_GBC_f73e1ad0c9854d45b725bb22006b66dc" concept="clcid-pte:QiTaZhuiSuTiaoZhengDaoZhiZhuanXiangChuBeiBianDongJinE" label="专项储备变动金额（其他追溯调整）" periodRef="本期期初数" mulRef="_GBC_048773409e614c6bb753000b028316a5" unitRef="_GBC_5214b7a188334da286fc3038d017d072" addr="T2R6C8S1_1" formatStyle="Comma">
          <m:axisValue occRef="母公司"/>
        </m:item>
        <m:item xlName="_GBC_1e9945ade30742d7a98de3c11d756e09" concept="clcid-pte:QiTaZhuiSuTiaoZhengDaoZhiYingYuGongJiBianDongJinE" label="盈余公积变动金额（其他追溯调整）" periodRef="本期期初数" mulRef="_GBC_048773409e614c6bb753000b028316a5" unitRef="_GBC_5214b7a188334da286fc3038d017d072" addr="T2R6C9S1_1" formatStyle="Comma">
          <m:axisValue occRef="母公司"/>
        </m:item>
        <m:item xlName="_GBC_242b1b9d90284b4c9697a19e2b6327ae" concept="clcid-pte:QiTaZhuiSuTiaoZhengDaoZhiWeiFenPeiLiRunBianDongJinE" label="未分配利润变动金额（其他追溯调整）" periodRef="本期期初数" mulRef="_GBC_048773409e614c6bb753000b028316a5" unitRef="_GBC_5214b7a188334da286fc3038d017d072" addr="T2R6C10S1_1" formatStyle="Comma">
          <m:axisValue occRef="母公司"/>
        </m:item>
        <m:item xlName="_GBC_30dc8108177841619e48d3c1420b4bcd" concept="clcid-pte:QiTaZhuiSuTiaoZhengDaoZhiGuDongQuanYiBianDongJinE" label="股东权益变动金额（其他追溯调整）" periodRef="本期期初数" mulRef="_GBC_048773409e614c6bb753000b028316a5" unitRef="_GBC_5214b7a188334da286fc3038d017d072" addr="T2R6C11S1_1" formatStyle="Comma">
          <m:axisValue occRef="母公司"/>
        </m:item>
        <m:placeholder xlName="_PLD_345919472b384d0eb13471ef5f2f5e92" wordText="二、本年期初余额" addr="T2R7C0S1_1"/>
        <m:item xlName="_GBC_85a6da49b03246b7abdc941be9570cba" concept="clcid-pte:GuBen" label="股本" periodRef="本期期初数" mulRef="_GBC_048773409e614c6bb753000b028316a5" unitRef="_GBC_5214b7a188334da286fc3038d017d072" addr="T2R7C1S1_1" formatStyle="Comma">
          <m:complexRule comparator="Eq" title="母公司股本@本期期初数" test=" $_GBC_cc625cf898204a919461d4578243eef7 +  $_GBC_42cf02b25c1d4f5ea3574d5fb4ed5e49 +  $_GBC_56b3e92bb36145f78e2377f60b4c06b7 +  $_GBC_a4e50167b0234173b1e047cdce723fcf" id="C36530b45b306424da5289597d0d4a5cf"/>
          <m:axisValue occRef="母公司"/>
        </m:item>
        <m:item xlName="_GBC_dccc9a57aaba41a881b16ea5df208c0d" concept="clcid-pte:QiTaQuanYiGongJuQiZhongYouXianGu" label="其他权益工具-其中：优先股" periodRef="本期期初数" mulRef="_GBC_048773409e614c6bb753000b028316a5" unitRef="_GBC_5214b7a188334da286fc3038d017d072" addr="T2R7C2S1_1" formatStyle="Comma">
          <m:complexRule comparator="Eq" title="母公司其他权益工具-其中：优先股@本期期初数" test=" $_GBC_fdb89b10340b4c258db06f241229201f +  $_GBC_87ebf33c3b1c454f8dde54b2d7b59428 +  $_GBC_893b147b48ba44f08045e2630c9956ad +  $_GBC_b20c116230be4667a5054a719ba106a9" id="C0d56876495794502a75e27390108e9cb"/>
          <m:axisValue occRef="母公司"/>
        </m:item>
        <m:item xlName="_GBC_3eb2a851039343f198cfa8fc00a422eb" concept="clcid-pte:QiTaQuanYiGongJuYongXuZhai" label="其他权益工具-永续债" periodRef="本期期初数" mulRef="_GBC_048773409e614c6bb753000b028316a5" unitRef="_GBC_5214b7a188334da286fc3038d017d072" addr="T2R7C3S1_1" formatStyle="Comma">
          <m:complexRule comparator="Eq" title="母公司其他权益工具-永续债@本期期初数" test=" $_GBC_07d105c6f1c1416ca3fd6df57b2b2f12 +  $_GBC_dffe6871d62645dcab0d6ede5c12c9ed +  $_GBC_4475808d26dd4f6184d7ed8cff00f9e4 +  $_GBC_b050b7d154134645b725462d713936e9" id="C653a5d17ff1d4d7fb976989fff05dfc7"/>
          <m:axisValue occRef="母公司"/>
        </m:item>
        <m:item xlName="_GBC_06ba62c1f35e4dd18f1a1c059e918481" concept="clcid-pte:QiTaQuanYiGongJuQiTa" label="其他权益工具-其他" periodRef="本期期初数" mulRef="_GBC_048773409e614c6bb753000b028316a5" unitRef="_GBC_5214b7a188334da286fc3038d017d072" addr="T2R7C4S1_1" formatStyle="Comma">
          <m:complexRule comparator="Eq" title="母公司其他权益工具-其他@本期期初数" test=" $_GBC_386146902ff8485ba3c6c9d718c71576 +  $_GBC_2361def70b0c4b59a4b0d6a3c2f89ed1 +  $_GBC_29aaf13003fe4c1e9785635e73bed9ce +  $_GBC_67c49c05a94d45a39f5a6d2db97c0ecf" id="Cd732f9ae3a674738b503f69c0e35015e"/>
          <m:axisValue occRef="母公司"/>
        </m:item>
        <m:item xlName="_GBC_87cd6e71dfd74e1d80635635d6d499e2" concept="clcid-pte:ZiBenGongJi" label="资本公积" periodRef="本期期初数" mulRef="_GBC_048773409e614c6bb753000b028316a5" unitRef="_GBC_5214b7a188334da286fc3038d017d072" addr="T2R7C5S1_1" formatStyle="Comma">
          <m:complexRule comparator="Eq" title="母公司资本公积@本期期初数" test=" $_GBC_de8fb7bf082c45e0880256c003bc224a +  $_GBC_d71a6a60f98c428d87f9df73c8134349 +  $_GBC_184498442a114d1693b2cc6a823a3a7d +  $_GBC_addef84ef97b49f69c8539767a5ced3e" id="C8f76daa10cd44cc9a0b447b12bd7ab40"/>
          <m:axisValue occRef="母公司"/>
        </m:item>
        <m:item xlName="_GBC_114922bd5cad4e92ba6d225e29c2cbcc" concept="clcid-pte:KuCunGu" label="库存股" periodRef="本期期初数" mulRef="_GBC_048773409e614c6bb753000b028316a5" unitRef="_GBC_5214b7a188334da286fc3038d017d072" addr="T2R7C6S1_1" baseScale="-1" formatStyle="Comma" keyCode="abs" keyAction="108">
          <m:complexRule comparator="Eq" title="母公司库存股@本期期初数" test=" $_GBC_c3c4805dff0044f59a880539deb85270 +  $_GBC_e121f1b17ae245d8a3b2ab915e6dc29a +  $_GBC_560baab250d940f08ae6f2c2627eb8c3 +  $_GBC_0876a4a3903e42468a38c4f7f12b4707" id="C2a09503d9fe2418581c1edfe04a9f8a5"/>
          <m:axisValue occRef="母公司"/>
        </m:item>
        <m:item xlName="_GBC_0f6fcd7fbe464a35b4a293cab10be02b" concept="clcid-pte:QiTaZongHeShouYiZiChanFuZhaiBiaoXiangMu" label="其他综合收益（资产负债表项目）" periodRef="本期期初数" mulRef="_GBC_048773409e614c6bb753000b028316a5" unitRef="_GBC_5214b7a188334da286fc3038d017d072" addr="T2R7C7S1_1" formatStyle="Comma">
          <m:complexRule comparator="Eq" title="母公司其他综合收益（资产负债表项目）@本期期初数" test=" $_GBC_04b8c38c13634f59a03c45b91e6a2197 +  $_GBC_3aa0f4cb3fd24f17a2db6808f3f82d74 +  $_GBC_e1a35126a405468199aff67b2756d145 +  $_GBC_7989400e56554a8984bc4146fdf22a1b" id="C9f5d38dbc79845f684177f7df7d158fe"/>
          <m:axisValue occRef="母公司"/>
        </m:item>
        <m:item xlName="_GBC_b9de9b0acdaf45a8ba406572c22253ec" concept="clcid-pte:ZhuanXiangChuBei" label="专项储备" periodRef="本期期初数" mulRef="_GBC_048773409e614c6bb753000b028316a5" unitRef="_GBC_5214b7a188334da286fc3038d017d072" addr="T2R7C8S1_1" formatStyle="Comma">
          <m:complexRule comparator="Eq" title="母公司专项储备@本期期初数" test=" $_GBC_3e3192905f5e4e7fa65153abca247ee6 +  $_GBC_6b7d8a5d2abc4ef1bc671e165d780eed +  $_GBC_44166282a2da4958927cac26cb5adc9f +  $_GBC_f73e1ad0c9854d45b725bb22006b66dc" id="C967b77ae5adf47c387cf02ea22c43bc8"/>
          <m:axisValue occRef="母公司"/>
        </m:item>
        <m:item xlName="_GBC_c40ab025d2d441f2b2c94494e0d106ee" concept="clcid-pte:YingYuGongJi" label="盈余公积" periodRef="本期期初数" mulRef="_GBC_048773409e614c6bb753000b028316a5" unitRef="_GBC_5214b7a188334da286fc3038d017d072" addr="T2R7C9S1_1" formatStyle="Comma">
          <m:complexRule comparator="Eq" title="母公司盈余公积@本期期初数" test=" $_GBC_b314d612b70b41c58b60a84b8e96915b +  $_GBC_1b87389f7fa74712bb34bd031de8679d +  $_GBC_58529cea90a5428a8a18b7de60847df0 +  $_GBC_1e9945ade30742d7a98de3c11d756e09" id="C4ab247fb08364c7da30d36330323ac4b"/>
          <m:axisValue occRef="母公司"/>
        </m:item>
        <m:item xlName="_GBC_ffdbb6bb26a947938b38672ca5df4e68" concept="clcid-pte:WeiFenPeiLiRun" label="未分配利润" periodRef="本期期初数" mulRef="_GBC_048773409e614c6bb753000b028316a5" unitRef="_GBC_5214b7a188334da286fc3038d017d072" addr="T2R7C10S1_1" formatStyle="Comma">
          <m:complexRule comparator="Eq" title="母公司未分配利润@本期期初数" test=" $_GBC_03576e5b4c2c46179b503f63e6fe29e0 +  $_GBC_14bdacb8504c464eaf8712b0f4939a2f +  $_GBC_d852a19ca6804da6b1133b550e243e77 +  $_GBC_242b1b9d90284b4c9697a19e2b6327ae" id="C04e7872c0ce24a1692d6e0370555cd83"/>
          <m:axisValue occRef="母公司"/>
        </m:item>
        <m:item xlName="_GBC_437e9e5e45be47c2af464f3d199411f3" concept="clcid-pte:GuDongQuanYiHeJi" label="股东权益合计" periodRef="本期期初数" mulRef="_GBC_048773409e614c6bb753000b028316a5" unitRef="_GBC_5214b7a188334da286fc3038d017d072" addr="T2R7C11S1_1" formatStyle="Comma">
          <m:complexRule comparator="Eq" title="母公司股东权益合计@本期期初数" test=" $_GBC_3031f9c299ae4ba3b3b6f9d39dcd72ba +  $_GBC_72b6d96ffb154813a58db31263d56881 +  $_GBC_4a12c1ecf41c4171bfe14446ef7af394 +  $_GBC_30dc8108177841619e48d3c1420b4bcd" id="Ced03a79964164e19b829b51daddaac18"/>
          <m:axisValue occRef="母公司"/>
        </m:item>
        <m:placeholder xlName="_PLD_4eea4cc259884a6ab5f2fe018aec3d4e" wordText="三、本期增减变动金额（减少以“－”号填列）" addr="T2R8C0S1_1"/>
        <m:item xlName="_GBC_2485e08cb32d450a85efe22a3aa4da7b" concept="clcid-pte:ShiShouZiBenHuoGuBenJingEZengJianBianDongJinE" label="实收资本（或股本）净额增减变动金额" mulRef="_GBC_048773409e614c6bb753000b028316a5" unitRef="_GBC_5214b7a188334da286fc3038d017d072" addr="T2R8C1S1_1" formatStyle="Comma">
          <m:complexRule comparator="Eq" title="母公司实收资本（或股本）净额增减变动金额" test=" $_GBC_bafb887362134f71bc6ea7bf1a56e135 +  $_GBC_53124b0abc94408586386dcf21742d7d +  $_GBC_cbb7211cf05f40dfa328fabcaf4451ac +  $_GBC_f283c649fc1342198eff95dfe47a3805 +  $_GBC_2cbca74f80a744339bc2c82ccb3a5682 +  $_GBC_7c98f87bd16e47478f964cb740105704" id="C299bca0ea5094f2eb8f9c197106c9414"/>
          <m:axisValue occRef="母公司"/>
        </m:item>
        <m:item xlName="_GBC_f37d94262aab49bea3011e8de3bbd70f" concept="clcid-pte:QiTaQuanYiGongJuZhongDeYouXianGuZengJianBianDongJinE" label="其他权益工具中的优先股增减变动金额" mulRef="_GBC_048773409e614c6bb753000b028316a5" unitRef="_GBC_5214b7a188334da286fc3038d017d072" addr="T2R8C2S1_1" formatStyle="Comma">
          <m:complexRule comparator="Eq" title="母公司其他权益工具中的优先股增减变动金额" test=" $_GBC_bdb054bda43247959fdb490843b0dc7d +  $_GBC_04da6968053f4d92a694f8bbec91e45d +  $_GBC_7efc769dca144d748f3739c7952bb4b2 +  $_GBC_ef91efe5622b435aa7743a80121de833 +  $_GBC_ba1ea232086f49679eced5f9c476bd7d +  $_GBC_018b41c23e7440efae60bc74cd0e6ec1" id="C88d1742466fa47f6ab5a56258a299116"/>
          <m:axisValue occRef="母公司"/>
        </m:item>
        <m:item xlName="_GBC_fafb0b1b1d4b4b86ae4b5a9775402762" concept="clcid-pte:QiTaQuanYiGongJuZhongDeYongXuZhaiZengJianBianDongJinE" label="其他权益工具中的永续债增减变动金额" mulRef="_GBC_048773409e614c6bb753000b028316a5" unitRef="_GBC_5214b7a188334da286fc3038d017d072" addr="T2R8C3S1_1" formatStyle="Comma">
          <m:complexRule comparator="Eq" title="母公司其他权益工具中的永续债增减变动金额" test=" $_GBC_515f56f9ceb0425db3fc55587a878fe4 +  $_GBC_d8069e8e7ea94d5797a9d75fe2bc95b9 +  $_GBC_5490806b7ea342d6b7c3431d90cb5a5e +  $_GBC_4ac9c71994ac4ff799a55b82157015cb +  $_GBC_16754af9da4b47f2b1cc38d7856d8f8b +  $_GBC_964e15418f9e4ee9867ccd2056b9e409" id="C8291973eac6d42f99b152707146b9755"/>
          <m:axisValue occRef="母公司"/>
        </m:item>
        <m:item xlName="_GBC_764625b02cd94860af03adbd1c11a630" concept="clcid-pte:QiTaQuanYiGongJuZhongDeQiTaZengJianBianDongJinE" label="其他权益工具中的其他增减变动金额" mulRef="_GBC_048773409e614c6bb753000b028316a5" unitRef="_GBC_5214b7a188334da286fc3038d017d072" addr="T2R8C4S1_1" formatStyle="Comma">
          <m:complexRule comparator="Eq" title="母公司其他权益工具中的其他增减变动金额" test=" $_GBC_a55b7822b9ec430089892d845619c2a5 +  $_GBC_9f00dd6a190642b3b64721e10ebab6cb +  $_GBC_d54c713a1a36439d871e50b06644a07d +  $_GBC_f272c4ee43e34fa49fb65c1fea08629f +  $_GBC_96f1f37c2ebe4120bdb43159f84fc442 +  $_GBC_49bf533919214ab7bc94515751717793" id="C933b1d9c8a18492ca3086a1692286db9"/>
          <m:axisValue occRef="母公司"/>
        </m:item>
        <m:item xlName="_GBC_c44fedef97fd45b4900be8773a750464" concept="clcid-pte:ZiBenGongJiZengJianBianDongJinE" label="资本公积增减变动金额" mulRef="_GBC_048773409e614c6bb753000b028316a5" unitRef="_GBC_5214b7a188334da286fc3038d017d072" addr="T2R8C5S1_1" formatStyle="Comma">
          <m:complexRule comparator="Eq" title="母公司资本公积增减变动金额" test=" $_GBC_539884210628448b927f8a942713a833 +  $_GBC_1148945afee64297a169f2ac8b8cb89e +  $_GBC_68ab5139b8ff40ac80a4db45813c9477 +  $_GBC_0f6acc3ef97c4ecbbcfb5086e2d5da4f +  $_GBC_c971cbdcb4e7450ab76accb648f822a9 +  $_GBC_f6814972acb040cb8f8ce2db97e4c74f" id="Cd12576c64e37428f8e7ab3c3c1b645ff"/>
          <m:axisValue occRef="母公司"/>
        </m:item>
        <m:item xlName="_GBC_700156d9f1474bc8939b7e2126fc4b2d" concept="clcid-pte:KuCunGuZengJianBianDongJinE" label="库存股增减变动金额" mulRef="_GBC_048773409e614c6bb753000b028316a5" unitRef="_GBC_5214b7a188334da286fc3038d017d072" addr="T2R8C6S1_1" baseScale="-1" formatStyle="Comma">
          <m:complexRule comparator="Eq" title="母公司库存股增减变动金额" test=" $_GBC_3fb671fe204548e2a581048005b70e18 +  $_GBC_e2cd97163583414dba53674ff5b486c2 +  $_GBC_feafb3a59f2b4afaa0aa20611608ab05 +  $_GBC_0d9772d823c6492e8371be725cb8f5c2 +  $_GBC_08f333e1ae844c698c8198354620896b +  $_GBC_d3d5c9dbddbf4eb58b8734a6dc4a2589" id="C07f6ab1c094e486ca7a62ddbfeb33176"/>
          <m:axisValue occRef="母公司"/>
        </m:item>
        <m:item xlName="_GBC_10a50e00f7bc44ec8347b7b66f7414d2" concept="clcid-pte:QiTaZongHeShouYiZengJianBianDongJinE" label="其他综合收益增减变动金额" mulRef="_GBC_048773409e614c6bb753000b028316a5" unitRef="_GBC_5214b7a188334da286fc3038d017d072" addr="T2R8C7S1_1" formatStyle="Comma">
          <m:complexRule comparator="Eq" title="母公司其他综合收益增减变动金额" test=" $_GBC_1eb836189e4f4076a0c58969a56cb56f +  $_GBC_99a0fee938134a7e8f8935c722e5264f +  $_GBC_a4ae582c163a407bbe913ee1800bb956 +  $_GBC_05d4a4b3c8a74bbaa40c911fb4960c78 +  $_GBC_7aefe5a89f7941afba1423447c04e7b7 +  $_GBC_d28c4273adaa462489c3b6fc95c1fef7" id="C7a563c43bdbe4739a632aaefccf658d8"/>
          <m:axisValue occRef="母公司"/>
        </m:item>
        <m:item xlName="_GBC_9cf0737ee22247338dc303d03d64f6b4" concept="clcid-pte:ZhuanXiangChuBeiZengJianBianDongJinE" label="专项储备增减变动金额" mulRef="_GBC_048773409e614c6bb753000b028316a5" unitRef="_GBC_5214b7a188334da286fc3038d017d072" addr="T2R8C8S1_1" formatStyle="Comma">
          <m:complexRule comparator="Eq" title="母公司专项储备增减变动金额" test=" $_GBC_6134b274d09046249a60a70dd8187853 +  $_GBC_9d50d198419d4c6db3293a235197aa32 +  $_GBC_c4d7d58fa145478690e9e4209a44b3aa +  $_GBC_0b9cda03d7654088aaa463ecda825ec7 +  $_GBC_b20f61c7bfab4a5a92fc287469774e41 +  $_GBC_78ce8b687a624a4a8faf3d358624042b" id="Cd76a1807528e4ae4bed805d7ba7c516f"/>
          <m:axisValue occRef="母公司"/>
        </m:item>
        <m:item xlName="_GBC_80cd41b0fb664a6e967663873f0e2fa7" concept="clcid-pte:YingYuGongJiZengJianBianDongJinE" label="盈余公积增减变动金额" mulRef="_GBC_048773409e614c6bb753000b028316a5" unitRef="_GBC_5214b7a188334da286fc3038d017d072" addr="T2R8C9S1_1" formatStyle="Comma">
          <m:complexRule comparator="Eq" title="母公司盈余公积增减变动金额" test=" $_GBC_645716e9fd3e497a81a47f886522e214 +  $_GBC_a174ff1aaa75414ca2e158d78f744d3d +  $_GBC_a0349cbf8a064523a3b3dee7665a041e +  $_GBC_6462d048d6314f59bcaa1c66b7df4d48 +  $_GBC_d5f93c8d0480464ebd1ced2fce559cdd +  $_GBC_4bbf8246a8b54d4983e9cf776f7f1283" id="Cb2421ba1d50d4c64b6b26a3e21f4c9a3"/>
          <m:axisValue occRef="母公司"/>
        </m:item>
        <m:item xlName="_GBC_61d10a7845be4be1b7583a44f08f6dd8" concept="clcid-pte:WeiFenPeiLiRunZengJianBianDongJinE" label="未分配利润增减变动金额" mulRef="_GBC_048773409e614c6bb753000b028316a5" unitRef="_GBC_5214b7a188334da286fc3038d017d072" addr="T2R8C10S1_1" formatStyle="Comma">
          <m:complexRule comparator="Eq" title="母公司未分配利润增减变动金额" test=" $_GBC_2e12858fa16b42059ad0fda66e2eaeb0 +  $_GBC_820c892f101943bd807c5af51955ffd4 +  $_GBC_cba52aa78ab34012b0a801d66eb8a2e2 +  $_GBC_f46d5e57a018475f8082fc51dd15e49e +  $_GBC_2e8bc48548d041e6ac139f8ff05dab4e +  $_GBC_8f083dff6a524622ae71c02b51f6181b" id="C633ee37e327e4aae8a24456a12311dd8"/>
          <m:axisValue occRef="母公司"/>
        </m:item>
        <m:item xlName="_GBC_dd44f39ad16c493489dd5f338f6b2e42" concept="clcid-pte:GuDongQuanYiHeJiZengJianBianDongJinE" label="股东权益合计增减变动金额" mulRef="_GBC_048773409e614c6bb753000b028316a5" unitRef="_GBC_5214b7a188334da286fc3038d017d072" addr="T2R8C11S1_1" formatStyle="Comma">
          <m:complexRule comparator="Eq" title="母公司股东权益合计增减变动金额" test=" $_GBC_8da94b7e0cbc4da6a8df2743bfcbfcfe +  $_GBC_3a6bf7d4c5fe48f19485439583e14c69 +  $_GBC_dd847f4c5b6446e4ad29a7717e967fe4 +  $_GBC_782b87c6adc54716910c267017ad800a +  $_GBC_edde1be052f04992b611b072eec8d60b +  $_GBC_48a420d2abcf4babbfd864619f365e6e" id="C93e0e6598f614435a473bd83eaed513a"/>
          <m:axisValue occRef="母公司"/>
        </m:item>
        <m:placeholder xlName="_PLD_c2eb317db9474ea9b9513a40ba81d9f7" wordText="（一）综合收益总额" addr="T2R9C0S1_1"/>
        <m:item xlName="_GBC_bafb887362134f71bc6ea7bf1a56e135" concept="clcid-pte:ZongHeShouYiZongEDaoZhiGuBenBianDongJinE" label="综合收益总额导致股本变动金额" mulRef="_GBC_048773409e614c6bb753000b028316a5" unitRef="_GBC_5214b7a188334da286fc3038d017d072" addr="T2R9C1S1_1" formatStyle="Comma">
          <m:axisValue occRef="母公司"/>
        </m:item>
        <m:item xlName="_GBC_bdb054bda43247959fdb490843b0dc7d" concept="clcid-pte:ZongHeShouYiZongEDaoZhiYouXianGuBianDongJinE" label="综合收益总额导致优先股变动金额" mulRef="_GBC_048773409e614c6bb753000b028316a5" unitRef="_GBC_5214b7a188334da286fc3038d017d072" addr="T2R9C2S1_1" formatStyle="Comma">
          <m:axisValue occRef="母公司"/>
        </m:item>
        <m:item xlName="_GBC_515f56f9ceb0425db3fc55587a878fe4" concept="clcid-pte:ZongHeShouYiZongEDaoZhiYongXuZhaiBianDongJinE" label="综合收益总额导致永续债变动金额" mulRef="_GBC_048773409e614c6bb753000b028316a5" unitRef="_GBC_5214b7a188334da286fc3038d017d072" addr="T2R9C3S1_1" formatStyle="Comma">
          <m:axisValue occRef="母公司"/>
        </m:item>
        <m:item xlName="_GBC_a55b7822b9ec430089892d845619c2a5" concept="clcid-pte:ZongHeShouYiZongEDaoZhiQiTaQuanYiGongJuZhongDeQiTaBianDongJinE" label="综合收益总额导致其他权益工具中的其他变动金额" mulRef="_GBC_048773409e614c6bb753000b028316a5" unitRef="_GBC_5214b7a188334da286fc3038d017d072" addr="T2R9C4S1_1" formatStyle="Comma">
          <m:axisValue occRef="母公司"/>
        </m:item>
        <m:item xlName="_GBC_f6814972acb040cb8f8ce2db97e4c74f" concept="clcid-pte:ZongHeShouYiZongEDaoZhiZiBenGongJiBianDongJinE" label="综合收益总额导致资本公积变动金额" mulRef="_GBC_048773409e614c6bb753000b028316a5" unitRef="_GBC_5214b7a188334da286fc3038d017d072" addr="T2R9C5S1_1" formatStyle="Comma">
          <m:axisValue occRef="母公司"/>
        </m:item>
        <m:item xlName="_GBC_3fb671fe204548e2a581048005b70e18" concept="clcid-pte:ZongHeShouYiZongEDaoZhiKuCunGuBianDongJinE" label="综合收益总额导致库存股变动金额" mulRef="_GBC_048773409e614c6bb753000b028316a5" unitRef="_GBC_5214b7a188334da286fc3038d017d072" addr="T2R9C6S1_1" baseScale="-1" formatStyle="Comma">
          <m:axisValue occRef="母公司"/>
        </m:item>
        <m:item xlName="_GBC_1eb836189e4f4076a0c58969a56cb56f" concept="clcid-pte:ZongHeShouYiZongEDaoZhiQiTaZongHeShouYiBianDongJinE" label="综合收益总额导致其他综合收益变动金额" mulRef="_GBC_048773409e614c6bb753000b028316a5" unitRef="_GBC_5214b7a188334da286fc3038d017d072" addr="T2R9C7S1_1" formatStyle="Comma">
          <m:axisValue occRef="母公司"/>
        </m:item>
        <m:item xlName="_GBC_6134b274d09046249a60a70dd8187853" concept="clcid-pte:ZongHeShouYiZongEDaoZhiZhuanXiangChuBeiBianDongJinE" label="综合收益总额导致专项储备变动金额" mulRef="_GBC_048773409e614c6bb753000b028316a5" unitRef="_GBC_5214b7a188334da286fc3038d017d072" addr="T2R9C8S1_1" formatStyle="Comma">
          <m:axisValue occRef="母公司"/>
        </m:item>
        <m:item xlName="_GBC_645716e9fd3e497a81a47f886522e214" concept="clcid-pte:ZongHeShouYiZongEDaoZhiYingYuGongJiBianDongJinE" label="综合收益总额导致盈余公积变动金额" mulRef="_GBC_048773409e614c6bb753000b028316a5" unitRef="_GBC_5214b7a188334da286fc3038d017d072" addr="T2R9C9S1_1" formatStyle="Comma">
          <m:axisValue occRef="母公司"/>
        </m:item>
        <m:item xlName="_GBC_2e12858fa16b42059ad0fda66e2eaeb0" concept="clcid-pte:ZongHeShouYiZongEDaoZhiWeiFenPeiLiRunBianDongJinE" label="综合收益总额导致未分配利润变动金额" mulRef="_GBC_048773409e614c6bb753000b028316a5" unitRef="_GBC_5214b7a188334da286fc3038d017d072" addr="T2R9C10S1_1" formatStyle="Comma">
          <m:axisValue occRef="母公司"/>
        </m:item>
        <m:item xlName="_GBC_8da94b7e0cbc4da6a8df2743bfcbfcfe" concept="clcid-pte:ZongHeShouYiZongEDaoZhiGuDongQuanYiHeJiBianDongJinE" label="综合收益总额导致股东权益合计变动金额" mulRef="_GBC_048773409e614c6bb753000b028316a5" unitRef="_GBC_5214b7a188334da286fc3038d017d072" addr="T2R9C11S1_1" formatStyle="Comma">
          <m:axisValue occRef="母公司"/>
        </m:item>
        <m:placeholder xlName="_PLD_2c2c42255e12419d81111ac5d28c5859" wordText="（二）所有者投入和减少资本" addr="T2R10C0S1_1"/>
        <m:item xlName="_GBC_53124b0abc94408586386dcf21742d7d" concept="clcid-pte:SuoYouZheTouRuHeJianShaoZiBenDaoZhiShiShouZiBenHuoGuBenJingEBianDongJinE" label="所有者投入和减少资本导致实收资本（或股本）净额变动金额" mulRef="_GBC_048773409e614c6bb753000b028316a5" unitRef="_GBC_5214b7a188334da286fc3038d017d072" addr="T2R10C1S1_1" formatStyle="Comma">
          <m:complexRule comparator="Eq" title="母公司所有者投入和减少资本导致实收资本（或股本）净额变动金额" test=" $_GBC_490095990527426baf8587ee9a80b89e +  $_GBC_53d1510778814016aedabaf43b88165a +  $_GBC_8fd7590c472b42288cf31c98f648a512 +  $_GBC_f0926c3fb9cd4d90a6c27bdedbd5bba5" id="C0fedace92b964cc79744cabb924df97d"/>
          <m:axisValue occRef="母公司"/>
        </m:item>
        <m:item xlName="_GBC_04da6968053f4d92a694f8bbec91e45d" concept="clcid-pte:SuoYouZheTouRuHeJianShaoZiBenDaoZhiQiTaQuanYiGongJuZhongDeYouXianGuBianDongJinE" label="所有者投入和减少资本导致其他权益工具中的优先股变动金额" mulRef="_GBC_048773409e614c6bb753000b028316a5" unitRef="_GBC_5214b7a188334da286fc3038d017d072" addr="T2R10C2S1_1" formatStyle="Comma">
          <m:complexRule comparator="Eq" title="母公司所有者投入和减少资本导致其他权益工具中的优先股变动金额" test=" $_GBC_f5e70db646614901a7e353dcb2d8c53a +  $_GBC_7a1c5425db4d40319251a50e3cd524fc +  $_GBC_84c12b77cc3a4d21b206751902c55f2d +  $_GBC_03f42a49598b4e549843b8e726fd0db0" id="C332143f4e6074807a9fd19a0bfcfdc94"/>
          <m:axisValue occRef="母公司"/>
        </m:item>
        <m:item xlName="_GBC_d8069e8e7ea94d5797a9d75fe2bc95b9" concept="clcid-pte:SuoYouZheTouRuHeJianShaoZiBenDaoZhiQiTaQuanYiGongJuZhongDeYongXuZhaiBianDongJinE" label="所有者投入和减少资本导致其他权益工具中的永续债变动金额" mulRef="_GBC_048773409e614c6bb753000b028316a5" unitRef="_GBC_5214b7a188334da286fc3038d017d072" addr="T2R10C3S1_1" formatStyle="Comma">
          <m:complexRule comparator="Eq" title="母公司所有者投入和减少资本导致其他权益工具中的永续债变动金额" test=" $_GBC_70005958a69a4990ba26b3db015a49a2 +  $_GBC_71fcaf6e93874898861549e63c168feb +  $_GBC_19dbec8f6b8b45ee86f9cb2df62e3072 +  $_GBC_debe77108b5948c4bc0a65bc2c02341c" id="C29a43f7841ab4963b91d6d3442ef8472"/>
          <m:axisValue occRef="母公司"/>
        </m:item>
        <m:item xlName="_GBC_9f00dd6a190642b3b64721e10ebab6cb" concept="clcid-pte:SuoYouZheTouRuHeJianShaoZiBenDaoZhiQiTaQuanYiGongJuZhongDeQiTaBianDongJinE" label="所有者投入和减少资本导致其他权益工具中的其他变动金额" mulRef="_GBC_048773409e614c6bb753000b028316a5" unitRef="_GBC_5214b7a188334da286fc3038d017d072" addr="T2R10C4S1_1" formatStyle="Comma">
          <m:complexRule comparator="Eq" title="母公司所有者投入和减少资本导致其他权益工具中的其他变动金额" test=" $_GBC_a7ea1bb4838b4d1d93b44ab95a14b8d3 +  $_GBC_d47e14ceca3844cdbee6002a26639ffc +  $_GBC_7d564e9554aa4b3c829678baf73a5546 +  $_GBC_b81e528fddf1412db8aaf48e58d880d4" id="C552da636d729472f99b3b7bb120e1e99"/>
          <m:axisValue occRef="母公司"/>
        </m:item>
        <m:item xlName="_GBC_539884210628448b927f8a942713a833" concept="clcid-pte:SuoYouZheTouRuHeJianShaoZiBenDaoZhiZiBenGongJiBianDongJinE" label="所有者投入和减少资本导致资本公积变动金额" mulRef="_GBC_048773409e614c6bb753000b028316a5" unitRef="_GBC_5214b7a188334da286fc3038d017d072" addr="T2R10C5S1_1" formatStyle="Comma">
          <m:complexRule comparator="Eq" title="母公司所有者投入和减少资本导致资本公积变动金额" test=" $_GBC_c965bb4aa5f34cfb899ffb8a080a2c50 +  $_GBC_c2d517986e6445ca8dbb27d2fad0f18e +  $_GBC_5a0fe7bc619f4f738cc43a7d0090929f +  $_GBC_9a5faea965394aa18d5cc4a5fba00ffd" id="Cedaf99d17b5c4f2db48692dffc15275d"/>
          <m:axisValue occRef="母公司"/>
        </m:item>
        <m:item xlName="_GBC_e2cd97163583414dba53674ff5b486c2" concept="clcid-pte:SuoYouZheTouRuHeJianShaoZiBenDaoZhiKuCunGuBianDongJinE" label="所有者投入和减少资本导致库存股变动金额" mulRef="_GBC_048773409e614c6bb753000b028316a5" unitRef="_GBC_5214b7a188334da286fc3038d017d072" addr="T2R10C6S1_1" baseScale="-1" formatStyle="Comma">
          <m:complexRule comparator="Eq" title="母公司所有者投入和减少资本导致库存股变动金额" test=" $_GBC_e7ad749d698c40079ec08a98a0ad229b +  $_GBC_f813a28e7dfe42b5aaf6e002a8757e07 +  $_GBC_f517a56d61e64041b4e883267b43adae +  $_GBC_b90c309f04884e9988b47bb98249f2de" id="Ccf34cd3fdcdb4d5f89df56e056d581d8"/>
          <m:axisValue occRef="母公司"/>
        </m:item>
        <m:item xlName="_GBC_99a0fee938134a7e8f8935c722e5264f" concept="clcid-pte:SuoYouZheTouRuHeJianShaoZiBenDaoZhiQiTaZongHeShouYiBianDongJinE" label="所有者投入和减少资本导致其他综合收益变动金额" mulRef="_GBC_048773409e614c6bb753000b028316a5" unitRef="_GBC_5214b7a188334da286fc3038d017d072" addr="T2R10C7S1_1" formatStyle="Comma">
          <m:complexRule comparator="Eq" title="母公司所有者投入和减少资本导致其他综合收益变动金额" test=" $_GBC_8e9ad03ec6204f8da0f80e2b3890be27 +  $_GBC_76a1144f586948f3860f8326a6b0c752 +  $_GBC_dd7a15e33d304b4f96f31beb6a5dfe38 +  $_GBC_2b2322309d644f3ca704de4277ab5f3e" id="Ceb6143ffd98a4726ad7193a63f8149ba"/>
          <m:axisValue occRef="母公司"/>
        </m:item>
        <m:item xlName="_GBC_9d50d198419d4c6db3293a235197aa32" concept="clcid-pte:SuoYouZheTouRuHeJianShaoZiBenDaoZhiZhuanXiangChuBeiBianDongJinE" label="所有者投入和减少资本导致专项储备变动金额" mulRef="_GBC_048773409e614c6bb753000b028316a5" unitRef="_GBC_5214b7a188334da286fc3038d017d072" addr="T2R10C8S1_1" formatStyle="Comma">
          <m:complexRule comparator="Eq" title="母公司所有者投入和减少资本导致专项储备变动金额" test=" $_GBC_01beb63bab784be1a7d0837a6853205c +  $_GBC_aed16ca0e9ee4dd2b6f885fd1db1e57b +  $_GBC_846ae953547246858fa579f5558ab8c6 +  $_GBC_2344ce73ef7e4cf3bfc3bb6f1bbef86f" id="C8ad8c2fdff174461b900658d42ae31d9"/>
          <m:axisValue occRef="母公司"/>
        </m:item>
        <m:item xlName="_GBC_a174ff1aaa75414ca2e158d78f744d3d" concept="clcid-pte:SuoYouZheTouRuHeJianShaoZiBenDaoZhiYingYuGongJiBianDongJinE" label="所有者投入和减少资本导致盈余公积变动金额" mulRef="_GBC_048773409e614c6bb753000b028316a5" unitRef="_GBC_5214b7a188334da286fc3038d017d072" addr="T2R10C9S1_1" formatStyle="Comma">
          <m:complexRule comparator="Eq" title="母公司所有者投入和减少资本导致盈余公积变动金额" test=" $_GBC_77f8f27d66cc49108878e2cd0ecdafaa +  $_GBC_d6d225d958a842559f9699c692dfa508 +  $_GBC_7c251d346cfe47dab41d5e6b41c83bac +  $_GBC_a2b3dae456cb4e6ea136505703b2a062" id="C861ab033a6094c24ad075a01f4c8082f"/>
          <m:axisValue occRef="母公司"/>
        </m:item>
        <m:item xlName="_GBC_820c892f101943bd807c5af51955ffd4" concept="clcid-pte:SuoYouZheTouRuHeJianShaoZiBenDaoZhiWeiFenPeiLiRunBianDongJinE" label="所有者投入和减少资本导致未分配利润变动金额" mulRef="_GBC_048773409e614c6bb753000b028316a5" unitRef="_GBC_5214b7a188334da286fc3038d017d072" addr="T2R10C10S1_1" formatStyle="Comma">
          <m:complexRule comparator="Eq" title="母公司所有者投入和减少资本导致未分配利润变动金额" test=" $_GBC_5b914761e7034c97898c3ce2d6aa0b1b +  $_GBC_4490d9b66afa422389113eb0ca1135ad +  $_GBC_02cb2991c67447f3a17e6a57a6ed6c8a +  $_GBC_1dc61a1e42884168a980222bfbb01e5a" id="C2d30e007f78543faa6fb6aab1617ce96"/>
          <m:axisValue occRef="母公司"/>
        </m:item>
        <m:item xlName="_GBC_3a6bf7d4c5fe48f19485439583e14c69" concept="clcid-pte:SuoYouZheTouRuHeJianShaoZiBenDaoZhiGuDongQuanYiHeJiBianDongJinE" label="所有者投入和减少资本导致股东权益合计变动金额" mulRef="_GBC_048773409e614c6bb753000b028316a5" unitRef="_GBC_5214b7a188334da286fc3038d017d072" addr="T2R10C11S1_1" formatStyle="Comma">
          <m:complexRule comparator="Eq" title="母公司所有者投入和减少资本导致股东权益合计变动金额" test=" $_GBC_7b6a9b4c07b0446ea3be2542ddfa4a05 +  $_GBC_98492c21ebe94301aa20c939ba6cb861 +  $_GBC_e0cdc6f56f5643c5b68fd328dd85b1f0 +  $_GBC_7fb831404f46477bbc91b6f6f3a63509" id="C7c373ec2f30f4b27990d3552d120f595"/>
          <m:axisValue occRef="母公司"/>
        </m:item>
        <m:placeholder xlName="_PLD_ced9c335ab0c4ec8b683bd42730e309b" wordText="1．所有者投入的普通股" addr="T2R11C0S1_1"/>
        <m:item xlName="_GBC_490095990527426baf8587ee9a80b89e" concept="clcid-pte:GuDongTouRuDePuTongGuDaoZhiGuBenBianDongJinE" label="股东投入的普通股导致股本变动金额" mulRef="_GBC_048773409e614c6bb753000b028316a5" unitRef="_GBC_5214b7a188334da286fc3038d017d072" addr="T2R11C1S1_1" formatStyle="Comma">
          <m:axisValue occRef="母公司"/>
        </m:item>
        <m:item xlName="_GBC_f5e70db646614901a7e353dcb2d8c53a" concept="clcid-pte:GuDongTouRuDePuTongGuDaoZhiYouXianGuBianDongJinE" label="股东投入的普通股导致优先股变动金额" mulRef="_GBC_048773409e614c6bb753000b028316a5" unitRef="_GBC_5214b7a188334da286fc3038d017d072" addr="T2R11C2S1_1" formatStyle="Comma">
          <m:axisValue occRef="母公司"/>
        </m:item>
        <m:item xlName="_GBC_70005958a69a4990ba26b3db015a49a2" concept="clcid-pte:GuDongTouRuDePuTongGuDaoZhiYongXuZhaiBianDongJinE" label="股东投入的普通股导致永续债变动金额" mulRef="_GBC_048773409e614c6bb753000b028316a5" unitRef="_GBC_5214b7a188334da286fc3038d017d072" addr="T2R11C3S1_1" formatStyle="Comma">
          <m:axisValue occRef="母公司"/>
        </m:item>
        <m:item xlName="_GBC_a7ea1bb4838b4d1d93b44ab95a14b8d3" concept="clcid-pte:GuDongTouRuDePuTongGuDaoZhiQiTaQuanYiGongJuZhongDeQiTaBianDongJinE" label="股东投入的普通股导致其他权益工具中的其他变动金额" mulRef="_GBC_048773409e614c6bb753000b028316a5" unitRef="_GBC_5214b7a188334da286fc3038d017d072" addr="T2R11C4S1_1" formatStyle="Comma">
          <m:axisValue occRef="母公司"/>
        </m:item>
        <m:item xlName="_GBC_c965bb4aa5f34cfb899ffb8a080a2c50" concept="clcid-pte:GuDongTouRuDePuTongGuDaoZhiZiBenGongJiBianDongJinE" label="股东投入的普通股导致资本公积变动金额" mulRef="_GBC_048773409e614c6bb753000b028316a5" unitRef="_GBC_5214b7a188334da286fc3038d017d072" addr="T2R11C5S1_1" formatStyle="Comma">
          <m:axisValue occRef="母公司"/>
        </m:item>
        <m:item xlName="_GBC_e7ad749d698c40079ec08a98a0ad229b" concept="clcid-pte:GuDongTouRuDePuTongGuDaoZhiKuCunGuBianDongJinE" label="股东投入的普通股导致库存股变动金额" mulRef="_GBC_048773409e614c6bb753000b028316a5" unitRef="_GBC_5214b7a188334da286fc3038d017d072" addr="T2R11C6S1_1" baseScale="-1" formatStyle="Comma">
          <m:axisValue occRef="母公司"/>
        </m:item>
        <m:item xlName="_GBC_8e9ad03ec6204f8da0f80e2b3890be27" concept="clcid-pte:GuDongTouRuDePuTongGuDaoZhiQiTaZongHeShouYiBianDongJinE" label="股东投入的普通股导致其他综合收益变动金额" mulRef="_GBC_048773409e614c6bb753000b028316a5" unitRef="_GBC_5214b7a188334da286fc3038d017d072" addr="T2R11C7S1_1" formatStyle="Comma">
          <m:axisValue occRef="母公司"/>
        </m:item>
        <m:item xlName="_GBC_01beb63bab784be1a7d0837a6853205c" concept="clcid-pte:GuDongTouRuDePuTongGuDaoZhiZhuanXiangChuBeiBianDongJinE" label="股东投入的普通股导致专项储备变动金额" mulRef="_GBC_048773409e614c6bb753000b028316a5" unitRef="_GBC_5214b7a188334da286fc3038d017d072" addr="T2R11C8S1_1" formatStyle="Comma">
          <m:axisValue occRef="母公司"/>
        </m:item>
        <m:item xlName="_GBC_77f8f27d66cc49108878e2cd0ecdafaa" concept="clcid-pte:GuDongTouRuDePuTongGuDaoZhiYingYuGongJiBianDongJinE" label="股东投入的普通股导致盈余公积变动金额" mulRef="_GBC_048773409e614c6bb753000b028316a5" unitRef="_GBC_5214b7a188334da286fc3038d017d072" addr="T2R11C9S1_1" formatStyle="Comma">
          <m:axisValue occRef="母公司"/>
        </m:item>
        <m:item xlName="_GBC_5b914761e7034c97898c3ce2d6aa0b1b" concept="clcid-pte:GuDongTouRuDePuTongGuDaoZhiWeiFenPeiLiRunBianDongJinE" label="股东投入的普通股导致未分配利润变动金额" mulRef="_GBC_048773409e614c6bb753000b028316a5" unitRef="_GBC_5214b7a188334da286fc3038d017d072" addr="T2R11C10S1_1" formatStyle="Comma">
          <m:axisValue occRef="母公司"/>
        </m:item>
        <m:item xlName="_GBC_7b6a9b4c07b0446ea3be2542ddfa4a05" concept="clcid-pte:GuDongTouRuDePuTongGuDaoZhiGuDongQuanYiHeJiBianDongJinE" label="股东投入的普通股导致股东权益合计变动金额" mulRef="_GBC_048773409e614c6bb753000b028316a5" unitRef="_GBC_5214b7a188334da286fc3038d017d072" addr="T2R11C11S1_1" formatStyle="Comma">
          <m:axisValue occRef="母公司"/>
        </m:item>
        <m:placeholder xlName="_PLD_5db7714c048b45cb8fc2f783898126a2" wordText="2．其他权益工具持有者投入资本" addr="T2R12C0S1_1"/>
        <m:item xlName="_GBC_53d1510778814016aedabaf43b88165a" concept="clcid-pte:QiTaQuanYiGongJuChiYouZheTouRuZiBenDaoZhiGuBenBianDongJinE" label="其他权益工具持有者投入资本导致股本变动金额" mulRef="_GBC_048773409e614c6bb753000b028316a5" unitRef="_GBC_5214b7a188334da286fc3038d017d072" addr="T2R12C1S1_1" formatStyle="Comma">
          <m:axisValue occRef="母公司"/>
        </m:item>
        <m:item xlName="_GBC_7a1c5425db4d40319251a50e3cd524fc" concept="clcid-pte:QiTaQuanYiGongJuChiYouZheTouRuZiBenDaoZhiYouXianGuBianDongJinE" label="其他权益工具持有者投入资本导致优先股变动金额" mulRef="_GBC_048773409e614c6bb753000b028316a5" unitRef="_GBC_5214b7a188334da286fc3038d017d072" addr="T2R12C2S1_1" formatStyle="Comma">
          <m:axisValue occRef="母公司"/>
        </m:item>
        <m:item xlName="_GBC_71fcaf6e93874898861549e63c168feb" concept="clcid-pte:QiTaQuanYiGongJuChiYouZheTouRuZiBenDaoZhiYongXuZhaiBianDongJinE" label="其他权益工具持有者投入资本导致永续债变动金额" mulRef="_GBC_048773409e614c6bb753000b028316a5" unitRef="_GBC_5214b7a188334da286fc3038d017d072" addr="T2R12C3S1_1" formatStyle="Comma">
          <m:axisValue occRef="母公司"/>
        </m:item>
        <m:item xlName="_GBC_d47e14ceca3844cdbee6002a26639ffc" concept="clcid-pte:QiTaQuanYiGongJuChiYouZheTouRuZiBenDaoZhiQiTaQuanYiGongJuZhongDeQiTaBianDongJinE" label="其他权益工具持有者投入资本导致其他权益工具中的其他变动金额" mulRef="_GBC_048773409e614c6bb753000b028316a5" unitRef="_GBC_5214b7a188334da286fc3038d017d072" addr="T2R12C4S1_1" formatStyle="Comma">
          <m:axisValue occRef="母公司"/>
        </m:item>
        <m:item xlName="_GBC_c2d517986e6445ca8dbb27d2fad0f18e" concept="clcid-pte:QiTaQuanYiGongJuChiYouZheTouRuZiBenDaoZhiZiBenGongJiBianDongJinE" label="其他权益工具持有者投入资本导致资本公积变动金额" mulRef="_GBC_048773409e614c6bb753000b028316a5" unitRef="_GBC_5214b7a188334da286fc3038d017d072" addr="T2R12C5S1_1" formatStyle="Comma">
          <m:axisValue occRef="母公司"/>
        </m:item>
        <m:item xlName="_GBC_f813a28e7dfe42b5aaf6e002a8757e07" concept="clcid-pte:QiTaQuanYiGongJuChiYouZheTouRuZiBenDaoZhiKuCunGuBianDongJinE" label="其他权益工具持有者投入资本导致库存股变动金额" mulRef="_GBC_048773409e614c6bb753000b028316a5" unitRef="_GBC_5214b7a188334da286fc3038d017d072" addr="T2R12C6S1_1" baseScale="-1" formatStyle="Comma">
          <m:axisValue occRef="母公司"/>
        </m:item>
        <m:item xlName="_GBC_76a1144f586948f3860f8326a6b0c752" concept="clcid-pte:QiTaQuanYiGongJuChiYouZheTouRuZiBenDaoZhiQiTaZongHeShouYiBianDongJinE" label="其他权益工具持有者投入资本导致其他综合收益变动金额" mulRef="_GBC_048773409e614c6bb753000b028316a5" unitRef="_GBC_5214b7a188334da286fc3038d017d072" addr="T2R12C7S1_1" formatStyle="Comma">
          <m:axisValue occRef="母公司"/>
        </m:item>
        <m:item xlName="_GBC_aed16ca0e9ee4dd2b6f885fd1db1e57b" concept="clcid-pte:QiTaQuanYiGongJuChiYouZheTouRuZiBenDaoZhiZhuanXiangChuBeiBianDongJinE" label="其他权益工具持有者投入资本导致专项储备变动金额" mulRef="_GBC_048773409e614c6bb753000b028316a5" unitRef="_GBC_5214b7a188334da286fc3038d017d072" addr="T2R12C8S1_1" formatStyle="Comma">
          <m:axisValue occRef="母公司"/>
        </m:item>
        <m:item xlName="_GBC_d6d225d958a842559f9699c692dfa508" concept="clcid-pte:QiTaQuanYiGongJuChiYouZheTouRuZiBenDaoZhiYingYuGongJiBianDongJinE" label="其他权益工具持有者投入资本导致盈余公积变动金额" mulRef="_GBC_048773409e614c6bb753000b028316a5" unitRef="_GBC_5214b7a188334da286fc3038d017d072" addr="T2R12C9S1_1" formatStyle="Comma">
          <m:axisValue occRef="母公司"/>
        </m:item>
        <m:item xlName="_GBC_4490d9b66afa422389113eb0ca1135ad" concept="clcid-pte:QiTaQuanYiGongJuChiYouZheTouRuZiBenDaoZhiWeiFenPeiLiRunBianDongJinE" label="其他权益工具持有者投入资本导致未分配利润变动金额" mulRef="_GBC_048773409e614c6bb753000b028316a5" unitRef="_GBC_5214b7a188334da286fc3038d017d072" addr="T2R12C10S1_1" formatStyle="Comma">
          <m:axisValue occRef="母公司"/>
        </m:item>
        <m:item xlName="_GBC_98492c21ebe94301aa20c939ba6cb861" concept="clcid-pte:QiTaQuanYiGongJuChiYouZheTouRuZiBenDaoZhiGuDongQuanYiHeJiBianDongJinE" label="其他权益工具持有者投入资本导致股东权益合计变动金额" mulRef="_GBC_048773409e614c6bb753000b028316a5" unitRef="_GBC_5214b7a188334da286fc3038d017d072" addr="T2R12C11S1_1" formatStyle="Comma">
          <m:axisValue occRef="母公司"/>
        </m:item>
        <m:placeholder xlName="_PLD_0c8627dcaed14beabce3c3a65384cf01" wordText="3．股份支付计入所有者权益的金额" addr="T2R13C0S1_1"/>
        <m:item xlName="_GBC_8fd7590c472b42288cf31c98f648a512" concept="clcid-pte:GuFenZhiFuJiRuSuoYouZheQuanYiDeJinEDaoZhiShiShouZiBenHuoGuBenJingEBianDongJinE" label="股份支付计入所有者权益的金额导致实收资本（或股本）净额变动金额" mulRef="_GBC_048773409e614c6bb753000b028316a5" unitRef="_GBC_5214b7a188334da286fc3038d017d072" addr="T2R13C1S1_1" formatStyle="Comma">
          <m:axisValue occRef="母公司"/>
        </m:item>
        <m:item xlName="_GBC_84c12b77cc3a4d21b206751902c55f2d" concept="clcid-pte:GuFenZhiFuJiRuSuoYouZheQuanYiDeJinEDaoZhiQiTaQuanYiGongJuZhongDeYouXianGuBianDongJinE" label="股份支付计入所有者权益的金额导致其他权益工具中的优先股变动金额" mulRef="_GBC_048773409e614c6bb753000b028316a5" unitRef="_GBC_5214b7a188334da286fc3038d017d072" addr="T2R13C2S1_1" formatStyle="Comma">
          <m:axisValue occRef="母公司"/>
        </m:item>
        <m:item xlName="_GBC_19dbec8f6b8b45ee86f9cb2df62e3072" concept="clcid-pte:GuFenZhiFuJiRuSuoYouZheQuanYiDeJinEDaoZhiQiTaQuanYiGongJuZhongDeYongXuZhaiBianDongJinE" label="股份支付计入所有者权益的金额导致其他权益工具中的永续债变动金额" mulRef="_GBC_048773409e614c6bb753000b028316a5" unitRef="_GBC_5214b7a188334da286fc3038d017d072" addr="T2R13C3S1_1" formatStyle="Comma">
          <m:axisValue occRef="母公司"/>
        </m:item>
        <m:item xlName="_GBC_7d564e9554aa4b3c829678baf73a5546" concept="clcid-pte:GuFenZhiFuJiRuSuoYouZheQuanYiDeJinEDaoZhiQiTaQuanYiGongJuZhongDeQiTaBianDongJinE" label="股份支付计入所有者权益的金额导致其他权益工具中的其他变动金额" mulRef="_GBC_048773409e614c6bb753000b028316a5" unitRef="_GBC_5214b7a188334da286fc3038d017d072" addr="T2R13C4S1_1" formatStyle="Comma">
          <m:axisValue occRef="母公司"/>
        </m:item>
        <m:item xlName="_GBC_5a0fe7bc619f4f738cc43a7d0090929f" concept="clcid-pte:GuFenZhiFuJiRuSuoYouZheQuanYiDeJinEDaoZhiZiBenGongJiBianDongJinE" label="股份支付计入所有者权益的金额导致资本公积变动金额" mulRef="_GBC_048773409e614c6bb753000b028316a5" unitRef="_GBC_5214b7a188334da286fc3038d017d072" addr="T2R13C5S1_1" formatStyle="Comma">
          <m:axisValue occRef="母公司"/>
        </m:item>
        <m:item xlName="_GBC_f517a56d61e64041b4e883267b43adae" concept="clcid-pte:GuFenZhiFuJiRuSuoYouZheQuanYiDeJinEDaoZhiKuCunGuBianDongJinE" label="股份支付计入所有者权益的金额导致库存股变动金额" mulRef="_GBC_048773409e614c6bb753000b028316a5" unitRef="_GBC_5214b7a188334da286fc3038d017d072" addr="T2R13C6S1_1" baseScale="-1" formatStyle="Comma">
          <m:axisValue occRef="母公司"/>
        </m:item>
        <m:item xlName="_GBC_dd7a15e33d304b4f96f31beb6a5dfe38" concept="clcid-pte:GuFenZhiFuJiRuSuoYouZheQuanYiDeJinEDaoZhiQiTaZongHeShouYiBianDongJinE" label="股份支付计入所有者权益的金额导致其他综合收益变动金额" mulRef="_GBC_048773409e614c6bb753000b028316a5" unitRef="_GBC_5214b7a188334da286fc3038d017d072" addr="T2R13C7S1_1" formatStyle="Comma">
          <m:axisValue occRef="母公司"/>
        </m:item>
        <m:item xlName="_GBC_846ae953547246858fa579f5558ab8c6" concept="clcid-pte:GuFenZhiFuJiRuSuoYouZheQuanYiDeJinEDaoZhiZhuanXiangChuBeiBianDongJinE" label="股份支付计入所有者权益的金额导致专项储备变动金额" mulRef="_GBC_048773409e614c6bb753000b028316a5" unitRef="_GBC_5214b7a188334da286fc3038d017d072" addr="T2R13C8S1_1" formatStyle="Comma">
          <m:axisValue occRef="母公司"/>
        </m:item>
        <m:item xlName="_GBC_7c251d346cfe47dab41d5e6b41c83bac" concept="clcid-pte:GuFenZhiFuJiRuSuoYouZheQuanYiDeJinEDaoZhiYingYuGongJiBianDongJinE" label="股份支付计入所有者权益的金额导致盈余公积变动金额" mulRef="_GBC_048773409e614c6bb753000b028316a5" unitRef="_GBC_5214b7a188334da286fc3038d017d072" addr="T2R13C9S1_1" formatStyle="Comma">
          <m:axisValue occRef="母公司"/>
        </m:item>
        <m:item xlName="_GBC_02cb2991c67447f3a17e6a57a6ed6c8a" concept="clcid-pte:GuFenZhiFuJiRuSuoYouZheQuanYiDeJinEDaoZhiWeiFenPeiLiRunBianDongJinE" label="股份支付计入所有者权益的金额导致未分配利润变动金额" mulRef="_GBC_048773409e614c6bb753000b028316a5" unitRef="_GBC_5214b7a188334da286fc3038d017d072" addr="T2R13C10S1_1" formatStyle="Comma">
          <m:axisValue occRef="母公司"/>
        </m:item>
        <m:item xlName="_GBC_e0cdc6f56f5643c5b68fd328dd85b1f0" concept="clcid-pte:GuFenZhiFuJiRuSuoYouZheQuanYiDeJinEDaoZhiGuDongQuanYiHeJiBianDongJinE" label="股份支付计入所有者权益的金额导致股东权益合计变动金额" mulRef="_GBC_048773409e614c6bb753000b028316a5" unitRef="_GBC_5214b7a188334da286fc3038d017d072" addr="T2R13C11S1_1" formatStyle="Comma">
          <m:axisValue occRef="母公司"/>
        </m:item>
        <m:placeholder xlName="_PLD_4815225e85794febad32622528b72229" wordText="4．其他" addr="T2R14C0S1_1"/>
        <m:item xlName="_GBC_f0926c3fb9cd4d90a6c27bdedbd5bba5" concept="clcid-pte:QiTaSuoYouZheTouRuHeJianShaoZiBenDaoZhiShiShouZiBenHuoGuBenJingEBianDongJinE" label="其他所有者投入和减少资本导致实收资本（或股本）净额变动金额" mulRef="_GBC_048773409e614c6bb753000b028316a5" unitRef="_GBC_5214b7a188334da286fc3038d017d072" addr="T2R14C1S1_1" formatStyle="Comma">
          <m:axisValue occRef="母公司"/>
        </m:item>
        <m:item xlName="_GBC_03f42a49598b4e549843b8e726fd0db0" concept="clcid-pte:QiTaSuoYouZheTouRuHeJianShaoZiBenDaoZhiQiTaQuanYiGongJuZhongDeYouXianGuBianDongJinE" label="其他所有者投入和减少资本导致其他权益工具中的优先股变动金额" mulRef="_GBC_048773409e614c6bb753000b028316a5" unitRef="_GBC_5214b7a188334da286fc3038d017d072" addr="T2R14C2S1_1" formatStyle="Comma">
          <m:axisValue occRef="母公司"/>
        </m:item>
        <m:item xlName="_GBC_debe77108b5948c4bc0a65bc2c02341c" concept="clcid-pte:QiTaSuoYouZheTouRuHeJianShaoZiBenDaoZhiQiTaQuanYiGongJuZhongDeYongXuZhaiBianDongJinE" label="其他所有者投入和减少资本导致其他权益工具中的永续债变动金额" mulRef="_GBC_048773409e614c6bb753000b028316a5" unitRef="_GBC_5214b7a188334da286fc3038d017d072" addr="T2R14C3S1_1" formatStyle="Comma">
          <m:axisValue occRef="母公司"/>
        </m:item>
        <m:item xlName="_GBC_b81e528fddf1412db8aaf48e58d880d4" concept="clcid-pte:QiTaSuoYouZheTouRuHeJianShaoZiBenDaoZhiQiTaQuanYiGongJuZhongDeQiTaBianDongJinE" label="其他所有者投入和减少资本导致其他权益工具中的其他变动金额" mulRef="_GBC_048773409e614c6bb753000b028316a5" unitRef="_GBC_5214b7a188334da286fc3038d017d072" addr="T2R14C4S1_1" formatStyle="Comma">
          <m:axisValue occRef="母公司"/>
        </m:item>
        <m:item xlName="_GBC_9a5faea965394aa18d5cc4a5fba00ffd" concept="clcid-pte:QiTaSuoYouZheTouRuHeJianShaoZiBenDaoZhiZiBenGongJiBianDongJinE" label="其他所有者投入和减少资本导致资本公积变动金额" mulRef="_GBC_048773409e614c6bb753000b028316a5" unitRef="_GBC_5214b7a188334da286fc3038d017d072" addr="T2R14C5S1_1" formatStyle="Comma">
          <m:axisValue occRef="母公司"/>
        </m:item>
        <m:item xlName="_GBC_b90c309f04884e9988b47bb98249f2de" concept="clcid-pte:QiTaSuoYouZheTouRuHeJianShaoZiBenDaoZhiKuCunGuBianDongJinE" label="其他所有者投入和减少资本导致库存股变动金额" mulRef="_GBC_048773409e614c6bb753000b028316a5" unitRef="_GBC_5214b7a188334da286fc3038d017d072" addr="T2R14C6S1_1" baseScale="-1" formatStyle="Comma">
          <m:axisValue occRef="母公司"/>
        </m:item>
        <m:item xlName="_GBC_2b2322309d644f3ca704de4277ab5f3e" concept="clcid-pte:QiTaSuoYouZheTouRuHeJianShaoZiBenDaoZhiQiTaZongHeShouYiBianDongJinE" label="其他所有者投入和减少资本导致其他综合收益变动金额" mulRef="_GBC_048773409e614c6bb753000b028316a5" unitRef="_GBC_5214b7a188334da286fc3038d017d072" addr="T2R14C7S1_1" formatStyle="Comma">
          <m:axisValue occRef="母公司"/>
        </m:item>
        <m:item xlName="_GBC_2344ce73ef7e4cf3bfc3bb6f1bbef86f" concept="clcid-pte:QiTaSuoYouZheTouRuHeJianShaoZiBenDaoZhiZhuanXiangChuBeiBianDongJinE" label="其他所有者投入和减少资本导致专项储备变动金额" mulRef="_GBC_048773409e614c6bb753000b028316a5" unitRef="_GBC_5214b7a188334da286fc3038d017d072" addr="T2R14C8S1_1" formatStyle="Comma">
          <m:axisValue occRef="母公司"/>
        </m:item>
        <m:item xlName="_GBC_a2b3dae456cb4e6ea136505703b2a062" concept="clcid-pte:QiTaSuoYouZheTouRuHeJianShaoZiBenDaoZhiYingYuGongJiBianDongJinE" label="其他所有者投入和减少资本导致盈余公积变动金额" mulRef="_GBC_048773409e614c6bb753000b028316a5" unitRef="_GBC_5214b7a188334da286fc3038d017d072" addr="T2R14C9S1_1" formatStyle="Comma">
          <m:axisValue occRef="母公司"/>
        </m:item>
        <m:item xlName="_GBC_1dc61a1e42884168a980222bfbb01e5a" concept="clcid-pte:QiTaSuoYouZheTouRuHeJianShaoZiBenDaoZhiWeiFenPeiLiRunBianDongJinE" label="其他所有者投入和减少资本导致未分配利润变动金额" mulRef="_GBC_048773409e614c6bb753000b028316a5" unitRef="_GBC_5214b7a188334da286fc3038d017d072" addr="T2R14C10S1_1" formatStyle="Comma">
          <m:axisValue occRef="母公司"/>
        </m:item>
        <m:item xlName="_GBC_7fb831404f46477bbc91b6f6f3a63509" concept="clcid-pte:QiTaSuoYouZheTouRuHeJianShaoZiBenDaoZhiGuDongQuanYiHeJiBianDongJinE" label="其他所有者投入和减少资本导致股东权益合计变动金额" mulRef="_GBC_048773409e614c6bb753000b028316a5" unitRef="_GBC_5214b7a188334da286fc3038d017d072" addr="T2R14C11S1_1" formatStyle="Comma">
          <m:axisValue occRef="母公司"/>
        </m:item>
        <m:placeholder xlName="_PLD_1277678c10f343d5a55853e3552c21df" wordText="（三）利润分配" addr="T2R15C0S1_1"/>
        <m:item xlName="_GBC_cbb7211cf05f40dfa328fabcaf4451ac" concept="clcid-pte:LiRunFenPeiDaoZhiShiShouZiBenHuoGuBenJingEBianDongJinE" label="利润分配导致实收资本（或股本）净额变动金额" mulRef="_GBC_048773409e614c6bb753000b028316a5" unitRef="_GBC_5214b7a188334da286fc3038d017d072" addr="T2R15C1S1_1" formatStyle="Comma">
          <m:complexRule comparator="Eq" title="母公司利润分配导致实收资本（或股本）净额变动金额" test=" $_GBC_feeeea3419114619a6494ffa3e9752c9 +  $_GBC_d96095d4d2f24ac2b2cdf303cab55a79 +  $_GBC_9c81f8e1c30c4827a5af9fbfaa3e74b2" id="Ce09aad75c9104571b9629896dbfbda70"/>
          <m:axisValue occRef="母公司"/>
        </m:item>
        <m:item xlName="_GBC_7efc769dca144d748f3739c7952bb4b2" concept="clcid-pte:LiRunFenPeiDaoZhiQiTaQuanYiGongJuZhongDeYouXianGuBianDongJinE" label="利润分配导致其他权益工具中的优先股变动金额" mulRef="_GBC_048773409e614c6bb753000b028316a5" unitRef="_GBC_5214b7a188334da286fc3038d017d072" addr="T2R15C2S1_1" formatStyle="Comma">
          <m:complexRule comparator="Eq" title="母公司利润分配导致其他权益工具中的优先股变动金额" test=" $_GBC_4fe62927c2cf42cc881d6e03430a5250 +  $_GBC_1fe13bb5afc14bb2bc44d46effb7eb77 +  $_GBC_370a21dbc89f4b02a96727e397b1c347" id="C4311992d721540098cc47db7d754d64b"/>
          <m:axisValue occRef="母公司"/>
        </m:item>
        <m:item xlName="_GBC_5490806b7ea342d6b7c3431d90cb5a5e" concept="clcid-pte:LiRunFenPeiDaoZhiQiTaQuanYiGongJuZhongDeYongXuZhaiBianDongJinE" label="利润分配导致其他权益工具中的永续债变动金额" mulRef="_GBC_048773409e614c6bb753000b028316a5" unitRef="_GBC_5214b7a188334da286fc3038d017d072" addr="T2R15C3S1_1" formatStyle="Comma">
          <m:complexRule comparator="Eq" title="母公司利润分配导致其他权益工具中的永续债变动金额" test=" $_GBC_37cbdecbaa654d90bebf829bb946944e +  $_GBC_15e58494f9af4ce68727e57c50dda544 +  $_GBC_0cc3210c3ea14d2ca3946cbdd5811bb4" id="C7cdc6c23e42e47d5b2759e44225cff1a"/>
          <m:axisValue occRef="母公司"/>
        </m:item>
        <m:item xlName="_GBC_d54c713a1a36439d871e50b06644a07d" concept="clcid-pte:LiRunFenPeiDaoZhiQiTaQuanYiGongJuZhongDeQiTaBianDongJinE" label="利润分配导致其他权益工具中的其他变动金额" mulRef="_GBC_048773409e614c6bb753000b028316a5" unitRef="_GBC_5214b7a188334da286fc3038d017d072" addr="T2R15C4S1_1" formatStyle="Comma">
          <m:complexRule comparator="Eq" title="母公司利润分配导致其他权益工具中的其他变动金额" test=" $_GBC_47ed555566794b61bf0a20f6358fc40a +  $_GBC_cbb2df7cb7eb4705bcda41dc2e3994a6 +  $_GBC_c61a966bf0e049f1a7f0534baa372a46" id="Cbbe62d9f7357443292ad920984b00163"/>
          <m:axisValue occRef="母公司"/>
        </m:item>
        <m:item xlName="_GBC_1148945afee64297a169f2ac8b8cb89e" concept="clcid-pte:LiRunFenPeiDaoZhiZiBenGongJiBianDongJinE" label="利润分配导致资本公积变动金额" mulRef="_GBC_048773409e614c6bb753000b028316a5" unitRef="_GBC_5214b7a188334da286fc3038d017d072" addr="T2R15C5S1_1" formatStyle="Comma">
          <m:complexRule comparator="Eq" title="母公司利润分配导致资本公积变动金额" test=" $_GBC_5f2ef038c65d4f7d9d5db02c380b6b77 +  $_GBC_f6464f507560469bb752361a2180ed5d +  $_GBC_bcd3ab2e57f54c3d8e52b6df982d6ce4" id="Cd94f2d849c414c30b369f7cc7ba32fe0"/>
          <m:axisValue occRef="母公司"/>
        </m:item>
        <m:item xlName="_GBC_feafb3a59f2b4afaa0aa20611608ab05" concept="clcid-pte:LiRunFenPeiDaoZhiKuCunGuBianDongJinE" label="利润分配导致库存股变动金额" mulRef="_GBC_048773409e614c6bb753000b028316a5" unitRef="_GBC_5214b7a188334da286fc3038d017d072" addr="T2R15C6S1_1" baseScale="-1" formatStyle="Comma">
          <m:complexRule comparator="Eq" title="母公司利润分配导致库存股变动金额" test=" $_GBC_4ff785245e684e959cf32d4769d98c42 +  $_GBC_83e74a6d469b4c2bbbc38d66fbbca44d +  $_GBC_a33335797d7849cc88c6aec74eba0ad9" id="Caeebe7394cf84e458880c8a0bfa0ffbd"/>
          <m:axisValue occRef="母公司"/>
        </m:item>
        <m:item xlName="_GBC_a4ae582c163a407bbe913ee1800bb956" concept="clcid-pte:LiRunFenPeiDaoZhiQiTaZongHeShouYiBianDongJinE" label="利润分配导致其他综合收益变动金额" mulRef="_GBC_048773409e614c6bb753000b028316a5" unitRef="_GBC_5214b7a188334da286fc3038d017d072" addr="T2R15C7S1_1" formatStyle="Comma">
          <m:complexRule comparator="Eq" title="母公司利润分配导致其他综合收益变动金额" test=" $_GBC_d4a19312956e4304870740336224c1c4 +  $_GBC_838627a4922d4e429d54f3d31b9fcd8c +  $_GBC_00c07da66c6c401390659d32216262dc" id="C66c309a964244f9cb3591e670fefc517"/>
          <m:axisValue occRef="母公司"/>
        </m:item>
        <m:item xlName="_GBC_c4d7d58fa145478690e9e4209a44b3aa" concept="clcid-pte:LiRunFenPeiDaoZhiZhuanXiangChuBeiBianDongJinE" label="利润分配导致专项储备变动金额" mulRef="_GBC_048773409e614c6bb753000b028316a5" unitRef="_GBC_5214b7a188334da286fc3038d017d072" addr="T2R15C8S1_1" formatStyle="Comma">
          <m:complexRule comparator="Eq" title="母公司利润分配导致专项储备变动金额" test=" $_GBC_150dedf0d4554600ba70802f710a97b7 +  $_GBC_530fe6917df2495f9c65b7cb243756b9 +  $_GBC_ebb35207d12549048ff6890031842373" id="Cc67c47ef1abd42519185333749949577"/>
          <m:axisValue occRef="母公司"/>
        </m:item>
        <m:item xlName="_GBC_a0349cbf8a064523a3b3dee7665a041e" concept="clcid-pte:LiRunFenPeiDaoZhiYingYuGongJiBianDongJinE" label="利润分配导致盈余公积变动金额" mulRef="_GBC_048773409e614c6bb753000b028316a5" unitRef="_GBC_5214b7a188334da286fc3038d017d072" addr="T2R15C9S1_1" formatStyle="Comma">
          <m:complexRule comparator="Eq" title="母公司利润分配导致盈余公积变动金额" test=" $_GBC_8503b60b9ced4c8bb29ec6a4935876e7 +  $_GBC_ae98f906162c477faf3a89fd08e6a5aa +  $_GBC_7a71958ae8bc437f93eab2b423dc51f5" id="Cc9b4c5ef9e004fa8a034f4afadc5d577"/>
          <m:axisValue occRef="母公司"/>
        </m:item>
        <m:item xlName="_GBC_cba52aa78ab34012b0a801d66eb8a2e2" concept="clcid-pte:LiRunFenPeiDaoZhiWeiFenPeiLiRunBianDongJinE" label="利润分配导致未分配利润变动金额" mulRef="_GBC_048773409e614c6bb753000b028316a5" unitRef="_GBC_5214b7a188334da286fc3038d017d072" addr="T2R15C10S1_1" formatStyle="Comma">
          <m:complexRule comparator="Eq" title="母公司利润分配导致未分配利润变动金额" test=" $_GBC_3aa5f30fe134494aa575bfdeea794634 +  $_GBC_d1a33d14771947aba52989eb97795687 +  $_GBC_68eec89c6141467d987a7b9ff58d8c9b" id="C34fece529395450082e3b0e41d4b3d65"/>
          <m:axisValue occRef="母公司"/>
        </m:item>
        <m:item xlName="_GBC_dd847f4c5b6446e4ad29a7717e967fe4" concept="clcid-pte:LiRunFenPeiDaoZhiGuDongQuanYiHeJiBianDongJinE" label="利润分配导致股东权益合计变动金额" mulRef="_GBC_048773409e614c6bb753000b028316a5" unitRef="_GBC_5214b7a188334da286fc3038d017d072" addr="T2R15C11S1_1" formatStyle="Comma">
          <m:complexRule comparator="Eq" title="母公司利润分配导致股东权益合计变动金额" test=" $_GBC_4c22c9ed997d477a9f33b60f8d0e6bea +  $_GBC_bbdd561c54d948dbbc668cc7d0592b7f +  $_GBC_7f21d78e4a24457881b86248092595bf" id="Cc82069c4ec4b4867b3911a58a6ceea88"/>
          <m:axisValue occRef="母公司"/>
        </m:item>
        <m:placeholder xlName="_PLD_6be0f6b7609247d98f239c435a57bdf2" wordText="1．提取盈余公积" addr="T2R16C0S1_1"/>
        <m:item xlName="_GBC_feeeea3419114619a6494ffa3e9752c9" concept="clcid-pte:TiQuYingYuGongJiDaoZhiShiShouZiBenHuoGuBenJingEBianDongJinE" label="提取盈余公积导致实收资本（或股本）净额变动金额" mulRef="_GBC_048773409e614c6bb753000b028316a5" unitRef="_GBC_5214b7a188334da286fc3038d017d072" addr="T2R16C1S1_1" formatStyle="Comma">
          <m:axisValue occRef="母公司"/>
        </m:item>
        <m:item xlName="_GBC_4fe62927c2cf42cc881d6e03430a5250" concept="clcid-pte:TiQuYingYuGongJiDaoZhiQiTaQuanYiGongJuZhongDeYouXianGuBianDongJinE" label="提取盈余公积导致其他权益工具中的优先股变动金额" mulRef="_GBC_048773409e614c6bb753000b028316a5" unitRef="_GBC_5214b7a188334da286fc3038d017d072" addr="T2R16C2S1_1" formatStyle="Comma">
          <m:axisValue occRef="母公司"/>
        </m:item>
        <m:item xlName="_GBC_37cbdecbaa654d90bebf829bb946944e" concept="clcid-pte:TiQuYingYuGongJiDaoZhiQiTaQuanYiGongJuZhongDeYongXuZhaiBianDongJinE" label="提取盈余公积导致其他权益工具中的永续债变动金额" mulRef="_GBC_048773409e614c6bb753000b028316a5" unitRef="_GBC_5214b7a188334da286fc3038d017d072" addr="T2R16C3S1_1" formatStyle="Comma">
          <m:axisValue occRef="母公司"/>
        </m:item>
        <m:item xlName="_GBC_47ed555566794b61bf0a20f6358fc40a" concept="clcid-pte:TiQuYingYuGongJiDaoZhiQiTaQuanYiGongJuZhongDeQiTaBianDongJinE" label="提取盈余公积导致其他权益工具中的其他变动金额" mulRef="_GBC_048773409e614c6bb753000b028316a5" unitRef="_GBC_5214b7a188334da286fc3038d017d072" addr="T2R16C4S1_1" formatStyle="Comma">
          <m:axisValue occRef="母公司"/>
        </m:item>
        <m:item xlName="_GBC_5f2ef038c65d4f7d9d5db02c380b6b77" concept="clcid-pte:TiQuYingYuGongJiDaoZhiZiBenGongJiBianDongJinE" label="提取盈余公积导致资本公积变动金额" mulRef="_GBC_048773409e614c6bb753000b028316a5" unitRef="_GBC_5214b7a188334da286fc3038d017d072" addr="T2R16C5S1_1" formatStyle="Comma">
          <m:axisValue occRef="母公司"/>
        </m:item>
        <m:item xlName="_GBC_4ff785245e684e959cf32d4769d98c42" concept="clcid-pte:TiQuYingYuGongJiDaoZhiKuCunGuBianDongJinE" label="提取盈余公积导致库存股变动金额" mulRef="_GBC_048773409e614c6bb753000b028316a5" unitRef="_GBC_5214b7a188334da286fc3038d017d072" addr="T2R16C6S1_1" baseScale="-1" formatStyle="Comma">
          <m:axisValue occRef="母公司"/>
        </m:item>
        <m:item xlName="_GBC_d4a19312956e4304870740336224c1c4" concept="clcid-pte:TiQuYingYuGongJiDaoZhiQiTaZongHeShouYiBianDongJinE" label="提取盈余公积导致其他综合收益变动金额" mulRef="_GBC_048773409e614c6bb753000b028316a5" unitRef="_GBC_5214b7a188334da286fc3038d017d072" addr="T2R16C7S1_1" formatStyle="Comma">
          <m:axisValue occRef="母公司"/>
        </m:item>
        <m:item xlName="_GBC_150dedf0d4554600ba70802f710a97b7" concept="clcid-pte:TiQuYingYuGongJiDaoZhiZhuanXiangChuBeiBianDongJinE" label="提取盈余公积导致专项储备变动金额" mulRef="_GBC_048773409e614c6bb753000b028316a5" unitRef="_GBC_5214b7a188334da286fc3038d017d072" addr="T2R16C8S1_1" formatStyle="Comma">
          <m:axisValue occRef="母公司"/>
        </m:item>
        <m:item xlName="_GBC_8503b60b9ced4c8bb29ec6a4935876e7" concept="clcid-pte:TiQuYingYuGongJiDaoZhiYingYuGongJiBianDongJinE" label="提取盈余公积导致盈余公积变动金额" mulRef="_GBC_048773409e614c6bb753000b028316a5" unitRef="_GBC_5214b7a188334da286fc3038d017d072" addr="T2R16C9S1_1" formatStyle="Comma">
          <m:axisValue occRef="母公司"/>
        </m:item>
        <m:item xlName="_GBC_3aa5f30fe134494aa575bfdeea794634" concept="clcid-pte:TiQuYingYuGongJiDaoZhiWeiFenPeiLiRunBianDongJinE" label="提取盈余公积导致未分配利润变动金额" mulRef="_GBC_048773409e614c6bb753000b028316a5" unitRef="_GBC_5214b7a188334da286fc3038d017d072" addr="T2R16C10S1_1" formatStyle="Comma">
          <m:axisValue occRef="母公司"/>
        </m:item>
        <m:item xlName="_GBC_4c22c9ed997d477a9f33b60f8d0e6bea" concept="clcid-pte:TiQuYingYuGongJiDaoZhiGuDongQuanYiHeJiBianDongJinE" label="提取盈余公积导致股东权益合计变动金额" mulRef="_GBC_048773409e614c6bb753000b028316a5" unitRef="_GBC_5214b7a188334da286fc3038d017d072" addr="T2R16C11S1_1" formatStyle="Comma">
          <m:axisValue occRef="母公司"/>
        </m:item>
        <m:placeholder xlName="_PLD_b4a66855afc2407cbaf93baeafe0ad7f" wordText="2．对所有者（或股东）的分配" addr="T2R17C0S1_1"/>
        <m:item xlName="_GBC_d96095d4d2f24ac2b2cdf303cab55a79" concept="clcid-pte:DuiSuoYouZheHuoGuDongDeFenPeiDaoZhiShiShouZiBenHuoGuBenJingEBianDongJinE" label="对所有者（或股东）的分配导致实收资本（或股本）净额变动金额" mulRef="_GBC_048773409e614c6bb753000b028316a5" unitRef="_GBC_5214b7a188334da286fc3038d017d072" addr="T2R17C1S1_1" formatStyle="Comma">
          <m:axisValue occRef="母公司"/>
        </m:item>
        <m:item xlName="_GBC_1fe13bb5afc14bb2bc44d46effb7eb77" concept="clcid-pte:DuiSuoYouZheHuoGuDongDeFenPeiDaoZhiQiTaQuanYiGongJuZhongDeYouXianGuBianDongJinE" label="对所有者（或股东）的分配导致其他权益工具中的优先股变动金额" mulRef="_GBC_048773409e614c6bb753000b028316a5" unitRef="_GBC_5214b7a188334da286fc3038d017d072" addr="T2R17C2S1_1" formatStyle="Comma">
          <m:axisValue occRef="母公司"/>
        </m:item>
        <m:item xlName="_GBC_15e58494f9af4ce68727e57c50dda544" concept="clcid-pte:DuiSuoYouZheHuoGuDongDeFenPeiDaoZhiQiTaQuanYiGongJuZhongDeYongXuZhaiBianDongJinE" label="对所有者（或股东）的分配导致其他权益工具中的永续债变动金额" mulRef="_GBC_048773409e614c6bb753000b028316a5" unitRef="_GBC_5214b7a188334da286fc3038d017d072" addr="T2R17C3S1_1" formatStyle="Comma">
          <m:axisValue occRef="母公司"/>
        </m:item>
        <m:item xlName="_GBC_cbb2df7cb7eb4705bcda41dc2e3994a6" concept="clcid-pte:DuiSuoYouZheHuoGuDongDeFenPeiDaoZhiQiTaQuanYiGongJuZhongDeQiTaBianDongJinE" label="对所有者（或股东）的分配导致其他权益工具中的其他变动金额" mulRef="_GBC_048773409e614c6bb753000b028316a5" unitRef="_GBC_5214b7a188334da286fc3038d017d072" addr="T2R17C4S1_1" formatStyle="Comma">
          <m:axisValue occRef="母公司"/>
        </m:item>
        <m:item xlName="_GBC_f6464f507560469bb752361a2180ed5d" concept="clcid-pte:DuiSuoYouZheHuoGuDongDeFenPeiDaoZhiZiBenGongJiBianDongJinE" label="对所有者（或股东）的分配导致资本公积变动金额" mulRef="_GBC_048773409e614c6bb753000b028316a5" unitRef="_GBC_5214b7a188334da286fc3038d017d072" addr="T2R17C5S1_1" formatStyle="Comma">
          <m:axisValue occRef="母公司"/>
        </m:item>
        <m:item xlName="_GBC_83e74a6d469b4c2bbbc38d66fbbca44d" concept="clcid-pte:DuiSuoYouZheHuoGuDongDeFenPeiDaoZhiKuCunGuBianDongJinE" label="对所有者（或股东）的分配导致库存股变动金额" mulRef="_GBC_048773409e614c6bb753000b028316a5" unitRef="_GBC_5214b7a188334da286fc3038d017d072" addr="T2R17C6S1_1" baseScale="-1" formatStyle="Comma">
          <m:axisValue occRef="母公司"/>
        </m:item>
        <m:item xlName="_GBC_838627a4922d4e429d54f3d31b9fcd8c" concept="clcid-pte:DuiSuoYouZheHuoGuDongDeFenPeiDaoZhiQiTaZongHeShouYiBianDongJinE" label="对所有者（或股东）的分配导致其他综合收益变动金额" mulRef="_GBC_048773409e614c6bb753000b028316a5" unitRef="_GBC_5214b7a188334da286fc3038d017d072" addr="T2R17C7S1_1" formatStyle="Comma">
          <m:axisValue occRef="母公司"/>
        </m:item>
        <m:item xlName="_GBC_530fe6917df2495f9c65b7cb243756b9" concept="clcid-pte:DuiSuoYouZheHuoGuDongDeFenPeiDaoZhiZhuanXiangChuBeiBianDongJinE" label="对所有者（或股东）的分配导致专项储备变动金额" mulRef="_GBC_048773409e614c6bb753000b028316a5" unitRef="_GBC_5214b7a188334da286fc3038d017d072" addr="T2R17C8S1_1" formatStyle="Comma">
          <m:axisValue occRef="母公司"/>
        </m:item>
        <m:item xlName="_GBC_ae98f906162c477faf3a89fd08e6a5aa" concept="clcid-pte:DuiSuoYouZheHuoGuDongDeFenPeiDaoZhiYingYuGongJiBianDongJinE" label="对所有者（或股东）的分配导致盈余公积变动金额" mulRef="_GBC_048773409e614c6bb753000b028316a5" unitRef="_GBC_5214b7a188334da286fc3038d017d072" addr="T2R17C9S1_1" formatStyle="Comma">
          <m:axisValue occRef="母公司"/>
        </m:item>
        <m:item xlName="_GBC_d1a33d14771947aba52989eb97795687" concept="clcid-pte:DuiSuoYouZheHuoGuDongDeFenPeiDaoZhiWeiFenPeiLiRunBianDongJinE" label="对所有者（或股东）的分配导致未分配利润变动金额" mulRef="_GBC_048773409e614c6bb753000b028316a5" unitRef="_GBC_5214b7a188334da286fc3038d017d072" addr="T2R17C10S1_1" formatStyle="Comma">
          <m:axisValue occRef="母公司"/>
        </m:item>
        <m:item xlName="_GBC_bbdd561c54d948dbbc668cc7d0592b7f" concept="clcid-pte:DuiSuoYouZheHuoGuDongDeFenPeiDaoZhiGuDongQuanYiHeJiBianDongJinE" label="对所有者（或股东）的分配导致股东权益合计变动金额" mulRef="_GBC_048773409e614c6bb753000b028316a5" unitRef="_GBC_5214b7a188334da286fc3038d017d072" addr="T2R17C11S1_1" formatStyle="Comma">
          <m:axisValue occRef="母公司"/>
        </m:item>
        <m:placeholder xlName="_PLD_f35184bd1aa14b32a781b0ed9b526ffe" wordText="3．其他" addr="T2R18C0S1_1"/>
        <m:item xlName="_GBC_9c81f8e1c30c4827a5af9fbfaa3e74b2" concept="clcid-pte:QiTaLiRunFenPeiDaoZhiShiShouZiBenHuoGuBenJingEBianDongJinE" label="其他利润分配导致实收资本（或股本）净额变动金额" mulRef="_GBC_048773409e614c6bb753000b028316a5" unitRef="_GBC_5214b7a188334da286fc3038d017d072" addr="T2R18C1S1_1" formatStyle="Comma">
          <m:axisValue occRef="母公司"/>
        </m:item>
        <m:item xlName="_GBC_370a21dbc89f4b02a96727e397b1c347" concept="clcid-pte:QiTaLiRunFenPeiDaoZhiQiTaQuanYiGongJuZhongDeYouXianGuBianDongJinE" label="其他利润分配导致其他权益工具中的优先股变动金额" mulRef="_GBC_048773409e614c6bb753000b028316a5" unitRef="_GBC_5214b7a188334da286fc3038d017d072" addr="T2R18C2S1_1" formatStyle="Comma">
          <m:axisValue occRef="母公司"/>
        </m:item>
        <m:item xlName="_GBC_0cc3210c3ea14d2ca3946cbdd5811bb4" concept="clcid-pte:QiTaLiRunFenPeiDaoZhiQiTaQuanYiGongJuZhongDeYongXuZhaiBianDongJinE" label="其他利润分配导致其他权益工具中的永续债变动金额" mulRef="_GBC_048773409e614c6bb753000b028316a5" unitRef="_GBC_5214b7a188334da286fc3038d017d072" addr="T2R18C3S1_1" formatStyle="Comma">
          <m:axisValue occRef="母公司"/>
        </m:item>
        <m:item xlName="_GBC_c61a966bf0e049f1a7f0534baa372a46" concept="clcid-pte:QiTaLiRunFenPeiDaoZhiQiTaQuanYiGongJuZhongDeQiTaBianDongJinE" label="其他利润分配导致其他权益工具中的其他变动金额" mulRef="_GBC_048773409e614c6bb753000b028316a5" unitRef="_GBC_5214b7a188334da286fc3038d017d072" addr="T2R18C4S1_1" formatStyle="Comma">
          <m:axisValue occRef="母公司"/>
        </m:item>
        <m:item xlName="_GBC_bcd3ab2e57f54c3d8e52b6df982d6ce4" concept="clcid-pte:QiTaLiRunFenPeiDaoZhiZiBenGongJiBianDongJinE" label="其他利润分配导致资本公积变动金额" mulRef="_GBC_048773409e614c6bb753000b028316a5" unitRef="_GBC_5214b7a188334da286fc3038d017d072" addr="T2R18C5S1_1" formatStyle="Comma">
          <m:axisValue occRef="母公司"/>
        </m:item>
        <m:item xlName="_GBC_a33335797d7849cc88c6aec74eba0ad9" concept="clcid-pte:QiTaLiRunFenPeiDaoZhiKuCunGuBianDongJinE" label="其他利润分配导致库存股变动金额" mulRef="_GBC_048773409e614c6bb753000b028316a5" unitRef="_GBC_5214b7a188334da286fc3038d017d072" addr="T2R18C6S1_1" baseScale="-1" formatStyle="Comma">
          <m:axisValue occRef="母公司"/>
        </m:item>
        <m:item xlName="_GBC_00c07da66c6c401390659d32216262dc" concept="clcid-pte:QiTaLiRunFenPeiDaoZhiQiTaZongHeShouYiBianDongJinE" label="其他利润分配导致其他综合收益变动金额" mulRef="_GBC_048773409e614c6bb753000b028316a5" unitRef="_GBC_5214b7a188334da286fc3038d017d072" addr="T2R18C7S1_1" formatStyle="Comma">
          <m:axisValue occRef="母公司"/>
        </m:item>
        <m:item xlName="_GBC_ebb35207d12549048ff6890031842373" concept="clcid-pte:QiTaLiRunFenPeiDaoZhiZhuanXiangChuBeiBianDongJinE" label="其他利润分配导致专项储备变动金额" mulRef="_GBC_048773409e614c6bb753000b028316a5" unitRef="_GBC_5214b7a188334da286fc3038d017d072" addr="T2R18C8S1_1" formatStyle="Comma">
          <m:axisValue occRef="母公司"/>
        </m:item>
        <m:item xlName="_GBC_7a71958ae8bc437f93eab2b423dc51f5" concept="clcid-pte:QiTaLiRunFenPeiDaoZhiYingYuGongJiBianDongJinE" label="其他利润分配导致盈余公积变动金额" mulRef="_GBC_048773409e614c6bb753000b028316a5" unitRef="_GBC_5214b7a188334da286fc3038d017d072" addr="T2R18C9S1_1" formatStyle="Comma">
          <m:axisValue occRef="母公司"/>
        </m:item>
        <m:item xlName="_GBC_68eec89c6141467d987a7b9ff58d8c9b" concept="clcid-pte:QiTaLiRunFenPeiDaoZhiWeiFenPeiLiRunBianDongJinE" label="其他利润分配导致未分配利润变动金额" mulRef="_GBC_048773409e614c6bb753000b028316a5" unitRef="_GBC_5214b7a188334da286fc3038d017d072" addr="T2R18C10S1_1" formatStyle="Comma">
          <m:axisValue occRef="母公司"/>
        </m:item>
        <m:item xlName="_GBC_7f21d78e4a24457881b86248092595bf" concept="clcid-pte:QiTaLiRunFenPeiDaoZhiGuDongQuanYiHeJiBianDongJinE" label="其他利润分配导致股东权益合计变动金额" mulRef="_GBC_048773409e614c6bb753000b028316a5" unitRef="_GBC_5214b7a188334da286fc3038d017d072" addr="T2R18C11S1_1" formatStyle="Comma">
          <m:axisValue occRef="母公司"/>
        </m:item>
        <m:placeholder xlName="_PLD_377c539e51b74e8689b49d91a30d6a9f" wordText="（四）所有者权益内部结转" addr="T2R19C0S1_1"/>
        <m:item xlName="_GBC_f283c649fc1342198eff95dfe47a3805" concept="clcid-pte:SuoYouZheQuanYiNeiBuJieZhuanDaoZhiShiShouZiBenHuoGuBenJingEBianDongJinE" label="所有者权益内部结转导致实收资本（或股本）净额变动金额" mulRef="_GBC_048773409e614c6bb753000b028316a5" unitRef="_GBC_5214b7a188334da286fc3038d017d072" addr="T2R19C1S1_1" formatStyle="Comma">
          <m:complexRule comparator="Eq" title="母公司所有者权益内部结转导致实收资本（或股本）净额变动金额" test="$_GBC_58e16a89cb334df6bde452133339f7c1+$_GBC_1fdac46518d7477ab877041b22a6d61c+$_GBC_c54e4bd0b2d84fac979c4c4d228e2e8a+$_GBC_8c37033b30b74558aa6065788e32a378+$_GBC_2831ad7f38664a089db9f59a15ccd79c+$_GBC_c12c8acbe8ca43959d18fbc507ee415e" id="C91a66aa409ff48e5a584c480cddf8a4d"/>
          <m:axisValue occRef="母公司"/>
        </m:item>
        <m:item xlName="_GBC_ef91efe5622b435aa7743a80121de833" concept="clcid-pte:SuoYouZheQuanYiNeiBuJieZhuanDaoZhiQiTaQuanYiGongJuZhongDeYouXianGuBianDongJinE" label="所有者权益内部结转导致其他权益工具中的优先股变动金额" mulRef="_GBC_048773409e614c6bb753000b028316a5" unitRef="_GBC_5214b7a188334da286fc3038d017d072" addr="T2R19C2S1_1" formatStyle="Comma">
          <m:complexRule comparator="Eq" title="母公司所有者权益内部结转导致其他权益工具中的优先股变动金额" test="$_GBC_cfd9fd1971514caebfa1eb7b12bbc135+$_GBC_a935445166a44771960ac8a575396f3c+$_GBC_85bfb4fb437245fda8edede67c1c1eb6+$_GBC_5678bed2a31249e58c6462a59c03fd8c+$_GBC_36877258ffdb48908aaedd593bf4a5ae+$_GBC_c249770cec1e46849339600174f46cb8" id="C824580a714ae4b10aeb41bfe56eb986b"/>
          <m:axisValue occRef="母公司"/>
        </m:item>
        <m:item xlName="_GBC_4ac9c71994ac4ff799a55b82157015cb" concept="clcid-pte:SuoYouZheQuanYiNeiBuJieZhuanDaoZhiQiTaQuanYiGongJuZhongDeYongXuZhaiBianDongJinE" label="所有者权益内部结转导致其他权益工具中的永续债变动金额" mulRef="_GBC_048773409e614c6bb753000b028316a5" unitRef="_GBC_5214b7a188334da286fc3038d017d072" addr="T2R19C3S1_1" formatStyle="Comma">
          <m:complexRule comparator="Eq" title="母公司所有者权益内部结转导致其他权益工具中的永续债变动金额" test="$_GBC_ce8c23bcc7b54f2aa52e9cc42c64691e+$_GBC_776b3538616c492f8df9dfe67acb2712+$_GBC_97b75454cad74ef49a0ba703e2c25e70+$_GBC_4ebc387767c24233ae39d6ebfb88ac92+$_GBC_eea7c5f794f7484093d707819ba00ec3+$_GBC_9763a0172a6242e49a00331b096d8b18" id="C6d176f2fdad4486f9676fdfd709e9d9e"/>
          <m:axisValue occRef="母公司"/>
        </m:item>
        <m:item xlName="_GBC_f272c4ee43e34fa49fb65c1fea08629f" concept="clcid-pte:SuoYouZheQuanYiNeiBuJieZhuanDaoZhiQiTaQuanYiGongJuZhongDeQiTaBianDongJinE" label="所有者权益内部结转导致其他权益工具中的其他变动金额" mulRef="_GBC_048773409e614c6bb753000b028316a5" unitRef="_GBC_5214b7a188334da286fc3038d017d072" addr="T2R19C4S1_1" formatStyle="Comma">
          <m:complexRule comparator="Eq" title="母公司所有者权益内部结转导致其他权益工具中的其他变动金额" test="$_GBC_fcd2e337b72c4dc8bad9575275429152+$_GBC_455af898706e45a39b78f1414832364d+$_GBC_983e14819fd5410a8b3568095d141cd0+$_GBC_2cab6b90697b46dfa55a20605b207d59+$_GBC_3a30205bfc544591afc0d5698537e14c+$_GBC_9f99d2c8f43a47ef9288572b8e455f72" id="C8fc1884059e042b4ba5c91bf78e79273"/>
          <m:axisValue occRef="母公司"/>
        </m:item>
        <m:item xlName="_GBC_68ab5139b8ff40ac80a4db45813c9477" concept="clcid-pte:SuoYouZheQuanYiNeiBuJieZhuanDaoZhiZiBenGongJiBianDongJinE" label="所有者权益内部结转导致资本公积变动金额" mulRef="_GBC_048773409e614c6bb753000b028316a5" unitRef="_GBC_5214b7a188334da286fc3038d017d072" addr="T2R19C5S1_1" formatStyle="Comma">
          <m:complexRule comparator="Eq" title="母公司所有者权益内部结转导致资本公积变动金额" test="$_GBC_e0ad59720f4e47b494007fe6876fbc0e+$_GBC_7dfb56e12a2245e5aad652e911e55347+$_GBC_924b9ed3e89c4b4988309dddf304a82b+$_GBC_4d0414e659e44a3e9aa4eefc72d15c05+$_GBC_9383cb5696f0403386bfc18f9d424d59+$_GBC_79ae5c7f33b64ca4854b078e711edf01" id="C96df0ad95b6547f28d289a4fd164e53d"/>
          <m:axisValue occRef="母公司"/>
        </m:item>
        <m:item xlName="_GBC_0d9772d823c6492e8371be725cb8f5c2" concept="clcid-pte:SuoYouZheQuanYiNeiBuJieZhuanDaoZhiKuCunGuBianDongJinE" label="所有者权益内部结转导致库存股变动金额" mulRef="_GBC_048773409e614c6bb753000b028316a5" unitRef="_GBC_5214b7a188334da286fc3038d017d072" addr="T2R19C6S1_1" baseScale="-1" formatStyle="Comma">
          <m:complexRule comparator="Eq" title="母公司所有者权益内部结转导致库存股变动金额" test="$_GBC_4755507aa7964f16bb664ac0a262b7b7+$_GBC_af0da898a3474b5ca139b28085132708+$_GBC_483deb59b0834d4b99cd7e92931b423b+$_GBC_5a20cc1f54d64045a18af024d677b3c7+$_GBC_ec1c7c4c475045689832c4e379519a44+$_GBC_ef4e073754fd4089b309769be7ff3d60" id="Cb695f38034b84dd7b1c25894950c6f40"/>
          <m:axisValue occRef="母公司"/>
        </m:item>
        <m:item xlName="_GBC_05d4a4b3c8a74bbaa40c911fb4960c78" concept="clcid-pte:SuoYouZheQuanYiNeiBuJieZhuanDaoZhiQiTaZongHeShouYiBianDongJinE" label="所有者权益内部结转导致其他综合收益变动金额" mulRef="_GBC_048773409e614c6bb753000b028316a5" unitRef="_GBC_5214b7a188334da286fc3038d017d072" addr="T2R19C7S1_1" formatStyle="Comma">
          <m:complexRule comparator="Eq" title="母公司所有者权益内部结转导致其他综合收益变动金额" test="$_GBC_20edbf362b5d43348992e88104f59531+$_GBC_fe4fc7f67d5a4d029cfea78ffc62d01c+$_GBC_42dbc1c15cec4889afebe0ddd03cb7d3+$_GBC_f50f3442bfe547ae92bb996ca9d26c1b+$_GBC_088ac970636c4ea98a07c1b1cdeebea1+$_GBC_aaf8581bfdea43afaab1107686c116d8" id="C5171fb6fda8449d79cb6db90abad59ba"/>
          <m:axisValue occRef="母公司"/>
        </m:item>
        <m:item xlName="_GBC_0b9cda03d7654088aaa463ecda825ec7" concept="clcid-pte:SuoYouZheQuanYiNeiBuJieZhuanDaoZhiZhuanXiangChuBeiBianDongJinE" label="所有者权益内部结转导致专项储备变动金额" mulRef="_GBC_048773409e614c6bb753000b028316a5" unitRef="_GBC_5214b7a188334da286fc3038d017d072" addr="T2R19C8S1_1" formatStyle="Comma">
          <m:complexRule comparator="Eq" title="母公司所有者权益内部结转导致专项储备变动金额" test="$_GBC_f6435db4715a45bdbdbf9a21508ab7b9+$_GBC_2bae1d1e231b4f9aa8e389ee91eab0ee+$_GBC_993268c981684cb98568145fd9d89460+$_GBC_29a943528604451489cfa1d36e848933+$_GBC_2e0b2a1e4479461fb045eb537ae580f8+$_GBC_c6eb678860644dcc87f23eeb61e99952" id="Cefe3bfb364ca48df9f25c1b7a1bae5bd"/>
          <m:axisValue occRef="母公司"/>
        </m:item>
        <m:item xlName="_GBC_6462d048d6314f59bcaa1c66b7df4d48" concept="clcid-pte:SuoYouZheQuanYiNeiBuJieZhuanDaoZhiYingYuGongJiBianDongJinE" label="所有者权益内部结转导致盈余公积变动金额" mulRef="_GBC_048773409e614c6bb753000b028316a5" unitRef="_GBC_5214b7a188334da286fc3038d017d072" addr="T2R19C9S1_1" formatStyle="Comma">
          <m:complexRule comparator="Eq" title="母公司所有者权益内部结转导致盈余公积变动金额" test="$_GBC_36bbbdcb9de248e6a40628399781e505+$_GBC_1a4224c4dd1547deb0fd234f1ac656c9+$_GBC_84424461371947aea90a893e959ac322+$_GBC_b039644f00184625a549e959f210cb46+$_GBC_a716d544a2ed4618ab191115bd92a8b0+$_GBC_17268790310846b2b3ce86c1a4c983f4" id="C1bef75341f804b33b7aceaaafb7ddde6"/>
          <m:axisValue occRef="母公司"/>
        </m:item>
        <m:item xlName="_GBC_f46d5e57a018475f8082fc51dd15e49e" concept="clcid-pte:SuoYouZheQuanYiNeiBuJieZhuanDaoZhiWeiFenPeiLiRunBianDongJinE" label="所有者权益内部结转导致未分配利润变动金额" mulRef="_GBC_048773409e614c6bb753000b028316a5" unitRef="_GBC_5214b7a188334da286fc3038d017d072" addr="T2R19C10S1_1" formatStyle="Comma">
          <m:complexRule comparator="Eq" title="母公司所有者权益内部结转导致未分配利润变动金额" test="$_GBC_627bc2b3f6d54560b9d8f555f635f1f4+$_GBC_d34e10ee0bfc4af280f7cfe03bf43988+$_GBC_c639475c0bd141ef8ee6e289371f4383+$_GBC_10a33ffe495e4bdc836f6b2fad54e579+$_GBC_054808ba1d714ccca4dd30e09c36f00f+$_GBC_1ed45a0f2d844379a6480cc4f7cdfaff" id="C8ad8354c7545469aa75cdb8c01362a6b"/>
          <m:axisValue occRef="母公司"/>
        </m:item>
        <m:item xlName="_GBC_782b87c6adc54716910c267017ad800a" concept="clcid-pte:SuoYouZheQuanYiNeiBuJieZhuanDaoZhiGuDongQuanYiHeJiBianDongJinE" label="所有者权益内部结转导致股东权益合计变动金额" mulRef="_GBC_048773409e614c6bb753000b028316a5" unitRef="_GBC_5214b7a188334da286fc3038d017d072" addr="T2R19C11S1_1" formatStyle="Comma">
          <m:complexRule comparator="Eq" title="母公司所有者权益内部结转导致股东权益合计变动金额" test="$_GBC_d2e67ae1f8e1435e9ef44bcb508c9e71+$_GBC_dda47fa6bf4146f38be7631f0378638a+$_GBC_1516326ef156473e99c322b58b2722da+$_GBC_ed06713e4211446b9aa0bda1635d9412+$_GBC_21b161c66a4c488c8d852ceb78f37ad1+$_GBC_0122523930f844f9818e88f8be8bc749" id="C8f8b2c2818c14429813f3c139a74b386"/>
          <m:axisValue occRef="母公司"/>
        </m:item>
        <m:placeholder xlName="_PLD_9d82304ad85542d89ad56bdebdedd7c5" wordText="1．资本公积转增资本（或股本）" addr="T2R20C0S1_1"/>
        <m:item xlName="_GBC_58e16a89cb334df6bde452133339f7c1" concept="clcid-pte:ZiBenGongJiZhuanZengZiBenHuoGuBenDaoZhiShiShouZiBenHuoGuBenJingEBianDongJinE" label="资本公积转增资本（或股本）导致实收资本（或股本）净额变动金额" mulRef="_GBC_048773409e614c6bb753000b028316a5" unitRef="_GBC_5214b7a188334da286fc3038d017d072" addr="T2R20C1S1_1" formatStyle="Comma">
          <m:axisValue occRef="母公司"/>
        </m:item>
        <m:item xlName="_GBC_cfd9fd1971514caebfa1eb7b12bbc135" concept="clcid-pte:ZiBenGongJiZhuanZengZiBenHuoGuBenDaoZhiQiTaQuanYiGongJuZhongDeYouXianGuBianDongJinE" label="资本公积转增资本（或股本）导致其他权益工具中的优先股变动金额" mulRef="_GBC_048773409e614c6bb753000b028316a5" unitRef="_GBC_5214b7a188334da286fc3038d017d072" addr="T2R20C2S1_1" formatStyle="Comma">
          <m:axisValue occRef="母公司"/>
        </m:item>
        <m:item xlName="_GBC_ce8c23bcc7b54f2aa52e9cc42c64691e" concept="clcid-pte:ZiBenGongJiZhuanZengZiBenHuoGuBenDaoZhiQiTaQuanYiGongJuZhongDeYongXuZhaiBianDongJinE" label="资本公积转增资本（或股本）导致其他权益工具中的永续债变动金额" mulRef="_GBC_048773409e614c6bb753000b028316a5" unitRef="_GBC_5214b7a188334da286fc3038d017d072" addr="T2R20C3S1_1" formatStyle="Comma">
          <m:axisValue occRef="母公司"/>
        </m:item>
        <m:item xlName="_GBC_fcd2e337b72c4dc8bad9575275429152" concept="clcid-pte:ZiBenGongJiZhuanZengZiBenHuoGuBenDaoZhiQiTaQuanYiGongJuZhongDeQiTaBianDongJinE" label="资本公积转增资本（或股本）导致其他权益工具中的其他变动金额" mulRef="_GBC_048773409e614c6bb753000b028316a5" unitRef="_GBC_5214b7a188334da286fc3038d017d072" addr="T2R20C4S1_1" formatStyle="Comma">
          <m:axisValue occRef="母公司"/>
        </m:item>
        <m:item xlName="_GBC_e0ad59720f4e47b494007fe6876fbc0e" concept="clcid-pte:ZiBenGongJiZhuanZengZiBenHuoGuBenDaoZhiZiBenGongJiBianDongJinE" label="资本公积转增资本（或股本）导致资本公积变动金额" mulRef="_GBC_048773409e614c6bb753000b028316a5" unitRef="_GBC_5214b7a188334da286fc3038d017d072" addr="T2R20C5S1_1" formatStyle="Comma">
          <m:axisValue occRef="母公司"/>
        </m:item>
        <m:item xlName="_GBC_4755507aa7964f16bb664ac0a262b7b7" concept="clcid-pte:ZiBenGongJiZhuanZengZiBenHuoGuBenDaoZhiKuCunGuBianDongJinE" label="资本公积转增资本（或股本）导致库存股变动金额" mulRef="_GBC_048773409e614c6bb753000b028316a5" unitRef="_GBC_5214b7a188334da286fc3038d017d072" addr="T2R20C6S1_1" baseScale="-1" formatStyle="Comma">
          <m:axisValue occRef="母公司"/>
        </m:item>
        <m:item xlName="_GBC_20edbf362b5d43348992e88104f59531" concept="clcid-pte:ZiBenGongJiZhuanZengZiBenHuoGuBenDaoZhiQiTaZongHeShouYiBianDongJinE" label="资本公积转增资本（或股本）导致其他综合收益变动金额" mulRef="_GBC_048773409e614c6bb753000b028316a5" unitRef="_GBC_5214b7a188334da286fc3038d017d072" addr="T2R20C7S1_1" formatStyle="Comma">
          <m:axisValue occRef="母公司"/>
        </m:item>
        <m:item xlName="_GBC_f6435db4715a45bdbdbf9a21508ab7b9" concept="clcid-pte:ZiBenGongJiZhuanZengZiBenHuoGuBenDaoZhiZhuanXiangChuBeiBianDongJinE" label="资本公积转增资本（或股本）导致专项储备变动金额" mulRef="_GBC_048773409e614c6bb753000b028316a5" unitRef="_GBC_5214b7a188334da286fc3038d017d072" addr="T2R20C8S1_1" formatStyle="Comma">
          <m:axisValue occRef="母公司"/>
        </m:item>
        <m:item xlName="_GBC_36bbbdcb9de248e6a40628399781e505" concept="clcid-pte:ZiBenGongJiZhuanZengZiBenHuoGuBenDaoZhiYingYuGongJiBianDongJinE" label="资本公积转增资本（或股本）导致盈余公积变动金额" mulRef="_GBC_048773409e614c6bb753000b028316a5" unitRef="_GBC_5214b7a188334da286fc3038d017d072" addr="T2R20C9S1_1" formatStyle="Comma">
          <m:axisValue occRef="母公司"/>
        </m:item>
        <m:item xlName="_GBC_627bc2b3f6d54560b9d8f555f635f1f4" concept="clcid-pte:ZiBenGongJiZhuanZengZiBenHuoGuBenDaoZhiWeiFenPeiLiRunBianDongJinE" label="资本公积转增资本（或股本）导致未分配利润变动金额" mulRef="_GBC_048773409e614c6bb753000b028316a5" unitRef="_GBC_5214b7a188334da286fc3038d017d072" addr="T2R20C10S1_1" formatStyle="Comma">
          <m:axisValue occRef="母公司"/>
        </m:item>
        <m:item xlName="_GBC_d2e67ae1f8e1435e9ef44bcb508c9e71" concept="clcid-pte:ZiBenGongJiZhuanZengZiBenHuoGuBenDaoZhiGuDongQuanYiHeJiBianDongJinE" label="资本公积转增资本（或股本）导致股东权益合计变动金额" mulRef="_GBC_048773409e614c6bb753000b028316a5" unitRef="_GBC_5214b7a188334da286fc3038d017d072" addr="T2R20C11S1_1" formatStyle="Comma">
          <m:axisValue occRef="母公司"/>
        </m:item>
        <m:placeholder xlName="_PLD_ba5c81951f1c4ff0a188b55532ed96a5" wordText="2．盈余公积转增资本（或股本）" addr="T2R21C0S1_1"/>
        <m:item xlName="_GBC_1fdac46518d7477ab877041b22a6d61c" concept="clcid-pte:YingYuGongJiZhuanZengZiBenHuoGuBenDaoZhiShiShouZiBenHuoGuBenJingEBianDongJinE" label="盈余公积转增资本（或股本）导致实收资本（或股本）净额变动金额" mulRef="_GBC_048773409e614c6bb753000b028316a5" unitRef="_GBC_5214b7a188334da286fc3038d017d072" addr="T2R21C1S1_1" formatStyle="Comma">
          <m:axisValue occRef="母公司"/>
        </m:item>
        <m:item xlName="_GBC_a935445166a44771960ac8a575396f3c" concept="clcid-pte:YingYuGongJiZhuanZengZiBenHuoGuBenDaoZhiQiTaQuanYiGongJuZhongDeYouXianGuBianDongJinE" label="盈余公积转增资本（或股本）导致其他权益工具中的优先股变动金额" mulRef="_GBC_048773409e614c6bb753000b028316a5" unitRef="_GBC_5214b7a188334da286fc3038d017d072" addr="T2R21C2S1_1" formatStyle="Comma">
          <m:axisValue occRef="母公司"/>
        </m:item>
        <m:item xlName="_GBC_776b3538616c492f8df9dfe67acb2712" concept="clcid-pte:YingYuGongJiZhuanZengZiBenHuoGuBenDaoZhiQiTaQuanYiGongJuZhongDeYongXuZhaiBianDongJinE" label="盈余公积转增资本（或股本）导致其他权益工具中的永续债变动金额" mulRef="_GBC_048773409e614c6bb753000b028316a5" unitRef="_GBC_5214b7a188334da286fc3038d017d072" addr="T2R21C3S1_1" formatStyle="Comma">
          <m:axisValue occRef="母公司"/>
        </m:item>
        <m:item xlName="_GBC_455af898706e45a39b78f1414832364d" concept="clcid-pte:YingYuGongJiZhuanZengZiBenHuoGuBenDaoZhiQiTaQuanYiGongJuZhongDeQiTaBianDongJinE" label="盈余公积转增资本（或股本）导致其他权益工具中的其他变动金额" mulRef="_GBC_048773409e614c6bb753000b028316a5" unitRef="_GBC_5214b7a188334da286fc3038d017d072" addr="T2R21C4S1_1" formatStyle="Comma">
          <m:axisValue occRef="母公司"/>
        </m:item>
        <m:item xlName="_GBC_7dfb56e12a2245e5aad652e911e55347" concept="clcid-pte:YingYuGongJiZhuanZengZiBenHuoGuBenDaoZhiZiBenGongJiBianDongJinE" label="盈余公积转增资本（或股本）导致资本公积变动金额" mulRef="_GBC_048773409e614c6bb753000b028316a5" unitRef="_GBC_5214b7a188334da286fc3038d017d072" addr="T2R21C5S1_1" formatStyle="Comma">
          <m:axisValue occRef="母公司"/>
        </m:item>
        <m:item xlName="_GBC_af0da898a3474b5ca139b28085132708" concept="clcid-pte:YingYuGongJiZhuanZengZiBenHuoGuBenDaoZhiKuCunGuBianDongJinE" label="盈余公积转增资本（或股本）导致库存股变动金额" mulRef="_GBC_048773409e614c6bb753000b028316a5" unitRef="_GBC_5214b7a188334da286fc3038d017d072" addr="T2R21C6S1_1" baseScale="-1" formatStyle="Comma">
          <m:axisValue occRef="母公司"/>
        </m:item>
        <m:item xlName="_GBC_fe4fc7f67d5a4d029cfea78ffc62d01c" concept="clcid-pte:YingYuGongJiZhuanZengZiBenHuoGuBenDaoZhiQiTaZongHeShouYiBianDongJinE" label="盈余公积转增资本（或股本）导致其他综合收益变动金额" mulRef="_GBC_048773409e614c6bb753000b028316a5" unitRef="_GBC_5214b7a188334da286fc3038d017d072" addr="T2R21C7S1_1" formatStyle="Comma">
          <m:axisValue occRef="母公司"/>
        </m:item>
        <m:item xlName="_GBC_2bae1d1e231b4f9aa8e389ee91eab0ee" concept="clcid-pte:YingYuGongJiZhuanZengZiBenHuoGuBenDaoZhiZhuanXiangChuBeiBianDongJinE" label="盈余公积转增资本（或股本）导致专项储备变动金额" mulRef="_GBC_048773409e614c6bb753000b028316a5" unitRef="_GBC_5214b7a188334da286fc3038d017d072" addr="T2R21C8S1_1" formatStyle="Comma">
          <m:axisValue occRef="母公司"/>
        </m:item>
        <m:item xlName="_GBC_1a4224c4dd1547deb0fd234f1ac656c9" concept="clcid-pte:YingYuGongJiZhuanZengZiBenHuoGuBenDaoZhiYingYuGongJiBianDongJinE" label="盈余公积转增资本（或股本）导致盈余公积变动金额" mulRef="_GBC_048773409e614c6bb753000b028316a5" unitRef="_GBC_5214b7a188334da286fc3038d017d072" addr="T2R21C9S1_1" formatStyle="Comma">
          <m:axisValue occRef="母公司"/>
        </m:item>
        <m:item xlName="_GBC_d34e10ee0bfc4af280f7cfe03bf43988" concept="clcid-pte:YingYuGongJiZhuanZengZiBenHuoGuBenDaoZhiWeiFenPeiLiRunBianDongJinE" label="盈余公积转增资本（或股本）导致未分配利润变动金额" mulRef="_GBC_048773409e614c6bb753000b028316a5" unitRef="_GBC_5214b7a188334da286fc3038d017d072" addr="T2R21C10S1_1" formatStyle="Comma">
          <m:axisValue occRef="母公司"/>
        </m:item>
        <m:item xlName="_GBC_dda47fa6bf4146f38be7631f0378638a" concept="clcid-pte:YingYuGongJiZhuanZengZiBenHuoGuBenDaoZhiGuDongQuanYiHeJiBianDongJinE" label="盈余公积转增资本（或股本）导致股东权益合计变动金额" mulRef="_GBC_048773409e614c6bb753000b028316a5" unitRef="_GBC_5214b7a188334da286fc3038d017d072" addr="T2R21C11S1_1" formatStyle="Comma">
          <m:axisValue occRef="母公司"/>
        </m:item>
        <m:placeholder xlName="_PLD_81b068c4cdf2482a9438450e52e9b3b4" wordText="3．盈余公积弥补亏损" addr="T2R22C0S1_1"/>
        <m:item xlName="_GBC_c54e4bd0b2d84fac979c4c4d228e2e8a" concept="clcid-pte:YingYuGongJiMiBuKuiSunDaoZhiShiShouZiBenHuoGuBenJingEBianDongJinE" label="盈余公积弥补亏损导致实收资本（或股本）净额变动金额" mulRef="_GBC_048773409e614c6bb753000b028316a5" unitRef="_GBC_5214b7a188334da286fc3038d017d072" addr="T2R22C1S1_1" formatStyle="Comma">
          <m:axisValue occRef="母公司"/>
        </m:item>
        <m:item xlName="_GBC_85bfb4fb437245fda8edede67c1c1eb6" concept="clcid-pte:YingYuGongJiMiBuKuiSunDaoZhiQiTaQuanYiGongJuZhongDeYouXianGuBianDongJinE" label="盈余公积弥补亏损导致其他权益工具中的优先股变动金额" mulRef="_GBC_048773409e614c6bb753000b028316a5" unitRef="_GBC_5214b7a188334da286fc3038d017d072" addr="T2R22C2S1_1" formatStyle="Comma">
          <m:axisValue occRef="母公司"/>
        </m:item>
        <m:item xlName="_GBC_97b75454cad74ef49a0ba703e2c25e70" concept="clcid-pte:YingYuGongJiMiBuKuiSunDaoZhiQiTaQuanYiGongJuZhongDeYongXuZhaiBianDongJinE" label="盈余公积弥补亏损导致其他权益工具中的永续债变动金额" mulRef="_GBC_048773409e614c6bb753000b028316a5" unitRef="_GBC_5214b7a188334da286fc3038d017d072" addr="T2R22C3S1_1" formatStyle="Comma">
          <m:axisValue occRef="母公司"/>
        </m:item>
        <m:item xlName="_GBC_983e14819fd5410a8b3568095d141cd0" concept="clcid-pte:YingYuGongJiMiBuKuiSunDaoZhiQiTaQuanYiGongJuZhongDeQiTaBianDongJinE" label="盈余公积弥补亏损导致其他权益工具中的其他变动金额" mulRef="_GBC_048773409e614c6bb753000b028316a5" unitRef="_GBC_5214b7a188334da286fc3038d017d072" addr="T2R22C4S1_1" formatStyle="Comma">
          <m:axisValue occRef="母公司"/>
        </m:item>
        <m:item xlName="_GBC_924b9ed3e89c4b4988309dddf304a82b" concept="clcid-pte:YingYuGongJiMiBuKuiSunDaoZhiZiBenGongJiBianDongJinE" label="盈余公积弥补亏损导致资本公积变动金额" mulRef="_GBC_048773409e614c6bb753000b028316a5" unitRef="_GBC_5214b7a188334da286fc3038d017d072" addr="T2R22C5S1_1" formatStyle="Comma">
          <m:axisValue occRef="母公司"/>
        </m:item>
        <m:item xlName="_GBC_483deb59b0834d4b99cd7e92931b423b" concept="clcid-pte:YingYuGongJiMiBuKuiSunDaoZhiKuCunGuBianDongJinE" label="盈余公积弥补亏损导致库存股变动金额" mulRef="_GBC_048773409e614c6bb753000b028316a5" unitRef="_GBC_5214b7a188334da286fc3038d017d072" addr="T2R22C6S1_1" baseScale="-1" formatStyle="Comma">
          <m:axisValue occRef="母公司"/>
        </m:item>
        <m:item xlName="_GBC_42dbc1c15cec4889afebe0ddd03cb7d3" concept="clcid-pte:YingYuGongJiMiBuKuiSunDaoZhiQiTaZongHeShouYiBianDongJinE" label="盈余公积弥补亏损导致其他综合收益变动金额" mulRef="_GBC_048773409e614c6bb753000b028316a5" unitRef="_GBC_5214b7a188334da286fc3038d017d072" addr="T2R22C7S1_1" formatStyle="Comma">
          <m:axisValue occRef="母公司"/>
        </m:item>
        <m:item xlName="_GBC_993268c981684cb98568145fd9d89460" concept="clcid-pte:YingYuGongJiMiBuKuiSunDaoZhiZhuanXiangChuBeiBianDongJinE" label="盈余公积弥补亏损导致专项储备变动金额" mulRef="_GBC_048773409e614c6bb753000b028316a5" unitRef="_GBC_5214b7a188334da286fc3038d017d072" addr="T2R22C8S1_1" formatStyle="Comma">
          <m:axisValue occRef="母公司"/>
        </m:item>
        <m:item xlName="_GBC_84424461371947aea90a893e959ac322" concept="clcid-pte:YingYuGongJiMiBuKuiSunDaoZhiYingYuGongJiBianDongJinE" label="盈余公积弥补亏损导致盈余公积变动金额" mulRef="_GBC_048773409e614c6bb753000b028316a5" unitRef="_GBC_5214b7a188334da286fc3038d017d072" addr="T2R22C9S1_1" formatStyle="Comma">
          <m:axisValue occRef="母公司"/>
        </m:item>
        <m:item xlName="_GBC_c639475c0bd141ef8ee6e289371f4383" concept="clcid-pte:YingYuGongJiMiBuKuiSunDaoZhiWeiFenPeiLiRunBianDongJinE" label="盈余公积弥补亏损导致未分配利润变动金额" mulRef="_GBC_048773409e614c6bb753000b028316a5" unitRef="_GBC_5214b7a188334da286fc3038d017d072" addr="T2R22C10S1_1" formatStyle="Comma">
          <m:axisValue occRef="母公司"/>
        </m:item>
        <m:item xlName="_GBC_1516326ef156473e99c322b58b2722da" concept="clcid-pte:YingYuGongJiMiBuKuiSunDaoZhiGuDongQuanYiHeJiBianDongJinE" label="盈余公积弥补亏损导致股东权益合计变动金额" mulRef="_GBC_048773409e614c6bb753000b028316a5" unitRef="_GBC_5214b7a188334da286fc3038d017d072" addr="T2R22C11S1_1" formatStyle="Comma">
          <m:axisValue occRef="母公司"/>
        </m:item>
        <m:placeholder xlName="_PLD_0e7647effaeb42219d706b118465bdec" wordText="4．设定受益计划变动额结转留存收益" addr="T2R23C0S1_1"/>
        <m:item xlName="_GBC_8c37033b30b74558aa6065788e32a378" concept="clcid-pte:SheDingShouYiJiHuaBianDongEJieZhuanLiuCunShouYiDaoZhiShiShouZiBenHuoGuBenJingEBianDongJinE" label="设定受益计划变动额结转留存收益导致实收资本（或股本）净额变动金额" mulRef="_GBC_048773409e614c6bb753000b028316a5" unitRef="_GBC_5214b7a188334da286fc3038d017d072" addr="T2R23C1S1_1" formatStyle="Comma">
          <m:axisValue occRef="母公司"/>
        </m:item>
        <m:item xlName="_GBC_5678bed2a31249e58c6462a59c03fd8c" concept="clcid-pte:SheDingShouYiJiHuaBianDongEJieZhuanLiuCunShouYiDaoZhiQiTaQuanYiGongJuZhongDeYouXianGuBianDongJinE" label="设定受益计划变动额结转留存收益导致其他权益工具中的优先股变动金额" mulRef="_GBC_048773409e614c6bb753000b028316a5" unitRef="_GBC_5214b7a188334da286fc3038d017d072" addr="T2R23C2S1_1" formatStyle="Comma">
          <m:axisValue occRef="母公司"/>
        </m:item>
        <m:item xlName="_GBC_4ebc387767c24233ae39d6ebfb88ac92" concept="clcid-pte:SheDingShouYiJiHuaBianDongEJieZhuanLiuCunShouYiDaoZhiQiTaQuanYiGongJuZhongDeYongXuZhaiBianDongJinE" label="设定受益计划变动额结转留存收益导致其他权益工具中的永续债变动金额" mulRef="_GBC_048773409e614c6bb753000b028316a5" unitRef="_GBC_5214b7a188334da286fc3038d017d072" addr="T2R23C3S1_1" formatStyle="Comma">
          <m:axisValue occRef="母公司"/>
        </m:item>
        <m:item xlName="_GBC_2cab6b90697b46dfa55a20605b207d59" concept="clcid-pte:SheDingShouYiJiHuaBianDongEJieZhuanLiuCunShouYiDaoZhiQiTaQuanYiGongJuZhongDeQiTaBianDongJinE" label="设定受益计划变动额结转留存收益导致其他权益工具中的其他变动金额" mulRef="_GBC_048773409e614c6bb753000b028316a5" unitRef="_GBC_5214b7a188334da286fc3038d017d072" addr="T2R23C4S1_1" formatStyle="Comma">
          <m:axisValue occRef="母公司"/>
        </m:item>
        <m:item xlName="_GBC_4d0414e659e44a3e9aa4eefc72d15c05" concept="clcid-pte:SheDingShouYiJiHuaBianDongEJieZhuanLiuCunShouYiDaoZhiZiBenGongJiBianDongJinE" label="设定受益计划变动额结转留存收益导致资本公积变动金额" mulRef="_GBC_048773409e614c6bb753000b028316a5" unitRef="_GBC_5214b7a188334da286fc3038d017d072" addr="T2R23C5S1_1" formatStyle="Comma">
          <m:axisValue occRef="母公司"/>
        </m:item>
        <m:item xlName="_GBC_5a20cc1f54d64045a18af024d677b3c7" concept="clcid-pte:SheDingShouYiJiHuaBianDongEJieZhuanLiuCunShouYiDaoZhiKuCunGuBianDongJinE" label="设定受益计划变动额结转留存收益导致库存股变动金额" mulRef="_GBC_048773409e614c6bb753000b028316a5" unitRef="_GBC_5214b7a188334da286fc3038d017d072" addr="T2R23C6S1_1" baseScale="-1" formatStyle="Comma">
          <m:axisValue occRef="母公司"/>
        </m:item>
        <m:item xlName="_GBC_f50f3442bfe547ae92bb996ca9d26c1b" concept="clcid-pte:SheDingShouYiJiHuaBianDongEJieZhuanLiuCunShouYiDaoZhiQiTaZongHeShouYiBianDongJinE" label="设定受益计划变动额结转留存收益导致其他综合收益变动金额" mulRef="_GBC_048773409e614c6bb753000b028316a5" unitRef="_GBC_5214b7a188334da286fc3038d017d072" addr="T2R23C7S1_1" formatStyle="Comma">
          <m:axisValue occRef="母公司"/>
        </m:item>
        <m:item xlName="_GBC_29a943528604451489cfa1d36e848933" concept="clcid-pte:SheDingShouYiJiHuaBianDongEJieZhuanLiuCunShouYiDaoZhiZhuanXiangChuBeiBianDongJinE" label="设定受益计划变动额结转留存收益导致专项储备变动金额" mulRef="_GBC_048773409e614c6bb753000b028316a5" unitRef="_GBC_5214b7a188334da286fc3038d017d072" addr="T2R23C8S1_1" formatStyle="Comma">
          <m:axisValue occRef="母公司"/>
        </m:item>
        <m:item xlName="_GBC_b039644f00184625a549e959f210cb46" concept="clcid-pte:SheDingShouYiJiHuaBianDongEJieZhuanLiuCunShouYiDaoZhiYingYuGongJiBianDongJinE" label="设定受益计划变动额结转留存收益导致盈余公积变动金额" mulRef="_GBC_048773409e614c6bb753000b028316a5" unitRef="_GBC_5214b7a188334da286fc3038d017d072" addr="T2R23C9S1_1" formatStyle="Comma">
          <m:axisValue occRef="母公司"/>
        </m:item>
        <m:item xlName="_GBC_10a33ffe495e4bdc836f6b2fad54e579" concept="clcid-pte:SheDingShouYiJiHuaBianDongEJieZhuanLiuCunShouYiDaoZhiWeiFenPeiLiRunBianDongJinE" label="设定受益计划变动额结转留存收益导致未分配利润变动金额" mulRef="_GBC_048773409e614c6bb753000b028316a5" unitRef="_GBC_5214b7a188334da286fc3038d017d072" addr="T2R23C10S1_1" formatStyle="Comma">
          <m:axisValue occRef="母公司"/>
        </m:item>
        <m:item xlName="_GBC_ed06713e4211446b9aa0bda1635d9412" concept="clcid-pte:SheDingShouYiJiHuaBianDongEJieZhuanLiuCunShouYiDaoZhiGuDongQuanYiHeJiBianDongJinE" label="设定受益计划变动额结转留存收益导致股东权益合计变动金额" mulRef="_GBC_048773409e614c6bb753000b028316a5" unitRef="_GBC_5214b7a188334da286fc3038d017d072" addr="T2R23C11S1_1" formatStyle="Comma">
          <m:axisValue occRef="母公司"/>
        </m:item>
        <m:placeholder xlName="_PLD_1c8ba4a0bb224c1d891e628390545199" wordText="5．其他综合收益结转留存收益" addr="T2R24C0S1_1"/>
        <m:item xlName="_GBC_2831ad7f38664a089db9f59a15ccd79c" concept="clcid-pte:QiTaZongHeShouYiJieZhuanLiuCunShouYiDaoZhiShiShouZiBenHuoGuBenJingEBianDongJinE" label="其他综合收益结转留存收益导致实收资本（或股本）净额变动金额" mulRef="_GBC_048773409e614c6bb753000b028316a5" unitRef="_GBC_5214b7a188334da286fc3038d017d072" addr="T2R24C1S1_1" formatStyle="Comma">
          <m:axisValue occRef="母公司"/>
        </m:item>
        <m:item xlName="_GBC_36877258ffdb48908aaedd593bf4a5ae" concept="clcid-pte:QiTaZongHeShouYiJieZhuanLiuCunShouYiDaoZhiQiTaQuanYiGongJuZhongDeYouXianGuBianDongJinE" label="其他综合收益结转留存收益导致其他权益工具中的优先股变动金额" mulRef="_GBC_048773409e614c6bb753000b028316a5" unitRef="_GBC_5214b7a188334da286fc3038d017d072" addr="T2R24C2S1_1" formatStyle="Comma">
          <m:axisValue occRef="母公司"/>
        </m:item>
        <m:item xlName="_GBC_eea7c5f794f7484093d707819ba00ec3" concept="clcid-pte:QiTaZongHeShouYiJieZhuanLiuCunShouYiDaoZhiQiTaQuanYiGongJuZhongDeYongXuZhaiBianDongJinE" label="其他综合收益结转留存收益导致其他权益工具中的永续债变动金额" mulRef="_GBC_048773409e614c6bb753000b028316a5" unitRef="_GBC_5214b7a188334da286fc3038d017d072" addr="T2R24C3S1_1" formatStyle="Comma">
          <m:axisValue occRef="母公司"/>
        </m:item>
        <m:item xlName="_GBC_3a30205bfc544591afc0d5698537e14c" concept="clcid-pte:QiTaZongHeShouYiJieZhuanLiuCunShouYiDaoZhiQiTaQuanYiGongJuZhongDeQiTaBianDongJinE" label="其他综合收益结转留存收益导致其他权益工具中的其他变动金额" mulRef="_GBC_048773409e614c6bb753000b028316a5" unitRef="_GBC_5214b7a188334da286fc3038d017d072" addr="T2R24C4S1_1" formatStyle="Comma">
          <m:axisValue occRef="母公司"/>
        </m:item>
        <m:item xlName="_GBC_9383cb5696f0403386bfc18f9d424d59" concept="clcid-pte:QiTaZongHeShouYiJieZhuanLiuCunShouYiDaoZhiZiBenGongJiBianDongJinE" label="其他综合收益结转留存收益导致资本公积变动金额" mulRef="_GBC_048773409e614c6bb753000b028316a5" unitRef="_GBC_5214b7a188334da286fc3038d017d072" addr="T2R24C5S1_1" formatStyle="Comma">
          <m:axisValue occRef="母公司"/>
        </m:item>
        <m:item xlName="_GBC_ec1c7c4c475045689832c4e379519a44" concept="clcid-pte:QiTaZongHeShouYiJieZhuanLiuCunShouYiDaoZhiKuCunGuBianDongJinE" label="其他综合收益结转留存收益导致库存股变动金额" mulRef="_GBC_048773409e614c6bb753000b028316a5" unitRef="_GBC_5214b7a188334da286fc3038d017d072" addr="T2R24C6S1_1" baseScale="-1" formatStyle="Comma">
          <m:axisValue occRef="母公司"/>
        </m:item>
        <m:item xlName="_GBC_088ac970636c4ea98a07c1b1cdeebea1" concept="clcid-pte:QiTaZongHeShouYiJieZhuanLiuCunShouYiDaoZhiQiTaZongHeShouYiBianDongJinE" label="其他综合收益结转留存收益导致其他综合收益变动金额" mulRef="_GBC_048773409e614c6bb753000b028316a5" unitRef="_GBC_5214b7a188334da286fc3038d017d072" addr="T2R24C7S1_1" formatStyle="Comma">
          <m:axisValue occRef="母公司"/>
        </m:item>
        <m:item xlName="_GBC_2e0b2a1e4479461fb045eb537ae580f8" concept="clcid-pte:QiTaZongHeShouYiJieZhuanLiuCunShouYiDaoZhiZhuanXiangChuBeiBianDongJinE" label="其他综合收益结转留存收益导致专项储备变动金额" mulRef="_GBC_048773409e614c6bb753000b028316a5" unitRef="_GBC_5214b7a188334da286fc3038d017d072" addr="T2R24C8S1_1" formatStyle="Comma">
          <m:axisValue occRef="母公司"/>
        </m:item>
        <m:item xlName="_GBC_a716d544a2ed4618ab191115bd92a8b0" concept="clcid-pte:QiTaZongHeShouYiJieZhuanLiuCunShouYiDaoZhiYingYuGongJiBianDongJinE" label="其他综合收益结转留存收益导致盈余公积变动金额" mulRef="_GBC_048773409e614c6bb753000b028316a5" unitRef="_GBC_5214b7a188334da286fc3038d017d072" addr="T2R24C9S1_1" formatStyle="Comma">
          <m:axisValue occRef="母公司"/>
        </m:item>
        <m:item xlName="_GBC_054808ba1d714ccca4dd30e09c36f00f" concept="clcid-pte:QiTaZongHeShouYiJieZhuanLiuCunShouYiDaoZhiWeiFenPeiLiRunBianDongJinE" label="其他综合收益结转留存收益导致未分配利润变动金额" mulRef="_GBC_048773409e614c6bb753000b028316a5" unitRef="_GBC_5214b7a188334da286fc3038d017d072" addr="T2R24C10S1_1" formatStyle="Comma">
          <m:axisValue occRef="母公司"/>
        </m:item>
        <m:item xlName="_GBC_21b161c66a4c488c8d852ceb78f37ad1" concept="clcid-pte:QiTaZongHeShouYiJieZhuanLiuCunShouYiDaoZhiGuDongQuanYiHeJiBianDongJinE" label="其他综合收益结转留存收益导致股东权益合计变动金额" mulRef="_GBC_048773409e614c6bb753000b028316a5" unitRef="_GBC_5214b7a188334da286fc3038d017d072" addr="T2R24C11S1_1" formatStyle="Comma">
          <m:axisValue occRef="母公司"/>
        </m:item>
        <m:placeholder xlName="_PLD_69d4adb536bf498a8a9d97dda9d31e75" wordText="6．其他" addr="T2R25C0S1_1"/>
        <m:item xlName="_GBC_c12c8acbe8ca43959d18fbc507ee415e" concept="clcid-pte:QiTaSuoYouZheQuanYiNeiBuJieZhuanDaoZhiShiShouZiBenHuoGuBenJingEBianDongJinE" label="其他所有者权益内部结转导致实收资本（或股本）净额变动金额" mulRef="_GBC_048773409e614c6bb753000b028316a5" unitRef="_GBC_5214b7a188334da286fc3038d017d072" addr="T2R25C1S1_1" formatStyle="Comma">
          <m:axisValue occRef="母公司"/>
        </m:item>
        <m:item xlName="_GBC_c249770cec1e46849339600174f46cb8" concept="clcid-pte:QiTaSuoYouZheQuanYiNeiBuJieZhuanDaoZhiQiTaQuanYiGongJuZhongDeYouXianGuBianDongJinE" label="其他所有者权益内部结转导致其他权益工具中的优先股变动金额" mulRef="_GBC_048773409e614c6bb753000b028316a5" unitRef="_GBC_5214b7a188334da286fc3038d017d072" addr="T2R25C2S1_1" formatStyle="Comma">
          <m:axisValue occRef="母公司"/>
        </m:item>
        <m:item xlName="_GBC_9763a0172a6242e49a00331b096d8b18" concept="clcid-pte:QiTaSuoYouZheQuanYiNeiBuJieZhuanDaoZhiQiTaQuanYiGongJuZhongDeYongXuZhaiBianDongJinE" label="其他所有者权益内部结转导致其他权益工具中的永续债变动金额" mulRef="_GBC_048773409e614c6bb753000b028316a5" unitRef="_GBC_5214b7a188334da286fc3038d017d072" addr="T2R25C3S1_1" formatStyle="Comma">
          <m:axisValue occRef="母公司"/>
        </m:item>
        <m:item xlName="_GBC_9f99d2c8f43a47ef9288572b8e455f72" concept="clcid-pte:QiTaSuoYouZheQuanYiNeiBuJieZhuanDaoZhiQiTaQuanYiGongJuZhongDeQiTaBianDongJinE" label="其他所有者权益内部结转导致其他权益工具中的其他变动金额" mulRef="_GBC_048773409e614c6bb753000b028316a5" unitRef="_GBC_5214b7a188334da286fc3038d017d072" addr="T2R25C4S1_1" formatStyle="Comma">
          <m:axisValue occRef="母公司"/>
        </m:item>
        <m:item xlName="_GBC_79ae5c7f33b64ca4854b078e711edf01" concept="clcid-pte:QiTaSuoYouZheQuanYiNeiBuJieZhuanDaoZhiZiBenGongJiBianDongJinE" label="其他所有者权益内部结转导致资本公积变动金额" mulRef="_GBC_048773409e614c6bb753000b028316a5" unitRef="_GBC_5214b7a188334da286fc3038d017d072" addr="T2R25C5S1_1" formatStyle="Comma">
          <m:axisValue occRef="母公司"/>
        </m:item>
        <m:item xlName="_GBC_ef4e073754fd4089b309769be7ff3d60" concept="clcid-pte:QiTaSuoYouZheQuanYiNeiBuJieZhuanDaoZhiKuCunGuBianDongJinE" label="其他所有者权益内部结转导致库存股变动金额" mulRef="_GBC_048773409e614c6bb753000b028316a5" unitRef="_GBC_5214b7a188334da286fc3038d017d072" addr="T2R25C6S1_1" baseScale="-1" formatStyle="Comma">
          <m:axisValue occRef="母公司"/>
        </m:item>
        <m:item xlName="_GBC_aaf8581bfdea43afaab1107686c116d8" concept="clcid-pte:QiTaSuoYouZheQuanYiNeiBuJieZhuanDaoZhiQiTaZongHeShouYiBianDongJinE" label="其他所有者权益内部结转导致其他综合收益变动金额" mulRef="_GBC_048773409e614c6bb753000b028316a5" unitRef="_GBC_5214b7a188334da286fc3038d017d072" addr="T2R25C7S1_1" formatStyle="Comma">
          <m:axisValue occRef="母公司"/>
        </m:item>
        <m:item xlName="_GBC_c6eb678860644dcc87f23eeb61e99952" concept="clcid-pte:QiTaSuoYouZheQuanYiNeiBuJieZhuanDaoZhiZhuanXiangChuBeiBianDongJinE" label="其他所有者权益内部结转导致专项储备变动金额" mulRef="_GBC_048773409e614c6bb753000b028316a5" unitRef="_GBC_5214b7a188334da286fc3038d017d072" addr="T2R25C8S1_1" formatStyle="Comma">
          <m:axisValue occRef="母公司"/>
        </m:item>
        <m:item xlName="_GBC_17268790310846b2b3ce86c1a4c983f4" concept="clcid-pte:QiTaSuoYouZheQuanYiNeiBuJieZhuanDaoZhiYingYuGongJiBianDongJinE" label="其他所有者权益内部结转导致盈余公积变动金额" mulRef="_GBC_048773409e614c6bb753000b028316a5" unitRef="_GBC_5214b7a188334da286fc3038d017d072" addr="T2R25C9S1_1" formatStyle="Comma">
          <m:axisValue occRef="母公司"/>
        </m:item>
        <m:item xlName="_GBC_1ed45a0f2d844379a6480cc4f7cdfaff" concept="clcid-pte:QiTaSuoYouZheQuanYiNeiBuJieZhuanDaoZhiWeiFenPeiLiRunBianDongJinE" label="其他所有者权益内部结转导致未分配利润变动金额" mulRef="_GBC_048773409e614c6bb753000b028316a5" unitRef="_GBC_5214b7a188334da286fc3038d017d072" addr="T2R25C10S1_1" formatStyle="Comma">
          <m:axisValue occRef="母公司"/>
        </m:item>
        <m:item xlName="_GBC_0122523930f844f9818e88f8be8bc749" concept="clcid-pte:QiTaSuoYouZheQuanYiNeiBuJieZhuanDaoZhiGuDongQuanYiHeJiBianDongJinE" label="其他所有者权益内部结转导致股东权益合计变动金额" mulRef="_GBC_048773409e614c6bb753000b028316a5" unitRef="_GBC_5214b7a188334da286fc3038d017d072" addr="T2R25C11S1_1" formatStyle="Comma">
          <m:axisValue occRef="母公司"/>
        </m:item>
        <m:placeholder xlName="_PLD_2ae06251c01740e284196240776af550" wordText="（五）专项储备" addr="T2R26C0S1_1"/>
        <m:item xlName="_GBC_2cbca74f80a744339bc2c82ccb3a5682" concept="clcid-pte:ZhuanXiangChuBeiDaoZhiShiShouZiBenHuoGuBenJingEBianDongJinE" label="专项储备导致实收资本（或股本）净额变动金额" mulRef="_GBC_048773409e614c6bb753000b028316a5" unitRef="_GBC_5214b7a188334da286fc3038d017d072" addr="T2R26C1S1_1" formatStyle="Comma">
          <m:complexRule comparator="Eq" title="母公司专项储备导致实收资本（或股本）净额变动金额" test=" $_GBC_609b8996eaae49a69b9ae21f36756619 -  $_GBC_227b0aa17b1a4450aef2d630dde5deec" id="C46d2d9af59d84f93ba6805c1ca04c467"/>
          <m:axisValue occRef="母公司"/>
        </m:item>
        <m:item xlName="_GBC_ba1ea232086f49679eced5f9c476bd7d" concept="clcid-pte:ZhuanXiangChuBeiDaoZhiQiTaQuanYiGongJuZhongDeYouXianGuBianDongJinE" label="专项储备导致其他权益工具中的优先股变动金额" mulRef="_GBC_048773409e614c6bb753000b028316a5" unitRef="_GBC_5214b7a188334da286fc3038d017d072" addr="T2R26C2S1_1" formatStyle="Comma">
          <m:complexRule comparator="Eq" title="母公司专项储备导致其他权益工具中的优先股变动金额" test=" $_GBC_500382823a69410fab4a1984e4ab2d7b -  $_GBC_a122c95ffa4543388c9f01e41359fad0" id="C3a953aca8d524a6dae981078a15ed2c9"/>
          <m:axisValue occRef="母公司"/>
        </m:item>
        <m:item xlName="_GBC_16754af9da4b47f2b1cc38d7856d8f8b" concept="clcid-pte:ZhuanXiangChuBeiDaoZhiQiTaQuanYiGongJuZhongDeYongXuZhaiBianDongJinE" label="专项储备导致其他权益工具中的永续债变动金额" mulRef="_GBC_048773409e614c6bb753000b028316a5" unitRef="_GBC_5214b7a188334da286fc3038d017d072" addr="T2R26C3S1_1" formatStyle="Comma">
          <m:complexRule comparator="Eq" title="母公司专项储备导致其他权益工具中的永续债变动金额" test=" $_GBC_6da5f5a93e3c491f80875c63a0a773be -  $_GBC_cba56aacf7a84ad2826c298a9593b3f5" id="C0a4d48f32b4c4b6e846bcd1bb7152a87"/>
          <m:axisValue occRef="母公司"/>
        </m:item>
        <m:item xlName="_GBC_96f1f37c2ebe4120bdb43159f84fc442" concept="clcid-pte:ZhuanXiangChuBeiDaoZhiQiTaQuanYiGongJuZhongDeQiTaBianDongJinE" label="专项储备导致其他权益工具中的其他变动金额" mulRef="_GBC_048773409e614c6bb753000b028316a5" unitRef="_GBC_5214b7a188334da286fc3038d017d072" addr="T2R26C4S1_1" formatStyle="Comma">
          <m:complexRule comparator="Eq" title="母公司专项储备导致其他权益工具中的其他变动金额" test=" $_GBC_6de22e6de98441679055db12113e5720 -  $_GBC_7ae086a2b0dc43ff8f4abd2e84d0e509" id="C31a51b5139f044b28e409cea30c80663"/>
          <m:axisValue occRef="母公司"/>
        </m:item>
        <m:item xlName="_GBC_0f6acc3ef97c4ecbbcfb5086e2d5da4f" concept="clcid-pte:ZhuanXiangChuBeiDaoZhiZiBenGongJiBianDongJinE" label="专项储备导致资本公积变动金额" mulRef="_GBC_048773409e614c6bb753000b028316a5" unitRef="_GBC_5214b7a188334da286fc3038d017d072" addr="T2R26C5S1_1" formatStyle="Comma">
          <m:complexRule comparator="Eq" title="母公司专项储备导致资本公积变动金额" test=" $_GBC_0eab8a0b3d764021aeb2494b69fd22cb -  $_GBC_6af3edd8331140b4b3d6d0df6c0cbb57" id="C01263de0ec0b48e2810c05760feb1450"/>
          <m:axisValue occRef="母公司"/>
        </m:item>
        <m:item xlName="_GBC_08f333e1ae844c698c8198354620896b" concept="clcid-pte:ZhuanXiangChuBeiDaoZhiKuCunGuBianDongJinE" label="专项储备导致库存股变动金额" mulRef="_GBC_048773409e614c6bb753000b028316a5" unitRef="_GBC_5214b7a188334da286fc3038d017d072" addr="T2R26C6S1_1" baseScale="-1" formatStyle="Comma">
          <m:complexRule comparator="Eq" title="母公司专项储备导致库存股变动金额" test=" $_GBC_81ea7ebe82fd4a9590d7415ecb680e5d -  $_GBC_8e7e95d3b3124787ac5f59f3844f558e" id="C3039af4182444fabb978297c2745c3b3"/>
          <m:axisValue occRef="母公司"/>
        </m:item>
        <m:item xlName="_GBC_7aefe5a89f7941afba1423447c04e7b7" concept="clcid-pte:ZhuanXiangChuBeiDaoZhiQiTaZongHeShouYiBianDongJinE" label="专项储备导致其他综合收益变动金额" mulRef="_GBC_048773409e614c6bb753000b028316a5" unitRef="_GBC_5214b7a188334da286fc3038d017d072" addr="T2R26C7S1_1" formatStyle="Comma">
          <m:complexRule comparator="Eq" title="母公司专项储备导致其他综合收益变动金额" test=" $_GBC_5c720558caf24dae878a518de64724da -  $_GBC_ed5c34c6cf044c0bacf31b0a291acd54" id="Cb285c82ff313449d86d08a292cad214a"/>
          <m:axisValue occRef="母公司"/>
        </m:item>
        <m:item xlName="_GBC_b20f61c7bfab4a5a92fc287469774e41" concept="clcid-pte:ZhuanXiangChuBeiDaoZhiZhuanXiangChuBeiBianDongJinE" label="专项储备导致专项储备变动金额" mulRef="_GBC_048773409e614c6bb753000b028316a5" unitRef="_GBC_5214b7a188334da286fc3038d017d072" addr="T2R26C8S1_1" formatStyle="Comma">
          <m:complexRule comparator="Eq" title="母公司专项储备导致专项储备变动金额" test=" $_GBC_17b2e9dcff534967888a2f1563f604f1 -  $_GBC_8ac97954c71b484da78ebe43d98db0f0" id="Cd95d2dbd50ab4221942352a58a83ad97"/>
          <m:axisValue occRef="母公司"/>
        </m:item>
        <m:item xlName="_GBC_d5f93c8d0480464ebd1ced2fce559cdd" concept="clcid-pte:ZhuanXiangChuBeiDaoZhiYingYuGongJiBianDongJinE" label="专项储备导致盈余公积变动金额" mulRef="_GBC_048773409e614c6bb753000b028316a5" unitRef="_GBC_5214b7a188334da286fc3038d017d072" addr="T2R26C9S1_1" formatStyle="Comma">
          <m:complexRule comparator="Eq" title="母公司专项储备导致盈余公积变动金额" test=" $_GBC_6dd17078b995424ba601066cdfca5793 -  $_GBC_98ffaeea39d24a60872fd8720a651652" id="Cd26a143cd4124d0ba24bd200213a8678"/>
          <m:axisValue occRef="母公司"/>
        </m:item>
        <m:item xlName="_GBC_2e8bc48548d041e6ac139f8ff05dab4e" concept="clcid-pte:ZhuanXiangChuBeiDaoZhiWeiFenPeiLiRunBianDongJinE" label="专项储备导致未分配利润变动金额" mulRef="_GBC_048773409e614c6bb753000b028316a5" unitRef="_GBC_5214b7a188334da286fc3038d017d072" addr="T2R26C10S1_1" formatStyle="Comma">
          <m:complexRule comparator="Eq" title="母公司专项储备导致未分配利润变动金额" test=" $_GBC_8b4f2e4c26ab46198a8bff3c2e52d7b2 -  $_GBC_99eb8cff7ec846a3bd9c06b8f490c2c5" id="Cd061e588ea204f8db0c6bbbba539bb0d"/>
          <m:axisValue occRef="母公司"/>
        </m:item>
        <m:item xlName="_GBC_edde1be052f04992b611b072eec8d60b" concept="clcid-pte:ZhuanXiangChuBeiDaoZhiGuDongQuanYiHeJiBianDongJinE" label="专项储备导致股东权益合计变动金额" mulRef="_GBC_048773409e614c6bb753000b028316a5" unitRef="_GBC_5214b7a188334da286fc3038d017d072" addr="T2R26C11S1_1" formatStyle="Comma">
          <m:complexRule comparator="Eq" title="母公司专项储备导致股东权益合计变动金额" test=" $_GBC_de3cf85d66be4c788f928137460ad47c -  $_GBC_509d65276b6a4dfcb57a9cf6ef40317a" id="C59baa5f197b543c2982233a04f0db842"/>
          <m:axisValue occRef="母公司"/>
        </m:item>
        <m:placeholder xlName="_PLD_6c9c274129814a4ea45296335d45791b" wordText="1．本期提取" addr="T2R27C0S1_1"/>
        <m:item xlName="_GBC_609b8996eaae49a69b9ae21f36756619" concept="clcid-pte:TiQuDaoZhiShiShouZiBenHuoGuBenJingEBianDongJinE" label="提取导致实收资本（或股本）净额变动金额" mulRef="_GBC_048773409e614c6bb753000b028316a5" unitRef="_GBC_5214b7a188334da286fc3038d017d072" addr="T2R27C1S1_1" formatStyle="Comma">
          <m:axisValue occRef="母公司"/>
        </m:item>
        <m:item xlName="_GBC_500382823a69410fab4a1984e4ab2d7b" concept="clcid-pte:TiQuDaoZhiQiTaQuanYiGongJuZhongDeYouXianGuBianDongJinE" label="提取导致其他权益工具中的优先股变动金额" mulRef="_GBC_048773409e614c6bb753000b028316a5" unitRef="_GBC_5214b7a188334da286fc3038d017d072" addr="T2R27C2S1_1" formatStyle="Comma">
          <m:axisValue occRef="母公司"/>
        </m:item>
        <m:item xlName="_GBC_6da5f5a93e3c491f80875c63a0a773be" concept="clcid-pte:TiQuDaoZhiQiTaQuanYiGongJuZhongDeYongXuZhaiBianDongJinE" label="提取导致其他权益工具中的永续债变动金额" mulRef="_GBC_048773409e614c6bb753000b028316a5" unitRef="_GBC_5214b7a188334da286fc3038d017d072" addr="T2R27C3S1_1" formatStyle="Comma">
          <m:axisValue occRef="母公司"/>
        </m:item>
        <m:item xlName="_GBC_6de22e6de98441679055db12113e5720" concept="clcid-pte:TiQuDaoZhiQiTaQuanYiGongJuZhongDeQiTaBianDongJinE" label="提取导致其他权益工具中的其他变动金额" mulRef="_GBC_048773409e614c6bb753000b028316a5" unitRef="_GBC_5214b7a188334da286fc3038d017d072" addr="T2R27C4S1_1" formatStyle="Comma">
          <m:axisValue occRef="母公司"/>
        </m:item>
        <m:item xlName="_GBC_0eab8a0b3d764021aeb2494b69fd22cb" concept="clcid-pte:TiQuDaoZhiZiBenGongJiBianDongJinE" label="提取导致资本公积变动金额" mulRef="_GBC_048773409e614c6bb753000b028316a5" unitRef="_GBC_5214b7a188334da286fc3038d017d072" addr="T2R27C5S1_1" formatStyle="Comma">
          <m:axisValue occRef="母公司"/>
        </m:item>
        <m:item xlName="_GBC_81ea7ebe82fd4a9590d7415ecb680e5d" concept="clcid-pte:TiQuDaoZhiKuCunGuBianDongJinE" label="提取导致库存股变动金额" mulRef="_GBC_048773409e614c6bb753000b028316a5" unitRef="_GBC_5214b7a188334da286fc3038d017d072" addr="T2R27C6S1_1" baseScale="-1" formatStyle="Comma">
          <m:axisValue occRef="母公司"/>
        </m:item>
        <m:item xlName="_GBC_5c720558caf24dae878a518de64724da" concept="clcid-pte:TiQuDaoZhiQiTaZongHeShouYiBianDongJinE" label="提取导致其他综合收益变动金额" mulRef="_GBC_048773409e614c6bb753000b028316a5" unitRef="_GBC_5214b7a188334da286fc3038d017d072" addr="T2R27C7S1_1" formatStyle="Comma">
          <m:axisValue occRef="母公司"/>
        </m:item>
        <m:item xlName="_GBC_17b2e9dcff534967888a2f1563f604f1" concept="clcid-pte:TiQuDaoZhiZhuanXiangChuBeiBianDongJinE" label="提取导致专项储备变动金额" mulRef="_GBC_048773409e614c6bb753000b028316a5" unitRef="_GBC_5214b7a188334da286fc3038d017d072" addr="T2R27C8S1_1" formatStyle="Comma">
          <m:axisValue occRef="母公司"/>
        </m:item>
        <m:item xlName="_GBC_6dd17078b995424ba601066cdfca5793" concept="clcid-pte:TiQuDaoZhiYingYuGongJiBianDongJinE" label="提取导致盈余公积变动金额" mulRef="_GBC_048773409e614c6bb753000b028316a5" unitRef="_GBC_5214b7a188334da286fc3038d017d072" addr="T2R27C9S1_1" formatStyle="Comma">
          <m:axisValue occRef="母公司"/>
        </m:item>
        <m:item xlName="_GBC_8b4f2e4c26ab46198a8bff3c2e52d7b2" concept="clcid-pte:TiQuDaoZhiWeiFenPeiLiRunBianDongJinE" label="提取导致未分配利润变动金额" mulRef="_GBC_048773409e614c6bb753000b028316a5" unitRef="_GBC_5214b7a188334da286fc3038d017d072" addr="T2R27C10S1_1" formatStyle="Comma">
          <m:axisValue occRef="母公司"/>
        </m:item>
        <m:item xlName="_GBC_de3cf85d66be4c788f928137460ad47c" concept="clcid-pte:TiQuDaoZhiGuDongQuanYiHeJiBianDongJinE" label="提取导致股东权益合计变动金额" mulRef="_GBC_048773409e614c6bb753000b028316a5" unitRef="_GBC_5214b7a188334da286fc3038d017d072" addr="T2R27C11S1_1" formatStyle="Comma">
          <m:axisValue occRef="母公司"/>
        </m:item>
        <m:placeholder xlName="_PLD_14398e4dd6ed4c74869a974323e2137e" wordText="2．本期使用" addr="T2R28C0S1_1"/>
        <m:item xlName="_GBC_227b0aa17b1a4450aef2d630dde5deec" concept="clcid-pte:ShiYongDaoZhiShiShouZiBenHuoGuBenJingEBianDongJinE" label="使用导致实收资本（或股本）净额变动金额" mulRef="_GBC_048773409e614c6bb753000b028316a5" unitRef="_GBC_5214b7a188334da286fc3038d017d072" addr="T2R28C1S1_1" formatStyle="Comma">
          <m:axisValue occRef="母公司"/>
        </m:item>
        <m:item xlName="_GBC_a122c95ffa4543388c9f01e41359fad0" concept="clcid-pte:ShiYongDaoZhiQiTaQuanYiGongJuZhongDeYouXianGuBianDongJinE" label="使用导致其他权益工具中的优先股变动金额" mulRef="_GBC_048773409e614c6bb753000b028316a5" unitRef="_GBC_5214b7a188334da286fc3038d017d072" addr="T2R28C2S1_1" formatStyle="Comma">
          <m:axisValue occRef="母公司"/>
        </m:item>
        <m:item xlName="_GBC_cba56aacf7a84ad2826c298a9593b3f5" concept="clcid-pte:ShiYongDaoZhiQiTaQuanYiGongJuZhongDeYongXuZhaiBianDongJinE" label="使用导致其他权益工具中的永续债变动金额" mulRef="_GBC_048773409e614c6bb753000b028316a5" unitRef="_GBC_5214b7a188334da286fc3038d017d072" addr="T2R28C3S1_1" formatStyle="Comma">
          <m:axisValue occRef="母公司"/>
        </m:item>
        <m:item xlName="_GBC_7ae086a2b0dc43ff8f4abd2e84d0e509" concept="clcid-pte:ShiYongDaoZhiQiTaQuanYiGongJuZhongDeQiTaBianDongJinE" label="使用导致其他权益工具中的其他变动金额" mulRef="_GBC_048773409e614c6bb753000b028316a5" unitRef="_GBC_5214b7a188334da286fc3038d017d072" addr="T2R28C4S1_1" formatStyle="Comma">
          <m:axisValue occRef="母公司"/>
        </m:item>
        <m:item xlName="_GBC_6af3edd8331140b4b3d6d0df6c0cbb57" concept="clcid-pte:ShiYongDaoZhiZiBenGongJiBianDongJinE" label="使用导致资本公积变动金额" mulRef="_GBC_048773409e614c6bb753000b028316a5" unitRef="_GBC_5214b7a188334da286fc3038d017d072" addr="T2R28C5S1_1" formatStyle="Comma">
          <m:axisValue occRef="母公司"/>
        </m:item>
        <m:item xlName="_GBC_8e7e95d3b3124787ac5f59f3844f558e" concept="clcid-pte:ShiYongDaoZhiKuCunGuBianDongJinE" label="使用导致库存股变动金额" mulRef="_GBC_048773409e614c6bb753000b028316a5" unitRef="_GBC_5214b7a188334da286fc3038d017d072" addr="T2R28C6S1_1" baseScale="-1" formatStyle="Comma">
          <m:axisValue occRef="母公司"/>
        </m:item>
        <m:item xlName="_GBC_ed5c34c6cf044c0bacf31b0a291acd54" concept="clcid-pte:ShiYongDaoZhiQiTaZongHeShouYiBianDongJinE" label="使用导致其他综合收益变动金额" mulRef="_GBC_048773409e614c6bb753000b028316a5" unitRef="_GBC_5214b7a188334da286fc3038d017d072" addr="T2R28C7S1_1" formatStyle="Comma">
          <m:axisValue occRef="母公司"/>
        </m:item>
        <m:item xlName="_GBC_8ac97954c71b484da78ebe43d98db0f0" concept="clcid-pte:ShiYongDaoZhiZhuanXiangChuBeiBianDongJinE" label="使用导致专项储备变动金额" mulRef="_GBC_048773409e614c6bb753000b028316a5" unitRef="_GBC_5214b7a188334da286fc3038d017d072" addr="T2R28C8S1_1" formatStyle="Comma">
          <m:axisValue occRef="母公司"/>
        </m:item>
        <m:item xlName="_GBC_98ffaeea39d24a60872fd8720a651652" concept="clcid-pte:ShiYongDaoZhiYingYuGongJiBianDongJinE" label="使用导致盈余公积变动金额" mulRef="_GBC_048773409e614c6bb753000b028316a5" unitRef="_GBC_5214b7a188334da286fc3038d017d072" addr="T2R28C9S1_1" formatStyle="Comma">
          <m:axisValue occRef="母公司"/>
        </m:item>
        <m:item xlName="_GBC_99eb8cff7ec846a3bd9c06b8f490c2c5" concept="clcid-pte:ShiYongDaoZhiWeiFenPeiLiRunBianDongJinE" label="使用导致未分配利润变动金额" mulRef="_GBC_048773409e614c6bb753000b028316a5" unitRef="_GBC_5214b7a188334da286fc3038d017d072" addr="T2R28C10S1_1" formatStyle="Comma">
          <m:axisValue occRef="母公司"/>
        </m:item>
        <m:item xlName="_GBC_509d65276b6a4dfcb57a9cf6ef40317a" concept="clcid-pte:ShiYongDaoZhiGuDongQuanYiHeJiBianDongJinE" label="使用导致股东权益合计变动金额" mulRef="_GBC_048773409e614c6bb753000b028316a5" unitRef="_GBC_5214b7a188334da286fc3038d017d072" addr="T2R28C11S1_1" formatStyle="Comma">
          <m:axisValue occRef="母公司"/>
        </m:item>
        <m:placeholder xlName="_PLD_224fa1ebe84a4d40b88b89a97997e311" wordText="（六）其他" addr="T2R29C0S1_1"/>
        <m:item xlName="_GBC_7c98f87bd16e47478f964cb740105704" concept="clcid-pte:QiTaDaoZhiShiShouZiBenHuoGuBenJingEBianDongJinE" label="其他导致实收资本（或股本）净额变动金额" mulRef="_GBC_048773409e614c6bb753000b028316a5" unitRef="_GBC_5214b7a188334da286fc3038d017d072" addr="T2R29C1S1_1" formatStyle="Comma">
          <m:axisValue occRef="母公司"/>
        </m:item>
        <m:item xlName="_GBC_018b41c23e7440efae60bc74cd0e6ec1" concept="clcid-pte:QiTaDaoZhiQiTaQuanYiGongJuZhongDeYouXianGuBianDongJinE" label="其他导致其他权益工具中的优先股变动金额" mulRef="_GBC_048773409e614c6bb753000b028316a5" unitRef="_GBC_5214b7a188334da286fc3038d017d072" addr="T2R29C2S1_1" formatStyle="Comma">
          <m:axisValue occRef="母公司"/>
        </m:item>
        <m:item xlName="_GBC_964e15418f9e4ee9867ccd2056b9e409" concept="clcid-pte:QiTaDaoZhiQiTaQuanYiGongJuZhongDeYongXuZhaiBianDongJinE" label="其他导致其他权益工具中的永续债变动金额" mulRef="_GBC_048773409e614c6bb753000b028316a5" unitRef="_GBC_5214b7a188334da286fc3038d017d072" addr="T2R29C3S1_1" formatStyle="Comma">
          <m:axisValue occRef="母公司"/>
        </m:item>
        <m:item xlName="_GBC_49bf533919214ab7bc94515751717793" concept="clcid-pte:QiTaDaoZhiQiTaQuanYiGongJuZhongDeQiTaBianDongJinE" label="其他导致其他权益工具中的其他变动金额" mulRef="_GBC_048773409e614c6bb753000b028316a5" unitRef="_GBC_5214b7a188334da286fc3038d017d072" addr="T2R29C4S1_1" formatStyle="Comma">
          <m:axisValue occRef="母公司"/>
        </m:item>
        <m:item xlName="_GBC_c971cbdcb4e7450ab76accb648f822a9" concept="clcid-pte:QiTaDaoZhiZiBenGongJiBianDongJinE" label="其他导致资本公积变动金额" mulRef="_GBC_048773409e614c6bb753000b028316a5" unitRef="_GBC_5214b7a188334da286fc3038d017d072" addr="T2R29C5S1_1" formatStyle="Comma">
          <m:axisValue occRef="母公司"/>
        </m:item>
        <m:item xlName="_GBC_d3d5c9dbddbf4eb58b8734a6dc4a2589" concept="clcid-pte:QiTaDaoZhiKuCunGuBianDongJinE" label="其他导致库存股变动金额" mulRef="_GBC_048773409e614c6bb753000b028316a5" unitRef="_GBC_5214b7a188334da286fc3038d017d072" addr="T2R29C6S1_1" baseScale="-1" formatStyle="Comma">
          <m:axisValue occRef="母公司"/>
        </m:item>
        <m:item xlName="_GBC_d28c4273adaa462489c3b6fc95c1fef7" concept="clcid-pte:QiTaDaoZhiQiTaZongHeShouYiBianDongJinE" label="其他导致其他综合收益变动金额" mulRef="_GBC_048773409e614c6bb753000b028316a5" unitRef="_GBC_5214b7a188334da286fc3038d017d072" addr="T2R29C7S1_1" formatStyle="Comma">
          <m:axisValue occRef="母公司"/>
        </m:item>
        <m:item xlName="_GBC_78ce8b687a624a4a8faf3d358624042b" concept="clcid-pte:QiTaDaoZhiZhuanXiangChuBeiBianDongJinE" label="其他导致专项储备变动金额" mulRef="_GBC_048773409e614c6bb753000b028316a5" unitRef="_GBC_5214b7a188334da286fc3038d017d072" addr="T2R29C8S1_1" formatStyle="Comma">
          <m:axisValue occRef="母公司"/>
        </m:item>
        <m:item xlName="_GBC_4bbf8246a8b54d4983e9cf776f7f1283" concept="clcid-pte:QiTaDaoZhiYingYuGongJiBianDongJinE" label="其他导致盈余公积变动金额" mulRef="_GBC_048773409e614c6bb753000b028316a5" unitRef="_GBC_5214b7a188334da286fc3038d017d072" addr="T2R29C9S1_1" formatStyle="Comma">
          <m:axisValue occRef="母公司"/>
        </m:item>
        <m:item xlName="_GBC_8f083dff6a524622ae71c02b51f6181b" concept="clcid-pte:QiTaDaoZhiWeiFenPeiLiRunBianDongJinE" label="其他导致未分配利润变动金额" mulRef="_GBC_048773409e614c6bb753000b028316a5" unitRef="_GBC_5214b7a188334da286fc3038d017d072" addr="T2R29C10S1_1" formatStyle="Comma">
          <m:axisValue occRef="母公司"/>
        </m:item>
        <m:item xlName="_GBC_48a420d2abcf4babbfd864619f365e6e" concept="clcid-pte:QiTaDaoZhiGuDongQuanYiHeJiBianDongJinE" label="其他导致股东权益合计变动金额" mulRef="_GBC_048773409e614c6bb753000b028316a5" unitRef="_GBC_5214b7a188334da286fc3038d017d072" addr="T2R29C11S1_1" formatStyle="Comma">
          <m:axisValue occRef="母公司"/>
        </m:item>
        <m:placeholder xlName="_PLD_fe962ef732004aec94edafee7e0bef94" wordText="四、本期期末余额" addr="T2R30C0S1_1"/>
        <m:item xlName="_GBC_5a3570706d4d49b5906dffc738b508d8" concept="clcid-pte:GuBen" label="股本" mulRef="_GBC_048773409e614c6bb753000b028316a5" unitRef="_GBC_5214b7a188334da286fc3038d017d072" addr="T2R30C1S1_1" formatStyle="Comma">
          <m:complexRule comparator="Eq" title="母公司股本" test=" $_GBC_85a6da49b03246b7abdc941be9570cba +  $_GBC_2485e08cb32d450a85efe22a3aa4da7b" id="C54508a78e66c4545a3330faf88d7e2c4"/>
          <m:axisValue occRef="母公司"/>
        </m:item>
        <m:item xlName="_GBC_cb19df38b01342f1905f665d06a74d32" concept="clcid-pte:QiTaQuanYiGongJuQiZhongYouXianGu" label="其他权益工具-其中：优先股" mulRef="_GBC_048773409e614c6bb753000b028316a5" unitRef="_GBC_5214b7a188334da286fc3038d017d072" addr="T2R30C2S1_1" formatStyle="Comma">
          <m:complexRule comparator="Eq" title="母公司其他权益工具-其中：优先股" test=" $_GBC_dccc9a57aaba41a881b16ea5df208c0d +  $_GBC_f37d94262aab49bea3011e8de3bbd70f" id="C4c4ee2779cf64db3a7850e0aafb6d22f"/>
          <m:axisValue occRef="母公司"/>
        </m:item>
        <m:item xlName="_GBC_5b83bd28462e4cc4b3c421e8e3af188f" concept="clcid-pte:QiTaQuanYiGongJuYongXuZhai" label="其他权益工具-永续债" mulRef="_GBC_048773409e614c6bb753000b028316a5" unitRef="_GBC_5214b7a188334da286fc3038d017d072" addr="T2R30C3S1_1" formatStyle="Comma">
          <m:complexRule comparator="Eq" title="母公司其他权益工具-永续债" test=" $_GBC_3eb2a851039343f198cfa8fc00a422eb +  $_GBC_fafb0b1b1d4b4b86ae4b5a9775402762" id="C7140cb5fcdfe47d7a3ae8d7307c17317"/>
          <m:axisValue occRef="母公司"/>
        </m:item>
        <m:item xlName="_GBC_19c7bb42d9e241a3ba28058ef6c466f7" concept="clcid-pte:QiTaQuanYiGongJuQiTa" label="其他权益工具-其他" mulRef="_GBC_048773409e614c6bb753000b028316a5" unitRef="_GBC_5214b7a188334da286fc3038d017d072" addr="T2R30C4S1_1" formatStyle="Comma">
          <m:complexRule comparator="Eq" title="母公司其他权益工具-其他" test=" $_GBC_06ba62c1f35e4dd18f1a1c059e918481 +  $_GBC_764625b02cd94860af03adbd1c11a630" id="C55436f2dd443422daea68e7901dd3e2f"/>
          <m:axisValue occRef="母公司"/>
        </m:item>
        <m:item xlName="_GBC_a42d6e1a8595406f8179104b91650607" concept="clcid-pte:ZiBenGongJi" label="资本公积" mulRef="_GBC_048773409e614c6bb753000b028316a5" unitRef="_GBC_5214b7a188334da286fc3038d017d072" addr="T2R30C5S1_1" formatStyle="Comma">
          <m:complexRule comparator="Eq" title="母公司资本公积" test=" $_GBC_87cd6e71dfd74e1d80635635d6d499e2 +  $_GBC_c44fedef97fd45b4900be8773a750464" id="C411fd4aa849c45a2b539880abb473ac6"/>
          <m:axisValue occRef="母公司"/>
        </m:item>
        <m:item xlName="_GBC_6ac9c2e32a284033804124edcc51e6ac" concept="clcid-pte:KuCunGu" label="库存股" mulRef="_GBC_048773409e614c6bb753000b028316a5" unitRef="_GBC_5214b7a188334da286fc3038d017d072" addr="T2R30C6S1_1" baseScale="-1" formatStyle="Comma" keyCode="abs" keyAction="108">
          <m:complexRule comparator="Eq" title="母公司库存股" test=" $_GBC_114922bd5cad4e92ba6d225e29c2cbcc +  $_GBC_700156d9f1474bc8939b7e2126fc4b2d" id="Cd7f2367b488642208d3a0b13d8fe0844"/>
          <m:axisValue occRef="母公司"/>
        </m:item>
        <m:item xlName="_GBC_bd56a402e6d74668a4614cabb22cff10" concept="clcid-pte:QiTaZongHeShouYiZiChanFuZhaiBiaoXiangMu" label="其他综合收益（资产负债表项目）" mulRef="_GBC_048773409e614c6bb753000b028316a5" unitRef="_GBC_5214b7a188334da286fc3038d017d072" addr="T2R30C7S1_1" formatStyle="Comma">
          <m:complexRule comparator="Eq" title="母公司其他综合收益（资产负债表项目）" test=" $_GBC_0f6fcd7fbe464a35b4a293cab10be02b +  $_GBC_10a50e00f7bc44ec8347b7b66f7414d2" id="C0b6c41269b7b4df292cbed57b8d7ed20"/>
          <m:axisValue occRef="母公司"/>
        </m:item>
        <m:item xlName="_GBC_a9ae3b1d2432427e90afde79e299d064" concept="clcid-pte:ZhuanXiangChuBei" label="专项储备" mulRef="_GBC_048773409e614c6bb753000b028316a5" unitRef="_GBC_5214b7a188334da286fc3038d017d072" addr="T2R30C8S1_1" formatStyle="Comma">
          <m:complexRule comparator="Eq" title="母公司专项储备" test=" $_GBC_b9de9b0acdaf45a8ba406572c22253ec +  $_GBC_9cf0737ee22247338dc303d03d64f6b4" id="Cc6bff7af41c24baea5a90d609ee12cf3"/>
          <m:axisValue occRef="母公司"/>
        </m:item>
        <m:item xlName="_GBC_43bc51d2147645edbdeb4cac7d9b6f0e" concept="clcid-pte:YingYuGongJi" label="盈余公积" mulRef="_GBC_048773409e614c6bb753000b028316a5" unitRef="_GBC_5214b7a188334da286fc3038d017d072" addr="T2R30C9S1_1" formatStyle="Comma">
          <m:complexRule comparator="Eq" title="母公司盈余公积" test=" $_GBC_c40ab025d2d441f2b2c94494e0d106ee +  $_GBC_80cd41b0fb664a6e967663873f0e2fa7" id="C4f5a152a8b0b48339b2acf49b7e8b34e"/>
          <m:axisValue occRef="母公司"/>
        </m:item>
        <m:item xlName="_GBC_0ec3e790a4a44110ae1a2bf1aa9e434f" concept="clcid-pte:WeiFenPeiLiRun" label="未分配利润" mulRef="_GBC_048773409e614c6bb753000b028316a5" unitRef="_GBC_5214b7a188334da286fc3038d017d072" addr="T2R30C10S1_1" formatStyle="Comma">
          <m:complexRule comparator="Eq" title="母公司未分配利润" test=" $_GBC_ffdbb6bb26a947938b38672ca5df4e68 +  $_GBC_61d10a7845be4be1b7583a44f08f6dd8" id="C96bb92454aea49f6bb400b56df4f101c"/>
          <m:axisValue occRef="母公司"/>
        </m:item>
        <m:item xlName="_GBC_a0cb44b0dd124cc899064b9a8a4195e9" concept="clcid-pte:GuDongQuanYiHeJi" label="股东权益合计" mulRef="_GBC_048773409e614c6bb753000b028316a5" unitRef="_GBC_5214b7a188334da286fc3038d017d072" addr="T2R30C11S1_1" formatStyle="Comma">
          <m:complexRule comparator="Eq" title="母公司股东权益合计" test=" $_GBC_437e9e5e45be47c2af464f3d199411f3 +  $_GBC_dd44f39ad16c493489dd5f338f6b2e42" id="Cf5b37f4a0ad24966a390b5bbadd210f3"/>
          <m:axisValue occRef="母公司"/>
        </m:item>
        <m:placeholder xlName="_PLD_312727f4b56147c2b646c0fb68a4b58b" headerRef="242" wordText="项目" addr="T3R0C0S3_1"/>
        <m:placeholder xlName="_PLD_35246b22171846ac8ef46c5dfa1d1663" wordText="2023年半年度" addr="T3R0C1S1_11"/>
        <m:placeholder xlName="_PLD_5da9900c5a9e46a085487ea972f44796" wordText="实收资本 (或股本)" addr="T3R1C1S2_1"/>
        <m:placeholder xlName="_PLD_fc0bce3be00144ff950606755a048a76" wordText="其他权益工具" addr="T3R1C2S1_3"/>
        <m:placeholder xlName="_PLD_b31d07f97db344b1b180738b22a76467" wordText="资本公积" addr="T3R1C5S2_1"/>
        <m:placeholder xlName="_PLD_244676dcaf4245bd9119f474a4e885f9" wordText="减：库存股" addr="T3R1C6S2_1"/>
        <m:placeholder xlName="_PLD_01eab1b775574165b2820a19e72d2ad0" wordText="其他综合收益" addr="T3R1C7S2_1"/>
        <m:placeholder xlName="_PLD_13f17e2c8a7a404da876af1bac2ae6d1" wordText="专项储备" addr="T3R1C8S2_1"/>
        <m:placeholder xlName="_PLD_9578f3812cf04a34965a5bdc9ee82115" wordText="盈余公积" addr="T3R1C9S2_1"/>
        <m:placeholder xlName="_PLD_5d835cd98ccc4304aec553a0b6a56628" wordText="未分配利润" addr="T3R1C10S2_1"/>
        <m:placeholder xlName="_PLD_1cbb8af374a54430ad1f29ed83c69cd0" wordText="所有者权益合计" addr="T3R1C11S2_1"/>
        <m:placeholder xlName="_PLD_dcc9ba0f815c4a99a7c4c9fe219d232e" wordText="优先股" addr="T3R2C2S1_1"/>
        <m:placeholder xlName="_PLD_42f56a6e995041a8b03e0979c7b2350c" wordText="永续债" addr="T3R2C3S1_1"/>
        <m:placeholder xlName="_PLD_30aa853463c54004a69a2235554ee8fd" wordText="其他" addr="T3R2C4S1_1"/>
        <m:placeholder xlName="_PLD_b00b327c7ecc4ad1bfafd8f9c1a6ce86" wordText="一、上年期末余额" addr="T3R3C0S1_1"/>
        <m:item xlName="_GBC_49106771ac9e4dd8b91bf12c6e7a262a" concept="clcid-pte:GuBen" label="股本" periodRef="上年同期期初数" mulRef="_GBC_048773409e614c6bb753000b028316a5" unitRef="_GBC_5214b7a188334da286fc3038d017d072" addr="T3R3C1S1_1" formatStyle="Comma">
          <m:axisValue occRef="调整前的值"/>
          <m:axisValue occRef="母公司"/>
        </m:item>
        <m:item xlName="_GBC_a23ef05d9bf94b9f903aaef95363c8c1" concept="clcid-pte:QiTaQuanYiGongJuQiZhongYouXianGu" label="其他权益工具-其中：优先股" periodRef="上年同期期初数" mulRef="_GBC_048773409e614c6bb753000b028316a5" unitRef="_GBC_5214b7a188334da286fc3038d017d072" addr="T3R3C2S1_1" formatStyle="Comma">
          <m:axisValue occRef="调整前的值"/>
          <m:axisValue occRef="母公司"/>
        </m:item>
        <m:item xlName="_GBC_f0477b8000b14bb8b123ff2e05bb5814" concept="clcid-pte:QiTaQuanYiGongJuYongXuZhai" label="其他权益工具-永续债" periodRef="上年同期期初数" mulRef="_GBC_048773409e614c6bb753000b028316a5" unitRef="_GBC_5214b7a188334da286fc3038d017d072" addr="T3R3C3S1_1" formatStyle="Comma">
          <m:axisValue occRef="调整前的值"/>
          <m:axisValue occRef="母公司"/>
        </m:item>
        <m:item xlName="_GBC_9ab2b43f10b843378333aad8cb31a39f" concept="clcid-pte:QiTaQuanYiGongJuQiTa" label="其他权益工具-其他" periodRef="上年同期期初数" mulRef="_GBC_048773409e614c6bb753000b028316a5" unitRef="_GBC_5214b7a188334da286fc3038d017d072" addr="T3R3C4S1_1" formatStyle="Comma">
          <m:axisValue occRef="调整前的值"/>
          <m:axisValue occRef="母公司"/>
        </m:item>
        <m:item xlName="_GBC_b25d6ba8d03b4103abd63238c9a7e24e" concept="clcid-pte:ZiBenGongJi" label="资本公积" periodRef="上年同期期初数" mulRef="_GBC_048773409e614c6bb753000b028316a5" unitRef="_GBC_5214b7a188334da286fc3038d017d072" addr="T3R3C5S1_1" formatStyle="Comma">
          <m:axisValue occRef="调整前的值"/>
          <m:axisValue occRef="母公司"/>
        </m:item>
        <m:item xlName="_GBC_1beb7c656916491991769889d4d0df58" concept="clcid-pte:KuCunGu" label="库存股" periodRef="上年同期期初数" mulRef="_GBC_048773409e614c6bb753000b028316a5" unitRef="_GBC_5214b7a188334da286fc3038d017d072" addr="T3R3C6S1_1" baseScale="-1" formatStyle="Comma" keyCode="abs" keyAction="108">
          <m:axisValue occRef="调整前的值"/>
          <m:axisValue occRef="母公司"/>
        </m:item>
        <m:item xlName="_GBC_7092f53c54bb4d39bd6dfd52dbb88384" concept="clcid-pte:QiTaZongHeShouYiZiChanFuZhaiBiaoXiangMu" label="其他综合收益（资产负债表项目）" periodRef="上年同期期初数" mulRef="_GBC_048773409e614c6bb753000b028316a5" unitRef="_GBC_5214b7a188334da286fc3038d017d072" addr="T3R3C7S1_1" formatStyle="Comma">
          <m:axisValue occRef="调整前的值"/>
          <m:axisValue occRef="母公司"/>
        </m:item>
        <m:item xlName="_GBC_00db0f65663146aca05a020a72e4db2b" concept="clcid-pte:ZhuanXiangChuBei" label="专项储备" periodRef="上年同期期初数" mulRef="_GBC_048773409e614c6bb753000b028316a5" unitRef="_GBC_5214b7a188334da286fc3038d017d072" addr="T3R3C8S1_1" formatStyle="Comma">
          <m:axisValue occRef="调整前的值"/>
          <m:axisValue occRef="母公司"/>
        </m:item>
        <m:item xlName="_GBC_e773ef374d42468aae8760d21fabffe3" concept="clcid-pte:YingYuGongJi" label="盈余公积" periodRef="上年同期期初数" mulRef="_GBC_048773409e614c6bb753000b028316a5" unitRef="_GBC_5214b7a188334da286fc3038d017d072" addr="T3R3C9S1_1" formatStyle="Comma">
          <m:axisValue occRef="调整前的值"/>
          <m:axisValue occRef="母公司"/>
        </m:item>
        <m:item xlName="_GBC_2fa2152533124f8790eea6862937998b" concept="clcid-pte:WeiFenPeiLiRun" label="未分配利润" periodRef="上年同期期初数" mulRef="_GBC_048773409e614c6bb753000b028316a5" unitRef="_GBC_5214b7a188334da286fc3038d017d072" addr="T3R3C10S1_1" formatStyle="Comma">
          <m:axisValue occRef="调整前的值"/>
          <m:axisValue occRef="母公司"/>
        </m:item>
        <m:item xlName="_GBC_3dc83c6f98c44475ad93eb623f0ae58c" concept="clcid-pte:GuDongQuanYiHeJi" label="股东权益合计" periodRef="上年同期期初数" mulRef="_GBC_048773409e614c6bb753000b028316a5" unitRef="_GBC_5214b7a188334da286fc3038d017d072" addr="T3R3C11S1_1" formatStyle="Comma">
          <m:axisValue occRef="调整前的值"/>
          <m:axisValue occRef="母公司"/>
        </m:item>
        <m:placeholder xlName="_PLD_87ad1d45ba9b40488fdf5165b8168def" wordText="加：会计政策变更" addr="T3R4C0S1_1"/>
        <m:item xlName="_GBC_2dc3f02e73a34990b2261157211d5d86" concept="clcid-pte:KuaiJiZhengCeBianGengDaoZhiShiShouZiBenHuoGuBenJingEBianDongJinE" label="会计政策变更导致实收资本（或股本）净额变动金额" periodRef="上年同期期初数" mulRef="_GBC_048773409e614c6bb753000b028316a5" unitRef="_GBC_5214b7a188334da286fc3038d017d072" addr="T3R4C1S1_1" formatStyle="Comma">
          <m:axisValue occRef="母公司"/>
        </m:item>
        <m:item xlName="_GBC_d0b6bca25d0d4f01a07a7746f1571175" concept="clcid-pte:HuiJiZhengCeBianGengDaoZhiYouXianGuBianDongJinE" label="会计政策变更导致优先股变动金额" periodRef="上年同期期初数" mulRef="_GBC_048773409e614c6bb753000b028316a5" unitRef="_GBC_5214b7a188334da286fc3038d017d072" addr="T3R4C2S1_1" formatStyle="Comma">
          <m:axisValue occRef="母公司"/>
        </m:item>
        <m:item xlName="_GBC_8ddde9aade974eeb95a3bfc91c60111a" concept="clcid-pte:HuiJiZhengCeBianGengDaoZhiYongXuZhaiBianDongJinE" label="会计政策变更导致永续债变动金额" periodRef="上年同期期初数" mulRef="_GBC_048773409e614c6bb753000b028316a5" unitRef="_GBC_5214b7a188334da286fc3038d017d072" addr="T3R4C3S1_1" formatStyle="Comma">
          <m:axisValue occRef="母公司"/>
        </m:item>
        <m:item xlName="_GBC_363830bcdae74e32a1a9ecac20940ec7" concept="clcid-pte:HuiJiZhengCeBianGengDaoZhiQiTaQuanYiGongJuZhongDeQiTaBianDongJinE" label="会计政策变更导致其他权益工具中的其他变动金额" periodRef="上年同期期初数" mulRef="_GBC_048773409e614c6bb753000b028316a5" unitRef="_GBC_5214b7a188334da286fc3038d017d072" addr="T3R4C4S1_1" formatStyle="Comma">
          <m:axisValue occRef="母公司"/>
        </m:item>
        <m:item xlName="_GBC_52c1ab40fed947d298a53fb062dc500c" concept="clcid-pte:KuaiJiZhengCeBianGengDaoZhiZiBenGongJiBianDongJinE" label="会计政策变更导致资本公积变动金额" periodRef="上年同期期初数" mulRef="_GBC_048773409e614c6bb753000b028316a5" unitRef="_GBC_5214b7a188334da286fc3038d017d072" addr="T3R4C5S1_1" formatStyle="Comma">
          <m:axisValue occRef="母公司"/>
        </m:item>
        <m:item xlName="_GBC_2b0798f53d2f4ccda2db197aa7d59924" concept="clcid-pte:KuaiJiZhengCeBianGengDaoZhiKuCunGuBianDongJinE" label="会计政策变更导致库存股变动金额" periodRef="上年同期期初数" mulRef="_GBC_048773409e614c6bb753000b028316a5" unitRef="_GBC_5214b7a188334da286fc3038d017d072" addr="T3R4C6S1_1" baseScale="-1" formatStyle="Comma">
          <m:axisValue occRef="母公司"/>
        </m:item>
        <m:item xlName="_GBC_d525641e92474097a5552e18db7e4ea1" concept="clcid-pte:HuiJiZhengCeBianGengDaoZhiQiTaZongHeShouYiBianDongJinE" label="会计政策变更导致其他综合收益变动金额" periodRef="上年同期期初数" mulRef="_GBC_048773409e614c6bb753000b028316a5" unitRef="_GBC_5214b7a188334da286fc3038d017d072" addr="T3R4C7S1_1" formatStyle="Comma">
          <m:axisValue occRef="母公司"/>
        </m:item>
        <m:item xlName="_GBC_f88d41045dd94e328a7dc17674aca742" concept="clcid-pte:KuaiJiZhengCeBianGengDaoZhiZhuanXiangChuBeiBianDongJinE" label="会计政策变更导致专项储备变动金额" periodRef="上年同期期初数" mulRef="_GBC_048773409e614c6bb753000b028316a5" unitRef="_GBC_5214b7a188334da286fc3038d017d072" addr="T3R4C8S1_1" formatStyle="Comma">
          <m:axisValue occRef="母公司"/>
        </m:item>
        <m:item xlName="_GBC_9599731027a14e5788b2c7baa9a35293" concept="clcid-pte:KuaiJiZhengCeBianGengDaoZhiYingYuGongJiBianDongJinE" label="会计政策变更导致盈余公积变动金额" periodRef="上年同期期初数" mulRef="_GBC_048773409e614c6bb753000b028316a5" unitRef="_GBC_5214b7a188334da286fc3038d017d072" addr="T3R4C9S1_1" formatStyle="Comma">
          <m:axisValue occRef="母公司"/>
        </m:item>
        <m:item xlName="_GBC_8108f572bf8342e883ddf3eb263d6393" concept="clcid-pte:KuaiJiZhengCeBianGengDaoZhiWeiFenPeiLiRunBianDongJinE" label="会计政策变更导致未分配利润变动金额" periodRef="上年同期期初数" mulRef="_GBC_048773409e614c6bb753000b028316a5" unitRef="_GBC_5214b7a188334da286fc3038d017d072" addr="T3R4C10S1_1" formatStyle="Comma">
          <m:axisValue occRef="母公司"/>
        </m:item>
        <m:item xlName="_GBC_97c01fcbbcb3489a8308381e72be62c8" concept="clcid-pte:KuaiJiZhengCeBianGengDaoZhiGuDongQuanYiHeJiBianDongJinE" label="会计政策变更导致股东权益合计变动金额" periodRef="上年同期期初数" mulRef="_GBC_048773409e614c6bb753000b028316a5" unitRef="_GBC_5214b7a188334da286fc3038d017d072" addr="T3R4C11S1_1" formatStyle="Comma">
          <m:axisValue occRef="母公司"/>
        </m:item>
        <m:placeholder xlName="_PLD_494f8b7216f946d9a09f6954da6ee226" wordText="前期差错更正" indent="200" addr="T3R5C0S1_1"/>
        <m:item xlName="_GBC_4e0ba8c9bfaf4347861d9ed87f5b373d" concept="clcid-pte:QianQiChaCuoGengZhengDaoZhiShiShouZiBenHuoGuBenJingEBianDongJinE" label="前期差错更正导致实收资本（或股本）净额变动金额" periodRef="上年同期期初数" mulRef="_GBC_048773409e614c6bb753000b028316a5" unitRef="_GBC_5214b7a188334da286fc3038d017d072" addr="T3R5C1S1_1" formatStyle="Comma">
          <m:axisValue occRef="母公司"/>
        </m:item>
        <m:item xlName="_GBC_510088217865457d8e9cbff8c8a9cd59" concept="clcid-pte:QianQiChaCuoGengZhengDaoZhiYouXianGuBianDongJinE" label="前期差错更正导致优先股变动金额" periodRef="上年同期期初数" mulRef="_GBC_048773409e614c6bb753000b028316a5" unitRef="_GBC_5214b7a188334da286fc3038d017d072" addr="T3R5C2S1_1" formatStyle="Comma">
          <m:axisValue occRef="母公司"/>
        </m:item>
        <m:item xlName="_GBC_acf92a80b78043488ed814b9b1e420df" concept="clcid-pte:QianQiChaCuoGengZhengDaoZhiYongXuZhaiBianDongJinE" label="前期差错更正导致永续债变动金额" periodRef="上年同期期初数" mulRef="_GBC_048773409e614c6bb753000b028316a5" unitRef="_GBC_5214b7a188334da286fc3038d017d072" addr="T3R5C3S1_1" formatStyle="Comma">
          <m:axisValue occRef="母公司"/>
        </m:item>
        <m:item xlName="_GBC_4890bf76d59b4fbf920db05dc1cc4696" concept="clcid-pte:QianQiChaCuoGengZhengDaoZhiQiTaQuanYiGongJuZhongDeQiTaBianDongJinE" label="前期差错更正导致其他权益工具中的其他变动金额" periodRef="上年同期期初数" mulRef="_GBC_048773409e614c6bb753000b028316a5" unitRef="_GBC_5214b7a188334da286fc3038d017d072" addr="T3R5C4S1_1" formatStyle="Comma">
          <m:axisValue occRef="母公司"/>
        </m:item>
        <m:item xlName="_GBC_a45be81f75444e4bac31f9e3949d890d" concept="clcid-pte:QianQiChaCuoGengZhengDaoZhiZiBenGongJiBianDongJinE" label="前期差错更正导致资本公积变动金额" periodRef="上年同期期初数" mulRef="_GBC_048773409e614c6bb753000b028316a5" unitRef="_GBC_5214b7a188334da286fc3038d017d072" addr="T3R5C5S1_1" formatStyle="Comma">
          <m:axisValue occRef="母公司"/>
        </m:item>
        <m:item xlName="_GBC_f32a7915aacd405e85dac8391dcda5b7" concept="clcid-pte:QianQiChaCuoGengZhengDaoZhiKuCunGuBianDongJinE" label="前期差错更正导致库存股变动金额" periodRef="上年同期期初数" mulRef="_GBC_048773409e614c6bb753000b028316a5" unitRef="_GBC_5214b7a188334da286fc3038d017d072" addr="T3R5C6S1_1" baseScale="-1" formatStyle="Comma">
          <m:axisValue occRef="母公司"/>
        </m:item>
        <m:item xlName="_GBC_6c5d450093ab4d38899de26682b548fd" concept="clcid-pte:QianQiChaCuoGengZhengDaoZhiQiTaZongHeShouYiBianDongJinE" label="前期差错更正导致其他综合收益变动金额" periodRef="上年同期期初数" mulRef="_GBC_048773409e614c6bb753000b028316a5" unitRef="_GBC_5214b7a188334da286fc3038d017d072" addr="T3R5C7S1_1" formatStyle="Comma">
          <m:axisValue occRef="母公司"/>
        </m:item>
        <m:item xlName="_GBC_128212b6ea2a46bab6aba0d5d9a0e43c" concept="clcid-pte:QianQiChaCuoGengZhengDaoZhiZhuanXiangChuBeiBianDongJinE" label="前期差错更正导致专项储备变动金额" periodRef="上年同期期初数" mulRef="_GBC_048773409e614c6bb753000b028316a5" unitRef="_GBC_5214b7a188334da286fc3038d017d072" addr="T3R5C8S1_1" formatStyle="Comma">
          <m:axisValue occRef="母公司"/>
        </m:item>
        <m:item xlName="_GBC_bf292c36eca44470b79730d4ed4d6eaa" concept="clcid-pte:QianQiChaCuoGengZhengDaoZhiYingYuGongJiBianDongJinE" label="前期差错更正导致盈余公积变动金额" periodRef="上年同期期初数" mulRef="_GBC_048773409e614c6bb753000b028316a5" unitRef="_GBC_5214b7a188334da286fc3038d017d072" addr="T3R5C9S1_1" formatStyle="Comma">
          <m:axisValue occRef="母公司"/>
        </m:item>
        <m:item xlName="_GBC_91952f977b04455284140b8d9de244e2" concept="clcid-pte:QianQiChaCuoGengZhengDaoZhiWeiFenPeiLiRunBianDongJinE" label="前期差错更正导致未分配利润变动金额" periodRef="上年同期期初数" mulRef="_GBC_048773409e614c6bb753000b028316a5" unitRef="_GBC_5214b7a188334da286fc3038d017d072" addr="T3R5C10S1_1" formatStyle="Comma">
          <m:axisValue occRef="母公司"/>
        </m:item>
        <m:item xlName="_GBC_b72b3e4adb564e10b21cf12183ac85b7" concept="clcid-pte:QianQiChaCuoGengZhengDaoZhiGuDongQuanYiHeJiBianDongJinE" label="前期差错更正导致股东权益合计变动金额" periodRef="上年同期期初数" mulRef="_GBC_048773409e614c6bb753000b028316a5" unitRef="_GBC_5214b7a188334da286fc3038d017d072" addr="T3R5C11S1_1" formatStyle="Comma">
          <m:axisValue occRef="母公司"/>
        </m:item>
        <m:placeholder xlName="_PLD_cdd9f72b38894c3eb70b005a61432c29" wordText="其他" indent="200" addr="T3R6C0S1_1"/>
        <m:item xlName="_GBC_577c52744ded4b7cabab716700c8452d" concept="clcid-pte:QiTaZhuiSuTiaoZhengDaoZhiShiShouZiBenBianDongJinE" label="实收资本变动金额（其他追溯调整）" periodRef="上年同期期初数" mulRef="_GBC_048773409e614c6bb753000b028316a5" unitRef="_GBC_5214b7a188334da286fc3038d017d072" addr="T3R6C1S1_1" formatStyle="Comma">
          <m:axisValue occRef="母公司"/>
        </m:item>
        <m:item xlName="_GBC_c825e090c7454ae1bdf77fbae975c5a3" concept="clcid-pte:YouXianGuBianDongJinEQiTaZhuiSuDiaoZheng" label="优先股变动金额（其他追溯调整）" periodRef="上年同期期初数" mulRef="_GBC_048773409e614c6bb753000b028316a5" unitRef="_GBC_5214b7a188334da286fc3038d017d072" addr="T3R6C2S1_1" formatStyle="Comma">
          <m:axisValue occRef="母公司"/>
        </m:item>
        <m:item xlName="_GBC_84e2883d37cf4795a3fa1bc3e0d6522d" concept="clcid-pte:YongXuZhaiBianDongJinEQiTaZhuiSuDiaoZheng" label="永续债变动金额（其他追溯调整）" periodRef="上年同期期初数" mulRef="_GBC_048773409e614c6bb753000b028316a5" unitRef="_GBC_5214b7a188334da286fc3038d017d072" addr="T3R6C3S1_1" formatStyle="Comma">
          <m:axisValue occRef="母公司"/>
        </m:item>
        <m:item xlName="_GBC_0b7d596e53da49099a0dcbbb0d6cb130" concept="clcid-pte:QiTaQuanYiGongJuZhongDeQiTaBianDongJinEQiTaZhuiSuDiaoZheng" label="其他权益工具中的其他变动金额（其他追溯调整）" periodRef="上年同期期初数" mulRef="_GBC_048773409e614c6bb753000b028316a5" unitRef="_GBC_5214b7a188334da286fc3038d017d072" addr="T3R6C4S1_1" formatStyle="Comma">
          <m:axisValue occRef="母公司"/>
        </m:item>
        <m:item xlName="_GBC_00d2362f691b47458f57f86b2b9f5d45" concept="clcid-pte:QiTaZhuiSuTiaoZhengDaoZhiZiBenGongJiBianDongJinE" label="资本公积变动金额（其他追溯调整）" periodRef="上年同期期初数" mulRef="_GBC_048773409e614c6bb753000b028316a5" unitRef="_GBC_5214b7a188334da286fc3038d017d072" addr="T3R6C5S1_1" formatStyle="Comma">
          <m:axisValue occRef="母公司"/>
        </m:item>
        <m:item xlName="_GBC_6afaa4acafc846ada1cc65821fb73359" concept="clcid-pte:QiTaZhuiSuTiaoZhengDaoZhiKuCunGuBianDongJinE" label="库存股变动金额（其他追溯调整）" periodRef="上年同期期初数" mulRef="_GBC_048773409e614c6bb753000b028316a5" unitRef="_GBC_5214b7a188334da286fc3038d017d072" addr="T3R6C6S1_1" baseScale="-1" formatStyle="Comma">
          <m:axisValue occRef="母公司"/>
        </m:item>
        <m:item xlName="_GBC_29c18457cb1a4ba286150b55a22c4cef" concept="clcid-pte:QiTaZongHeShouYiBianDongJinEQiTaZhuiSuDiaoZheng" label="其他综合收益变动金额（其他追溯调整）" periodRef="上年同期期初数" mulRef="_GBC_048773409e614c6bb753000b028316a5" unitRef="_GBC_5214b7a188334da286fc3038d017d072" addr="T3R6C7S1_1" formatStyle="Comma">
          <m:axisValue occRef="母公司"/>
        </m:item>
        <m:item xlName="_GBC_c807fff2fe8f4d6bb556514e57c16a5c" concept="clcid-pte:QiTaZhuiSuTiaoZhengDaoZhiZhuanXiangChuBeiBianDongJinE" label="专项储备变动金额（其他追溯调整）" periodRef="上年同期期初数" mulRef="_GBC_048773409e614c6bb753000b028316a5" unitRef="_GBC_5214b7a188334da286fc3038d017d072" addr="T3R6C8S1_1" formatStyle="Comma">
          <m:axisValue occRef="母公司"/>
        </m:item>
        <m:item xlName="_GBC_9db8a6b75b97469f8c2116db3db535c2" concept="clcid-pte:QiTaZhuiSuTiaoZhengDaoZhiYingYuGongJiBianDongJinE" label="盈余公积变动金额（其他追溯调整）" periodRef="上年同期期初数" mulRef="_GBC_048773409e614c6bb753000b028316a5" unitRef="_GBC_5214b7a188334da286fc3038d017d072" addr="T3R6C9S1_1" formatStyle="Comma">
          <m:axisValue occRef="母公司"/>
        </m:item>
        <m:item xlName="_GBC_98481e84f1d144348366014ff4845e43" concept="clcid-pte:QiTaZhuiSuTiaoZhengDaoZhiWeiFenPeiLiRunBianDongJinE" label="未分配利润变动金额（其他追溯调整）" periodRef="上年同期期初数" mulRef="_GBC_048773409e614c6bb753000b028316a5" unitRef="_GBC_5214b7a188334da286fc3038d017d072" addr="T3R6C10S1_1" formatStyle="Comma">
          <m:axisValue occRef="母公司"/>
        </m:item>
        <m:item xlName="_GBC_56f77628123a4516a83e9793bde7f31d" concept="clcid-pte:QiTaZhuiSuTiaoZhengDaoZhiGuDongQuanYiBianDongJinE" label="股东权益变动金额（其他追溯调整）" periodRef="上年同期期初数" mulRef="_GBC_048773409e614c6bb753000b028316a5" unitRef="_GBC_5214b7a188334da286fc3038d017d072" addr="T3R6C11S1_1" formatStyle="Comma">
          <m:axisValue occRef="母公司"/>
        </m:item>
        <m:placeholder xlName="_PLD_8593e1735c664981bacefcb1a0cab245" wordText="二、本年期初余额" addr="T3R7C0S1_1"/>
        <m:item xlName="_GBC_81506e84492f4f00af4a9f4816ac595d" concept="clcid-pte:GuBen" label="股本" periodRef="上年同期期初数" mulRef="_GBC_048773409e614c6bb753000b028316a5" unitRef="_GBC_5214b7a188334da286fc3038d017d072" addr="T3R7C1S1_1" formatStyle="Comma">
          <m:complexRule comparator="Eq" title="母公司股本@上年同期期初数" test=" $_GBC_49106771ac9e4dd8b91bf12c6e7a262a +  $_GBC_2dc3f02e73a34990b2261157211d5d86 +  $_GBC_4e0ba8c9bfaf4347861d9ed87f5b373d +  $_GBC_577c52744ded4b7cabab716700c8452d" id="C18291de0dab441a9b8f9c15908c1e519"/>
          <m:axisValue occRef="母公司"/>
        </m:item>
        <m:item xlName="_GBC_8cd15523ec994dd1888d18acda49f79a" concept="clcid-pte:QiTaQuanYiGongJuQiZhongYouXianGu" label="其他权益工具-其中：优先股" periodRef="上年同期期初数" mulRef="_GBC_048773409e614c6bb753000b028316a5" unitRef="_GBC_5214b7a188334da286fc3038d017d072" addr="T3R7C2S1_1" formatStyle="Comma">
          <m:complexRule comparator="Eq" title="母公司其他权益工具-其中：优先股@上年同期期初数" test=" $_GBC_a23ef05d9bf94b9f903aaef95363c8c1 +  $_GBC_d0b6bca25d0d4f01a07a7746f1571175 +  $_GBC_510088217865457d8e9cbff8c8a9cd59 +  $_GBC_c825e090c7454ae1bdf77fbae975c5a3" id="Ca08a2fbcde244822aca7a7b4e8f6159b"/>
          <m:axisValue occRef="母公司"/>
        </m:item>
        <m:item xlName="_GBC_e0ee0f96384f4731ac9b26ea29553277" concept="clcid-pte:QiTaQuanYiGongJuYongXuZhai" label="其他权益工具-永续债" periodRef="上年同期期初数" mulRef="_GBC_048773409e614c6bb753000b028316a5" unitRef="_GBC_5214b7a188334da286fc3038d017d072" addr="T3R7C3S1_1" formatStyle="Comma">
          <m:complexRule comparator="Eq" title="母公司其他权益工具-永续债@上年同期期初数" test=" $_GBC_f0477b8000b14bb8b123ff2e05bb5814 +  $_GBC_8ddde9aade974eeb95a3bfc91c60111a +  $_GBC_acf92a80b78043488ed814b9b1e420df +  $_GBC_84e2883d37cf4795a3fa1bc3e0d6522d" id="Ce40c359919f240d3bf145cacd822bfaa"/>
          <m:axisValue occRef="母公司"/>
        </m:item>
        <m:item xlName="_GBC_edc14c2fd7df48949f7f8547e0057d52" concept="clcid-pte:QiTaQuanYiGongJuQiTa" label="其他权益工具-其他" periodRef="上年同期期初数" mulRef="_GBC_048773409e614c6bb753000b028316a5" unitRef="_GBC_5214b7a188334da286fc3038d017d072" addr="T3R7C4S1_1" formatStyle="Comma">
          <m:complexRule comparator="Eq" title="母公司其他权益工具-其他@上年同期期初数" test=" $_GBC_9ab2b43f10b843378333aad8cb31a39f +  $_GBC_363830bcdae74e32a1a9ecac20940ec7 +  $_GBC_4890bf76d59b4fbf920db05dc1cc4696 +  $_GBC_0b7d596e53da49099a0dcbbb0d6cb130" id="Cee4d565878d34177bcb270ddcef2f859"/>
          <m:axisValue occRef="母公司"/>
        </m:item>
        <m:item xlName="_GBC_dc911e1c0c0140beaadeea0c7f9cb99b" concept="clcid-pte:ZiBenGongJi" label="资本公积" periodRef="上年同期期初数" mulRef="_GBC_048773409e614c6bb753000b028316a5" unitRef="_GBC_5214b7a188334da286fc3038d017d072" addr="T3R7C5S1_1" formatStyle="Comma">
          <m:complexRule comparator="Eq" title="母公司资本公积@上年同期期初数" test=" $_GBC_b25d6ba8d03b4103abd63238c9a7e24e +  $_GBC_52c1ab40fed947d298a53fb062dc500c +  $_GBC_a45be81f75444e4bac31f9e3949d890d +  $_GBC_00d2362f691b47458f57f86b2b9f5d45" id="C361bcef371aa4438b3cf759c5e713330"/>
          <m:axisValue occRef="母公司"/>
        </m:item>
        <m:item xlName="_GBC_d87b9676c83649d39a619c314692dcaf" concept="clcid-pte:KuCunGu" label="库存股" periodRef="上年同期期初数" mulRef="_GBC_048773409e614c6bb753000b028316a5" unitRef="_GBC_5214b7a188334da286fc3038d017d072" addr="T3R7C6S1_1" baseScale="-1" formatStyle="Comma" keyCode="abs" keyAction="108">
          <m:complexRule comparator="Eq" title="母公司库存股@上年同期期初数" test=" $_GBC_1beb7c656916491991769889d4d0df58 +  $_GBC_2b0798f53d2f4ccda2db197aa7d59924 +  $_GBC_f32a7915aacd405e85dac8391dcda5b7 +  $_GBC_6afaa4acafc846ada1cc65821fb73359" id="C94b32fe026434333b8adfd7ba25c7de7"/>
          <m:axisValue occRef="母公司"/>
        </m:item>
        <m:item xlName="_GBC_6d145d9657f44521aa3d46c7b6321381" concept="clcid-pte:QiTaZongHeShouYiZiChanFuZhaiBiaoXiangMu" label="其他综合收益（资产负债表项目）" periodRef="上年同期期初数" mulRef="_GBC_048773409e614c6bb753000b028316a5" unitRef="_GBC_5214b7a188334da286fc3038d017d072" addr="T3R7C7S1_1" formatStyle="Comma">
          <m:complexRule comparator="Eq" title="母公司其他综合收益（资产负债表项目）@上年同期期初数" test=" $_GBC_7092f53c54bb4d39bd6dfd52dbb88384 +  $_GBC_d525641e92474097a5552e18db7e4ea1 +  $_GBC_6c5d450093ab4d38899de26682b548fd +  $_GBC_29c18457cb1a4ba286150b55a22c4cef" id="C517f77953178439f831fdb4700f55575"/>
          <m:axisValue occRef="母公司"/>
        </m:item>
        <m:item xlName="_GBC_b2bd2eeb6e644fc4a095222b2af9aaf4" concept="clcid-pte:ZhuanXiangChuBei" label="专项储备" periodRef="上年同期期初数" mulRef="_GBC_048773409e614c6bb753000b028316a5" unitRef="_GBC_5214b7a188334da286fc3038d017d072" addr="T3R7C8S1_1" formatStyle="Comma">
          <m:complexRule comparator="Eq" title="母公司专项储备@上年同期期初数" test=" $_GBC_00db0f65663146aca05a020a72e4db2b +  $_GBC_f88d41045dd94e328a7dc17674aca742 +  $_GBC_128212b6ea2a46bab6aba0d5d9a0e43c +  $_GBC_c807fff2fe8f4d6bb556514e57c16a5c" id="C8cf8fe8af6524b7b91a12245e3778606"/>
          <m:axisValue occRef="母公司"/>
        </m:item>
        <m:item xlName="_GBC_65eeed92e2b14ea5883fcb0487da19f1" concept="clcid-pte:YingYuGongJi" label="盈余公积" periodRef="上年同期期初数" mulRef="_GBC_048773409e614c6bb753000b028316a5" unitRef="_GBC_5214b7a188334da286fc3038d017d072" addr="T3R7C9S1_1" formatStyle="Comma">
          <m:complexRule comparator="Eq" title="母公司盈余公积@上年同期期初数" test=" $_GBC_e773ef374d42468aae8760d21fabffe3 +  $_GBC_9599731027a14e5788b2c7baa9a35293 +  $_GBC_bf292c36eca44470b79730d4ed4d6eaa +  $_GBC_9db8a6b75b97469f8c2116db3db535c2" id="C2fc37d55d6c14792b90658a40fda8476"/>
          <m:axisValue occRef="母公司"/>
        </m:item>
        <m:item xlName="_GBC_4048bba00d6a48acb1daaa86900788d8" concept="clcid-pte:WeiFenPeiLiRun" label="未分配利润" periodRef="上年同期期初数" mulRef="_GBC_048773409e614c6bb753000b028316a5" unitRef="_GBC_5214b7a188334da286fc3038d017d072" addr="T3R7C10S1_1" formatStyle="Comma">
          <m:complexRule comparator="Eq" title="母公司未分配利润@上年同期期初数" test=" $_GBC_2fa2152533124f8790eea6862937998b +  $_GBC_8108f572bf8342e883ddf3eb263d6393 +  $_GBC_91952f977b04455284140b8d9de244e2 +  $_GBC_98481e84f1d144348366014ff4845e43" id="C25082d73d3814c748a1aaa54132d4fcf"/>
          <m:axisValue occRef="母公司"/>
        </m:item>
        <m:item xlName="_GBC_5982de2520b94f22aaf4cd2c9647effb" concept="clcid-pte:GuDongQuanYiHeJi" label="股东权益合计" periodRef="上年同期期初数" mulRef="_GBC_048773409e614c6bb753000b028316a5" unitRef="_GBC_5214b7a188334da286fc3038d017d072" addr="T3R7C11S1_1" formatStyle="Comma">
          <m:complexRule comparator="Eq" title="母公司股东权益合计@上年同期期初数" test=" $_GBC_3dc83c6f98c44475ad93eb623f0ae58c +  $_GBC_97c01fcbbcb3489a8308381e72be62c8 +  $_GBC_b72b3e4adb564e10b21cf12183ac85b7 +  $_GBC_56f77628123a4516a83e9793bde7f31d" id="Ccb9d0f840eca449db0dbbd09cf881813"/>
          <m:axisValue occRef="母公司"/>
        </m:item>
        <m:placeholder xlName="_PLD_9ce2d31f4fd34371930cec7fd79a4318" wordText="三、本期增减变动金额（减少以“－”号填列）" addr="T3R8C0S1_1"/>
        <m:item xlName="_GBC_36cec33ba91447efb182a6f911901adb" concept="clcid-pte:ShiShouZiBenHuoGuBenJingEZengJianBianDongJinE" label="实收资本（或股本）净额增减变动金额" periodRef="上年同期数" mulRef="_GBC_048773409e614c6bb753000b028316a5" unitRef="_GBC_5214b7a188334da286fc3038d017d072" addr="T3R8C1S1_1" formatStyle="Comma">
          <m:complexRule comparator="Eq" title="母公司实收资本（或股本）净额增减变动金额@上年同期数" test=" $_GBC_82467fa519b342ab86c8a7f44f39d12d +  $_GBC_8cbe3412300f45eb8b23ad01e70e5c5d +  $_GBC_d20d161c26b74ad7978d5a5df63ac72b +  $_GBC_5647fda6a4d648e58b77890cd27b0d73 +  $_GBC_c52bf0c19ee6412a88ed16e4ccdd58e9 +  $_GBC_3c285f62d1fd458d96196ec4a0dd2268" id="C9272c093fdcf45c895d82f8a717bf6dc"/>
          <m:axisValue occRef="母公司"/>
        </m:item>
        <m:item xlName="_GBC_58b09a3e602042bdac8dc874ff691577" concept="clcid-pte:QiTaQuanYiGongJuZhongDeYouXianGuZengJianBianDongJinE" label="其他权益工具中的优先股增减变动金额" periodRef="上年同期数" mulRef="_GBC_048773409e614c6bb753000b028316a5" unitRef="_GBC_5214b7a188334da286fc3038d017d072" addr="T3R8C2S1_1" formatStyle="Comma">
          <m:complexRule comparator="Eq" title="母公司其他权益工具中的优先股增减变动金额@上年同期数" test=" $_GBC_3e68c303ba764392938beeb53b261a55 +  $_GBC_a697aec9c79e42b3bdede08dacc810c0 +  $_GBC_dbb78b77a1fb43fc9743f9647fbe0099 +  $_GBC_98572a5d210c4ef3875a72067bd5d4c1 +  $_GBC_aafadb71fa4649b7bc0423c67af5fbf7 +  $_GBC_772dec252ad7498ba73abd9cba9e2cda" id="C24ea77cb399f4ef08f7ecff5570721cc"/>
          <m:axisValue occRef="母公司"/>
        </m:item>
        <m:item xlName="_GBC_3bb7a843ff114e069d024217dc575989" concept="clcid-pte:QiTaQuanYiGongJuZhongDeYongXuZhaiZengJianBianDongJinE" label="其他权益工具中的永续债增减变动金额" periodRef="上年同期数" mulRef="_GBC_048773409e614c6bb753000b028316a5" unitRef="_GBC_5214b7a188334da286fc3038d017d072" addr="T3R8C3S1_1" formatStyle="Comma">
          <m:complexRule comparator="Eq" title="母公司其他权益工具中的永续债增减变动金额@上年同期数" test=" $_GBC_5e91cc75ddb6408e83816137acb6bb27 +  $_GBC_817d7b5062ba4451880366ab1b1bba4f +  $_GBC_43412ba7a0f346839e1eab15fd44f008 +  $_GBC_450f68f45ee84fa6a0945728fe10e844 +  $_GBC_38525638055440c4aea25d3464d1e1d1 +  $_GBC_c82eafb679454f0cbdb2076cddbc2f9c" id="Ca999fd8a37ee471fa5c1bda63a8dec90"/>
          <m:axisValue occRef="母公司"/>
        </m:item>
        <m:item xlName="_GBC_20204f10729243a5870e4153ec76b379" concept="clcid-pte:QiTaQuanYiGongJuZhongDeQiTaZengJianBianDongJinE" label="其他权益工具中的其他增减变动金额" periodRef="上年同期数" mulRef="_GBC_048773409e614c6bb753000b028316a5" unitRef="_GBC_5214b7a188334da286fc3038d017d072" addr="T3R8C4S1_1" formatStyle="Comma">
          <m:complexRule comparator="Eq" title="母公司其他权益工具中的其他增减变动金额@上年同期数" test=" $_GBC_06a05c766c044b5a9a842c1a7f7db1b0 +  $_GBC_4d10a4b59cf1469eb6e4b0f55b21e126 +  $_GBC_b6e54a5f7ed14e3c88cda23e3184787c +  $_GBC_62b57d65e352446bbdf19b5311174e1c +  $_GBC_c037fba370a14bfa8f56d6d99f94c984 +  $_GBC_d61c39eee25e4f3fa9612a3274abdf60" id="C9ca5060258434856b4789685088b9d8b"/>
          <m:axisValue occRef="母公司"/>
        </m:item>
        <m:item xlName="_GBC_bd0dc3c162cc425798a8258cbaadbe24" concept="clcid-pte:ZiBenGongJiZengJianBianDongJinE" label="资本公积增减变动金额" periodRef="上年同期数" mulRef="_GBC_048773409e614c6bb753000b028316a5" unitRef="_GBC_5214b7a188334da286fc3038d017d072" addr="T3R8C5S1_1" formatStyle="Comma">
          <m:complexRule comparator="Eq" title="母公司资本公积增减变动金额@上年同期数" test=" $_GBC_531ac753268a47f2baa1101df1192e56 +  $_GBC_d83cf016d2194a3b817fbc98a4265ff3 +  $_GBC_cdbc69ae1c9942418689b6af08cd5343 +  $_GBC_70b2b80f35eb4584ab7795855880b29e +  $_GBC_756e5e6e4d094fb4a12ad31f5984e025 +  $_GBC_481f5de20bd049c28a207fba11a8e658" id="Cd5f24afdbbd846798a86a0818cc7e147"/>
          <m:axisValue occRef="母公司"/>
        </m:item>
        <m:item xlName="_GBC_c6d4bb32519a478594bcfef3ceda4b3d" concept="clcid-pte:KuCunGuZengJianBianDongJinE" label="库存股增减变动金额" periodRef="上年同期数" mulRef="_GBC_048773409e614c6bb753000b028316a5" unitRef="_GBC_5214b7a188334da286fc3038d017d072" addr="T3R8C6S1_1" baseScale="-1" formatStyle="Comma">
          <m:complexRule comparator="Eq" title="母公司库存股增减变动金额@上年同期数" test=" $_GBC_9296353c42334f2ea0ab9f589468311d +  $_GBC_6a11a446e2cd4540907f4b9258feb87e +  $_GBC_3c6bbb3738284b6a917a6ec17270fca4 +  $_GBC_71b87e2bc67741e2b1d2d9d07910c043 +  $_GBC_11d87fe6c0fb438d92d1b164f44c0b19 +  $_GBC_b5e2532c5fe543ac8d95ce36ccf22143" id="C8b17eae03b1e4f5c8c937c76442d5475"/>
          <m:axisValue occRef="母公司"/>
        </m:item>
        <m:item xlName="_GBC_2b7963fe413c4b099dba1e05f4059834" concept="clcid-pte:QiTaZongHeShouYiZengJianBianDongJinE" label="其他综合收益增减变动金额" periodRef="上年同期数" mulRef="_GBC_048773409e614c6bb753000b028316a5" unitRef="_GBC_5214b7a188334da286fc3038d017d072" addr="T3R8C7S1_1" formatStyle="Comma">
          <m:complexRule comparator="Eq" title="母公司其他综合收益增减变动金额@上年同期数" test=" $_GBC_e59f46d4baa741ae80e74710a89f5c26 +  $_GBC_04c64412f62141ffa636f4f2d57eb7f6 +  $_GBC_d7dba48b1c0146b78a6322523685998f +  $_GBC_cbadfc6c2c0d47af8d1269604c1d4ced +  $_GBC_77d0990376fa4c3dba4853bc80e6f32b +  $_GBC_66ed8695d4ae47e1b13e54cbac7750cd" id="C44be46e7f1244b9b9604a1fd5c3f6442"/>
          <m:axisValue occRef="母公司"/>
        </m:item>
        <m:item xlName="_GBC_70d76e6f2aa5405a90a77991ef7fc0b9" concept="clcid-pte:ZhuanXiangChuBeiZengJianBianDongJinE" label="专项储备增减变动金额" periodRef="上年同期数" mulRef="_GBC_048773409e614c6bb753000b028316a5" unitRef="_GBC_5214b7a188334da286fc3038d017d072" addr="T3R8C8S1_1" formatStyle="Comma">
          <m:complexRule comparator="Eq" title="母公司专项储备增减变动金额@上年同期数" test=" $_GBC_e25d0ae2a0654eab8955bd66d514e2d1 +  $_GBC_a3b4cf624fa44477adbd516eeb00a68f +  $_GBC_31aa9a69190c4f209ab76b20cde458b8 +  $_GBC_64933a58fd3a463491f35b3e1f19d96c +  $_GBC_b35e7e3ee1e7405f98172f70fde0a158 +  $_GBC_abee7fadd6d243ffaea451a622ca8e50" id="Ce5e94a733b44432f8ba65a3b8c84fc35"/>
          <m:axisValue occRef="母公司"/>
        </m:item>
        <m:item xlName="_GBC_fd9fe83281aa406d803bd31275d27802" concept="clcid-pte:YingYuGongJiZengJianBianDongJinE" label="盈余公积增减变动金额" periodRef="上年同期数" mulRef="_GBC_048773409e614c6bb753000b028316a5" unitRef="_GBC_5214b7a188334da286fc3038d017d072" addr="T3R8C9S1_1" formatStyle="Comma">
          <m:complexRule comparator="Eq" title="母公司盈余公积增减变动金额@上年同期数" test=" $_GBC_fbb8255e3cc748afa8eb37083244a624 +  $_GBC_7866656632cb4f41803a0d960d1503da +  $_GBC_b5b44f3d2622421aacf913b06a1120fc +  $_GBC_9d6bbcaf8a2e4da5a5cc410f3e5b43e0 +  $_GBC_ce70cc6f414d4ff6935f0d37fc8a6e4b +  $_GBC_e7fe91bead664d42a0e34d8d38894644" id="C24038faea1b74d1b95de7f07084e85a9"/>
          <m:axisValue occRef="母公司"/>
        </m:item>
        <m:item xlName="_GBC_dafcc9b9aeb54231a52703e43a511e04" concept="clcid-pte:WeiFenPeiLiRunZengJianBianDongJinE" label="未分配利润增减变动金额" periodRef="上年同期数" mulRef="_GBC_048773409e614c6bb753000b028316a5" unitRef="_GBC_5214b7a188334da286fc3038d017d072" addr="T3R8C10S1_1" formatStyle="Comma">
          <m:complexRule comparator="Eq" title="母公司未分配利润增减变动金额@上年同期数" test=" $_GBC_808583767376421ab8debb0a7719cc7c +  $_GBC_4ed163c8e7a546c381731861558975c0 +  $_GBC_183a94db427349b9b54d0f0ef81c7bdc +  $_GBC_a7ede5662ff442438cf3799ae0501aaa +  $_GBC_49396ff2dd9c4cdb91081c6bcfb7c444 +  $_GBC_aafaad1fc12040c7a3ce232d35d0dbcf" id="Cf30c8b1956b64e7895fea954959f1814"/>
          <m:axisValue occRef="母公司"/>
        </m:item>
        <m:item xlName="_GBC_5214dbf793d44c1ba8b0e418270c91c0" concept="clcid-pte:GuDongQuanYiHeJiZengJianBianDongJinE" label="股东权益合计增减变动金额" periodRef="上年同期数" mulRef="_GBC_048773409e614c6bb753000b028316a5" unitRef="_GBC_5214b7a188334da286fc3038d017d072" addr="T3R8C11S1_1" formatStyle="Comma">
          <m:complexRule comparator="Eq" title="母公司股东权益合计增减变动金额@上年同期数" test=" $_GBC_981a226e3b5e4e02b42330dbf31f988b +  $_GBC_f0e6f84578534e9cb15503981a3412bb +  $_GBC_e86e0e1724d74c1cab885ebd31eda94b +  $_GBC_b587d819d31441c1bdd2387ee0941830 +  $_GBC_4c59ca81fd0c4a5b8a5dac703c8fbde6 +  $_GBC_6fe2dc27a4bc44a29a0b64474033d343" id="Cdeab2d1dd9bf453bb4cfc2991d4066b0"/>
          <m:axisValue occRef="母公司"/>
        </m:item>
        <m:placeholder xlName="_PLD_8e61c9577cd8495fb0815773685b00bb" wordText="（一）综合收益总额" addr="T3R9C0S1_1"/>
        <m:item xlName="_GBC_82467fa519b342ab86c8a7f44f39d12d" concept="clcid-pte:ZongHeShouYiZongEDaoZhiGuBenBianDongJinE" label="综合收益总额导致股本变动金额" periodRef="上年同期数" mulRef="_GBC_048773409e614c6bb753000b028316a5" unitRef="_GBC_5214b7a188334da286fc3038d017d072" addr="T3R9C1S1_1" formatStyle="Comma">
          <m:axisValue occRef="母公司"/>
        </m:item>
        <m:item xlName="_GBC_3e68c303ba764392938beeb53b261a55" concept="clcid-pte:ZongHeShouYiZongEDaoZhiYouXianGuBianDongJinE" label="综合收益总额导致优先股变动金额" periodRef="上年同期数" mulRef="_GBC_048773409e614c6bb753000b028316a5" unitRef="_GBC_5214b7a188334da286fc3038d017d072" addr="T3R9C2S1_1" formatStyle="Comma">
          <m:axisValue occRef="母公司"/>
        </m:item>
        <m:item xlName="_GBC_5e91cc75ddb6408e83816137acb6bb27" concept="clcid-pte:ZongHeShouYiZongEDaoZhiYongXuZhaiBianDongJinE" label="综合收益总额导致永续债变动金额" periodRef="上年同期数" mulRef="_GBC_048773409e614c6bb753000b028316a5" unitRef="_GBC_5214b7a188334da286fc3038d017d072" addr="T3R9C3S1_1" formatStyle="Comma">
          <m:axisValue occRef="母公司"/>
        </m:item>
        <m:item xlName="_GBC_06a05c766c044b5a9a842c1a7f7db1b0" concept="clcid-pte:ZongHeShouYiZongEDaoZhiQiTaQuanYiGongJuZhongDeQiTaBianDongJinE" label="综合收益总额导致其他权益工具中的其他变动金额" periodRef="上年同期数" mulRef="_GBC_048773409e614c6bb753000b028316a5" unitRef="_GBC_5214b7a188334da286fc3038d017d072" addr="T3R9C4S1_1" formatStyle="Comma">
          <m:axisValue occRef="母公司"/>
        </m:item>
        <m:item xlName="_GBC_531ac753268a47f2baa1101df1192e56" concept="clcid-pte:ZongHeShouYiZongEDaoZhiZiBenGongJiBianDongJinE" label="综合收益总额导致资本公积变动金额" periodRef="上年同期数" mulRef="_GBC_048773409e614c6bb753000b028316a5" unitRef="_GBC_5214b7a188334da286fc3038d017d072" addr="T3R9C5S1_1" formatStyle="Comma">
          <m:axisValue occRef="母公司"/>
        </m:item>
        <m:item xlName="_GBC_9296353c42334f2ea0ab9f589468311d" concept="clcid-pte:ZongHeShouYiZongEDaoZhiKuCunGuBianDongJinE" label="综合收益总额导致库存股变动金额" periodRef="上年同期数" mulRef="_GBC_048773409e614c6bb753000b028316a5" unitRef="_GBC_5214b7a188334da286fc3038d017d072" addr="T3R9C6S1_1" baseScale="-1" formatStyle="Comma">
          <m:axisValue occRef="母公司"/>
        </m:item>
        <m:item xlName="_GBC_e59f46d4baa741ae80e74710a89f5c26" concept="clcid-pte:ZongHeShouYiZongEDaoZhiQiTaZongHeShouYiBianDongJinE" label="综合收益总额导致其他综合收益变动金额" periodRef="上年同期数" mulRef="_GBC_048773409e614c6bb753000b028316a5" unitRef="_GBC_5214b7a188334da286fc3038d017d072" addr="T3R9C7S1_1" formatStyle="Comma">
          <m:axisValue occRef="母公司"/>
        </m:item>
        <m:item xlName="_GBC_e25d0ae2a0654eab8955bd66d514e2d1" concept="clcid-pte:ZongHeShouYiZongEDaoZhiZhuanXiangChuBeiBianDongJinE" label="综合收益总额导致专项储备变动金额" periodRef="上年同期数" mulRef="_GBC_048773409e614c6bb753000b028316a5" unitRef="_GBC_5214b7a188334da286fc3038d017d072" addr="T3R9C8S1_1" formatStyle="Comma">
          <m:axisValue occRef="母公司"/>
        </m:item>
        <m:item xlName="_GBC_fbb8255e3cc748afa8eb37083244a624" concept="clcid-pte:ZongHeShouYiZongEDaoZhiYingYuGongJiBianDongJinE" label="综合收益总额导致盈余公积变动金额" periodRef="上年同期数" mulRef="_GBC_048773409e614c6bb753000b028316a5" unitRef="_GBC_5214b7a188334da286fc3038d017d072" addr="T3R9C9S1_1" formatStyle="Comma">
          <m:axisValue occRef="母公司"/>
        </m:item>
        <m:item xlName="_GBC_808583767376421ab8debb0a7719cc7c" concept="clcid-pte:ZongHeShouYiZongEDaoZhiWeiFenPeiLiRunBianDongJinE" label="综合收益总额导致未分配利润变动金额" periodRef="上年同期数" mulRef="_GBC_048773409e614c6bb753000b028316a5" unitRef="_GBC_5214b7a188334da286fc3038d017d072" addr="T3R9C10S1_1" formatStyle="Comma">
          <m:axisValue occRef="母公司"/>
        </m:item>
        <m:item xlName="_GBC_981a226e3b5e4e02b42330dbf31f988b" concept="clcid-pte:ZongHeShouYiZongEDaoZhiGuDongQuanYiHeJiBianDongJinE" label="综合收益总额导致股东权益合计变动金额" periodRef="上年同期数" mulRef="_GBC_048773409e614c6bb753000b028316a5" unitRef="_GBC_5214b7a188334da286fc3038d017d072" addr="T3R9C11S1_1" formatStyle="Comma">
          <m:axisValue occRef="母公司"/>
        </m:item>
        <m:placeholder xlName="_PLD_e11fbdac72bf4f84a5635701204e5724" wordText="（二）所有者投入和减少资本" addr="T3R10C0S1_1"/>
        <m:item xlName="_GBC_8cbe3412300f45eb8b23ad01e70e5c5d" concept="clcid-pte:SuoYouZheTouRuHeJianShaoZiBenDaoZhiShiShouZiBenHuoGuBenJingEBianDongJinE" label="所有者投入和减少资本导致实收资本（或股本）净额变动金额" periodRef="上年同期数" mulRef="_GBC_048773409e614c6bb753000b028316a5" unitRef="_GBC_5214b7a188334da286fc3038d017d072" addr="T3R10C1S1_1" formatStyle="Comma">
          <m:complexRule comparator="Eq" title="母公司所有者投入和减少资本导致实收资本（或股本）净额变动金额@上年同期数" test=" $_GBC_58bb05c0df6d465bb880c64b14578589 +  $_GBC_69d687ddef8540bfad29d2144b412f53 +  $_GBC_b704670d7c89435194910d107697735f +  $_GBC_e282088ea3a941acb4619c405bc7ff0e" id="Cbd3e987c00df4ec3ab8f19db17e39a72"/>
          <m:axisValue occRef="母公司"/>
        </m:item>
        <m:item xlName="_GBC_a697aec9c79e42b3bdede08dacc810c0" concept="clcid-pte:SuoYouZheTouRuHeJianShaoZiBenDaoZhiQiTaQuanYiGongJuZhongDeYouXianGuBianDongJinE" label="所有者投入和减少资本导致其他权益工具中的优先股变动金额" periodRef="上年同期数" mulRef="_GBC_048773409e614c6bb753000b028316a5" unitRef="_GBC_5214b7a188334da286fc3038d017d072" addr="T3R10C2S1_1" formatStyle="Comma">
          <m:complexRule comparator="Eq" title="母公司所有者投入和减少资本导致其他权益工具中的优先股变动金额@上年同期数" test=" $_GBC_5bfea40a79084f61921c9baa07ebc34d +  $_GBC_c66decfb0440449fa71badefdb77e397 +  $_GBC_283c619dbe704a31a4213d5f20ed64d9 +  $_GBC_5fb5b18ef4e84145bf40c734dc970b8a" id="Ca67369f21b3c4bfc9fc4be532c7f9614"/>
          <m:axisValue occRef="母公司"/>
        </m:item>
        <m:item xlName="_GBC_817d7b5062ba4451880366ab1b1bba4f" concept="clcid-pte:SuoYouZheTouRuHeJianShaoZiBenDaoZhiQiTaQuanYiGongJuZhongDeYongXuZhaiBianDongJinE" label="所有者投入和减少资本导致其他权益工具中的永续债变动金额" periodRef="上年同期数" mulRef="_GBC_048773409e614c6bb753000b028316a5" unitRef="_GBC_5214b7a188334da286fc3038d017d072" addr="T3R10C3S1_1" formatStyle="Comma">
          <m:complexRule comparator="Eq" title="母公司所有者投入和减少资本导致其他权益工具中的永续债变动金额@上年同期数" test=" $_GBC_e88f6cce456742bc853670be68aa97a7 +  $_GBC_386ea106e2784cda9c192fdb0251818e +  $_GBC_39b1ee1571d74dab8372e2aa016b797d +  $_GBC_fc897014986f44aa8d7000ab9149b89a" id="Cdf79ec0d8fba4e82a4e7862292f7bc6a"/>
          <m:axisValue occRef="母公司"/>
        </m:item>
        <m:item xlName="_GBC_4d10a4b59cf1469eb6e4b0f55b21e126" concept="clcid-pte:SuoYouZheTouRuHeJianShaoZiBenDaoZhiQiTaQuanYiGongJuZhongDeQiTaBianDongJinE" label="所有者投入和减少资本导致其他权益工具中的其他变动金额" periodRef="上年同期数" mulRef="_GBC_048773409e614c6bb753000b028316a5" unitRef="_GBC_5214b7a188334da286fc3038d017d072" addr="T3R10C4S1_1" formatStyle="Comma">
          <m:complexRule comparator="Eq" title="母公司所有者投入和减少资本导致其他权益工具中的其他变动金额@上年同期数" test=" $_GBC_98d98ff19e6e46c0ad5db4c454c35ca0 +  $_GBC_06ebf02b6ae14754818193812a014559 +  $_GBC_1171e0a836ba484daaf27f834d3826cd +  $_GBC_27f9a7f11dd549d29413a881a3355d9a" id="Cbfd7d9e7e6344f96bf73584899a8776e"/>
          <m:axisValue occRef="母公司"/>
        </m:item>
        <m:item xlName="_GBC_d83cf016d2194a3b817fbc98a4265ff3" concept="clcid-pte:SuoYouZheTouRuHeJianShaoZiBenDaoZhiZiBenGongJiBianDongJinE" label="所有者投入和减少资本导致资本公积变动金额" periodRef="上年同期数" mulRef="_GBC_048773409e614c6bb753000b028316a5" unitRef="_GBC_5214b7a188334da286fc3038d017d072" addr="T3R10C5S1_1" formatStyle="Comma">
          <m:complexRule comparator="Eq" title="母公司所有者投入和减少资本导致资本公积变动金额@上年同期数" test=" $_GBC_7115d9370a41456c8d5e90e33d7eba99 +  $_GBC_553f32b380c946098f3f149c8fa42b8c +  $_GBC_9210e78d25a046328838f6d615649b0f +  $_GBC_9799bd5ef9364ff0b861d16fb09a9f68" id="C4660e31495da49c1981609ac4fd8cfe4"/>
          <m:axisValue occRef="母公司"/>
        </m:item>
        <m:item xlName="_GBC_6a11a446e2cd4540907f4b9258feb87e" concept="clcid-pte:SuoYouZheTouRuHeJianShaoZiBenDaoZhiKuCunGuBianDongJinE" label="所有者投入和减少资本导致库存股变动金额" periodRef="上年同期数" mulRef="_GBC_048773409e614c6bb753000b028316a5" unitRef="_GBC_5214b7a188334da286fc3038d017d072" addr="T3R10C6S1_1" baseScale="-1" formatStyle="Comma">
          <m:complexRule comparator="Eq" title="母公司所有者投入和减少资本导致库存股变动金额@上年同期数" test=" $_GBC_62bd14047d774267b5169b960fa7b8e4 +  $_GBC_f22d8b62fce54375b0627f91979d8051 +  $_GBC_3220f2c7297c48ebbfe28b9713c111d7 +  $_GBC_90b5f1c2650c4a268f0bfe3393fd8aa8" id="C7bafc3f18cc848b9be3a9a225ea89e10"/>
          <m:axisValue occRef="母公司"/>
        </m:item>
        <m:item xlName="_GBC_04c64412f62141ffa636f4f2d57eb7f6" concept="clcid-pte:SuoYouZheTouRuHeJianShaoZiBenDaoZhiQiTaZongHeShouYiBianDongJinE" label="所有者投入和减少资本导致其他综合收益变动金额" periodRef="上年同期数" mulRef="_GBC_048773409e614c6bb753000b028316a5" unitRef="_GBC_5214b7a188334da286fc3038d017d072" addr="T3R10C7S1_1" formatStyle="Comma">
          <m:complexRule comparator="Eq" title="母公司所有者投入和减少资本导致其他综合收益变动金额@上年同期数" test=" $_GBC_5eaa3941ee024377bd86a4e9ee8fa941 +  $_GBC_71b64f349a614e53aab1c3c806db07b0 +  $_GBC_5755c5e1222943238543206b578d588a +  $_GBC_9a52d31076294f168067b97d572e6f30" id="C2b1f653f843e44f79fd1ed38a33c5981"/>
          <m:axisValue occRef="母公司"/>
        </m:item>
        <m:item xlName="_GBC_a3b4cf624fa44477adbd516eeb00a68f" concept="clcid-pte:SuoYouZheTouRuHeJianShaoZiBenDaoZhiZhuanXiangChuBeiBianDongJinE" label="所有者投入和减少资本导致专项储备变动金额" periodRef="上年同期数" mulRef="_GBC_048773409e614c6bb753000b028316a5" unitRef="_GBC_5214b7a188334da286fc3038d017d072" addr="T3R10C8S1_1" formatStyle="Comma">
          <m:complexRule comparator="Eq" title="母公司所有者投入和减少资本导致专项储备变动金额@上年同期数" test=" $_GBC_96dc59529295405c97611714e56f6c0e +  $_GBC_2e7f46493d944f748f3f0edb42db1fbe +  $_GBC_cf2e85f37e184308906f6edeb591f855 +  $_GBC_1c0a39e8bdc14941bba1c69a8e3c4a9b" id="Cffbd85e03872457884eaec03bc719373"/>
          <m:axisValue occRef="母公司"/>
        </m:item>
        <m:item xlName="_GBC_7866656632cb4f41803a0d960d1503da" concept="clcid-pte:SuoYouZheTouRuHeJianShaoZiBenDaoZhiYingYuGongJiBianDongJinE" label="所有者投入和减少资本导致盈余公积变动金额" periodRef="上年同期数" mulRef="_GBC_048773409e614c6bb753000b028316a5" unitRef="_GBC_5214b7a188334da286fc3038d017d072" addr="T3R10C9S1_1" formatStyle="Comma">
          <m:complexRule comparator="Eq" title="母公司所有者投入和减少资本导致盈余公积变动金额@上年同期数" test=" $_GBC_923f36c9eb8844699be600c3c505bdde +  $_GBC_e783e3ef0a4242eaa4d82db149fe8ed0 +  $_GBC_47f33b9bc2254d64bcd7a55b88a06c4f +  $_GBC_248b17908ab14e8cb9cdcbb639c6be70" id="Cefff3894ff59428cb02378a6821f6ed9"/>
          <m:axisValue occRef="母公司"/>
        </m:item>
        <m:item xlName="_GBC_4ed163c8e7a546c381731861558975c0" concept="clcid-pte:SuoYouZheTouRuHeJianShaoZiBenDaoZhiWeiFenPeiLiRunBianDongJinE" label="所有者投入和减少资本导致未分配利润变动金额" periodRef="上年同期数" mulRef="_GBC_048773409e614c6bb753000b028316a5" unitRef="_GBC_5214b7a188334da286fc3038d017d072" addr="T3R10C10S1_1" formatStyle="Comma">
          <m:complexRule comparator="Eq" title="母公司所有者投入和减少资本导致未分配利润变动金额@上年同期数" test=" $_GBC_e8c638b42c734358a1d6e013e5e9190a +  $_GBC_94768ec03ab94d558d3f3ef56806130d +  $_GBC_039c26dfb1124b4d9cb4b077fa2e0dae +  $_GBC_12941ce9735d420f839e27610f49c0b1" id="C2c00dd7f15cd45eb954c0c440bedbc65"/>
          <m:axisValue occRef="母公司"/>
        </m:item>
        <m:item xlName="_GBC_f0e6f84578534e9cb15503981a3412bb" concept="clcid-pte:SuoYouZheTouRuHeJianShaoZiBenDaoZhiGuDongQuanYiHeJiBianDongJinE" label="所有者投入和减少资本导致股东权益合计变动金额" periodRef="上年同期数" mulRef="_GBC_048773409e614c6bb753000b028316a5" unitRef="_GBC_5214b7a188334da286fc3038d017d072" addr="T3R10C11S1_1" formatStyle="Comma">
          <m:complexRule comparator="Eq" title="母公司所有者投入和减少资本导致股东权益合计变动金额@上年同期数" test=" $_GBC_332fd49b6d1a40c0acfb97e534236af9 +  $_GBC_52a206eae5df4d9f92eb24cfd4153065 +  $_GBC_9bad6c18a5b645d8ba04b74843bbf3a7 +  $_GBC_d2791a0a471b42cab5ad06d9303d15c3" id="C6b2a6376b3524981a8daf39d7903f992"/>
          <m:axisValue occRef="母公司"/>
        </m:item>
        <m:placeholder xlName="_PLD_7b195f652f0542a9b8fb6e62990feb42" wordText="1．所有者投入的普通股" addr="T3R11C0S1_1"/>
        <m:item xlName="_GBC_58bb05c0df6d465bb880c64b14578589" concept="clcid-pte:GuDongTouRuDePuTongGuDaoZhiGuBenBianDongJinE" label="股东投入的普通股导致股本变动金额" periodRef="上年同期数" mulRef="_GBC_048773409e614c6bb753000b028316a5" unitRef="_GBC_5214b7a188334da286fc3038d017d072" addr="T3R11C1S1_1" formatStyle="Comma">
          <m:axisValue occRef="母公司"/>
        </m:item>
        <m:item xlName="_GBC_5bfea40a79084f61921c9baa07ebc34d" concept="clcid-pte:GuDongTouRuDePuTongGuDaoZhiYouXianGuBianDongJinE" label="股东投入的普通股导致优先股变动金额" periodRef="上年同期数" mulRef="_GBC_048773409e614c6bb753000b028316a5" unitRef="_GBC_5214b7a188334da286fc3038d017d072" addr="T3R11C2S1_1" formatStyle="Comma">
          <m:axisValue occRef="母公司"/>
        </m:item>
        <m:item xlName="_GBC_e88f6cce456742bc853670be68aa97a7" concept="clcid-pte:GuDongTouRuDePuTongGuDaoZhiYongXuZhaiBianDongJinE" label="股东投入的普通股导致永续债变动金额" periodRef="上年同期数" mulRef="_GBC_048773409e614c6bb753000b028316a5" unitRef="_GBC_5214b7a188334da286fc3038d017d072" addr="T3R11C3S1_1" formatStyle="Comma">
          <m:axisValue occRef="母公司"/>
        </m:item>
        <m:item xlName="_GBC_98d98ff19e6e46c0ad5db4c454c35ca0" concept="clcid-pte:GuDongTouRuDePuTongGuDaoZhiQiTaQuanYiGongJuZhongDeQiTaBianDongJinE" label="股东投入的普通股导致其他权益工具中的其他变动金额" periodRef="上年同期数" mulRef="_GBC_048773409e614c6bb753000b028316a5" unitRef="_GBC_5214b7a188334da286fc3038d017d072" addr="T3R11C4S1_1" formatStyle="Comma">
          <m:axisValue occRef="母公司"/>
        </m:item>
        <m:item xlName="_GBC_7115d9370a41456c8d5e90e33d7eba99" concept="clcid-pte:GuDongTouRuDePuTongGuDaoZhiZiBenGongJiBianDongJinE" label="股东投入的普通股导致资本公积变动金额" periodRef="上年同期数" mulRef="_GBC_048773409e614c6bb753000b028316a5" unitRef="_GBC_5214b7a188334da286fc3038d017d072" addr="T3R11C5S1_1" formatStyle="Comma">
          <m:axisValue occRef="母公司"/>
        </m:item>
        <m:item xlName="_GBC_62bd14047d774267b5169b960fa7b8e4" concept="clcid-pte:GuDongTouRuDePuTongGuDaoZhiKuCunGuBianDongJinE" label="股东投入的普通股导致库存股变动金额" periodRef="上年同期数" mulRef="_GBC_048773409e614c6bb753000b028316a5" unitRef="_GBC_5214b7a188334da286fc3038d017d072" addr="T3R11C6S1_1" baseScale="-1" formatStyle="Comma">
          <m:axisValue occRef="母公司"/>
        </m:item>
        <m:item xlName="_GBC_5eaa3941ee024377bd86a4e9ee8fa941" concept="clcid-pte:GuDongTouRuDePuTongGuDaoZhiQiTaZongHeShouYiBianDongJinE" label="股东投入的普通股导致其他综合收益变动金额" periodRef="上年同期数" mulRef="_GBC_048773409e614c6bb753000b028316a5" unitRef="_GBC_5214b7a188334da286fc3038d017d072" addr="T3R11C7S1_1" formatStyle="Comma">
          <m:axisValue occRef="母公司"/>
        </m:item>
        <m:item xlName="_GBC_96dc59529295405c97611714e56f6c0e" concept="clcid-pte:GuDongTouRuDePuTongGuDaoZhiZhuanXiangChuBeiBianDongJinE" label="股东投入的普通股导致专项储备变动金额" periodRef="上年同期数" mulRef="_GBC_048773409e614c6bb753000b028316a5" unitRef="_GBC_5214b7a188334da286fc3038d017d072" addr="T3R11C8S1_1" formatStyle="Comma">
          <m:axisValue occRef="母公司"/>
        </m:item>
        <m:item xlName="_GBC_923f36c9eb8844699be600c3c505bdde" concept="clcid-pte:GuDongTouRuDePuTongGuDaoZhiYingYuGongJiBianDongJinE" label="股东投入的普通股导致盈余公积变动金额" periodRef="上年同期数" mulRef="_GBC_048773409e614c6bb753000b028316a5" unitRef="_GBC_5214b7a188334da286fc3038d017d072" addr="T3R11C9S1_1" formatStyle="Comma">
          <m:axisValue occRef="母公司"/>
        </m:item>
        <m:item xlName="_GBC_e8c638b42c734358a1d6e013e5e9190a" concept="clcid-pte:GuDongTouRuDePuTongGuDaoZhiWeiFenPeiLiRunBianDongJinE" label="股东投入的普通股导致未分配利润变动金额" periodRef="上年同期数" mulRef="_GBC_048773409e614c6bb753000b028316a5" unitRef="_GBC_5214b7a188334da286fc3038d017d072" addr="T3R11C10S1_1" formatStyle="Comma">
          <m:axisValue occRef="母公司"/>
        </m:item>
        <m:item xlName="_GBC_332fd49b6d1a40c0acfb97e534236af9" concept="clcid-pte:GuDongTouRuDePuTongGuDaoZhiGuDongQuanYiHeJiBianDongJinE" label="股东投入的普通股导致股东权益合计变动金额" periodRef="上年同期数" mulRef="_GBC_048773409e614c6bb753000b028316a5" unitRef="_GBC_5214b7a188334da286fc3038d017d072" addr="T3R11C11S1_1" formatStyle="Comma">
          <m:axisValue occRef="母公司"/>
        </m:item>
        <m:placeholder xlName="_PLD_4873337789fc42b5ae8485de96f3dad3" wordText="2．其他权益工具持有者投入资本" addr="T3R12C0S1_1"/>
        <m:item xlName="_GBC_69d687ddef8540bfad29d2144b412f53" concept="clcid-pte:QiTaQuanYiGongJuChiYouZheTouRuZiBenDaoZhiGuBenBianDongJinE" label="其他权益工具持有者投入资本导致股本变动金额" periodRef="上年同期数" mulRef="_GBC_048773409e614c6bb753000b028316a5" unitRef="_GBC_5214b7a188334da286fc3038d017d072" addr="T3R12C1S1_1" formatStyle="Comma">
          <m:axisValue occRef="母公司"/>
        </m:item>
        <m:item xlName="_GBC_c66decfb0440449fa71badefdb77e397" concept="clcid-pte:QiTaQuanYiGongJuChiYouZheTouRuZiBenDaoZhiYouXianGuBianDongJinE" label="其他权益工具持有者投入资本导致优先股变动金额" periodRef="上年同期数" mulRef="_GBC_048773409e614c6bb753000b028316a5" unitRef="_GBC_5214b7a188334da286fc3038d017d072" addr="T3R12C2S1_1" formatStyle="Comma">
          <m:axisValue occRef="母公司"/>
        </m:item>
        <m:item xlName="_GBC_386ea106e2784cda9c192fdb0251818e" concept="clcid-pte:QiTaQuanYiGongJuChiYouZheTouRuZiBenDaoZhiYongXuZhaiBianDongJinE" label="其他权益工具持有者投入资本导致永续债变动金额" periodRef="上年同期数" mulRef="_GBC_048773409e614c6bb753000b028316a5" unitRef="_GBC_5214b7a188334da286fc3038d017d072" addr="T3R12C3S1_1" formatStyle="Comma">
          <m:axisValue occRef="母公司"/>
        </m:item>
        <m:item xlName="_GBC_06ebf02b6ae14754818193812a014559" concept="clcid-pte:QiTaQuanYiGongJuChiYouZheTouRuZiBenDaoZhiQiTaQuanYiGongJuZhongDeQiTaBianDongJinE" label="其他权益工具持有者投入资本导致其他权益工具中的其他变动金额" periodRef="上年同期数" mulRef="_GBC_048773409e614c6bb753000b028316a5" unitRef="_GBC_5214b7a188334da286fc3038d017d072" addr="T3R12C4S1_1" formatStyle="Comma">
          <m:axisValue occRef="母公司"/>
        </m:item>
        <m:item xlName="_GBC_553f32b380c946098f3f149c8fa42b8c" concept="clcid-pte:QiTaQuanYiGongJuChiYouZheTouRuZiBenDaoZhiZiBenGongJiBianDongJinE" label="其他权益工具持有者投入资本导致资本公积变动金额" periodRef="上年同期数" mulRef="_GBC_048773409e614c6bb753000b028316a5" unitRef="_GBC_5214b7a188334da286fc3038d017d072" addr="T3R12C5S1_1" formatStyle="Comma">
          <m:axisValue occRef="母公司"/>
        </m:item>
        <m:item xlName="_GBC_f22d8b62fce54375b0627f91979d8051" concept="clcid-pte:QiTaQuanYiGongJuChiYouZheTouRuZiBenDaoZhiKuCunGuBianDongJinE" label="其他权益工具持有者投入资本导致库存股变动金额" periodRef="上年同期数" mulRef="_GBC_048773409e614c6bb753000b028316a5" unitRef="_GBC_5214b7a188334da286fc3038d017d072" addr="T3R12C6S1_1" baseScale="-1" formatStyle="Comma">
          <m:axisValue occRef="母公司"/>
        </m:item>
        <m:item xlName="_GBC_71b64f349a614e53aab1c3c806db07b0" concept="clcid-pte:QiTaQuanYiGongJuChiYouZheTouRuZiBenDaoZhiQiTaZongHeShouYiBianDongJinE" label="其他权益工具持有者投入资本导致其他综合收益变动金额" periodRef="上年同期数" mulRef="_GBC_048773409e614c6bb753000b028316a5" unitRef="_GBC_5214b7a188334da286fc3038d017d072" addr="T3R12C7S1_1" formatStyle="Comma">
          <m:axisValue occRef="母公司"/>
        </m:item>
        <m:item xlName="_GBC_2e7f46493d944f748f3f0edb42db1fbe" concept="clcid-pte:QiTaQuanYiGongJuChiYouZheTouRuZiBenDaoZhiZhuanXiangChuBeiBianDongJinE" label="其他权益工具持有者投入资本导致专项储备变动金额" periodRef="上年同期数" mulRef="_GBC_048773409e614c6bb753000b028316a5" unitRef="_GBC_5214b7a188334da286fc3038d017d072" addr="T3R12C8S1_1" formatStyle="Comma">
          <m:axisValue occRef="母公司"/>
        </m:item>
        <m:item xlName="_GBC_e783e3ef0a4242eaa4d82db149fe8ed0" concept="clcid-pte:QiTaQuanYiGongJuChiYouZheTouRuZiBenDaoZhiYingYuGongJiBianDongJinE" label="其他权益工具持有者投入资本导致盈余公积变动金额" periodRef="上年同期数" mulRef="_GBC_048773409e614c6bb753000b028316a5" unitRef="_GBC_5214b7a188334da286fc3038d017d072" addr="T3R12C9S1_1" formatStyle="Comma">
          <m:axisValue occRef="母公司"/>
        </m:item>
        <m:item xlName="_GBC_94768ec03ab94d558d3f3ef56806130d" concept="clcid-pte:QiTaQuanYiGongJuChiYouZheTouRuZiBenDaoZhiWeiFenPeiLiRunBianDongJinE" label="其他权益工具持有者投入资本导致未分配利润变动金额" periodRef="上年同期数" mulRef="_GBC_048773409e614c6bb753000b028316a5" unitRef="_GBC_5214b7a188334da286fc3038d017d072" addr="T3R12C10S1_1" formatStyle="Comma">
          <m:axisValue occRef="母公司"/>
        </m:item>
        <m:item xlName="_GBC_52a206eae5df4d9f92eb24cfd4153065" concept="clcid-pte:QiTaQuanYiGongJuChiYouZheTouRuZiBenDaoZhiGuDongQuanYiHeJiBianDongJinE" label="其他权益工具持有者投入资本导致股东权益合计变动金额" periodRef="上年同期数" mulRef="_GBC_048773409e614c6bb753000b028316a5" unitRef="_GBC_5214b7a188334da286fc3038d017d072" addr="T3R12C11S1_1" formatStyle="Comma">
          <m:axisValue occRef="母公司"/>
        </m:item>
        <m:placeholder xlName="_PLD_83c73c5580c0412189f697f05780f9af" wordText="3．股份支付计入所有者权益的金额" addr="T3R13C0S1_1"/>
        <m:item xlName="_GBC_b704670d7c89435194910d107697735f" concept="clcid-pte:GuFenZhiFuJiRuSuoYouZheQuanYiDeJinEDaoZhiShiShouZiBenHuoGuBenJingEBianDongJinE" label="股份支付计入所有者权益的金额导致实收资本（或股本）净额变动金额" periodRef="上年同期数" mulRef="_GBC_048773409e614c6bb753000b028316a5" unitRef="_GBC_5214b7a188334da286fc3038d017d072" addr="T3R13C1S1_1" formatStyle="Comma">
          <m:axisValue occRef="母公司"/>
        </m:item>
        <m:item xlName="_GBC_283c619dbe704a31a4213d5f20ed64d9" concept="clcid-pte:GuFenZhiFuJiRuSuoYouZheQuanYiDeJinEDaoZhiQiTaQuanYiGongJuZhongDeYouXianGuBianDongJinE" label="股份支付计入所有者权益的金额导致其他权益工具中的优先股变动金额" periodRef="上年同期数" mulRef="_GBC_048773409e614c6bb753000b028316a5" unitRef="_GBC_5214b7a188334da286fc3038d017d072" addr="T3R13C2S1_1" formatStyle="Comma">
          <m:axisValue occRef="母公司"/>
        </m:item>
        <m:item xlName="_GBC_39b1ee1571d74dab8372e2aa016b797d" concept="clcid-pte:GuFenZhiFuJiRuSuoYouZheQuanYiDeJinEDaoZhiQiTaQuanYiGongJuZhongDeYongXuZhaiBianDongJinE" label="股份支付计入所有者权益的金额导致其他权益工具中的永续债变动金额" periodRef="上年同期数" mulRef="_GBC_048773409e614c6bb753000b028316a5" unitRef="_GBC_5214b7a188334da286fc3038d017d072" addr="T3R13C3S1_1" formatStyle="Comma">
          <m:axisValue occRef="母公司"/>
        </m:item>
        <m:item xlName="_GBC_1171e0a836ba484daaf27f834d3826cd" concept="clcid-pte:GuFenZhiFuJiRuSuoYouZheQuanYiDeJinEDaoZhiQiTaQuanYiGongJuZhongDeQiTaBianDongJinE" label="股份支付计入所有者权益的金额导致其他权益工具中的其他变动金额" periodRef="上年同期数" mulRef="_GBC_048773409e614c6bb753000b028316a5" unitRef="_GBC_5214b7a188334da286fc3038d017d072" addr="T3R13C4S1_1" formatStyle="Comma">
          <m:axisValue occRef="母公司"/>
        </m:item>
        <m:item xlName="_GBC_9210e78d25a046328838f6d615649b0f" concept="clcid-pte:GuFenZhiFuJiRuSuoYouZheQuanYiDeJinEDaoZhiZiBenGongJiBianDongJinE" label="股份支付计入所有者权益的金额导致资本公积变动金额" periodRef="上年同期数" mulRef="_GBC_048773409e614c6bb753000b028316a5" unitRef="_GBC_5214b7a188334da286fc3038d017d072" addr="T3R13C5S1_1" formatStyle="Comma">
          <m:axisValue occRef="母公司"/>
        </m:item>
        <m:item xlName="_GBC_3220f2c7297c48ebbfe28b9713c111d7" concept="clcid-pte:GuFenZhiFuJiRuSuoYouZheQuanYiDeJinEDaoZhiKuCunGuBianDongJinE" label="股份支付计入所有者权益的金额导致库存股变动金额" periodRef="上年同期数" mulRef="_GBC_048773409e614c6bb753000b028316a5" unitRef="_GBC_5214b7a188334da286fc3038d017d072" addr="T3R13C6S1_1" baseScale="-1" formatStyle="Comma">
          <m:axisValue occRef="母公司"/>
        </m:item>
        <m:item xlName="_GBC_5755c5e1222943238543206b578d588a" concept="clcid-pte:GuFenZhiFuJiRuSuoYouZheQuanYiDeJinEDaoZhiQiTaZongHeShouYiBianDongJinE" label="股份支付计入所有者权益的金额导致其他综合收益变动金额" periodRef="上年同期数" mulRef="_GBC_048773409e614c6bb753000b028316a5" unitRef="_GBC_5214b7a188334da286fc3038d017d072" addr="T3R13C7S1_1" formatStyle="Comma">
          <m:axisValue occRef="母公司"/>
        </m:item>
        <m:item xlName="_GBC_cf2e85f37e184308906f6edeb591f855" concept="clcid-pte:GuFenZhiFuJiRuSuoYouZheQuanYiDeJinEDaoZhiZhuanXiangChuBeiBianDongJinE" label="股份支付计入所有者权益的金额导致专项储备变动金额" periodRef="上年同期数" mulRef="_GBC_048773409e614c6bb753000b028316a5" unitRef="_GBC_5214b7a188334da286fc3038d017d072" addr="T3R13C8S1_1" formatStyle="Comma">
          <m:axisValue occRef="母公司"/>
        </m:item>
        <m:item xlName="_GBC_47f33b9bc2254d64bcd7a55b88a06c4f" concept="clcid-pte:GuFenZhiFuJiRuSuoYouZheQuanYiDeJinEDaoZhiYingYuGongJiBianDongJinE" label="股份支付计入所有者权益的金额导致盈余公积变动金额" periodRef="上年同期数" mulRef="_GBC_048773409e614c6bb753000b028316a5" unitRef="_GBC_5214b7a188334da286fc3038d017d072" addr="T3R13C9S1_1" formatStyle="Comma">
          <m:axisValue occRef="母公司"/>
        </m:item>
        <m:item xlName="_GBC_039c26dfb1124b4d9cb4b077fa2e0dae" concept="clcid-pte:GuFenZhiFuJiRuSuoYouZheQuanYiDeJinEDaoZhiWeiFenPeiLiRunBianDongJinE" label="股份支付计入所有者权益的金额导致未分配利润变动金额" periodRef="上年同期数" mulRef="_GBC_048773409e614c6bb753000b028316a5" unitRef="_GBC_5214b7a188334da286fc3038d017d072" addr="T3R13C10S1_1" formatStyle="Comma">
          <m:axisValue occRef="母公司"/>
        </m:item>
        <m:item xlName="_GBC_9bad6c18a5b645d8ba04b74843bbf3a7" concept="clcid-pte:GuFenZhiFuJiRuSuoYouZheQuanYiDeJinEDaoZhiGuDongQuanYiHeJiBianDongJinE" label="股份支付计入所有者权益的金额导致股东权益合计变动金额" periodRef="上年同期数" mulRef="_GBC_048773409e614c6bb753000b028316a5" unitRef="_GBC_5214b7a188334da286fc3038d017d072" addr="T3R13C11S1_1" formatStyle="Comma">
          <m:axisValue occRef="母公司"/>
        </m:item>
        <m:placeholder xlName="_PLD_b328cbc349734354ae3aacf675414174" wordText="4．其他" addr="T3R14C0S1_1"/>
        <m:item xlName="_GBC_e282088ea3a941acb4619c405bc7ff0e" concept="clcid-pte:QiTaSuoYouZheTouRuHeJianShaoZiBenDaoZhiShiShouZiBenHuoGuBenJingEBianDongJinE" label="其他所有者投入和减少资本导致实收资本（或股本）净额变动金额" periodRef="上年同期数" mulRef="_GBC_048773409e614c6bb753000b028316a5" unitRef="_GBC_5214b7a188334da286fc3038d017d072" addr="T3R14C1S1_1" formatStyle="Comma">
          <m:axisValue occRef="母公司"/>
        </m:item>
        <m:item xlName="_GBC_5fb5b18ef4e84145bf40c734dc970b8a" concept="clcid-pte:QiTaSuoYouZheTouRuHeJianShaoZiBenDaoZhiQiTaQuanYiGongJuZhongDeYouXianGuBianDongJinE" label="其他所有者投入和减少资本导致其他权益工具中的优先股变动金额" periodRef="上年同期数" mulRef="_GBC_048773409e614c6bb753000b028316a5" unitRef="_GBC_5214b7a188334da286fc3038d017d072" addr="T3R14C2S1_1" formatStyle="Comma">
          <m:axisValue occRef="母公司"/>
        </m:item>
        <m:item xlName="_GBC_fc897014986f44aa8d7000ab9149b89a" concept="clcid-pte:QiTaSuoYouZheTouRuHeJianShaoZiBenDaoZhiQiTaQuanYiGongJuZhongDeYongXuZhaiBianDongJinE" label="其他所有者投入和减少资本导致其他权益工具中的永续债变动金额" periodRef="上年同期数" mulRef="_GBC_048773409e614c6bb753000b028316a5" unitRef="_GBC_5214b7a188334da286fc3038d017d072" addr="T3R14C3S1_1" formatStyle="Comma">
          <m:axisValue occRef="母公司"/>
        </m:item>
        <m:item xlName="_GBC_27f9a7f11dd549d29413a881a3355d9a" concept="clcid-pte:QiTaSuoYouZheTouRuHeJianShaoZiBenDaoZhiQiTaQuanYiGongJuZhongDeQiTaBianDongJinE" label="其他所有者投入和减少资本导致其他权益工具中的其他变动金额" periodRef="上年同期数" mulRef="_GBC_048773409e614c6bb753000b028316a5" unitRef="_GBC_5214b7a188334da286fc3038d017d072" addr="T3R14C4S1_1" formatStyle="Comma">
          <m:axisValue occRef="母公司"/>
        </m:item>
        <m:item xlName="_GBC_9799bd5ef9364ff0b861d16fb09a9f68" concept="clcid-pte:QiTaSuoYouZheTouRuHeJianShaoZiBenDaoZhiZiBenGongJiBianDongJinE" label="其他所有者投入和减少资本导致资本公积变动金额" periodRef="上年同期数" mulRef="_GBC_048773409e614c6bb753000b028316a5" unitRef="_GBC_5214b7a188334da286fc3038d017d072" addr="T3R14C5S1_1" formatStyle="Comma">
          <m:axisValue occRef="母公司"/>
        </m:item>
        <m:item xlName="_GBC_90b5f1c2650c4a268f0bfe3393fd8aa8" concept="clcid-pte:QiTaSuoYouZheTouRuHeJianShaoZiBenDaoZhiKuCunGuBianDongJinE" label="其他所有者投入和减少资本导致库存股变动金额" periodRef="上年同期数" mulRef="_GBC_048773409e614c6bb753000b028316a5" unitRef="_GBC_5214b7a188334da286fc3038d017d072" addr="T3R14C6S1_1" baseScale="-1" formatStyle="Comma">
          <m:axisValue occRef="母公司"/>
        </m:item>
        <m:item xlName="_GBC_9a52d31076294f168067b97d572e6f30" concept="clcid-pte:QiTaSuoYouZheTouRuHeJianShaoZiBenDaoZhiQiTaZongHeShouYiBianDongJinE" label="其他所有者投入和减少资本导致其他综合收益变动金额" periodRef="上年同期数" mulRef="_GBC_048773409e614c6bb753000b028316a5" unitRef="_GBC_5214b7a188334da286fc3038d017d072" addr="T3R14C7S1_1" formatStyle="Comma">
          <m:axisValue occRef="母公司"/>
        </m:item>
        <m:item xlName="_GBC_1c0a39e8bdc14941bba1c69a8e3c4a9b" concept="clcid-pte:QiTaSuoYouZheTouRuHeJianShaoZiBenDaoZhiZhuanXiangChuBeiBianDongJinE" label="其他所有者投入和减少资本导致专项储备变动金额" periodRef="上年同期数" mulRef="_GBC_048773409e614c6bb753000b028316a5" unitRef="_GBC_5214b7a188334da286fc3038d017d072" addr="T3R14C8S1_1" formatStyle="Comma">
          <m:axisValue occRef="母公司"/>
        </m:item>
        <m:item xlName="_GBC_248b17908ab14e8cb9cdcbb639c6be70" concept="clcid-pte:QiTaSuoYouZheTouRuHeJianShaoZiBenDaoZhiYingYuGongJiBianDongJinE" label="其他所有者投入和减少资本导致盈余公积变动金额" periodRef="上年同期数" mulRef="_GBC_048773409e614c6bb753000b028316a5" unitRef="_GBC_5214b7a188334da286fc3038d017d072" addr="T3R14C9S1_1" formatStyle="Comma">
          <m:axisValue occRef="母公司"/>
        </m:item>
        <m:item xlName="_GBC_12941ce9735d420f839e27610f49c0b1" concept="clcid-pte:QiTaSuoYouZheTouRuHeJianShaoZiBenDaoZhiWeiFenPeiLiRunBianDongJinE" label="其他所有者投入和减少资本导致未分配利润变动金额" periodRef="上年同期数" mulRef="_GBC_048773409e614c6bb753000b028316a5" unitRef="_GBC_5214b7a188334da286fc3038d017d072" addr="T3R14C10S1_1" formatStyle="Comma">
          <m:axisValue occRef="母公司"/>
        </m:item>
        <m:item xlName="_GBC_d2791a0a471b42cab5ad06d9303d15c3" concept="clcid-pte:QiTaSuoYouZheTouRuHeJianShaoZiBenDaoZhiGuDongQuanYiHeJiBianDongJinE" label="其他所有者投入和减少资本导致股东权益合计变动金额" periodRef="上年同期数" mulRef="_GBC_048773409e614c6bb753000b028316a5" unitRef="_GBC_5214b7a188334da286fc3038d017d072" addr="T3R14C11S1_1" formatStyle="Comma">
          <m:axisValue occRef="母公司"/>
        </m:item>
        <m:placeholder xlName="_PLD_9773183e97be44a1a360188937e7fe10" wordText="（三）利润分配" addr="T3R15C0S1_1"/>
        <m:item xlName="_GBC_d20d161c26b74ad7978d5a5df63ac72b" concept="clcid-pte:LiRunFenPeiDaoZhiShiShouZiBenHuoGuBenJingEBianDongJinE" label="利润分配导致实收资本（或股本）净额变动金额" periodRef="上年同期数" mulRef="_GBC_048773409e614c6bb753000b028316a5" unitRef="_GBC_5214b7a188334da286fc3038d017d072" addr="T3R15C1S1_1" formatStyle="Comma">
          <m:complexRule comparator="Eq" title="母公司利润分配导致实收资本（或股本）净额变动金额@上年同期数" test=" $_GBC_e05bfd0f90c54b4e9125113cfd71447f +  $_GBC_48c3818ca7254c25a0acafecc6a0a771 +  $_GBC_2a3bc25e220343a1979739f7a4deba00" id="Cfa2a444b86464c11ade339bfe538a3ce"/>
          <m:axisValue occRef="母公司"/>
        </m:item>
        <m:item xlName="_GBC_dbb78b77a1fb43fc9743f9647fbe0099" concept="clcid-pte:LiRunFenPeiDaoZhiQiTaQuanYiGongJuZhongDeYouXianGuBianDongJinE" label="利润分配导致其他权益工具中的优先股变动金额" periodRef="上年同期数" mulRef="_GBC_048773409e614c6bb753000b028316a5" unitRef="_GBC_5214b7a188334da286fc3038d017d072" addr="T3R15C2S1_1" formatStyle="Comma">
          <m:complexRule comparator="Eq" title="母公司利润分配导致其他权益工具中的优先股变动金额@上年同期数" test=" $_GBC_2542796b4bce4a00bf35c3208f61535e +  $_GBC_b53ac52b198b499dae271e0b7ba05241 +  $_GBC_40876b8d138a4f2d800d97a22227e8a3" id="C26f0fb8174f94c1695d01b8462b70355"/>
          <m:axisValue occRef="母公司"/>
        </m:item>
        <m:item xlName="_GBC_43412ba7a0f346839e1eab15fd44f008" concept="clcid-pte:LiRunFenPeiDaoZhiQiTaQuanYiGongJuZhongDeYongXuZhaiBianDongJinE" label="利润分配导致其他权益工具中的永续债变动金额" periodRef="上年同期数" mulRef="_GBC_048773409e614c6bb753000b028316a5" unitRef="_GBC_5214b7a188334da286fc3038d017d072" addr="T3R15C3S1_1" formatStyle="Comma">
          <m:complexRule comparator="Eq" title="母公司利润分配导致其他权益工具中的永续债变动金额@上年同期数" test=" $_GBC_6dc00a65e68b457b87f25cc981eee0d5 +  $_GBC_4b04efc53f4443d4ac387d60a4efff4e +  $_GBC_8cdbe9633da1446190f1c54e28b01818" id="C9e2b8de4c6da42feb99e9dc286f61b8d"/>
          <m:axisValue occRef="母公司"/>
        </m:item>
        <m:item xlName="_GBC_b6e54a5f7ed14e3c88cda23e3184787c" concept="clcid-pte:LiRunFenPeiDaoZhiQiTaQuanYiGongJuZhongDeQiTaBianDongJinE" label="利润分配导致其他权益工具中的其他变动金额" periodRef="上年同期数" mulRef="_GBC_048773409e614c6bb753000b028316a5" unitRef="_GBC_5214b7a188334da286fc3038d017d072" addr="T3R15C4S1_1" formatStyle="Comma">
          <m:complexRule comparator="Eq" title="母公司利润分配导致其他权益工具中的其他变动金额@上年同期数" test=" $_GBC_bd7111ba1813479d88db0fedd0e93dee +  $_GBC_9611ccce87624efcb3b4a6c2bcc64958 +  $_GBC_334000809d3b4f0c929262b00b760ded" id="C00ef223a819e44b8afeb39cfed23e795"/>
          <m:axisValue occRef="母公司"/>
        </m:item>
        <m:item xlName="_GBC_cdbc69ae1c9942418689b6af08cd5343" concept="clcid-pte:LiRunFenPeiDaoZhiZiBenGongJiBianDongJinE" label="利润分配导致资本公积变动金额" periodRef="上年同期数" mulRef="_GBC_048773409e614c6bb753000b028316a5" unitRef="_GBC_5214b7a188334da286fc3038d017d072" addr="T3R15C5S1_1" formatStyle="Comma">
          <m:complexRule comparator="Eq" title="母公司利润分配导致资本公积变动金额@上年同期数" test=" $_GBC_2a8692122e30462aad0e96d3120b3248 +  $_GBC_566d5553fedc4e19bc20d76a4fb0c837 +  $_GBC_46a794d7c39543109d62421d8e967179" id="C521b4a8df39e47ffafa116dd9a9e0910"/>
          <m:axisValue occRef="母公司"/>
        </m:item>
        <m:item xlName="_GBC_3c6bbb3738284b6a917a6ec17270fca4" concept="clcid-pte:LiRunFenPeiDaoZhiKuCunGuBianDongJinE" label="利润分配导致库存股变动金额" periodRef="上年同期数" mulRef="_GBC_048773409e614c6bb753000b028316a5" unitRef="_GBC_5214b7a188334da286fc3038d017d072" addr="T3R15C6S1_1" baseScale="-1" formatStyle="Comma">
          <m:complexRule comparator="Eq" title="母公司利润分配导致库存股变动金额@上年同期数" test=" $_GBC_7131170d0bf34860819f92e9370293ac +  $_GBC_5896274feeda4be3ba195ab3d23fd126 +  $_GBC_50aa74685d6e490e981de9349999678a" id="Cdce616afb1904b208bb2810d858b94bd"/>
          <m:axisValue occRef="母公司"/>
        </m:item>
        <m:item xlName="_GBC_d7dba48b1c0146b78a6322523685998f" concept="clcid-pte:LiRunFenPeiDaoZhiQiTaZongHeShouYiBianDongJinE" label="利润分配导致其他综合收益变动金额" periodRef="上年同期数" mulRef="_GBC_048773409e614c6bb753000b028316a5" unitRef="_GBC_5214b7a188334da286fc3038d017d072" addr="T3R15C7S1_1" formatStyle="Comma">
          <m:complexRule comparator="Eq" title="母公司利润分配导致其他综合收益变动金额@上年同期数" test=" $_GBC_c0d02f5e530640aeb5ce5e86087332f1 +  $_GBC_4b536d67335f4ee4963e5e4dd93843ef +  $_GBC_5d9b86a3e7634b67870d4c447fa117c9" id="C9ee50422df844d778004d364aa8d9ad0"/>
          <m:axisValue occRef="母公司"/>
        </m:item>
        <m:item xlName="_GBC_31aa9a69190c4f209ab76b20cde458b8" concept="clcid-pte:LiRunFenPeiDaoZhiZhuanXiangChuBeiBianDongJinE" label="利润分配导致专项储备变动金额" periodRef="上年同期数" mulRef="_GBC_048773409e614c6bb753000b028316a5" unitRef="_GBC_5214b7a188334da286fc3038d017d072" addr="T3R15C8S1_1" formatStyle="Comma">
          <m:complexRule comparator="Eq" title="母公司利润分配导致专项储备变动金额@上年同期数" test=" $_GBC_87f29e8c38d848dbb63d95c4a5793984 +  $_GBC_843ca12ec7b141cfad55e263f7d17fbe +  $_GBC_524fa5be2b1648a48b8c46e424ac4524" id="C300a7b3474f841e7a36e837e36c651ef"/>
          <m:axisValue occRef="母公司"/>
        </m:item>
        <m:item xlName="_GBC_b5b44f3d2622421aacf913b06a1120fc" concept="clcid-pte:LiRunFenPeiDaoZhiYingYuGongJiBianDongJinE" label="利润分配导致盈余公积变动金额" periodRef="上年同期数" mulRef="_GBC_048773409e614c6bb753000b028316a5" unitRef="_GBC_5214b7a188334da286fc3038d017d072" addr="T3R15C9S1_1" formatStyle="Comma">
          <m:complexRule comparator="Eq" title="母公司利润分配导致盈余公积变动金额@上年同期数" test=" $_GBC_4f4560db68a54c85908090fafd83a3a1 +  $_GBC_3a81c31f1abd4a3ba6f79f5add78f6ce +  $_GBC_14e24cbb59594243b8078d0978c7bb4b" id="C163b92cfbc1d4a0783efad3ee9741e2e"/>
          <m:axisValue occRef="母公司"/>
        </m:item>
        <m:item xlName="_GBC_183a94db427349b9b54d0f0ef81c7bdc" concept="clcid-pte:LiRunFenPeiDaoZhiWeiFenPeiLiRunBianDongJinE" label="利润分配导致未分配利润变动金额" periodRef="上年同期数" mulRef="_GBC_048773409e614c6bb753000b028316a5" unitRef="_GBC_5214b7a188334da286fc3038d017d072" addr="T3R15C10S1_1" formatStyle="Comma">
          <m:complexRule comparator="Eq" title="母公司利润分配导致未分配利润变动金额@上年同期数" test=" $_GBC_da1f675e43a146c3b0c1db26591a8f03 +  $_GBC_28cfe2138eb3404b9581d08fce91f04f +  $_GBC_12bd6c1c6fd34bbe9cfac31a4cca5749" id="C78f311be2f90408aa2a29ba65615009a"/>
          <m:axisValue occRef="母公司"/>
        </m:item>
        <m:item xlName="_GBC_e86e0e1724d74c1cab885ebd31eda94b" concept="clcid-pte:LiRunFenPeiDaoZhiGuDongQuanYiHeJiBianDongJinE" label="利润分配导致股东权益合计变动金额" periodRef="上年同期数" mulRef="_GBC_048773409e614c6bb753000b028316a5" unitRef="_GBC_5214b7a188334da286fc3038d017d072" addr="T3R15C11S1_1" formatStyle="Comma">
          <m:complexRule comparator="Eq" title="母公司利润分配导致股东权益合计变动金额@上年同期数" test=" $_GBC_e2766ed713444eaf853e2d30ee6a70fe +  $_GBC_b7a83962fd0c4ffab165dfe7bf96638f +  $_GBC_19ca48af6d4a4fb2abed675b8d186c63" id="Cf1640564fc874b8f97da03a3c29c5b9d"/>
          <m:axisValue occRef="母公司"/>
        </m:item>
        <m:placeholder xlName="_PLD_49d633deae854098a44173514bb3a7b3" wordText="1．提取盈余公积" addr="T3R16C0S1_1"/>
        <m:item xlName="_GBC_e05bfd0f90c54b4e9125113cfd71447f" concept="clcid-pte:TiQuYingYuGongJiDaoZhiShiShouZiBenHuoGuBenJingEBianDongJinE" label="提取盈余公积导致实收资本（或股本）净额变动金额" periodRef="上年同期数" mulRef="_GBC_048773409e614c6bb753000b028316a5" unitRef="_GBC_5214b7a188334da286fc3038d017d072" addr="T3R16C1S1_1" formatStyle="Comma">
          <m:axisValue occRef="母公司"/>
        </m:item>
        <m:item xlName="_GBC_2542796b4bce4a00bf35c3208f61535e" concept="clcid-pte:TiQuYingYuGongJiDaoZhiQiTaQuanYiGongJuZhongDeYouXianGuBianDongJinE" label="提取盈余公积导致其他权益工具中的优先股变动金额" periodRef="上年同期数" mulRef="_GBC_048773409e614c6bb753000b028316a5" unitRef="_GBC_5214b7a188334da286fc3038d017d072" addr="T3R16C2S1_1" formatStyle="Comma">
          <m:axisValue occRef="母公司"/>
        </m:item>
        <m:item xlName="_GBC_6dc00a65e68b457b87f25cc981eee0d5" concept="clcid-pte:TiQuYingYuGongJiDaoZhiQiTaQuanYiGongJuZhongDeYongXuZhaiBianDongJinE" label="提取盈余公积导致其他权益工具中的永续债变动金额" periodRef="上年同期数" mulRef="_GBC_048773409e614c6bb753000b028316a5" unitRef="_GBC_5214b7a188334da286fc3038d017d072" addr="T3R16C3S1_1" formatStyle="Comma">
          <m:axisValue occRef="母公司"/>
        </m:item>
        <m:item xlName="_GBC_bd7111ba1813479d88db0fedd0e93dee" concept="clcid-pte:TiQuYingYuGongJiDaoZhiQiTaQuanYiGongJuZhongDeQiTaBianDongJinE" label="提取盈余公积导致其他权益工具中的其他变动金额" periodRef="上年同期数" mulRef="_GBC_048773409e614c6bb753000b028316a5" unitRef="_GBC_5214b7a188334da286fc3038d017d072" addr="T3R16C4S1_1" formatStyle="Comma">
          <m:axisValue occRef="母公司"/>
        </m:item>
        <m:item xlName="_GBC_2a8692122e30462aad0e96d3120b3248" concept="clcid-pte:TiQuYingYuGongJiDaoZhiZiBenGongJiBianDongJinE" label="提取盈余公积导致资本公积变动金额" periodRef="上年同期数" mulRef="_GBC_048773409e614c6bb753000b028316a5" unitRef="_GBC_5214b7a188334da286fc3038d017d072" addr="T3R16C5S1_1" formatStyle="Comma">
          <m:axisValue occRef="母公司"/>
        </m:item>
        <m:item xlName="_GBC_7131170d0bf34860819f92e9370293ac" concept="clcid-pte:TiQuYingYuGongJiDaoZhiKuCunGuBianDongJinE" label="提取盈余公积导致库存股变动金额" periodRef="上年同期数" mulRef="_GBC_048773409e614c6bb753000b028316a5" unitRef="_GBC_5214b7a188334da286fc3038d017d072" addr="T3R16C6S1_1" baseScale="-1" formatStyle="Comma">
          <m:axisValue occRef="母公司"/>
        </m:item>
        <m:item xlName="_GBC_c0d02f5e530640aeb5ce5e86087332f1" concept="clcid-pte:TiQuYingYuGongJiDaoZhiQiTaZongHeShouYiBianDongJinE" label="提取盈余公积导致其他综合收益变动金额" periodRef="上年同期数" mulRef="_GBC_048773409e614c6bb753000b028316a5" unitRef="_GBC_5214b7a188334da286fc3038d017d072" addr="T3R16C7S1_1" formatStyle="Comma">
          <m:axisValue occRef="母公司"/>
        </m:item>
        <m:item xlName="_GBC_87f29e8c38d848dbb63d95c4a5793984" concept="clcid-pte:TiQuYingYuGongJiDaoZhiZhuanXiangChuBeiBianDongJinE" label="提取盈余公积导致专项储备变动金额" periodRef="上年同期数" mulRef="_GBC_048773409e614c6bb753000b028316a5" unitRef="_GBC_5214b7a188334da286fc3038d017d072" addr="T3R16C8S1_1" formatStyle="Comma">
          <m:axisValue occRef="母公司"/>
        </m:item>
        <m:item xlName="_GBC_4f4560db68a54c85908090fafd83a3a1" concept="clcid-pte:TiQuYingYuGongJiDaoZhiYingYuGongJiBianDongJinE" label="提取盈余公积导致盈余公积变动金额" periodRef="上年同期数" mulRef="_GBC_048773409e614c6bb753000b028316a5" unitRef="_GBC_5214b7a188334da286fc3038d017d072" addr="T3R16C9S1_1" formatStyle="Comma">
          <m:axisValue occRef="母公司"/>
        </m:item>
        <m:item xlName="_GBC_da1f675e43a146c3b0c1db26591a8f03" concept="clcid-pte:TiQuYingYuGongJiDaoZhiWeiFenPeiLiRunBianDongJinE" label="提取盈余公积导致未分配利润变动金额" periodRef="上年同期数" mulRef="_GBC_048773409e614c6bb753000b028316a5" unitRef="_GBC_5214b7a188334da286fc3038d017d072" addr="T3R16C10S1_1" formatStyle="Comma">
          <m:axisValue occRef="母公司"/>
        </m:item>
        <m:item xlName="_GBC_e2766ed713444eaf853e2d30ee6a70fe" concept="clcid-pte:TiQuYingYuGongJiDaoZhiGuDongQuanYiHeJiBianDongJinE" label="提取盈余公积导致股东权益合计变动金额" periodRef="上年同期数" mulRef="_GBC_048773409e614c6bb753000b028316a5" unitRef="_GBC_5214b7a188334da286fc3038d017d072" addr="T3R16C11S1_1" formatStyle="Comma">
          <m:axisValue occRef="母公司"/>
        </m:item>
        <m:placeholder xlName="_PLD_97bd41fffab4497fb1be0b345aef17bd" wordText="2．对所有者（或股东）的分配" addr="T3R17C0S1_1"/>
        <m:item xlName="_GBC_48c3818ca7254c25a0acafecc6a0a771" concept="clcid-pte:DuiSuoYouZheHuoGuDongDeFenPeiDaoZhiShiShouZiBenHuoGuBenJingEBianDongJinE" label="对所有者（或股东）的分配导致实收资本（或股本）净额变动金额" periodRef="上年同期数" mulRef="_GBC_048773409e614c6bb753000b028316a5" unitRef="_GBC_5214b7a188334da286fc3038d017d072" addr="T3R17C1S1_1" formatStyle="Comma">
          <m:axisValue occRef="母公司"/>
        </m:item>
        <m:item xlName="_GBC_b53ac52b198b499dae271e0b7ba05241" concept="clcid-pte:DuiSuoYouZheHuoGuDongDeFenPeiDaoZhiQiTaQuanYiGongJuZhongDeYouXianGuBianDongJinE" label="对所有者（或股东）的分配导致其他权益工具中的优先股变动金额" periodRef="上年同期数" mulRef="_GBC_048773409e614c6bb753000b028316a5" unitRef="_GBC_5214b7a188334da286fc3038d017d072" addr="T3R17C2S1_1" formatStyle="Comma">
          <m:axisValue occRef="母公司"/>
        </m:item>
        <m:item xlName="_GBC_4b04efc53f4443d4ac387d60a4efff4e" concept="clcid-pte:DuiSuoYouZheHuoGuDongDeFenPeiDaoZhiQiTaQuanYiGongJuZhongDeYongXuZhaiBianDongJinE" label="对所有者（或股东）的分配导致其他权益工具中的永续债变动金额" periodRef="上年同期数" mulRef="_GBC_048773409e614c6bb753000b028316a5" unitRef="_GBC_5214b7a188334da286fc3038d017d072" addr="T3R17C3S1_1" formatStyle="Comma">
          <m:axisValue occRef="母公司"/>
        </m:item>
        <m:item xlName="_GBC_9611ccce87624efcb3b4a6c2bcc64958" concept="clcid-pte:DuiSuoYouZheHuoGuDongDeFenPeiDaoZhiQiTaQuanYiGongJuZhongDeQiTaBianDongJinE" label="对所有者（或股东）的分配导致其他权益工具中的其他变动金额" periodRef="上年同期数" mulRef="_GBC_048773409e614c6bb753000b028316a5" unitRef="_GBC_5214b7a188334da286fc3038d017d072" addr="T3R17C4S1_1" formatStyle="Comma">
          <m:axisValue occRef="母公司"/>
        </m:item>
        <m:item xlName="_GBC_566d5553fedc4e19bc20d76a4fb0c837" concept="clcid-pte:DuiSuoYouZheHuoGuDongDeFenPeiDaoZhiZiBenGongJiBianDongJinE" label="对所有者（或股东）的分配导致资本公积变动金额" periodRef="上年同期数" mulRef="_GBC_048773409e614c6bb753000b028316a5" unitRef="_GBC_5214b7a188334da286fc3038d017d072" addr="T3R17C5S1_1" formatStyle="Comma">
          <m:axisValue occRef="母公司"/>
        </m:item>
        <m:item xlName="_GBC_5896274feeda4be3ba195ab3d23fd126" concept="clcid-pte:DuiSuoYouZheHuoGuDongDeFenPeiDaoZhiKuCunGuBianDongJinE" label="对所有者（或股东）的分配导致库存股变动金额" periodRef="上年同期数" mulRef="_GBC_048773409e614c6bb753000b028316a5" unitRef="_GBC_5214b7a188334da286fc3038d017d072" addr="T3R17C6S1_1" baseScale="-1" formatStyle="Comma">
          <m:axisValue occRef="母公司"/>
        </m:item>
        <m:item xlName="_GBC_4b536d67335f4ee4963e5e4dd93843ef" concept="clcid-pte:DuiSuoYouZheHuoGuDongDeFenPeiDaoZhiQiTaZongHeShouYiBianDongJinE" label="对所有者（或股东）的分配导致其他综合收益变动金额" periodRef="上年同期数" mulRef="_GBC_048773409e614c6bb753000b028316a5" unitRef="_GBC_5214b7a188334da286fc3038d017d072" addr="T3R17C7S1_1" formatStyle="Comma">
          <m:axisValue occRef="母公司"/>
        </m:item>
        <m:item xlName="_GBC_843ca12ec7b141cfad55e263f7d17fbe" concept="clcid-pte:DuiSuoYouZheHuoGuDongDeFenPeiDaoZhiZhuanXiangChuBeiBianDongJinE" label="对所有者（或股东）的分配导致专项储备变动金额" periodRef="上年同期数" mulRef="_GBC_048773409e614c6bb753000b028316a5" unitRef="_GBC_5214b7a188334da286fc3038d017d072" addr="T3R17C8S1_1" formatStyle="Comma">
          <m:axisValue occRef="母公司"/>
        </m:item>
        <m:item xlName="_GBC_3a81c31f1abd4a3ba6f79f5add78f6ce" concept="clcid-pte:DuiSuoYouZheHuoGuDongDeFenPeiDaoZhiYingYuGongJiBianDongJinE" label="对所有者（或股东）的分配导致盈余公积变动金额" periodRef="上年同期数" mulRef="_GBC_048773409e614c6bb753000b028316a5" unitRef="_GBC_5214b7a188334da286fc3038d017d072" addr="T3R17C9S1_1" formatStyle="Comma">
          <m:axisValue occRef="母公司"/>
        </m:item>
        <m:item xlName="_GBC_28cfe2138eb3404b9581d08fce91f04f" concept="clcid-pte:DuiSuoYouZheHuoGuDongDeFenPeiDaoZhiWeiFenPeiLiRunBianDongJinE" label="对所有者（或股东）的分配导致未分配利润变动金额" periodRef="上年同期数" mulRef="_GBC_048773409e614c6bb753000b028316a5" unitRef="_GBC_5214b7a188334da286fc3038d017d072" addr="T3R17C10S1_1" formatStyle="Comma">
          <m:axisValue occRef="母公司"/>
        </m:item>
        <m:item xlName="_GBC_b7a83962fd0c4ffab165dfe7bf96638f" concept="clcid-pte:DuiSuoYouZheHuoGuDongDeFenPeiDaoZhiGuDongQuanYiHeJiBianDongJinE" label="对所有者（或股东）的分配导致股东权益合计变动金额" periodRef="上年同期数" mulRef="_GBC_048773409e614c6bb753000b028316a5" unitRef="_GBC_5214b7a188334da286fc3038d017d072" addr="T3R17C11S1_1" formatStyle="Comma">
          <m:axisValue occRef="母公司"/>
        </m:item>
        <m:placeholder xlName="_PLD_a5c6789730e84b389ee95f39091419a8" wordText="3．其他" addr="T3R18C0S1_1"/>
        <m:item xlName="_GBC_2a3bc25e220343a1979739f7a4deba00" concept="clcid-pte:QiTaLiRunFenPeiDaoZhiShiShouZiBenHuoGuBenJingEBianDongJinE" label="其他利润分配导致实收资本（或股本）净额变动金额" periodRef="上年同期数" mulRef="_GBC_048773409e614c6bb753000b028316a5" unitRef="_GBC_5214b7a188334da286fc3038d017d072" addr="T3R18C1S1_1" formatStyle="Comma">
          <m:axisValue occRef="母公司"/>
        </m:item>
        <m:item xlName="_GBC_40876b8d138a4f2d800d97a22227e8a3" concept="clcid-pte:QiTaLiRunFenPeiDaoZhiQiTaQuanYiGongJuZhongDeYouXianGuBianDongJinE" label="其他利润分配导致其他权益工具中的优先股变动金额" periodRef="上年同期数" mulRef="_GBC_048773409e614c6bb753000b028316a5" unitRef="_GBC_5214b7a188334da286fc3038d017d072" addr="T3R18C2S1_1" formatStyle="Comma">
          <m:axisValue occRef="母公司"/>
        </m:item>
        <m:item xlName="_GBC_8cdbe9633da1446190f1c54e28b01818" concept="clcid-pte:QiTaLiRunFenPeiDaoZhiQiTaQuanYiGongJuZhongDeYongXuZhaiBianDongJinE" label="其他利润分配导致其他权益工具中的永续债变动金额" periodRef="上年同期数" mulRef="_GBC_048773409e614c6bb753000b028316a5" unitRef="_GBC_5214b7a188334da286fc3038d017d072" addr="T3R18C3S1_1" formatStyle="Comma">
          <m:axisValue occRef="母公司"/>
        </m:item>
        <m:item xlName="_GBC_334000809d3b4f0c929262b00b760ded" concept="clcid-pte:QiTaLiRunFenPeiDaoZhiQiTaQuanYiGongJuZhongDeQiTaBianDongJinE" label="其他利润分配导致其他权益工具中的其他变动金额" periodRef="上年同期数" mulRef="_GBC_048773409e614c6bb753000b028316a5" unitRef="_GBC_5214b7a188334da286fc3038d017d072" addr="T3R18C4S1_1" formatStyle="Comma">
          <m:axisValue occRef="母公司"/>
        </m:item>
        <m:item xlName="_GBC_46a794d7c39543109d62421d8e967179" concept="clcid-pte:QiTaLiRunFenPeiDaoZhiZiBenGongJiBianDongJinE" label="其他利润分配导致资本公积变动金额" periodRef="上年同期数" mulRef="_GBC_048773409e614c6bb753000b028316a5" unitRef="_GBC_5214b7a188334da286fc3038d017d072" addr="T3R18C5S1_1" formatStyle="Comma">
          <m:axisValue occRef="母公司"/>
        </m:item>
        <m:item xlName="_GBC_50aa74685d6e490e981de9349999678a" concept="clcid-pte:QiTaLiRunFenPeiDaoZhiKuCunGuBianDongJinE" label="其他利润分配导致库存股变动金额" periodRef="上年同期数" mulRef="_GBC_048773409e614c6bb753000b028316a5" unitRef="_GBC_5214b7a188334da286fc3038d017d072" addr="T3R18C6S1_1" baseScale="-1" formatStyle="Comma">
          <m:axisValue occRef="母公司"/>
        </m:item>
        <m:item xlName="_GBC_5d9b86a3e7634b67870d4c447fa117c9" concept="clcid-pte:QiTaLiRunFenPeiDaoZhiQiTaZongHeShouYiBianDongJinE" label="其他利润分配导致其他综合收益变动金额" periodRef="上年同期数" mulRef="_GBC_048773409e614c6bb753000b028316a5" unitRef="_GBC_5214b7a188334da286fc3038d017d072" addr="T3R18C7S1_1" formatStyle="Comma">
          <m:axisValue occRef="母公司"/>
        </m:item>
        <m:item xlName="_GBC_524fa5be2b1648a48b8c46e424ac4524" concept="clcid-pte:QiTaLiRunFenPeiDaoZhiZhuanXiangChuBeiBianDongJinE" label="其他利润分配导致专项储备变动金额" periodRef="上年同期数" mulRef="_GBC_048773409e614c6bb753000b028316a5" unitRef="_GBC_5214b7a188334da286fc3038d017d072" addr="T3R18C8S1_1" formatStyle="Comma">
          <m:axisValue occRef="母公司"/>
        </m:item>
        <m:item xlName="_GBC_14e24cbb59594243b8078d0978c7bb4b" concept="clcid-pte:QiTaLiRunFenPeiDaoZhiYingYuGongJiBianDongJinE" label="其他利润分配导致盈余公积变动金额" periodRef="上年同期数" mulRef="_GBC_048773409e614c6bb753000b028316a5" unitRef="_GBC_5214b7a188334da286fc3038d017d072" addr="T3R18C9S1_1" formatStyle="Comma">
          <m:axisValue occRef="母公司"/>
        </m:item>
        <m:item xlName="_GBC_12bd6c1c6fd34bbe9cfac31a4cca5749" concept="clcid-pte:QiTaLiRunFenPeiDaoZhiWeiFenPeiLiRunBianDongJinE" label="其他利润分配导致未分配利润变动金额" periodRef="上年同期数" mulRef="_GBC_048773409e614c6bb753000b028316a5" unitRef="_GBC_5214b7a188334da286fc3038d017d072" addr="T3R18C10S1_1" formatStyle="Comma">
          <m:axisValue occRef="母公司"/>
        </m:item>
        <m:item xlName="_GBC_19ca48af6d4a4fb2abed675b8d186c63" concept="clcid-pte:QiTaLiRunFenPeiDaoZhiGuDongQuanYiHeJiBianDongJinE" label="其他利润分配导致股东权益合计变动金额" periodRef="上年同期数" mulRef="_GBC_048773409e614c6bb753000b028316a5" unitRef="_GBC_5214b7a188334da286fc3038d017d072" addr="T3R18C11S1_1" formatStyle="Comma">
          <m:axisValue occRef="母公司"/>
        </m:item>
        <m:placeholder xlName="_PLD_9c529a92f12642ed93c3ac5d7c5ef52b" wordText="（四）所有者权益内部结转" addr="T3R19C0S1_1"/>
        <m:item xlName="_GBC_5647fda6a4d648e58b77890cd27b0d73" concept="clcid-pte:SuoYouZheQuanYiNeiBuJieZhuanDaoZhiShiShouZiBenHuoGuBenJingEBianDongJinE" label="所有者权益内部结转导致实收资本（或股本）净额变动金额" periodRef="上年同期数" mulRef="_GBC_048773409e614c6bb753000b028316a5" unitRef="_GBC_5214b7a188334da286fc3038d017d072" addr="T3R19C1S1_1" formatStyle="Comma">
          <m:complexRule comparator="Eq" title="母公司所有者权益内部结转导致实收资本（或股本）净额变动金额@上年同期数" test="$_GBC_605502b6ae5c4cc9a0d76e0db8c698e2+$_GBC_292282139e2d44c8a37ae75704b59e70+$_GBC_9d75b29648e7431bb92dacc0d883768f+$_GBC_7ebcf4fd398a4980ad29c5823d83cad7+$_GBC_a54ecc5f30f14881ad562154d58df7ea+$_GBC_d3affa4c8f4e41589d73e645ef44a54b" id="C27621569a91b46ffb988e3d4cfb67b87"/>
          <m:axisValue occRef="母公司"/>
        </m:item>
        <m:item xlName="_GBC_98572a5d210c4ef3875a72067bd5d4c1" concept="clcid-pte:SuoYouZheQuanYiNeiBuJieZhuanDaoZhiQiTaQuanYiGongJuZhongDeYouXianGuBianDongJinE" label="所有者权益内部结转导致其他权益工具中的优先股变动金额" periodRef="上年同期数" mulRef="_GBC_048773409e614c6bb753000b028316a5" unitRef="_GBC_5214b7a188334da286fc3038d017d072" addr="T3R19C2S1_1" formatStyle="Comma">
          <m:complexRule comparator="Eq" title="母公司所有者权益内部结转导致其他权益工具中的优先股变动金额@上年同期数" test="$_GBC_03ced7dc7a78435fbced5d272c72b299+$_GBC_6d29c5f693354893be8cebade67f628e+$_GBC_404c7cf63ee5455a9c751a3531c5ea9c+$_GBC_781c0040b4bf431bab92455abac41dfe+$_GBC_39d031ca4feb4a43944d469c85b377ed+$_GBC_94cd06be499d4853b0def85b05548836" id="C3be28d8784e64e7c92ed09d4f19a1d98"/>
          <m:axisValue occRef="母公司"/>
        </m:item>
        <m:item xlName="_GBC_450f68f45ee84fa6a0945728fe10e844" concept="clcid-pte:SuoYouZheQuanYiNeiBuJieZhuanDaoZhiQiTaQuanYiGongJuZhongDeYongXuZhaiBianDongJinE" label="所有者权益内部结转导致其他权益工具中的永续债变动金额" periodRef="上年同期数" mulRef="_GBC_048773409e614c6bb753000b028316a5" unitRef="_GBC_5214b7a188334da286fc3038d017d072" addr="T3R19C3S1_1" formatStyle="Comma">
          <m:complexRule comparator="Eq" title="母公司所有者权益内部结转导致其他权益工具中的永续债变动金额@上年同期数" test="$_GBC_586a1b91abf4401a94770900e89b603c+$_GBC_d0f0b537223c4ede87ee38eb98073f63+$_GBC_020f80fc128641f6bcfa8413ca435547+$_GBC_6acc20a1aefd45f89a8951ed5653c40b+$_GBC_dce95e4bbe4848e78df6f7d9c2958858+$_GBC_65b61ab8204d4f05874839c8bcbe72a6" id="C4120d7cd319a4df9b0223782fc68a3a9"/>
          <m:axisValue occRef="母公司"/>
        </m:item>
        <m:item xlName="_GBC_62b57d65e352446bbdf19b5311174e1c" concept="clcid-pte:SuoYouZheQuanYiNeiBuJieZhuanDaoZhiQiTaQuanYiGongJuZhongDeQiTaBianDongJinE" label="所有者权益内部结转导致其他权益工具中的其他变动金额" periodRef="上年同期数" mulRef="_GBC_048773409e614c6bb753000b028316a5" unitRef="_GBC_5214b7a188334da286fc3038d017d072" addr="T3R19C4S1_1" formatStyle="Comma">
          <m:complexRule comparator="Eq" title="母公司所有者权益内部结转导致其他权益工具中的其他变动金额@上年同期数" test="$_GBC_dd4909fd3f684bffaa3fa19bb0e17c4a+$_GBC_c99780e8f71e42beab9f9919984ea1e8+$_GBC_72ca4671ba6a42b08d2c82810e8bb231+$_GBC_9128c329ae21440aa73e706b92be86ac+$_GBC_1c840d4d1f9b433097eb2f18e9ab29f7+$_GBC_4b4070b97f014614b2aa2d847b78e596" id="Cb3ed311e02c740c6a8e636049c14a921"/>
          <m:axisValue occRef="母公司"/>
        </m:item>
        <m:item xlName="_GBC_70b2b80f35eb4584ab7795855880b29e" concept="clcid-pte:SuoYouZheQuanYiNeiBuJieZhuanDaoZhiZiBenGongJiBianDongJinE" label="所有者权益内部结转导致资本公积变动金额" periodRef="上年同期数" mulRef="_GBC_048773409e614c6bb753000b028316a5" unitRef="_GBC_5214b7a188334da286fc3038d017d072" addr="T3R19C5S1_1" formatStyle="Comma">
          <m:complexRule comparator="Eq" title="母公司所有者权益内部结转导致资本公积变动金额@上年同期数" test="$_GBC_7527ccba15024384b5c2bb60e1e617a0+$_GBC_ebc8b5f22eee4ef398167c8c12f89543+$_GBC_ec67b00acfad481796734066bb652a56+$_GBC_ef57e98dfd12466c9d1eaa318f934d56+$_GBC_d0d0f7f50a094801843d3a8016a88929+$_GBC_45f6d36c262c4c728865fb0bd099127c" id="C8972c82ef42e48b4adfb089463c934f1"/>
          <m:axisValue occRef="母公司"/>
        </m:item>
        <m:item xlName="_GBC_71b87e2bc67741e2b1d2d9d07910c043" concept="clcid-pte:SuoYouZheQuanYiNeiBuJieZhuanDaoZhiKuCunGuBianDongJinE" label="所有者权益内部结转导致库存股变动金额" periodRef="上年同期数" mulRef="_GBC_048773409e614c6bb753000b028316a5" unitRef="_GBC_5214b7a188334da286fc3038d017d072" addr="T3R19C6S1_1" baseScale="-1" formatStyle="Comma">
          <m:complexRule comparator="Eq" title="母公司所有者权益内部结转导致库存股变动金额@上年同期数" test="$_GBC_2024aad3936e4f759f2caf8d4865b6d7+$_GBC_2b7f73558011479cb96a31e6ad817a74+$_GBC_7c679dfe9c494886b7865f3bcb661b9c+$_GBC_d36e59f053544e2ca092f02ac4870ad3+$_GBC_a16de1577f564abf928ab03868f366c9+$_GBC_bae6cdb6344e4ca99abbf10aff60fff1" id="C4c12bf2f20344d17a9976aac4946800d"/>
          <m:axisValue occRef="母公司"/>
        </m:item>
        <m:item xlName="_GBC_cbadfc6c2c0d47af8d1269604c1d4ced" concept="clcid-pte:SuoYouZheQuanYiNeiBuJieZhuanDaoZhiQiTaZongHeShouYiBianDongJinE" label="所有者权益内部结转导致其他综合收益变动金额" periodRef="上年同期数" mulRef="_GBC_048773409e614c6bb753000b028316a5" unitRef="_GBC_5214b7a188334da286fc3038d017d072" addr="T3R19C7S1_1" formatStyle="Comma">
          <m:complexRule comparator="Eq" title="母公司所有者权益内部结转导致其他综合收益变动金额@上年同期数" test="$_GBC_bb7b4037bbd6418c9e84d5bf0c7312d8+$_GBC_6d5d97ef6f6f4bf48dff8bb35c35d83c+$_GBC_c56ad70d9685424e8666953654181e11+$_GBC_fac4f462a72641df8a151695c8c20ef6+$_GBC_2f41a6d495714745bfc852f5838d772a+$_GBC_11c045219f23455085a9fc6688ad4af5" id="C18bb1b4adbac4b43a59465008709c560"/>
          <m:axisValue occRef="母公司"/>
        </m:item>
        <m:item xlName="_GBC_64933a58fd3a463491f35b3e1f19d96c" concept="clcid-pte:SuoYouZheQuanYiNeiBuJieZhuanDaoZhiZhuanXiangChuBeiBianDongJinE" label="所有者权益内部结转导致专项储备变动金额" periodRef="上年同期数" mulRef="_GBC_048773409e614c6bb753000b028316a5" unitRef="_GBC_5214b7a188334da286fc3038d017d072" addr="T3R19C8S1_1" formatStyle="Comma">
          <m:complexRule comparator="Eq" title="母公司所有者权益内部结转导致专项储备变动金额@上年同期数" test="$_GBC_87c8addfc6ee4b5facb835f9564bc978+$_GBC_f586acade7fa47a4946eb91b46448e7e+$_GBC_2cd4630af24b4c12ae01ad70a9bbc778+$_GBC_115c9b6476c34c3da6f16fb94f869fb0+$_GBC_08dc9f8d2392445ead63bf000d73d2fa+$_GBC_962951c708d843e8842b0ba3585945af" id="Cd0813508a2e440bd8d17159083ef156c"/>
          <m:axisValue occRef="母公司"/>
        </m:item>
        <m:item xlName="_GBC_9d6bbcaf8a2e4da5a5cc410f3e5b43e0" concept="clcid-pte:SuoYouZheQuanYiNeiBuJieZhuanDaoZhiYingYuGongJiBianDongJinE" label="所有者权益内部结转导致盈余公积变动金额" periodRef="上年同期数" mulRef="_GBC_048773409e614c6bb753000b028316a5" unitRef="_GBC_5214b7a188334da286fc3038d017d072" addr="T3R19C9S1_1" formatStyle="Comma">
          <m:complexRule comparator="Eq" title="母公司所有者权益内部结转导致盈余公积变动金额@上年同期数" test="$_GBC_dd780a4a65a44212bbdd003478fc19fa+$_GBC_bf4f6dc9a55c4092923fd2eb6bf769f6+$_GBC_40a2f9b5769841058d412e3124561d5b+$_GBC_d4bf88a2855a48928fe4f909b24f7479+$_GBC_733ae184a5df48d7aa9385e46af4a602+$_GBC_bafb613ec7724ffda45f85dd71cbbb0c" id="C195bad6117e240028866cc033f0c08dc"/>
          <m:axisValue occRef="母公司"/>
        </m:item>
        <m:item xlName="_GBC_a7ede5662ff442438cf3799ae0501aaa" concept="clcid-pte:SuoYouZheQuanYiNeiBuJieZhuanDaoZhiWeiFenPeiLiRunBianDongJinE" label="所有者权益内部结转导致未分配利润变动金额" periodRef="上年同期数" mulRef="_GBC_048773409e614c6bb753000b028316a5" unitRef="_GBC_5214b7a188334da286fc3038d017d072" addr="T3R19C10S1_1" formatStyle="Comma">
          <m:complexRule comparator="Eq" title="母公司所有者权益内部结转导致未分配利润变动金额@上年同期数" test="$_GBC_29a408f98d10476aad2eef5b65e53647+$_GBC_6d9f8839912d4772bc28722f458ac0ee+$_GBC_8b5b5a1339e9459d8fd85e710f68df76+$_GBC_341d4c1fff73405ebc8d8233f0a8a2b6+$_GBC_eb2176accd0046b99596ef0fe2eb7954+$_GBC_ccb4d4deb7f3462f8328e10b914ae571" id="Cf0552806893f447db4e550f7a20b379e"/>
          <m:axisValue occRef="母公司"/>
        </m:item>
        <m:item xlName="_GBC_b587d819d31441c1bdd2387ee0941830" concept="clcid-pte:SuoYouZheQuanYiNeiBuJieZhuanDaoZhiGuDongQuanYiHeJiBianDongJinE" label="所有者权益内部结转导致股东权益合计变动金额" periodRef="上年同期数" mulRef="_GBC_048773409e614c6bb753000b028316a5" unitRef="_GBC_5214b7a188334da286fc3038d017d072" addr="T3R19C11S1_1" formatStyle="Comma">
          <m:complexRule comparator="Eq" title="母公司所有者权益内部结转导致股东权益合计变动金额@上年同期数" test="$_GBC_7d97bfd3ff2a420ca667bb3accf56347+$_GBC_c8ab3b75a8ef40a0b3dfdf79c0b6d7c3+$_GBC_5ad99d35cef24992844230792ac215e3+$_GBC_3e4bbad919494225afc557bf6949aa2a+$_GBC_13d06ab51ed54c5abc79a65175180284+$_GBC_df53ca6cef314a4d93fe2ad4c9b266b5" id="C1f4094a4f08a45de8749ede8900c2a66"/>
          <m:axisValue occRef="母公司"/>
        </m:item>
        <m:placeholder xlName="_PLD_084a56709ef243f89e8f0aead886c10d" wordText="1．资本公积转增资本（或股本）" addr="T3R20C0S1_1"/>
        <m:item xlName="_GBC_605502b6ae5c4cc9a0d76e0db8c698e2" concept="clcid-pte:ZiBenGongJiZhuanZengZiBenHuoGuBenDaoZhiShiShouZiBenHuoGuBenJingEBianDongJinE" label="资本公积转增资本（或股本）导致实收资本（或股本）净额变动金额" periodRef="上年同期数" mulRef="_GBC_048773409e614c6bb753000b028316a5" unitRef="_GBC_5214b7a188334da286fc3038d017d072" addr="T3R20C1S1_1" formatStyle="Comma">
          <m:axisValue occRef="母公司"/>
        </m:item>
        <m:item xlName="_GBC_03ced7dc7a78435fbced5d272c72b299" concept="clcid-pte:ZiBenGongJiZhuanZengZiBenHuoGuBenDaoZhiQiTaQuanYiGongJuZhongDeYouXianGuBianDongJinE" label="资本公积转增资本（或股本）导致其他权益工具中的优先股变动金额" periodRef="上年同期数" mulRef="_GBC_048773409e614c6bb753000b028316a5" unitRef="_GBC_5214b7a188334da286fc3038d017d072" addr="T3R20C2S1_1" formatStyle="Comma">
          <m:axisValue occRef="母公司"/>
        </m:item>
        <m:item xlName="_GBC_586a1b91abf4401a94770900e89b603c" concept="clcid-pte:ZiBenGongJiZhuanZengZiBenHuoGuBenDaoZhiQiTaQuanYiGongJuZhongDeYongXuZhaiBianDongJinE" label="资本公积转增资本（或股本）导致其他权益工具中的永续债变动金额" periodRef="上年同期数" mulRef="_GBC_048773409e614c6bb753000b028316a5" unitRef="_GBC_5214b7a188334da286fc3038d017d072" addr="T3R20C3S1_1" formatStyle="Comma">
          <m:axisValue occRef="母公司"/>
        </m:item>
        <m:item xlName="_GBC_dd4909fd3f684bffaa3fa19bb0e17c4a" concept="clcid-pte:ZiBenGongJiZhuanZengZiBenHuoGuBenDaoZhiQiTaQuanYiGongJuZhongDeQiTaBianDongJinE" label="资本公积转增资本（或股本）导致其他权益工具中的其他变动金额" periodRef="上年同期数" mulRef="_GBC_048773409e614c6bb753000b028316a5" unitRef="_GBC_5214b7a188334da286fc3038d017d072" addr="T3R20C4S1_1" formatStyle="Comma">
          <m:axisValue occRef="母公司"/>
        </m:item>
        <m:item xlName="_GBC_7527ccba15024384b5c2bb60e1e617a0" concept="clcid-pte:ZiBenGongJiZhuanZengZiBenHuoGuBenDaoZhiZiBenGongJiBianDongJinE" label="资本公积转增资本（或股本）导致资本公积变动金额" periodRef="上年同期数" mulRef="_GBC_048773409e614c6bb753000b028316a5" unitRef="_GBC_5214b7a188334da286fc3038d017d072" addr="T3R20C5S1_1" formatStyle="Comma">
          <m:axisValue occRef="母公司"/>
        </m:item>
        <m:item xlName="_GBC_2024aad3936e4f759f2caf8d4865b6d7" concept="clcid-pte:ZiBenGongJiZhuanZengZiBenHuoGuBenDaoZhiKuCunGuBianDongJinE" label="资本公积转增资本（或股本）导致库存股变动金额" periodRef="上年同期数" mulRef="_GBC_048773409e614c6bb753000b028316a5" unitRef="_GBC_5214b7a188334da286fc3038d017d072" addr="T3R20C6S1_1" baseScale="-1" formatStyle="Comma">
          <m:axisValue occRef="母公司"/>
        </m:item>
        <m:item xlName="_GBC_bb7b4037bbd6418c9e84d5bf0c7312d8" concept="clcid-pte:ZiBenGongJiZhuanZengZiBenHuoGuBenDaoZhiQiTaZongHeShouYiBianDongJinE" label="资本公积转增资本（或股本）导致其他综合收益变动金额" periodRef="上年同期数" mulRef="_GBC_048773409e614c6bb753000b028316a5" unitRef="_GBC_5214b7a188334da286fc3038d017d072" addr="T3R20C7S1_1" formatStyle="Comma">
          <m:axisValue occRef="母公司"/>
        </m:item>
        <m:item xlName="_GBC_87c8addfc6ee4b5facb835f9564bc978" concept="clcid-pte:ZiBenGongJiZhuanZengZiBenHuoGuBenDaoZhiZhuanXiangChuBeiBianDongJinE" label="资本公积转增资本（或股本）导致专项储备变动金额" periodRef="上年同期数" mulRef="_GBC_048773409e614c6bb753000b028316a5" unitRef="_GBC_5214b7a188334da286fc3038d017d072" addr="T3R20C8S1_1" formatStyle="Comma">
          <m:axisValue occRef="母公司"/>
        </m:item>
        <m:item xlName="_GBC_dd780a4a65a44212bbdd003478fc19fa" concept="clcid-pte:ZiBenGongJiZhuanZengZiBenHuoGuBenDaoZhiYingYuGongJiBianDongJinE" label="资本公积转增资本（或股本）导致盈余公积变动金额" periodRef="上年同期数" mulRef="_GBC_048773409e614c6bb753000b028316a5" unitRef="_GBC_5214b7a188334da286fc3038d017d072" addr="T3R20C9S1_1" formatStyle="Comma">
          <m:axisValue occRef="母公司"/>
        </m:item>
        <m:item xlName="_GBC_29a408f98d10476aad2eef5b65e53647" concept="clcid-pte:ZiBenGongJiZhuanZengZiBenHuoGuBenDaoZhiWeiFenPeiLiRunBianDongJinE" label="资本公积转增资本（或股本）导致未分配利润变动金额" periodRef="上年同期数" mulRef="_GBC_048773409e614c6bb753000b028316a5" unitRef="_GBC_5214b7a188334da286fc3038d017d072" addr="T3R20C10S1_1" formatStyle="Comma">
          <m:axisValue occRef="母公司"/>
        </m:item>
        <m:item xlName="_GBC_7d97bfd3ff2a420ca667bb3accf56347" concept="clcid-pte:ZiBenGongJiZhuanZengZiBenHuoGuBenDaoZhiGuDongQuanYiHeJiBianDongJinE" label="资本公积转增资本（或股本）导致股东权益合计变动金额" periodRef="上年同期数" mulRef="_GBC_048773409e614c6bb753000b028316a5" unitRef="_GBC_5214b7a188334da286fc3038d017d072" addr="T3R20C11S1_1" formatStyle="Comma">
          <m:axisValue occRef="母公司"/>
        </m:item>
        <m:placeholder xlName="_PLD_22df50d156334ad9a740cc6d62e17f0b" wordText="2．盈余公积转增资本（或股本）" addr="T3R21C0S1_1"/>
        <m:item xlName="_GBC_292282139e2d44c8a37ae75704b59e70" concept="clcid-pte:YingYuGongJiZhuanZengZiBenHuoGuBenDaoZhiShiShouZiBenHuoGuBenJingEBianDongJinE" label="盈余公积转增资本（或股本）导致实收资本（或股本）净额变动金额" periodRef="上年同期数" mulRef="_GBC_048773409e614c6bb753000b028316a5" unitRef="_GBC_5214b7a188334da286fc3038d017d072" addr="T3R21C1S1_1" formatStyle="Comma">
          <m:axisValue occRef="母公司"/>
        </m:item>
        <m:item xlName="_GBC_6d29c5f693354893be8cebade67f628e" concept="clcid-pte:YingYuGongJiZhuanZengZiBenHuoGuBenDaoZhiQiTaQuanYiGongJuZhongDeYouXianGuBianDongJinE" label="盈余公积转增资本（或股本）导致其他权益工具中的优先股变动金额" periodRef="上年同期数" mulRef="_GBC_048773409e614c6bb753000b028316a5" unitRef="_GBC_5214b7a188334da286fc3038d017d072" addr="T3R21C2S1_1" formatStyle="Comma">
          <m:axisValue occRef="母公司"/>
        </m:item>
        <m:item xlName="_GBC_d0f0b537223c4ede87ee38eb98073f63" concept="clcid-pte:YingYuGongJiZhuanZengZiBenHuoGuBenDaoZhiQiTaQuanYiGongJuZhongDeYongXuZhaiBianDongJinE" label="盈余公积转增资本（或股本）导致其他权益工具中的永续债变动金额" periodRef="上年同期数" mulRef="_GBC_048773409e614c6bb753000b028316a5" unitRef="_GBC_5214b7a188334da286fc3038d017d072" addr="T3R21C3S1_1" formatStyle="Comma">
          <m:axisValue occRef="母公司"/>
        </m:item>
        <m:item xlName="_GBC_c99780e8f71e42beab9f9919984ea1e8" concept="clcid-pte:YingYuGongJiZhuanZengZiBenHuoGuBenDaoZhiQiTaQuanYiGongJuZhongDeQiTaBianDongJinE" label="盈余公积转增资本（或股本）导致其他权益工具中的其他变动金额" periodRef="上年同期数" mulRef="_GBC_048773409e614c6bb753000b028316a5" unitRef="_GBC_5214b7a188334da286fc3038d017d072" addr="T3R21C4S1_1" formatStyle="Comma">
          <m:axisValue occRef="母公司"/>
        </m:item>
        <m:item xlName="_GBC_ebc8b5f22eee4ef398167c8c12f89543" concept="clcid-pte:YingYuGongJiZhuanZengZiBenHuoGuBenDaoZhiZiBenGongJiBianDongJinE" label="盈余公积转增资本（或股本）导致资本公积变动金额" periodRef="上年同期数" mulRef="_GBC_048773409e614c6bb753000b028316a5" unitRef="_GBC_5214b7a188334da286fc3038d017d072" addr="T3R21C5S1_1" formatStyle="Comma">
          <m:axisValue occRef="母公司"/>
        </m:item>
        <m:item xlName="_GBC_2b7f73558011479cb96a31e6ad817a74" concept="clcid-pte:YingYuGongJiZhuanZengZiBenHuoGuBenDaoZhiKuCunGuBianDongJinE" label="盈余公积转增资本（或股本）导致库存股变动金额" periodRef="上年同期数" mulRef="_GBC_048773409e614c6bb753000b028316a5" unitRef="_GBC_5214b7a188334da286fc3038d017d072" addr="T3R21C6S1_1" baseScale="-1" formatStyle="Comma">
          <m:axisValue occRef="母公司"/>
        </m:item>
        <m:item xlName="_GBC_6d5d97ef6f6f4bf48dff8bb35c35d83c" concept="clcid-pte:YingYuGongJiZhuanZengZiBenHuoGuBenDaoZhiQiTaZongHeShouYiBianDongJinE" label="盈余公积转增资本（或股本）导致其他综合收益变动金额" periodRef="上年同期数" mulRef="_GBC_048773409e614c6bb753000b028316a5" unitRef="_GBC_5214b7a188334da286fc3038d017d072" addr="T3R21C7S1_1" formatStyle="Comma">
          <m:axisValue occRef="母公司"/>
        </m:item>
        <m:item xlName="_GBC_f586acade7fa47a4946eb91b46448e7e" concept="clcid-pte:YingYuGongJiZhuanZengZiBenHuoGuBenDaoZhiZhuanXiangChuBeiBianDongJinE" label="盈余公积转增资本（或股本）导致专项储备变动金额" periodRef="上年同期数" mulRef="_GBC_048773409e614c6bb753000b028316a5" unitRef="_GBC_5214b7a188334da286fc3038d017d072" addr="T3R21C8S1_1" formatStyle="Comma">
          <m:axisValue occRef="母公司"/>
        </m:item>
        <m:item xlName="_GBC_bf4f6dc9a55c4092923fd2eb6bf769f6" concept="clcid-pte:YingYuGongJiZhuanZengZiBenHuoGuBenDaoZhiYingYuGongJiBianDongJinE" label="盈余公积转增资本（或股本）导致盈余公积变动金额" periodRef="上年同期数" mulRef="_GBC_048773409e614c6bb753000b028316a5" unitRef="_GBC_5214b7a188334da286fc3038d017d072" addr="T3R21C9S1_1" formatStyle="Comma">
          <m:axisValue occRef="母公司"/>
        </m:item>
        <m:item xlName="_GBC_6d9f8839912d4772bc28722f458ac0ee" concept="clcid-pte:YingYuGongJiZhuanZengZiBenHuoGuBenDaoZhiWeiFenPeiLiRunBianDongJinE" label="盈余公积转增资本（或股本）导致未分配利润变动金额" periodRef="上年同期数" mulRef="_GBC_048773409e614c6bb753000b028316a5" unitRef="_GBC_5214b7a188334da286fc3038d017d072" addr="T3R21C10S1_1" formatStyle="Comma">
          <m:axisValue occRef="母公司"/>
        </m:item>
        <m:item xlName="_GBC_c8ab3b75a8ef40a0b3dfdf79c0b6d7c3" concept="clcid-pte:YingYuGongJiZhuanZengZiBenHuoGuBenDaoZhiGuDongQuanYiHeJiBianDongJinE" label="盈余公积转增资本（或股本）导致股东权益合计变动金额" periodRef="上年同期数" mulRef="_GBC_048773409e614c6bb753000b028316a5" unitRef="_GBC_5214b7a188334da286fc3038d017d072" addr="T3R21C11S1_1" formatStyle="Comma">
          <m:axisValue occRef="母公司"/>
        </m:item>
        <m:placeholder xlName="_PLD_4846580862224d1a9e17a9af1fe14d07" wordText="3．盈余公积弥补亏损" addr="T3R22C0S1_1"/>
        <m:item xlName="_GBC_9d75b29648e7431bb92dacc0d883768f" concept="clcid-pte:YingYuGongJiMiBuKuiSunDaoZhiShiShouZiBenHuoGuBenJingEBianDongJinE" label="盈余公积弥补亏损导致实收资本（或股本）净额变动金额" periodRef="上年同期数" mulRef="_GBC_048773409e614c6bb753000b028316a5" unitRef="_GBC_5214b7a188334da286fc3038d017d072" addr="T3R22C1S1_1" formatStyle="Comma">
          <m:axisValue occRef="母公司"/>
        </m:item>
        <m:item xlName="_GBC_404c7cf63ee5455a9c751a3531c5ea9c" concept="clcid-pte:YingYuGongJiMiBuKuiSunDaoZhiQiTaQuanYiGongJuZhongDeYouXianGuBianDongJinE" label="盈余公积弥补亏损导致其他权益工具中的优先股变动金额" periodRef="上年同期数" mulRef="_GBC_048773409e614c6bb753000b028316a5" unitRef="_GBC_5214b7a188334da286fc3038d017d072" addr="T3R22C2S1_1" formatStyle="Comma">
          <m:axisValue occRef="母公司"/>
        </m:item>
        <m:item xlName="_GBC_020f80fc128641f6bcfa8413ca435547" concept="clcid-pte:YingYuGongJiMiBuKuiSunDaoZhiQiTaQuanYiGongJuZhongDeYongXuZhaiBianDongJinE" label="盈余公积弥补亏损导致其他权益工具中的永续债变动金额" periodRef="上年同期数" mulRef="_GBC_048773409e614c6bb753000b028316a5" unitRef="_GBC_5214b7a188334da286fc3038d017d072" addr="T3R22C3S1_1" formatStyle="Comma">
          <m:axisValue occRef="母公司"/>
        </m:item>
        <m:item xlName="_GBC_72ca4671ba6a42b08d2c82810e8bb231" concept="clcid-pte:YingYuGongJiMiBuKuiSunDaoZhiQiTaQuanYiGongJuZhongDeQiTaBianDongJinE" label="盈余公积弥补亏损导致其他权益工具中的其他变动金额" periodRef="上年同期数" mulRef="_GBC_048773409e614c6bb753000b028316a5" unitRef="_GBC_5214b7a188334da286fc3038d017d072" addr="T3R22C4S1_1" formatStyle="Comma">
          <m:axisValue occRef="母公司"/>
        </m:item>
        <m:item xlName="_GBC_ec67b00acfad481796734066bb652a56" concept="clcid-pte:YingYuGongJiMiBuKuiSunDaoZhiZiBenGongJiBianDongJinE" label="盈余公积弥补亏损导致资本公积变动金额" periodRef="上年同期数" mulRef="_GBC_048773409e614c6bb753000b028316a5" unitRef="_GBC_5214b7a188334da286fc3038d017d072" addr="T3R22C5S1_1" formatStyle="Comma">
          <m:axisValue occRef="母公司"/>
        </m:item>
        <m:item xlName="_GBC_7c679dfe9c494886b7865f3bcb661b9c" concept="clcid-pte:YingYuGongJiMiBuKuiSunDaoZhiKuCunGuBianDongJinE" label="盈余公积弥补亏损导致库存股变动金额" periodRef="上年同期数" mulRef="_GBC_048773409e614c6bb753000b028316a5" unitRef="_GBC_5214b7a188334da286fc3038d017d072" addr="T3R22C6S1_1" baseScale="-1" formatStyle="Comma">
          <m:axisValue occRef="母公司"/>
        </m:item>
        <m:item xlName="_GBC_c56ad70d9685424e8666953654181e11" concept="clcid-pte:YingYuGongJiMiBuKuiSunDaoZhiQiTaZongHeShouYiBianDongJinE" label="盈余公积弥补亏损导致其他综合收益变动金额" periodRef="上年同期数" mulRef="_GBC_048773409e614c6bb753000b028316a5" unitRef="_GBC_5214b7a188334da286fc3038d017d072" addr="T3R22C7S1_1" formatStyle="Comma">
          <m:axisValue occRef="母公司"/>
        </m:item>
        <m:item xlName="_GBC_2cd4630af24b4c12ae01ad70a9bbc778" concept="clcid-pte:YingYuGongJiMiBuKuiSunDaoZhiZhuanXiangChuBeiBianDongJinE" label="盈余公积弥补亏损导致专项储备变动金额" periodRef="上年同期数" mulRef="_GBC_048773409e614c6bb753000b028316a5" unitRef="_GBC_5214b7a188334da286fc3038d017d072" addr="T3R22C8S1_1" formatStyle="Comma">
          <m:axisValue occRef="母公司"/>
        </m:item>
        <m:item xlName="_GBC_40a2f9b5769841058d412e3124561d5b" concept="clcid-pte:YingYuGongJiMiBuKuiSunDaoZhiYingYuGongJiBianDongJinE" label="盈余公积弥补亏损导致盈余公积变动金额" periodRef="上年同期数" mulRef="_GBC_048773409e614c6bb753000b028316a5" unitRef="_GBC_5214b7a188334da286fc3038d017d072" addr="T3R22C9S1_1" formatStyle="Comma">
          <m:axisValue occRef="母公司"/>
        </m:item>
        <m:item xlName="_GBC_8b5b5a1339e9459d8fd85e710f68df76" concept="clcid-pte:YingYuGongJiMiBuKuiSunDaoZhiWeiFenPeiLiRunBianDongJinE" label="盈余公积弥补亏损导致未分配利润变动金额" periodRef="上年同期数" mulRef="_GBC_048773409e614c6bb753000b028316a5" unitRef="_GBC_5214b7a188334da286fc3038d017d072" addr="T3R22C10S1_1" formatStyle="Comma">
          <m:axisValue occRef="母公司"/>
        </m:item>
        <m:item xlName="_GBC_5ad99d35cef24992844230792ac215e3" concept="clcid-pte:YingYuGongJiMiBuKuiSunDaoZhiGuDongQuanYiHeJiBianDongJinE" label="盈余公积弥补亏损导致股东权益合计变动金额" periodRef="上年同期数" mulRef="_GBC_048773409e614c6bb753000b028316a5" unitRef="_GBC_5214b7a188334da286fc3038d017d072" addr="T3R22C11S1_1" formatStyle="Comma">
          <m:axisValue occRef="母公司"/>
        </m:item>
        <m:placeholder xlName="_PLD_a2566358e2dc4d0b9e534ee13a2b1a26" wordText="4．设定受益计划变动额结转留存收益" addr="T3R23C0S1_1"/>
        <m:item xlName="_GBC_7ebcf4fd398a4980ad29c5823d83cad7" concept="clcid-pte:SheDingShouYiJiHuaBianDongEJieZhuanLiuCunShouYiDaoZhiShiShouZiBenHuoGuBenJingEBianDongJinE" label="设定受益计划变动额结转留存收益导致实收资本（或股本）净额变动金额" periodRef="上年同期数" mulRef="_GBC_048773409e614c6bb753000b028316a5" unitRef="_GBC_5214b7a188334da286fc3038d017d072" addr="T3R23C1S1_1" formatStyle="Comma">
          <m:axisValue occRef="母公司"/>
        </m:item>
        <m:item xlName="_GBC_781c0040b4bf431bab92455abac41dfe" concept="clcid-pte:SheDingShouYiJiHuaBianDongEJieZhuanLiuCunShouYiDaoZhiQiTaQuanYiGongJuZhongDeYouXianGuBianDongJinE" label="设定受益计划变动额结转留存收益导致其他权益工具中的优先股变动金额" periodRef="上年同期数" mulRef="_GBC_048773409e614c6bb753000b028316a5" unitRef="_GBC_5214b7a188334da286fc3038d017d072" addr="T3R23C2S1_1" formatStyle="Comma">
          <m:axisValue occRef="母公司"/>
        </m:item>
        <m:item xlName="_GBC_6acc20a1aefd45f89a8951ed5653c40b" concept="clcid-pte:SheDingShouYiJiHuaBianDongEJieZhuanLiuCunShouYiDaoZhiQiTaQuanYiGongJuZhongDeYongXuZhaiBianDongJinE" label="设定受益计划变动额结转留存收益导致其他权益工具中的永续债变动金额" periodRef="上年同期数" mulRef="_GBC_048773409e614c6bb753000b028316a5" unitRef="_GBC_5214b7a188334da286fc3038d017d072" addr="T3R23C3S1_1" formatStyle="Comma">
          <m:axisValue occRef="母公司"/>
        </m:item>
        <m:item xlName="_GBC_9128c329ae21440aa73e706b92be86ac" concept="clcid-pte:SheDingShouYiJiHuaBianDongEJieZhuanLiuCunShouYiDaoZhiQiTaQuanYiGongJuZhongDeQiTaBianDongJinE" label="设定受益计划变动额结转留存收益导致其他权益工具中的其他变动金额" periodRef="上年同期数" mulRef="_GBC_048773409e614c6bb753000b028316a5" unitRef="_GBC_5214b7a188334da286fc3038d017d072" addr="T3R23C4S1_1" formatStyle="Comma">
          <m:axisValue occRef="母公司"/>
        </m:item>
        <m:item xlName="_GBC_ef57e98dfd12466c9d1eaa318f934d56" concept="clcid-pte:SheDingShouYiJiHuaBianDongEJieZhuanLiuCunShouYiDaoZhiZiBenGongJiBianDongJinE" label="设定受益计划变动额结转留存收益导致资本公积变动金额" periodRef="上年同期数" mulRef="_GBC_048773409e614c6bb753000b028316a5" unitRef="_GBC_5214b7a188334da286fc3038d017d072" addr="T3R23C5S1_1" formatStyle="Comma">
          <m:axisValue occRef="母公司"/>
        </m:item>
        <m:item xlName="_GBC_d36e59f053544e2ca092f02ac4870ad3" concept="clcid-pte:SheDingShouYiJiHuaBianDongEJieZhuanLiuCunShouYiDaoZhiKuCunGuBianDongJinE" label="设定受益计划变动额结转留存收益导致库存股变动金额" periodRef="上年同期数" mulRef="_GBC_048773409e614c6bb753000b028316a5" unitRef="_GBC_5214b7a188334da286fc3038d017d072" addr="T3R23C6S1_1" baseScale="-1" formatStyle="Comma">
          <m:axisValue occRef="母公司"/>
        </m:item>
        <m:item xlName="_GBC_fac4f462a72641df8a151695c8c20ef6" concept="clcid-pte:SheDingShouYiJiHuaBianDongEJieZhuanLiuCunShouYiDaoZhiQiTaZongHeShouYiBianDongJinE" label="设定受益计划变动额结转留存收益导致其他综合收益变动金额" periodRef="上年同期数" mulRef="_GBC_048773409e614c6bb753000b028316a5" unitRef="_GBC_5214b7a188334da286fc3038d017d072" addr="T3R23C7S1_1" formatStyle="Comma">
          <m:axisValue occRef="母公司"/>
        </m:item>
        <m:item xlName="_GBC_115c9b6476c34c3da6f16fb94f869fb0" concept="clcid-pte:SheDingShouYiJiHuaBianDongEJieZhuanLiuCunShouYiDaoZhiZhuanXiangChuBeiBianDongJinE" label="设定受益计划变动额结转留存收益导致专项储备变动金额" periodRef="上年同期数" mulRef="_GBC_048773409e614c6bb753000b028316a5" unitRef="_GBC_5214b7a188334da286fc3038d017d072" addr="T3R23C8S1_1" formatStyle="Comma">
          <m:axisValue occRef="母公司"/>
        </m:item>
        <m:item xlName="_GBC_d4bf88a2855a48928fe4f909b24f7479" concept="clcid-pte:SheDingShouYiJiHuaBianDongEJieZhuanLiuCunShouYiDaoZhiYingYuGongJiBianDongJinE" label="设定受益计划变动额结转留存收益导致盈余公积变动金额" periodRef="上年同期数" mulRef="_GBC_048773409e614c6bb753000b028316a5" unitRef="_GBC_5214b7a188334da286fc3038d017d072" addr="T3R23C9S1_1" formatStyle="Comma">
          <m:axisValue occRef="母公司"/>
        </m:item>
        <m:item xlName="_GBC_341d4c1fff73405ebc8d8233f0a8a2b6" concept="clcid-pte:SheDingShouYiJiHuaBianDongEJieZhuanLiuCunShouYiDaoZhiWeiFenPeiLiRunBianDongJinE" label="设定受益计划变动额结转留存收益导致未分配利润变动金额" periodRef="上年同期数" mulRef="_GBC_048773409e614c6bb753000b028316a5" unitRef="_GBC_5214b7a188334da286fc3038d017d072" addr="T3R23C10S1_1" formatStyle="Comma">
          <m:axisValue occRef="母公司"/>
        </m:item>
        <m:item xlName="_GBC_3e4bbad919494225afc557bf6949aa2a" concept="clcid-pte:SheDingShouYiJiHuaBianDongEJieZhuanLiuCunShouYiDaoZhiGuDongQuanYiHeJiBianDongJinE" label="设定受益计划变动额结转留存收益导致股东权益合计变动金额" periodRef="上年同期数" mulRef="_GBC_048773409e614c6bb753000b028316a5" unitRef="_GBC_5214b7a188334da286fc3038d017d072" addr="T3R23C11S1_1" formatStyle="Comma">
          <m:axisValue occRef="母公司"/>
        </m:item>
        <m:placeholder xlName="_PLD_659907ea90ce4ac18323403c6e02efd1" wordText="5．其他综合收益结转留存收益" addr="T3R24C0S1_1"/>
        <m:item xlName="_GBC_a54ecc5f30f14881ad562154d58df7ea" concept="clcid-pte:QiTaZongHeShouYiJieZhuanLiuCunShouYiDaoZhiShiShouZiBenHuoGuBenJingEBianDongJinE" label="其他综合收益结转留存收益导致实收资本（或股本）净额变动金额" periodRef="上年同期数" mulRef="_GBC_048773409e614c6bb753000b028316a5" unitRef="_GBC_5214b7a188334da286fc3038d017d072" addr="T3R24C1S1_1" formatStyle="Comma">
          <m:axisValue occRef="母公司"/>
        </m:item>
        <m:item xlName="_GBC_39d031ca4feb4a43944d469c85b377ed" concept="clcid-pte:QiTaZongHeShouYiJieZhuanLiuCunShouYiDaoZhiQiTaQuanYiGongJuZhongDeYouXianGuBianDongJinE" label="其他综合收益结转留存收益导致其他权益工具中的优先股变动金额" periodRef="上年同期数" mulRef="_GBC_048773409e614c6bb753000b028316a5" unitRef="_GBC_5214b7a188334da286fc3038d017d072" addr="T3R24C2S1_1" formatStyle="Comma">
          <m:axisValue occRef="母公司"/>
        </m:item>
        <m:item xlName="_GBC_dce95e4bbe4848e78df6f7d9c2958858" concept="clcid-pte:QiTaZongHeShouYiJieZhuanLiuCunShouYiDaoZhiQiTaQuanYiGongJuZhongDeYongXuZhaiBianDongJinE" label="其他综合收益结转留存收益导致其他权益工具中的永续债变动金额" periodRef="上年同期数" mulRef="_GBC_048773409e614c6bb753000b028316a5" unitRef="_GBC_5214b7a188334da286fc3038d017d072" addr="T3R24C3S1_1" formatStyle="Comma">
          <m:axisValue occRef="母公司"/>
        </m:item>
        <m:item xlName="_GBC_1c840d4d1f9b433097eb2f18e9ab29f7" concept="clcid-pte:QiTaZongHeShouYiJieZhuanLiuCunShouYiDaoZhiQiTaQuanYiGongJuZhongDeQiTaBianDongJinE" label="其他综合收益结转留存收益导致其他权益工具中的其他变动金额" periodRef="上年同期数" mulRef="_GBC_048773409e614c6bb753000b028316a5" unitRef="_GBC_5214b7a188334da286fc3038d017d072" addr="T3R24C4S1_1" formatStyle="Comma">
          <m:axisValue occRef="母公司"/>
        </m:item>
        <m:item xlName="_GBC_d0d0f7f50a094801843d3a8016a88929" concept="clcid-pte:QiTaZongHeShouYiJieZhuanLiuCunShouYiDaoZhiZiBenGongJiBianDongJinE" label="其他综合收益结转留存收益导致资本公积变动金额" periodRef="上年同期数" mulRef="_GBC_048773409e614c6bb753000b028316a5" unitRef="_GBC_5214b7a188334da286fc3038d017d072" addr="T3R24C5S1_1" formatStyle="Comma">
          <m:axisValue occRef="母公司"/>
        </m:item>
        <m:item xlName="_GBC_a16de1577f564abf928ab03868f366c9" concept="clcid-pte:QiTaZongHeShouYiJieZhuanLiuCunShouYiDaoZhiKuCunGuBianDongJinE" label="其他综合收益结转留存收益导致库存股变动金额" periodRef="上年同期数" mulRef="_GBC_048773409e614c6bb753000b028316a5" unitRef="_GBC_5214b7a188334da286fc3038d017d072" addr="T3R24C6S1_1" baseScale="-1" formatStyle="Comma">
          <m:axisValue occRef="母公司"/>
        </m:item>
        <m:item xlName="_GBC_2f41a6d495714745bfc852f5838d772a" concept="clcid-pte:QiTaZongHeShouYiJieZhuanLiuCunShouYiDaoZhiQiTaZongHeShouYiBianDongJinE" label="其他综合收益结转留存收益导致其他综合收益变动金额" periodRef="上年同期数" mulRef="_GBC_048773409e614c6bb753000b028316a5" unitRef="_GBC_5214b7a188334da286fc3038d017d072" addr="T3R24C7S1_1" formatStyle="Comma">
          <m:axisValue occRef="母公司"/>
        </m:item>
        <m:item xlName="_GBC_08dc9f8d2392445ead63bf000d73d2fa" concept="clcid-pte:QiTaZongHeShouYiJieZhuanLiuCunShouYiDaoZhiZhuanXiangChuBeiBianDongJinE" label="其他综合收益结转留存收益导致专项储备变动金额" periodRef="上年同期数" mulRef="_GBC_048773409e614c6bb753000b028316a5" unitRef="_GBC_5214b7a188334da286fc3038d017d072" addr="T3R24C8S1_1" formatStyle="Comma">
          <m:axisValue occRef="母公司"/>
        </m:item>
        <m:item xlName="_GBC_733ae184a5df48d7aa9385e46af4a602" concept="clcid-pte:QiTaZongHeShouYiJieZhuanLiuCunShouYiDaoZhiYingYuGongJiBianDongJinE" label="其他综合收益结转留存收益导致盈余公积变动金额" periodRef="上年同期数" mulRef="_GBC_048773409e614c6bb753000b028316a5" unitRef="_GBC_5214b7a188334da286fc3038d017d072" addr="T3R24C9S1_1" formatStyle="Comma">
          <m:axisValue occRef="母公司"/>
        </m:item>
        <m:item xlName="_GBC_eb2176accd0046b99596ef0fe2eb7954" concept="clcid-pte:QiTaZongHeShouYiJieZhuanLiuCunShouYiDaoZhiWeiFenPeiLiRunBianDongJinE" label="其他综合收益结转留存收益导致未分配利润变动金额" periodRef="上年同期数" mulRef="_GBC_048773409e614c6bb753000b028316a5" unitRef="_GBC_5214b7a188334da286fc3038d017d072" addr="T3R24C10S1_1" formatStyle="Comma">
          <m:axisValue occRef="母公司"/>
        </m:item>
        <m:item xlName="_GBC_13d06ab51ed54c5abc79a65175180284" concept="clcid-pte:QiTaZongHeShouYiJieZhuanLiuCunShouYiDaoZhiGuDongQuanYiHeJiBianDongJinE" label="其他综合收益结转留存收益导致股东权益合计变动金额" periodRef="上年同期数" mulRef="_GBC_048773409e614c6bb753000b028316a5" unitRef="_GBC_5214b7a188334da286fc3038d017d072" addr="T3R24C11S1_1" formatStyle="Comma">
          <m:axisValue occRef="母公司"/>
        </m:item>
        <m:placeholder xlName="_PLD_811577c623d04471a27af10d35119258" wordText="6．其他" addr="T3R25C0S1_1"/>
        <m:item xlName="_GBC_d3affa4c8f4e41589d73e645ef44a54b" concept="clcid-pte:QiTaSuoYouZheQuanYiNeiBuJieZhuanDaoZhiShiShouZiBenHuoGuBenJingEBianDongJinE" label="其他所有者权益内部结转导致实收资本（或股本）净额变动金额" periodRef="上年同期数" mulRef="_GBC_048773409e614c6bb753000b028316a5" unitRef="_GBC_5214b7a188334da286fc3038d017d072" addr="T3R25C1S1_1" formatStyle="Comma">
          <m:axisValue occRef="母公司"/>
        </m:item>
        <m:item xlName="_GBC_94cd06be499d4853b0def85b05548836" concept="clcid-pte:QiTaSuoYouZheQuanYiNeiBuJieZhuanDaoZhiQiTaQuanYiGongJuZhongDeYouXianGuBianDongJinE" label="其他所有者权益内部结转导致其他权益工具中的优先股变动金额" periodRef="上年同期数" mulRef="_GBC_048773409e614c6bb753000b028316a5" unitRef="_GBC_5214b7a188334da286fc3038d017d072" addr="T3R25C2S1_1" formatStyle="Comma">
          <m:axisValue occRef="母公司"/>
        </m:item>
        <m:item xlName="_GBC_65b61ab8204d4f05874839c8bcbe72a6" concept="clcid-pte:QiTaSuoYouZheQuanYiNeiBuJieZhuanDaoZhiQiTaQuanYiGongJuZhongDeYongXuZhaiBianDongJinE" label="其他所有者权益内部结转导致其他权益工具中的永续债变动金额" periodRef="上年同期数" mulRef="_GBC_048773409e614c6bb753000b028316a5" unitRef="_GBC_5214b7a188334da286fc3038d017d072" addr="T3R25C3S1_1" formatStyle="Comma">
          <m:axisValue occRef="母公司"/>
        </m:item>
        <m:item xlName="_GBC_4b4070b97f014614b2aa2d847b78e596" concept="clcid-pte:QiTaSuoYouZheQuanYiNeiBuJieZhuanDaoZhiQiTaQuanYiGongJuZhongDeQiTaBianDongJinE" label="其他所有者权益内部结转导致其他权益工具中的其他变动金额" periodRef="上年同期数" mulRef="_GBC_048773409e614c6bb753000b028316a5" unitRef="_GBC_5214b7a188334da286fc3038d017d072" addr="T3R25C4S1_1" formatStyle="Comma">
          <m:axisValue occRef="母公司"/>
        </m:item>
        <m:item xlName="_GBC_45f6d36c262c4c728865fb0bd099127c" concept="clcid-pte:QiTaSuoYouZheQuanYiNeiBuJieZhuanDaoZhiZiBenGongJiBianDongJinE" label="其他所有者权益内部结转导致资本公积变动金额" periodRef="上年同期数" mulRef="_GBC_048773409e614c6bb753000b028316a5" unitRef="_GBC_5214b7a188334da286fc3038d017d072" addr="T3R25C5S1_1" formatStyle="Comma">
          <m:axisValue occRef="母公司"/>
        </m:item>
        <m:item xlName="_GBC_bae6cdb6344e4ca99abbf10aff60fff1" concept="clcid-pte:QiTaSuoYouZheQuanYiNeiBuJieZhuanDaoZhiKuCunGuBianDongJinE" label="其他所有者权益内部结转导致库存股变动金额" periodRef="上年同期数" mulRef="_GBC_048773409e614c6bb753000b028316a5" unitRef="_GBC_5214b7a188334da286fc3038d017d072" addr="T3R25C6S1_1" baseScale="-1" formatStyle="Comma">
          <m:axisValue occRef="母公司"/>
        </m:item>
        <m:item xlName="_GBC_11c045219f23455085a9fc6688ad4af5" concept="clcid-pte:QiTaSuoYouZheQuanYiNeiBuJieZhuanDaoZhiQiTaZongHeShouYiBianDongJinE" label="其他所有者权益内部结转导致其他综合收益变动金额" periodRef="上年同期数" mulRef="_GBC_048773409e614c6bb753000b028316a5" unitRef="_GBC_5214b7a188334da286fc3038d017d072" addr="T3R25C7S1_1" formatStyle="Comma">
          <m:axisValue occRef="母公司"/>
        </m:item>
        <m:item xlName="_GBC_962951c708d843e8842b0ba3585945af" concept="clcid-pte:QiTaSuoYouZheQuanYiNeiBuJieZhuanDaoZhiZhuanXiangChuBeiBianDongJinE" label="其他所有者权益内部结转导致专项储备变动金额" periodRef="上年同期数" mulRef="_GBC_048773409e614c6bb753000b028316a5" unitRef="_GBC_5214b7a188334da286fc3038d017d072" addr="T3R25C8S1_1" formatStyle="Comma">
          <m:axisValue occRef="母公司"/>
        </m:item>
        <m:item xlName="_GBC_bafb613ec7724ffda45f85dd71cbbb0c" concept="clcid-pte:QiTaSuoYouZheQuanYiNeiBuJieZhuanDaoZhiYingYuGongJiBianDongJinE" label="其他所有者权益内部结转导致盈余公积变动金额" periodRef="上年同期数" mulRef="_GBC_048773409e614c6bb753000b028316a5" unitRef="_GBC_5214b7a188334da286fc3038d017d072" addr="T3R25C9S1_1" formatStyle="Comma">
          <m:axisValue occRef="母公司"/>
        </m:item>
        <m:item xlName="_GBC_ccb4d4deb7f3462f8328e10b914ae571" concept="clcid-pte:QiTaSuoYouZheQuanYiNeiBuJieZhuanDaoZhiWeiFenPeiLiRunBianDongJinE" label="其他所有者权益内部结转导致未分配利润变动金额" periodRef="上年同期数" mulRef="_GBC_048773409e614c6bb753000b028316a5" unitRef="_GBC_5214b7a188334da286fc3038d017d072" addr="T3R25C10S1_1" formatStyle="Comma">
          <m:axisValue occRef="母公司"/>
        </m:item>
        <m:item xlName="_GBC_df53ca6cef314a4d93fe2ad4c9b266b5" concept="clcid-pte:QiTaSuoYouZheQuanYiNeiBuJieZhuanDaoZhiGuDongQuanYiHeJiBianDongJinE" label="其他所有者权益内部结转导致股东权益合计变动金额" periodRef="上年同期数" mulRef="_GBC_048773409e614c6bb753000b028316a5" unitRef="_GBC_5214b7a188334da286fc3038d017d072" addr="T3R25C11S1_1" formatStyle="Comma">
          <m:axisValue occRef="母公司"/>
        </m:item>
        <m:placeholder xlName="_PLD_2a0b15de13474fe285b68b48e29b688f" wordText="（五）专项储备" addr="T3R26C0S1_1"/>
        <m:item xlName="_GBC_c52bf0c19ee6412a88ed16e4ccdd58e9" concept="clcid-pte:ZhuanXiangChuBeiDaoZhiShiShouZiBenHuoGuBenJingEBianDongJinE" label="专项储备导致实收资本（或股本）净额变动金额" periodRef="上年同期数" mulRef="_GBC_048773409e614c6bb753000b028316a5" unitRef="_GBC_5214b7a188334da286fc3038d017d072" addr="T3R26C1S1_1" formatStyle="Comma">
          <m:complexRule comparator="Eq" title="母公司专项储备导致实收资本（或股本）净额变动金额@上年同期数" test=" $_GBC_81f1264fc0044e75a3b6b408a40360af -  $_GBC_f8c7548eb89d45b7ab33b07f6ecc654f" id="Ca560d89d631544d1a73a73ce915df11c"/>
          <m:axisValue occRef="母公司"/>
        </m:item>
        <m:item xlName="_GBC_aafadb71fa4649b7bc0423c67af5fbf7" concept="clcid-pte:ZhuanXiangChuBeiDaoZhiQiTaQuanYiGongJuZhongDeYouXianGuBianDongJinE" label="专项储备导致其他权益工具中的优先股变动金额" periodRef="上年同期数" mulRef="_GBC_048773409e614c6bb753000b028316a5" unitRef="_GBC_5214b7a188334da286fc3038d017d072" addr="T3R26C2S1_1" formatStyle="Comma">
          <m:complexRule comparator="Eq" title="母公司专项储备导致其他权益工具中的优先股变动金额@上年同期数" test=" $_GBC_dafc4090cc9f4c9f8558d695cbb77af1 -  $_GBC_27e744a9e41f4852a58c90a5ea7b3467" id="Ce5f9bb7d3ead4d5c90a6a163ad2b486a"/>
          <m:axisValue occRef="母公司"/>
        </m:item>
        <m:item xlName="_GBC_38525638055440c4aea25d3464d1e1d1" concept="clcid-pte:ZhuanXiangChuBeiDaoZhiQiTaQuanYiGongJuZhongDeYongXuZhaiBianDongJinE" label="专项储备导致其他权益工具中的永续债变动金额" periodRef="上年同期数" mulRef="_GBC_048773409e614c6bb753000b028316a5" unitRef="_GBC_5214b7a188334da286fc3038d017d072" addr="T3R26C3S1_1" formatStyle="Comma">
          <m:complexRule comparator="Eq" title="母公司专项储备导致其他权益工具中的永续债变动金额@上年同期数" test=" $_GBC_ac299294980f4191880e0ecc05159511 -  $_GBC_0b09af4bd9e042beb2b78aa9068b7096" id="Cd310cfabff1e45a49054fd733c158bac"/>
          <m:axisValue occRef="母公司"/>
        </m:item>
        <m:item xlName="_GBC_c037fba370a14bfa8f56d6d99f94c984" concept="clcid-pte:ZhuanXiangChuBeiDaoZhiQiTaQuanYiGongJuZhongDeQiTaBianDongJinE" label="专项储备导致其他权益工具中的其他变动金额" periodRef="上年同期数" mulRef="_GBC_048773409e614c6bb753000b028316a5" unitRef="_GBC_5214b7a188334da286fc3038d017d072" addr="T3R26C4S1_1" formatStyle="Comma">
          <m:complexRule comparator="Eq" title="母公司专项储备导致其他权益工具中的其他变动金额@上年同期数" test=" $_GBC_a60a8f2154354686a40da8e7b91b888c -  $_GBC_0d3b5e202117414381cf43e3f1f1bf87" id="C5cbd9b8caf2e4111a56440156b256c5a"/>
          <m:axisValue occRef="母公司"/>
        </m:item>
        <m:item xlName="_GBC_756e5e6e4d094fb4a12ad31f5984e025" concept="clcid-pte:ZhuanXiangChuBeiDaoZhiZiBenGongJiBianDongJinE" label="专项储备导致资本公积变动金额" periodRef="上年同期数" mulRef="_GBC_048773409e614c6bb753000b028316a5" unitRef="_GBC_5214b7a188334da286fc3038d017d072" addr="T3R26C5S1_1" formatStyle="Comma">
          <m:complexRule comparator="Eq" title="母公司专项储备导致资本公积变动金额@上年同期数" test=" $_GBC_62699a3b4faa43b4a8eab6196229c9a1 -  $_GBC_ed52ff12317143ceb93cdb2609848e01" id="C26d9d0329b554bc28b247d0ecb37b722"/>
          <m:axisValue occRef="母公司"/>
        </m:item>
        <m:item xlName="_GBC_11d87fe6c0fb438d92d1b164f44c0b19" concept="clcid-pte:ZhuanXiangChuBeiDaoZhiKuCunGuBianDongJinE" label="专项储备导致库存股变动金额" periodRef="上年同期数" mulRef="_GBC_048773409e614c6bb753000b028316a5" unitRef="_GBC_5214b7a188334da286fc3038d017d072" addr="T3R26C6S1_1" baseScale="-1" formatStyle="Comma">
          <m:complexRule comparator="Eq" title="母公司专项储备导致库存股变动金额@上年同期数" test=" $_GBC_d758b3e08f7b405a9bce1d312e545c30 -  $_GBC_92b060f42a9740b3bbeb10d19d9177f5" id="Cdff7b37b161b45c58c708732e56db3fc"/>
          <m:axisValue occRef="母公司"/>
        </m:item>
        <m:item xlName="_GBC_77d0990376fa4c3dba4853bc80e6f32b" concept="clcid-pte:ZhuanXiangChuBeiDaoZhiQiTaZongHeShouYiBianDongJinE" label="专项储备导致其他综合收益变动金额" periodRef="上年同期数" mulRef="_GBC_048773409e614c6bb753000b028316a5" unitRef="_GBC_5214b7a188334da286fc3038d017d072" addr="T3R26C7S1_1" formatStyle="Comma">
          <m:complexRule comparator="Eq" title="母公司专项储备导致其他综合收益变动金额@上年同期数" test=" $_GBC_be434594a7f34efb952f4c4ac1f6f79c -  $_GBC_506e65458ee64e43a798bd4f26c59f5a" id="C07c72226a4a44b589aa885d16c1af303"/>
          <m:axisValue occRef="母公司"/>
        </m:item>
        <m:item xlName="_GBC_b35e7e3ee1e7405f98172f70fde0a158" concept="clcid-pte:ZhuanXiangChuBeiDaoZhiZhuanXiangChuBeiBianDongJinE" label="专项储备导致专项储备变动金额" periodRef="上年同期数" mulRef="_GBC_048773409e614c6bb753000b028316a5" unitRef="_GBC_5214b7a188334da286fc3038d017d072" addr="T3R26C8S1_1" formatStyle="Comma">
          <m:complexRule comparator="Eq" title="母公司专项储备导致专项储备变动金额@上年同期数" test=" $_GBC_6df4ff1711914caab3765c8d65fc67b0 -  $_GBC_e7c1cd92516540039dd7465c92001061" id="Cfa10f102448646a7b508dcab67802acb"/>
          <m:axisValue occRef="母公司"/>
        </m:item>
        <m:item xlName="_GBC_ce70cc6f414d4ff6935f0d37fc8a6e4b" concept="clcid-pte:ZhuanXiangChuBeiDaoZhiYingYuGongJiBianDongJinE" label="专项储备导致盈余公积变动金额" periodRef="上年同期数" mulRef="_GBC_048773409e614c6bb753000b028316a5" unitRef="_GBC_5214b7a188334da286fc3038d017d072" addr="T3R26C9S1_1" formatStyle="Comma">
          <m:complexRule comparator="Eq" title="母公司专项储备导致盈余公积变动金额@上年同期数" test=" $_GBC_e1644560e6a542cabf3c247a5545c84f -  $_GBC_dfc115b8bdc7496e8929676dfe2a9689" id="C00967702215b42d1bb701f53043004e4"/>
          <m:axisValue occRef="母公司"/>
        </m:item>
        <m:item xlName="_GBC_49396ff2dd9c4cdb91081c6bcfb7c444" concept="clcid-pte:ZhuanXiangChuBeiDaoZhiWeiFenPeiLiRunBianDongJinE" label="专项储备导致未分配利润变动金额" periodRef="上年同期数" mulRef="_GBC_048773409e614c6bb753000b028316a5" unitRef="_GBC_5214b7a188334da286fc3038d017d072" addr="T3R26C10S1_1" formatStyle="Comma">
          <m:complexRule comparator="Eq" title="母公司专项储备导致未分配利润变动金额@上年同期数" test=" $_GBC_faacab5c969e49aa80dbac048c9bd1dd -  $_GBC_a3f6b48ada8d47da98db12c8e94a15e5" id="C34e4482451664145a0d0e732eafcb798"/>
          <m:axisValue occRef="母公司"/>
        </m:item>
        <m:item xlName="_GBC_4c59ca81fd0c4a5b8a5dac703c8fbde6" concept="clcid-pte:ZhuanXiangChuBeiDaoZhiGuDongQuanYiHeJiBianDongJinE" label="专项储备导致股东权益合计变动金额" periodRef="上年同期数" mulRef="_GBC_048773409e614c6bb753000b028316a5" unitRef="_GBC_5214b7a188334da286fc3038d017d072" addr="T3R26C11S1_1" formatStyle="Comma">
          <m:complexRule comparator="Eq" title="母公司专项储备导致股东权益合计变动金额@上年同期数" test=" $_GBC_6126d958224e4e48b165883179556a07 -  $_GBC_8646267600474d4683582d6860639a19" id="C84e7e42408cd43fbbb4dcd5a91527357"/>
          <m:axisValue occRef="母公司"/>
        </m:item>
        <m:placeholder xlName="_PLD_8be2fdb078fc42cdaebf61e81ed6d67b" wordText="1．本期提取" addr="T3R27C0S1_1"/>
        <m:item xlName="_GBC_81f1264fc0044e75a3b6b408a40360af" concept="clcid-pte:TiQuDaoZhiShiShouZiBenHuoGuBenJingEBianDongJinE" label="提取导致实收资本（或股本）净额变动金额" periodRef="上年同期数" mulRef="_GBC_048773409e614c6bb753000b028316a5" unitRef="_GBC_5214b7a188334da286fc3038d017d072" addr="T3R27C1S1_1" formatStyle="Comma">
          <m:axisValue occRef="母公司"/>
        </m:item>
        <m:item xlName="_GBC_dafc4090cc9f4c9f8558d695cbb77af1" concept="clcid-pte:TiQuDaoZhiQiTaQuanYiGongJuZhongDeYouXianGuBianDongJinE" label="提取导致其他权益工具中的优先股变动金额" periodRef="上年同期数" mulRef="_GBC_048773409e614c6bb753000b028316a5" unitRef="_GBC_5214b7a188334da286fc3038d017d072" addr="T3R27C2S1_1" formatStyle="Comma">
          <m:axisValue occRef="母公司"/>
        </m:item>
        <m:item xlName="_GBC_ac299294980f4191880e0ecc05159511" concept="clcid-pte:TiQuDaoZhiQiTaQuanYiGongJuZhongDeYongXuZhaiBianDongJinE" label="提取导致其他权益工具中的永续债变动金额" periodRef="上年同期数" mulRef="_GBC_048773409e614c6bb753000b028316a5" unitRef="_GBC_5214b7a188334da286fc3038d017d072" addr="T3R27C3S1_1" formatStyle="Comma">
          <m:axisValue occRef="母公司"/>
        </m:item>
        <m:item xlName="_GBC_a60a8f2154354686a40da8e7b91b888c" concept="clcid-pte:TiQuDaoZhiQiTaQuanYiGongJuZhongDeQiTaBianDongJinE" label="提取导致其他权益工具中的其他变动金额" periodRef="上年同期数" mulRef="_GBC_048773409e614c6bb753000b028316a5" unitRef="_GBC_5214b7a188334da286fc3038d017d072" addr="T3R27C4S1_1" formatStyle="Comma">
          <m:axisValue occRef="母公司"/>
        </m:item>
        <m:item xlName="_GBC_62699a3b4faa43b4a8eab6196229c9a1" concept="clcid-pte:TiQuDaoZhiZiBenGongJiBianDongJinE" label="提取导致资本公积变动金额" periodRef="上年同期数" mulRef="_GBC_048773409e614c6bb753000b028316a5" unitRef="_GBC_5214b7a188334da286fc3038d017d072" addr="T3R27C5S1_1" formatStyle="Comma">
          <m:axisValue occRef="母公司"/>
        </m:item>
        <m:item xlName="_GBC_d758b3e08f7b405a9bce1d312e545c30" concept="clcid-pte:TiQuDaoZhiKuCunGuBianDongJinE" label="提取导致库存股变动金额" periodRef="上年同期数" mulRef="_GBC_048773409e614c6bb753000b028316a5" unitRef="_GBC_5214b7a188334da286fc3038d017d072" addr="T3R27C6S1_1" baseScale="-1" formatStyle="Comma">
          <m:axisValue occRef="母公司"/>
        </m:item>
        <m:item xlName="_GBC_be434594a7f34efb952f4c4ac1f6f79c" concept="clcid-pte:TiQuDaoZhiQiTaZongHeShouYiBianDongJinE" label="提取导致其他综合收益变动金额" periodRef="上年同期数" mulRef="_GBC_048773409e614c6bb753000b028316a5" unitRef="_GBC_5214b7a188334da286fc3038d017d072" addr="T3R27C7S1_1" formatStyle="Comma">
          <m:axisValue occRef="母公司"/>
        </m:item>
        <m:item xlName="_GBC_6df4ff1711914caab3765c8d65fc67b0" concept="clcid-pte:TiQuDaoZhiZhuanXiangChuBeiBianDongJinE" label="提取导致专项储备变动金额" periodRef="上年同期数" mulRef="_GBC_048773409e614c6bb753000b028316a5" unitRef="_GBC_5214b7a188334da286fc3038d017d072" addr="T3R27C8S1_1" formatStyle="Comma">
          <m:axisValue occRef="母公司"/>
        </m:item>
        <m:item xlName="_GBC_e1644560e6a542cabf3c247a5545c84f" concept="clcid-pte:TiQuDaoZhiYingYuGongJiBianDongJinE" label="提取导致盈余公积变动金额" periodRef="上年同期数" mulRef="_GBC_048773409e614c6bb753000b028316a5" unitRef="_GBC_5214b7a188334da286fc3038d017d072" addr="T3R27C9S1_1" formatStyle="Comma">
          <m:axisValue occRef="母公司"/>
        </m:item>
        <m:item xlName="_GBC_faacab5c969e49aa80dbac048c9bd1dd" concept="clcid-pte:TiQuDaoZhiWeiFenPeiLiRunBianDongJinE" label="提取导致未分配利润变动金额" periodRef="上年同期数" mulRef="_GBC_048773409e614c6bb753000b028316a5" unitRef="_GBC_5214b7a188334da286fc3038d017d072" addr="T3R27C10S1_1" formatStyle="Comma">
          <m:axisValue occRef="母公司"/>
        </m:item>
        <m:item xlName="_GBC_6126d958224e4e48b165883179556a07" concept="clcid-pte:TiQuDaoZhiGuDongQuanYiHeJiBianDongJinE" label="提取导致股东权益合计变动金额" periodRef="上年同期数" mulRef="_GBC_048773409e614c6bb753000b028316a5" unitRef="_GBC_5214b7a188334da286fc3038d017d072" addr="T3R27C11S1_1" formatStyle="Comma">
          <m:axisValue occRef="母公司"/>
        </m:item>
        <m:placeholder xlName="_PLD_12344832238e442d9f64388fa2af60f1" wordText="2．本期使用" addr="T3R28C0S1_1"/>
        <m:item xlName="_GBC_f8c7548eb89d45b7ab33b07f6ecc654f" concept="clcid-pte:ShiYongDaoZhiShiShouZiBenHuoGuBenJingEBianDongJinE" label="使用导致实收资本（或股本）净额变动金额" periodRef="上年同期数" mulRef="_GBC_048773409e614c6bb753000b028316a5" unitRef="_GBC_5214b7a188334da286fc3038d017d072" addr="T3R28C1S1_1" formatStyle="Comma">
          <m:axisValue occRef="母公司"/>
        </m:item>
        <m:item xlName="_GBC_27e744a9e41f4852a58c90a5ea7b3467" concept="clcid-pte:ShiYongDaoZhiQiTaQuanYiGongJuZhongDeYouXianGuBianDongJinE" label="使用导致其他权益工具中的优先股变动金额" periodRef="上年同期数" mulRef="_GBC_048773409e614c6bb753000b028316a5" unitRef="_GBC_5214b7a188334da286fc3038d017d072" addr="T3R28C2S1_1" formatStyle="Comma">
          <m:axisValue occRef="母公司"/>
        </m:item>
        <m:item xlName="_GBC_0b09af4bd9e042beb2b78aa9068b7096" concept="clcid-pte:ShiYongDaoZhiQiTaQuanYiGongJuZhongDeYongXuZhaiBianDongJinE" label="使用导致其他权益工具中的永续债变动金额" periodRef="上年同期数" mulRef="_GBC_048773409e614c6bb753000b028316a5" unitRef="_GBC_5214b7a188334da286fc3038d017d072" addr="T3R28C3S1_1" formatStyle="Comma">
          <m:axisValue occRef="母公司"/>
        </m:item>
        <m:item xlName="_GBC_0d3b5e202117414381cf43e3f1f1bf87" concept="clcid-pte:ShiYongDaoZhiQiTaQuanYiGongJuZhongDeQiTaBianDongJinE" label="使用导致其他权益工具中的其他变动金额" periodRef="上年同期数" mulRef="_GBC_048773409e614c6bb753000b028316a5" unitRef="_GBC_5214b7a188334da286fc3038d017d072" addr="T3R28C4S1_1" formatStyle="Comma">
          <m:axisValue occRef="母公司"/>
        </m:item>
        <m:item xlName="_GBC_ed52ff12317143ceb93cdb2609848e01" concept="clcid-pte:ShiYongDaoZhiZiBenGongJiBianDongJinE" label="使用导致资本公积变动金额" periodRef="上年同期数" mulRef="_GBC_048773409e614c6bb753000b028316a5" unitRef="_GBC_5214b7a188334da286fc3038d017d072" addr="T3R28C5S1_1" formatStyle="Comma">
          <m:axisValue occRef="母公司"/>
        </m:item>
        <m:item xlName="_GBC_92b060f42a9740b3bbeb10d19d9177f5" concept="clcid-pte:ShiYongDaoZhiKuCunGuBianDongJinE" label="使用导致库存股变动金额" periodRef="上年同期数" mulRef="_GBC_048773409e614c6bb753000b028316a5" unitRef="_GBC_5214b7a188334da286fc3038d017d072" addr="T3R28C6S1_1" baseScale="-1" formatStyle="Comma">
          <m:axisValue occRef="母公司"/>
        </m:item>
        <m:item xlName="_GBC_506e65458ee64e43a798bd4f26c59f5a" concept="clcid-pte:ShiYongDaoZhiQiTaZongHeShouYiBianDongJinE" label="使用导致其他综合收益变动金额" periodRef="上年同期数" mulRef="_GBC_048773409e614c6bb753000b028316a5" unitRef="_GBC_5214b7a188334da286fc3038d017d072" addr="T3R28C7S1_1" formatStyle="Comma">
          <m:axisValue occRef="母公司"/>
        </m:item>
        <m:item xlName="_GBC_e7c1cd92516540039dd7465c92001061" concept="clcid-pte:ShiYongDaoZhiZhuanXiangChuBeiBianDongJinE" label="使用导致专项储备变动金额" periodRef="上年同期数" mulRef="_GBC_048773409e614c6bb753000b028316a5" unitRef="_GBC_5214b7a188334da286fc3038d017d072" addr="T3R28C8S1_1" formatStyle="Comma">
          <m:axisValue occRef="母公司"/>
        </m:item>
        <m:item xlName="_GBC_dfc115b8bdc7496e8929676dfe2a9689" concept="clcid-pte:ShiYongDaoZhiYingYuGongJiBianDongJinE" label="使用导致盈余公积变动金额" periodRef="上年同期数" mulRef="_GBC_048773409e614c6bb753000b028316a5" unitRef="_GBC_5214b7a188334da286fc3038d017d072" addr="T3R28C9S1_1" formatStyle="Comma">
          <m:axisValue occRef="母公司"/>
        </m:item>
        <m:item xlName="_GBC_a3f6b48ada8d47da98db12c8e94a15e5" concept="clcid-pte:ShiYongDaoZhiWeiFenPeiLiRunBianDongJinE" label="使用导致未分配利润变动金额" periodRef="上年同期数" mulRef="_GBC_048773409e614c6bb753000b028316a5" unitRef="_GBC_5214b7a188334da286fc3038d017d072" addr="T3R28C10S1_1" formatStyle="Comma">
          <m:axisValue occRef="母公司"/>
        </m:item>
        <m:item xlName="_GBC_8646267600474d4683582d6860639a19" concept="clcid-pte:ShiYongDaoZhiGuDongQuanYiHeJiBianDongJinE" label="使用导致股东权益合计变动金额" periodRef="上年同期数" mulRef="_GBC_048773409e614c6bb753000b028316a5" unitRef="_GBC_5214b7a188334da286fc3038d017d072" addr="T3R28C11S1_1" formatStyle="Comma">
          <m:axisValue occRef="母公司"/>
        </m:item>
        <m:placeholder xlName="_PLD_adc6cb0ad3a14129b7edac5f396c8fd5" wordText="（六）其他" addr="T3R29C0S1_1"/>
        <m:item xlName="_GBC_3c285f62d1fd458d96196ec4a0dd2268" concept="clcid-pte:QiTaDaoZhiShiShouZiBenHuoGuBenJingEBianDongJinE" label="其他导致实收资本（或股本）净额变动金额" periodRef="上年同期数" mulRef="_GBC_048773409e614c6bb753000b028316a5" unitRef="_GBC_5214b7a188334da286fc3038d017d072" addr="T3R29C1S1_1" formatStyle="Comma">
          <m:axisValue occRef="母公司"/>
        </m:item>
        <m:item xlName="_GBC_772dec252ad7498ba73abd9cba9e2cda" concept="clcid-pte:QiTaDaoZhiQiTaQuanYiGongJuZhongDeYouXianGuBianDongJinE" label="其他导致其他权益工具中的优先股变动金额" periodRef="上年同期数" mulRef="_GBC_048773409e614c6bb753000b028316a5" unitRef="_GBC_5214b7a188334da286fc3038d017d072" addr="T3R29C2S1_1" formatStyle="Comma">
          <m:axisValue occRef="母公司"/>
        </m:item>
        <m:item xlName="_GBC_c82eafb679454f0cbdb2076cddbc2f9c" concept="clcid-pte:QiTaDaoZhiQiTaQuanYiGongJuZhongDeYongXuZhaiBianDongJinE" label="其他导致其他权益工具中的永续债变动金额" periodRef="上年同期数" mulRef="_GBC_048773409e614c6bb753000b028316a5" unitRef="_GBC_5214b7a188334da286fc3038d017d072" addr="T3R29C3S1_1" formatStyle="Comma">
          <m:axisValue occRef="母公司"/>
        </m:item>
        <m:item xlName="_GBC_d61c39eee25e4f3fa9612a3274abdf60" concept="clcid-pte:QiTaDaoZhiQiTaQuanYiGongJuZhongDeQiTaBianDongJinE" label="其他导致其他权益工具中的其他变动金额" periodRef="上年同期数" mulRef="_GBC_048773409e614c6bb753000b028316a5" unitRef="_GBC_5214b7a188334da286fc3038d017d072" addr="T3R29C4S1_1" formatStyle="Comma">
          <m:axisValue occRef="母公司"/>
        </m:item>
        <m:item xlName="_GBC_481f5de20bd049c28a207fba11a8e658" concept="clcid-pte:QiTaDaoZhiZiBenGongJiBianDongJinE" label="其他导致资本公积变动金额" periodRef="上年同期数" mulRef="_GBC_048773409e614c6bb753000b028316a5" unitRef="_GBC_5214b7a188334da286fc3038d017d072" addr="T3R29C5S1_1" formatStyle="Comma">
          <m:axisValue occRef="母公司"/>
        </m:item>
        <m:item xlName="_GBC_b5e2532c5fe543ac8d95ce36ccf22143" concept="clcid-pte:QiTaDaoZhiKuCunGuBianDongJinE" label="其他导致库存股变动金额" periodRef="上年同期数" mulRef="_GBC_048773409e614c6bb753000b028316a5" unitRef="_GBC_5214b7a188334da286fc3038d017d072" addr="T3R29C6S1_1" baseScale="-1" formatStyle="Comma">
          <m:axisValue occRef="母公司"/>
        </m:item>
        <m:item xlName="_GBC_66ed8695d4ae47e1b13e54cbac7750cd" concept="clcid-pte:QiTaDaoZhiQiTaZongHeShouYiBianDongJinE" label="其他导致其他综合收益变动金额" periodRef="上年同期数" mulRef="_GBC_048773409e614c6bb753000b028316a5" unitRef="_GBC_5214b7a188334da286fc3038d017d072" addr="T3R29C7S1_1" formatStyle="Comma">
          <m:axisValue occRef="母公司"/>
        </m:item>
        <m:item xlName="_GBC_abee7fadd6d243ffaea451a622ca8e50" concept="clcid-pte:QiTaDaoZhiZhuanXiangChuBeiBianDongJinE" label="其他导致专项储备变动金额" periodRef="上年同期数" mulRef="_GBC_048773409e614c6bb753000b028316a5" unitRef="_GBC_5214b7a188334da286fc3038d017d072" addr="T3R29C8S1_1" formatStyle="Comma">
          <m:axisValue occRef="母公司"/>
        </m:item>
        <m:item xlName="_GBC_e7fe91bead664d42a0e34d8d38894644" concept="clcid-pte:QiTaDaoZhiYingYuGongJiBianDongJinE" label="其他导致盈余公积变动金额" periodRef="上年同期数" mulRef="_GBC_048773409e614c6bb753000b028316a5" unitRef="_GBC_5214b7a188334da286fc3038d017d072" addr="T3R29C9S1_1" formatStyle="Comma">
          <m:axisValue occRef="母公司"/>
        </m:item>
        <m:item xlName="_GBC_aafaad1fc12040c7a3ce232d35d0dbcf" concept="clcid-pte:QiTaDaoZhiWeiFenPeiLiRunBianDongJinE" label="其他导致未分配利润变动金额" periodRef="上年同期数" mulRef="_GBC_048773409e614c6bb753000b028316a5" unitRef="_GBC_5214b7a188334da286fc3038d017d072" addr="T3R29C10S1_1" formatStyle="Comma">
          <m:axisValue occRef="母公司"/>
        </m:item>
        <m:item xlName="_GBC_6fe2dc27a4bc44a29a0b64474033d343" concept="clcid-pte:QiTaDaoZhiGuDongQuanYiHeJiBianDongJinE" label="其他导致股东权益合计变动金额" periodRef="上年同期数" mulRef="_GBC_048773409e614c6bb753000b028316a5" unitRef="_GBC_5214b7a188334da286fc3038d017d072" addr="T3R29C11S1_1" formatStyle="Comma">
          <m:axisValue occRef="母公司"/>
        </m:item>
        <m:placeholder xlName="_PLD_0009c8b4e5ca4d7083f8b2619f6a4584" wordText="四、本期期末余额" addr="T3R30C0S1_1"/>
        <m:item xlName="_GBC_1bc2d4d04c454e65b06e6a038ad01c54" concept="clcid-pte:GuBen" label="股本" periodRef="上年同期期末数" mulRef="_GBC_048773409e614c6bb753000b028316a5" unitRef="_GBC_5214b7a188334da286fc3038d017d072" addr="T3R30C1S1_1" formatStyle="Comma">
          <m:complexRule comparator="Eq" title="母公司股本@上年同期期末数" test=" $_GBC_81506e84492f4f00af4a9f4816ac595d +  $_GBC_36cec33ba91447efb182a6f911901adb" id="C0cb3089385f1422e8fe68cd3508350f0"/>
          <m:axisValue occRef="母公司"/>
        </m:item>
        <m:item xlName="_GBC_6573d70498224d0a830cc55d3d0b8e92" concept="clcid-pte:QiTaQuanYiGongJuQiZhongYouXianGu" label="其他权益工具-其中：优先股" periodRef="上年同期期末数" mulRef="_GBC_048773409e614c6bb753000b028316a5" unitRef="_GBC_5214b7a188334da286fc3038d017d072" addr="T3R30C2S1_1" formatStyle="Comma">
          <m:complexRule comparator="Eq" title="母公司其他权益工具-其中：优先股@上年同期期末数" test=" $_GBC_8cd15523ec994dd1888d18acda49f79a +  $_GBC_58b09a3e602042bdac8dc874ff691577" id="C3d7a149ea15b4d01b8045e916ad99d74"/>
          <m:axisValue occRef="母公司"/>
        </m:item>
        <m:item xlName="_GBC_ec3051b0de8c481db2db3cb95bd06201" concept="clcid-pte:QiTaQuanYiGongJuYongXuZhai" label="其他权益工具-永续债" periodRef="上年同期期末数" mulRef="_GBC_048773409e614c6bb753000b028316a5" unitRef="_GBC_5214b7a188334da286fc3038d017d072" addr="T3R30C3S1_1" formatStyle="Comma">
          <m:complexRule comparator="Eq" title="母公司其他权益工具-永续债@上年同期期末数" test=" $_GBC_e0ee0f96384f4731ac9b26ea29553277 +  $_GBC_3bb7a843ff114e069d024217dc575989" id="C810e370258a1411cac496181ae7df19b"/>
          <m:axisValue occRef="母公司"/>
        </m:item>
        <m:item xlName="_GBC_592c7acdcdc448bab6a42a9d9b84672f" concept="clcid-pte:QiTaQuanYiGongJuQiTa" label="其他权益工具-其他" periodRef="上年同期期末数" mulRef="_GBC_048773409e614c6bb753000b028316a5" unitRef="_GBC_5214b7a188334da286fc3038d017d072" addr="T3R30C4S1_1" formatStyle="Comma">
          <m:complexRule comparator="Eq" title="母公司其他权益工具-其他@上年同期期末数" test=" $_GBC_edc14c2fd7df48949f7f8547e0057d52 +  $_GBC_20204f10729243a5870e4153ec76b379" id="C3881dc8bcf87406e8efa998b28a2e318"/>
          <m:axisValue occRef="母公司"/>
        </m:item>
        <m:item xlName="_GBC_1a2aa8a3a5bc40ddb865c114902ab04f" concept="clcid-pte:ZiBenGongJi" label="资本公积" periodRef="上年同期期末数" mulRef="_GBC_048773409e614c6bb753000b028316a5" unitRef="_GBC_5214b7a188334da286fc3038d017d072" addr="T3R30C5S1_1" formatStyle="Comma">
          <m:complexRule comparator="Eq" title="母公司资本公积@上年同期期末数" test=" $_GBC_dc911e1c0c0140beaadeea0c7f9cb99b +  $_GBC_bd0dc3c162cc425798a8258cbaadbe24" id="C1bd648f0595e4adc89d675bd1037abb3"/>
          <m:axisValue occRef="母公司"/>
        </m:item>
        <m:item xlName="_GBC_179ae4a9431d4edfa4d1ffbd3603ca68" concept="clcid-pte:KuCunGu" label="库存股" periodRef="上年同期期末数" mulRef="_GBC_048773409e614c6bb753000b028316a5" unitRef="_GBC_5214b7a188334da286fc3038d017d072" addr="T3R30C6S1_1" baseScale="-1" formatStyle="Comma" keyCode="abs" keyAction="108">
          <m:complexRule comparator="Eq" title="母公司库存股@上年同期期末数" test=" $_GBC_d87b9676c83649d39a619c314692dcaf +  $_GBC_c6d4bb32519a478594bcfef3ceda4b3d" id="C9c70932e916b4487afeec50a16b74795"/>
          <m:axisValue occRef="母公司"/>
        </m:item>
        <m:item xlName="_GBC_3a052738b3f642c3ae8273f11c3134dc" concept="clcid-pte:QiTaZongHeShouYiZiChanFuZhaiBiaoXiangMu" label="其他综合收益（资产负债表项目）" periodRef="上年同期期末数" mulRef="_GBC_048773409e614c6bb753000b028316a5" unitRef="_GBC_5214b7a188334da286fc3038d017d072" addr="T3R30C7S1_1" formatStyle="Comma">
          <m:complexRule comparator="Eq" title="母公司其他综合收益（资产负债表项目）@上年同期期末数" test=" $_GBC_6d145d9657f44521aa3d46c7b6321381 +  $_GBC_2b7963fe413c4b099dba1e05f4059834" id="C206cb43f2e02429fb102af3ae8e8f3dd"/>
          <m:axisValue occRef="母公司"/>
        </m:item>
        <m:item xlName="_GBC_5ef06ad7fd034355b46fed863141a8ad" concept="clcid-pte:ZhuanXiangChuBei" label="专项储备" periodRef="上年同期期末数" mulRef="_GBC_048773409e614c6bb753000b028316a5" unitRef="_GBC_5214b7a188334da286fc3038d017d072" addr="T3R30C8S1_1" formatStyle="Comma">
          <m:complexRule comparator="Eq" title="母公司专项储备@上年同期期末数" test=" $_GBC_b2bd2eeb6e644fc4a095222b2af9aaf4 +  $_GBC_70d76e6f2aa5405a90a77991ef7fc0b9" id="C91b623a7a6064af6a5de3cbad8cfbb9a"/>
          <m:axisValue occRef="母公司"/>
        </m:item>
        <m:item xlName="_GBC_808569e60b76440aa45b976c2e92b9f5" concept="clcid-pte:YingYuGongJi" label="盈余公积" periodRef="上年同期期末数" mulRef="_GBC_048773409e614c6bb753000b028316a5" unitRef="_GBC_5214b7a188334da286fc3038d017d072" addr="T3R30C9S1_1" formatStyle="Comma">
          <m:complexRule comparator="Eq" title="母公司盈余公积@上年同期期末数" test=" $_GBC_65eeed92e2b14ea5883fcb0487da19f1 +  $_GBC_fd9fe83281aa406d803bd31275d27802" id="Cb1d94a8fe21b4e1fbb001df6c0c12bc3"/>
          <m:axisValue occRef="母公司"/>
        </m:item>
        <m:item xlName="_GBC_5e435f0c89ce4a1d8e107018bb999f71" concept="clcid-pte:WeiFenPeiLiRun" label="未分配利润" periodRef="上年同期期末数" mulRef="_GBC_048773409e614c6bb753000b028316a5" unitRef="_GBC_5214b7a188334da286fc3038d017d072" addr="T3R30C10S1_1" formatStyle="Comma">
          <m:complexRule comparator="Eq" title="母公司未分配利润@上年同期期末数" test=" $_GBC_4048bba00d6a48acb1daaa86900788d8 +  $_GBC_dafcc9b9aeb54231a52703e43a511e04" id="C269b928ce04d4a93a7363b3e6ee2761e"/>
          <m:axisValue occRef="母公司"/>
        </m:item>
        <m:item xlName="_GBC_0e03429644864a3ca54f947ac7a03d97" concept="clcid-pte:GuDongQuanYiHeJi" label="股东权益合计" periodRef="上年同期期末数" mulRef="_GBC_048773409e614c6bb753000b028316a5" unitRef="_GBC_5214b7a188334da286fc3038d017d072" addr="T3R30C11S1_1" formatStyle="Comma">
          <m:complexRule comparator="Eq" title="母公司股东权益合计@上年同期期末数" test=" $_GBC_5982de2520b94f22aaf4cd2c9647effb +  $_GBC_5214dbf793d44c1ba8b0e418270c91c0" id="C1044b99dd1c84e528346791f55787b02"/>
          <m:axisValue occRef="母公司"/>
        </m:item>
        <m:item xlName="_GBC_6042a2c12168484781348969a4da3e4c" headerRef="242" concept="clcid-mr:GongSiFuZeRenXingMing" label="公司负责人姓名" binding="true"/>
        <m:item xlName="_GBC_3008dab61aca43f0a6d82ef192943e79" headerRef="242" concept="clcid-mr:ZhuGuanKuaiJiGongZuoFuZeRenXingMing" label="主管会计工作负责人姓名" binding="true"/>
        <m:item xlName="_GBC_e6c21b270080402ca8dbdc0cab514bde" headerRef="242" concept="clcid-mr:KuaiJiJiGouFuZeRenXingMing" label="会计机构负责人姓名" binding="true"/>
        <m:placeholder xlName="_PLD_ff7ebfe1d6a046e6a3bea42cbe11025e" wordText="2．对所有者（或股东）的分配"/>
        <m:item xlName="_GBC_6970915479c34157926bc174fcc9ac6f" pickName="" concept="" periodRef="上年同期数" mulRef="_GBC_048773409e614c6bb753000b028316a5" unitRef="_GBC_5214b7a188334da286fc3038d017d072" formatStyle="Comma">
          <m:extendConcept standardLabel="2.提取一般风险准备实收资本 (或股本)" preferredLabel="2.提取一般风险准备" referenceConcept="clcid-pte:DuiSuoYouZheHuoGuDongDeFenPeiDaoZhiShiShouZiBenHuoGuBenJingEBianDongJinE"/>
          <m:axisValue occRef="母公司"/>
        </m:item>
        <m:item xlName="_GBC_9978382e20f141dc973ac2f24b3492ac" pickName="" concept="" periodRef="上年同期数" mulRef="_GBC_048773409e614c6bb753000b028316a5" unitRef="_GBC_5214b7a188334da286fc3038d017d072" formatStyle="Comma">
          <m:extendConcept standardLabel="2.提取一般风险准备优先股" preferredLabel="2.提取一般风险准备" referenceConcept="clcid-pte:DuiSuoYouZheHuoGuDongDeFenPeiDaoZhiQiTaQuanYiGongJuZhongDeYouXianGuBianDongJinE"/>
          <m:axisValue occRef="母公司"/>
        </m:item>
        <m:item xlName="_GBC_af30ebbcf49b4391baf471b0581f80a0" pickName="" concept="" periodRef="上年同期数" mulRef="_GBC_048773409e614c6bb753000b028316a5" unitRef="_GBC_5214b7a188334da286fc3038d017d072" formatStyle="Comma">
          <m:extendConcept standardLabel="2.提取一般风险准备永续债" preferredLabel="2.提取一般风险准备" referenceConcept="clcid-pte:DuiSuoYouZheHuoGuDongDeFenPeiDaoZhiQiTaQuanYiGongJuZhongDeYongXuZhaiBianDongJinE"/>
          <m:axisValue occRef="母公司"/>
        </m:item>
        <m:item xlName="_GBC_c3252f58208042aa91c6ef4bee0be931" pickName="" concept="" periodRef="上年同期数" mulRef="_GBC_048773409e614c6bb753000b028316a5" unitRef="_GBC_5214b7a188334da286fc3038d017d072" formatStyle="Comma">
          <m:extendConcept standardLabel="2.提取一般风险准备其他" preferredLabel="2.提取一般风险准备" referenceConcept="clcid-pte:DuiSuoYouZheHuoGuDongDeFenPeiDaoZhiQiTaQuanYiGongJuZhongDeQiTaBianDongJinE"/>
          <m:axisValue occRef="母公司"/>
        </m:item>
        <m:item xlName="_GBC_33da2c2d22c342e39dbdb348d3aa345b" pickName="" concept="" periodRef="上年同期数" mulRef="_GBC_048773409e614c6bb753000b028316a5" unitRef="_GBC_5214b7a188334da286fc3038d017d072" formatStyle="Comma">
          <m:extendConcept standardLabel="2.提取一般风险准备资本公积" preferredLabel="2.提取一般风险准备" referenceConcept="clcid-pte:DuiSuoYouZheHuoGuDongDeFenPeiDaoZhiZiBenGongJiBianDongJinE"/>
          <m:axisValue occRef="母公司"/>
        </m:item>
        <m:item xlName="_GBC_3ee39019577e408bb3dc073f944f3232" pickName="" concept="" periodRef="上年同期数" mulRef="_GBC_048773409e614c6bb753000b028316a5" unitRef="_GBC_5214b7a188334da286fc3038d017d072" baseScale="-1" formatStyle="Comma">
          <m:extendConcept standardLabel="2.提取一般风险准备减:库存股" preferredLabel="2.提取一般风险准备" referenceConcept="clcid-pte:DuiSuoYouZheHuoGuDongDeFenPeiDaoZhiKuCunGuBianDongJinE"/>
          <m:axisValue occRef="母公司"/>
        </m:item>
        <m:item xlName="_GBC_faa9ea74122746db8d5afad2df5fb533" pickName="" concept="" periodRef="上年同期数" mulRef="_GBC_048773409e614c6bb753000b028316a5" unitRef="_GBC_5214b7a188334da286fc3038d017d072" formatStyle="Comma">
          <m:extendConcept standardLabel="2.提取一般风险准备其他综合收益" preferredLabel="2.提取一般风险准备" referenceConcept="clcid-pte:DuiSuoYouZheHuoGuDongDeFenPeiDaoZhiQiTaZongHeShouYiBianDongJinE"/>
          <m:axisValue occRef="母公司"/>
        </m:item>
        <m:item xlName="_GBC_bc69c3ba386445d8a74fa706a4a65261" pickName="" concept="" periodRef="上年同期数" mulRef="_GBC_048773409e614c6bb753000b028316a5" unitRef="_GBC_5214b7a188334da286fc3038d017d072" formatStyle="Comma">
          <m:extendConcept standardLabel="2.提取一般风险准备专项储备" preferredLabel="2.提取一般风险准备" referenceConcept="clcid-pte:DuiSuoYouZheHuoGuDongDeFenPeiDaoZhiZhuanXiangChuBeiBianDongJinE"/>
          <m:axisValue occRef="母公司"/>
        </m:item>
        <m:item xlName="_GBC_33227dba84e049b186caf6176f396bdf" pickName="" concept="" periodRef="上年同期数" mulRef="_GBC_048773409e614c6bb753000b028316a5" unitRef="_GBC_5214b7a188334da286fc3038d017d072" formatStyle="Comma">
          <m:extendConcept standardLabel="2.提取一般风险准备盈余公积" preferredLabel="2.提取一般风险准备" referenceConcept="clcid-pte:DuiSuoYouZheHuoGuDongDeFenPeiDaoZhiYingYuGongJiBianDongJinE"/>
          <m:axisValue occRef="母公司"/>
        </m:item>
        <m:item xlName="_GBC_2d09e7f5767f45e5b0c75ea76434fa52" pickName="" concept="" periodRef="上年同期数" mulRef="_GBC_048773409e614c6bb753000b028316a5" unitRef="_GBC_5214b7a188334da286fc3038d017d072" formatStyle="Comma">
          <m:extendConcept standardLabel="2.提取一般风险准备未分配利润" preferredLabel="2.提取一般风险准备" referenceConcept="clcid-pte:DuiSuoYouZheHuoGuDongDeFenPeiDaoZhiWeiFenPeiLiRunBianDongJinE"/>
          <m:axisValue occRef="母公司"/>
        </m:item>
        <m:item xlName="_GBC_a1f485d0176f401ab60df9e5e33e5f81" pickName="" concept="" periodRef="上年同期数" mulRef="_GBC_048773409e614c6bb753000b028316a5" unitRef="_GBC_5214b7a188334da286fc3038d017d072" formatStyle="Comma">
          <m:extendConcept standardLabel="2.提取一般风险准备所有者权益合计" preferredLabel="2.提取一般风险准备" referenceConcept="clcid-pte:DuiSuoYouZheHuoGuDongDeFenPeiDaoZhiGuDongQuanYiHeJiBianDongJinE"/>
          <m:axisValue occRef="母公司"/>
        </m:item>
      </m:region>
    </m:section>
    <m:section xlName="_GBC_f6396333f93949a599b3a170d5a7962b" title="无需编制合并报表" checkKey="!合并" headerRef="243" orient="landscape" helpId="112001001" primarySection="_GBC_3b1dcbfa33024cc0a5c2f3d693817342" optionText="无需编制合并报表" activeContentOption="_GBC_f6396333f93949a599b3a170d5a7962b" optionGroupTitle="是否需要合并报表" optionTargetConcept="clcid-ci-ar:ShiFouXuYaoHeBingBaoBiao" optionTargetConceptValue="false" matrix="true" matrixTablePrefix="所有者权益变动表" axisType="XYAxis" keyAction="57" otherKeyActions="{&quot;KeyCode&quot;:&quot;2&quot;,&quot;KeyAction&quot;:42,&quot;KeyActionTitle&quot;:null,&quot;OtherActions&quot;:null}" noCustom="1">
      <m:rowModel/>
    </m:section>
    <m:section xlName="_SEC_fd2e2f67954e46ae836300d3eb98cf6d" title="公司基本情况" headerRef="244" ignorePeriod="1" convertSummaryRule="NoConvert" helpId="112001003"/>
    <m:section xlName="_GBC_6d12949d3695402592266a78137dcfb5" title="财务报表的编制基础" headerRef="247" helpId="112001007"/>
    <m:section xlName="_GBC_69ae6baeacb44e8fa17b0b984abbf6ab" title="持续经营" headerRef="248" helpId="112001008" helpText="注：公司应评价自报告期末起12个月的持续经营能力。评价结果表明对持续能力产生重大怀疑的，公司应披露导致对持续经营能力产生重大怀疑的因素以及公司拟采取的改善措施。"/>
    <m:section xlName="_GBC_03d97fea34d045cb980749ccc6860a5a" title="具体会计政策和会计估计提示" rules="R2015_R11_001" headerRef="249" helpId="112001010" helpText="注：公司根据实际生产经营特点制定的具体会计政策和会计估计，应在本节开始部分对相关事项进行提示。"/>
    <m:section xlName="_GBC_a0afbb5b3a444bce84ee78a2a282cb28" title="遵循企业会计准则的声明" headerRef="250" helpId="112001010"/>
    <m:section xlName="_GBC_2d7f332501c8461ea731797db5588ee5" title="会计期间" headerRef="251" helpId="112001010"/>
    <m:section xlName="_GBC_b045784ca7904d52a060134ffec0d88c" title="营业周期" headerRef="252" ignorePeriod="1" helpId="112001010" helpText="注：公司对营业周期不同于12个月，并以营业周期作为资产和负债的流动性划分标准的，应说明营业周期及确定依据。"/>
    <m:section xlName="_GBC_13b1061968754e20bebf2099281ed54f" title="记账本位币" headerRef="253" helpId="112001010"/>
    <m:section xlName="_SEC_76d2fbb6df224868bf571b62d2c7c349" title="重要性标准确定方法和选择依据" headerRef="254" helpText="根据15号文第四条，公司在编制和披露财务报告时应遵循重要性原则，披露事项涉及重要性标准判断的，应披露重要性标准确定方法和选择依据。\n公司可结合自身实际情况，选择在此处按照一定分类标准集中披露附注所涉的重要性标准；或者在后文各具体附注项下的“其他说明”中分别披露，此处索引。"/>
    <m:section xlName="_GBC_f44e1e76b2a3457ea36bc088adcbb4c3" title="同一控制下和非同一控制下企业合并的会计处理方法" headerRef="255" ignorePeriod="1" convertSummaryRule="NoConvert" helpId="112001010"/>
    <m:section xlName="_GBC_c23be25e527044f689b710dabd312b04" title="合并财务报表的编制方法" headerRef="256" ignorePeriod="1" helpId="112001010"/>
    <m:section xlName="_GBC_a6643877dd0341e39dee12c064dc6fdc" title="合营安排分类及共同经营会计处理方法" headerRef="257" ignorePeriod="1" helpId="112001010"/>
    <m:section xlName="_GBC_9f2dfe6521c4434b9ad3e7bb1a8a52b7" title="现金及现金等价物的确定标准" headerRef="258" helpId="112001010"/>
    <m:section xlName="_GBC_cff1e1487c3242a8a1be0ce9c2b7a554" title="外币业务和外币报表折算" headerRef="259" ignorePeriod="1" convertSummaryRule="NoConvert" helpId="112001010" helpText="注：说明发生外币交易时折算汇率的确定方法、在资产负债表日外币货币性项目采用的折算方法、汇兑损益的处理方法以及外币报表折算的会计处理方法。"/>
    <m:section xlName="_GBC_4b3a058b038b41689d379e6a2726a904" title="金融工具" headerRef="260" ignorePeriod="1" helpId="112001010" helpText="注：说明金融工具的分类、确认依据和计量方法，金融资产转移的确认依据和计量方法，金融负债终止确认条件，金融资产和金融负债的公允价值确定方法，金融资产（此处不含应收款项）减值的测试方法及会计处理方法。"/>
    <m:item xlName="_GBC_aefda35d1a7148f0844e33d721703cda" headerRef="261" up="应收票据" concept="clcid-ci-ar:ShiFouShiYongYingShouPiaoJuZhongYaoHuiJiZhengCeHeGuJi" label="是否适用：应收票据_重要会计政策和估计" selectOptions="_buildInAppliance" controlType="CustomCheckbox" cRanges="[{&quot;StartName&quot;:&quot;_GBC_aefda35d1a7148f0844e33d721703cda&quot;,&quot;EndName&quot;:&quot;_SEC_250b7b96804647b0920c1cf5c92456c9&quot;,&quot;CType&quot;:1}]"/>
    <m:section xlName="_SEC_5f7ccc4533204a4ea40abf6cfc0e2cf7" title="按照信用风险特征组合计提坏账准备的组合类别及确定依据单击或..." headerRef="261" helpId="112001010"/>
    <m:section xlName="_SEC_92b754b9d1c8488b9a3dbd4f8e544605" title="基于账龄确认信用风险特征组合的账龄计算方法单击或点击此处输..." headerRef="261" helpId="112001010"/>
    <m:section xlName="_SEC_250b7b96804647b0920c1cf5c92456c9" title="按照单项计提坏账准备的单项计提判断标准单击或点击此处输入文..." headerRef="261" helpId="112001010"/>
    <m:item xlName="_GBC_9bb0ad4fd90e4860a048c5c1b42cdc17" headerRef="262" up="应收账款" concept="clcid-ci-ar:ShiFouShiYongYingShouZhangKuanZhongYaoHuiJiZhengCeHeGuJi" label="是否适用：应收账款_重要会计政策和估计" selectOptions="_buildInAppliance" controlType="CustomCheckbox" cRanges="[{&quot;StartName&quot;:&quot;_GBC_9bb0ad4fd90e4860a048c5c1b42cdc17&quot;,&quot;EndName&quot;:&quot;_SEC_c8e55835e2d842228ebba8e2018130c8&quot;,&quot;CType&quot;:1}]"/>
    <m:section xlName="_SEC_69bd2fa75eba49e8a935e93c11b981ac" title="按照信用风险特征组合计提坏账准备的组合类别及确定依据单击或..." headerRef="262" helpId="112001010"/>
    <m:section xlName="_SEC_82302f3d7cd346af81560053dc7d45b5" title="基于账龄确认信用风险特征组合的账龄计算方法单击或点击此处输..." headerRef="262" helpId="112001010"/>
    <m:section xlName="_SEC_c8e55835e2d842228ebba8e2018130c8" title="按照单项计提坏账准备的认定单项计提判断标准单击或点击此处输..." headerRef="262" helpId="112001010"/>
    <m:item xlName="_GBC_47906a8d31c54a72891112f417e1058d" headerRef="263" up="应收款项融资" concept="clcid-ci-ar:ShiFouShiYongYingShouKuanXiangRongZiZhongYaoKuaiJiZhengCeHeGuJi" label="是否适用：应收款项融资_重要会计政策和估计" selectOptions="_buildInAppliance" controlType="CustomCheckbox" cRanges="[{&quot;StartName&quot;:&quot;_GBC_47906a8d31c54a72891112f417e1058d&quot;,&quot;EndName&quot;:&quot;_SEC_a133dfa6dbfe498b86ace80225b3dbb3&quot;,&quot;CType&quot;:1}]"/>
    <m:section xlName="_SEC_416ee1c34e144a8e91d422b5d31a97f8" title="按照信用风险特征组合计提坏账准备的组合类别及确定依据单击或..." headerRef="263" helpId="112001010"/>
    <m:section xlName="_SEC_717801d7faa4451aa8dc0acca0e0447e" title="基于账龄确认信用风险特征组合的账龄计算方法单击或点击此处输..." headerRef="263" helpId="112001010"/>
    <m:section xlName="_SEC_a133dfa6dbfe498b86ace80225b3dbb3" title="按照单项计提坏账准备的单项计提判断标准单击或点击此处输入文..." headerRef="263" helpId="112001010"/>
    <m:item xlName="_GBC_dfe58b09048a4951b32b48ce6a3930aa" headerRef="264" up="其他应收款" concept="clcid-ci-ar:ShiFouShiYongQiTaYingShouKuanZhongYaoHuiJiZhengCeHeGuJi" label="是否适用：其他应收款_重要会计政策和估计" selectOptions="_buildInAppliance" controlType="CustomCheckbox" cRanges="[{&quot;StartName&quot;:&quot;_GBC_dfe58b09048a4951b32b48ce6a3930aa&quot;,&quot;EndName&quot;:&quot;_SEC_65907d2dee3243b0a625259201221910&quot;,&quot;CType&quot;:1}]"/>
    <m:section xlName="_SEC_cff58e8508c147a08145be5515d678b9" title="按照信用风险特征组合计提坏账准备的组合类别及确定依据单击或..." headerRef="264" helpId="112001010"/>
    <m:section xlName="_SEC_8efbd247b505408c96e7133da8424c42" title="基于账龄确认信用风险特征组合的账龄计算方法单击或点击此处输..." headerRef="264" helpId="112001010"/>
    <m:section xlName="_SEC_65907d2dee3243b0a625259201221910" title="按照单项计提坏账准备的单项计提判断标准单击或点击此处输入文..." headerRef="264" helpId="112001010"/>
    <m:item xlName="_GBC_517cddca0e1f4d4bb5ef2c4a3d049269" headerRef="265" up="存货" concept="clcid-ci-ar:ShiFouShiYongCunHuoZhongYaoHuiJiZhengCeHeGuJi" label="是否适用：存货_重要会计政策和估计" selectOptions="_buildInAppliance" controlType="CustomCheckbox" cRanges="[{&quot;StartName&quot;:&quot;_GBC_517cddca0e1f4d4bb5ef2c4a3d049269&quot;,&quot;EndName&quot;:&quot;_SEC_e792e598ea494b138dbd9229e5d967bc&quot;,&quot;CType&quot;:1}]"/>
    <m:section xlName="_SEC_45c9cda1a7954913af07b0fc6bed1f4b" title="存货类别、发出计价方法、盘存制度、低值易耗品和包装物的摊销方..." headerRef="265" helpId="112001010"/>
    <m:section xlName="_SEC_1cd44856f54a4f16bb58d8a9949bdc7c" title="存货跌价准备的确认标准和计提方法单击或点击此处输入文字。..." headerRef="265" helpId="112001010"/>
    <m:section xlName="_SEC_8081ecb7900049458086a58014c3416e" title="按照组合计提存货跌价准备的组合类别及确定依据、不同类别存货可..." headerRef="265" helpId="112001010"/>
    <m:section xlName="_SEC_e792e598ea494b138dbd9229e5d967bc" title="基于库龄确认存货可变现净值的各库龄组合可变现净值的计算方法和..." headerRef="265" helpId="112001010"/>
    <m:item xlName="_GBC_2975adaf2d6646238ccae8f732c465f0" headerRef="266" up="合同资产" concept="clcid-ci-ar:ShiFouShiYongHeTongZiChanZhongYaoHuiJiZhengCeHeGuJi" label="是否适用：合同资产_重要会计政策和估计" selectOptions="_buildInAppliance" controlType="CustomCheckbox" cRanges="[{&quot;StartName&quot;:&quot;_GBC_2975adaf2d6646238ccae8f732c465f0&quot;,&quot;EndName&quot;:&quot;_SEC_6a596f9564ab4625ac5d0afcdacc5ae6&quot;,&quot;CType&quot;:1}]"/>
    <m:section xlName="_SEC_b4bffb1f8e2d49bb8a666b1dadf04d84" title="合同资产的确认方法及标准" headerRef="266" helpId="112001010"/>
    <m:section xlName="_SEC_da461cc09c004df4a44dd5c240ffa826" title="按照信用风险特征组合计提坏账准备的组合类别及确定依据单击或..." headerRef="266" helpId="112001010"/>
    <m:section xlName="_SEC_f972af48a0434a32b9fe11decaa5ebe7" title="基于账龄确认信用风险特征组合的账龄计算方法单击或点击此处输..." headerRef="266" helpId="112001010"/>
    <m:section xlName="_SEC_6a596f9564ab4625ac5d0afcdacc5ae6" title="按照单项计提坏账准备的认定单项计提判断标准单击或点击此处输..." headerRef="266" helpId="112001010"/>
    <m:section xlName="_SEC_fb9fc514fe4b4fd1a4c298384e5375dd" title="持有待售的非流动资产或处置组单击或点击此处输入文字。单击..." headerRef="267" helpId="112001010"/>
    <m:section xlName="_SEC_830b4f94591548efb1adc0f21a1b31fd" title="划分为持有待售的非流动资产或处置组的确认标准和会计处理方法..." headerRef="267" helpId="112001010"/>
    <m:section xlName="_SEC_f042a63dae564989b0cc0a0f1b88c85a" title="终止经营的认定标准和列报方法单击或点击此处输入文字。单击..." headerRef="267" helpId="112001010"/>
    <m:section xlName="_GBC_d82c12cf13554acd90dfb7880244798c" title="长期股权投资" headerRef="268" ignorePeriod="1" helpId="112001010" helpText="注：说明共同控制、重要影响的判断标准，长期股权投资的初始投资成本确定、后续计量及损益确认方法。"/>
    <m:section xlName="_GBC_20b1c487c1e348188269523d7d980194" title="成本计量模式" checkKey="!公允价值计量&amp;!不适用" headerRef="270" ignorePeriod="1" helpId="112001010" primarySection="_GBC_20b1c487c1e348188269523d7d980194" optionText="成本计量模式" activeContentOption="_GBC_6983d9e24ed54c18a335cb0386f36c2c" optionGroupTitle="投资性房地产计量模式" optionTargetConcept="clcid-pte:TouZiXingFangDiChanJiLiangMoShi" optionTargetConceptValue="成本计量模式" afterEmptyParagraphs="1"/>
    <m:section xlName="_GBC_2b2036270bc84711804cd256998442a6" title="公允价值计量模式" checkKey="!成本计量&amp;!不适用" headerRef="271" ignorePeriod="1" helpId="112001010" primarySection="_GBC_20b1c487c1e348188269523d7d980194" optionText="公允价值计量模式" activeContentOption="_GBC_2b2036270bc84711804cd256998442a6" optionGroupTitle="投资性房地产计量模式" optionTargetConcept="clcid-pte:TouZiXingFangDiChanJiLiangMoShi" optionTargetConceptValue="公允价值计量模式"/>
    <m:section xlName="_GBC_6983d9e24ed54c18a335cb0386f36c2c" title="不适用" checkKey="!公允价值计量&amp;!成本计量" headerRef="271" helpId="112001010" primarySection="_GBC_20b1c487c1e348188269523d7d980194" optionText="不适用" optionGroupTitle="投资性房地产计量模式" optionTargetConcept="clcid-pte:TouZiXingFangDiChanJiLiangMoShi" optionTargetConceptValue="不适用"/>
    <m:section xlName="_GBC_662771796da549e1b2a02fb7d497f077" title="固定资产确认条件" headerRef="273" ignorePeriod="1" helpId="112001010"/>
    <m:section xlName="_GBC_7c749a57d4094b3386978c34c3487e2a" title="固定资产折旧方法" headerRef="274" isSupervision="true" helpId="112001010" helpText="注：公司根据自身实际情况确定类别，一般包括房屋及建筑物、机器设备、电子设备、运输设备等。折旧方法有年限平均法、工作量法、双倍余额递减法、年数总和法，其他。如选择其他，请在文本框中说明。"/>
    <m:section xlName="_GBC_3eb5f960df3e47f0a4bf3af0bc67ca96" title="在建工程会计处理方法" headerRef="275" ignorePeriod="1" convertSummaryRule="NoConvert" helpId="112001010" helpText="注：说明在建工程结转为固定资产的标准和时点。"/>
    <m:section xlName="_GBC_e3e4d07ea08d4589a9293563ea655b42" title="借款费用会计处理方法" headerRef="276" ignorePeriod="1" convertSummaryRule="NoConvert" helpId="112001010" helpText="注：说明借款费用资本化的确认原则、资本化期间、暂停资本化期间、借款费用资本化率以及资本化金额的计算方法。"/>
    <m:section xlName="_GBC_0b83f813710f436286429917c8c39567" title="生物资产会计处理方法" headerRef="277" ignorePeriod="1" convertSummaryRule="NoConvert" helpId="112001010" helpText="注：说明生物资产的分类及确定标准。各类生产性生物资产的使用寿命和预计净残值及其确定依据、折旧方法。采用公允价值模式的，说明选择公允价值计量的依据。"/>
    <m:section xlName="_GBC_ed738d1d51d04aad8efd3fb3e88bf021" title="油气资产会计处理方法" headerRef="278" ignorePeriod="1" convertSummaryRule="NoConvert" helpId="112001010" helpText="注：说明与各类油气资产相关支出的资本化标准，各类油气资产的折耗或摊销方法，采矿许可证等执照费用的会计处理方法以及油气储量估计的判断依据等。"/>
    <m:section xlName="_GBC_0a8b293ff9e94173b2e385f4ef2a8c89" title="无形资产会计处理方法" headerRef="279" ignorePeriod="1" convertSummaryRule="NoConvert" helpId="112001010"/>
    <m:section xlName="_SEC_c11b0580b6b040ca9dbb882b383dfc03" title="长期资产减值" headerRef="282" helpId="112001010"/>
    <m:section xlName="_SEC_716e5dd4aef549d9b8815a4e1474e63d" title="长期待摊费用" headerRef="283" helpId="112001010"/>
    <m:section xlName="_SEC_2988762bdf3a48178e0180a615cb7705" title="合同负债" headerRef="284" ignorePeriod="1" helpId="112001010"/>
    <m:section xlName="_GBC_8ec8855eb4d5447ab785e4bd4b0b73aa" title="职工薪酬" headerRef="285" ignorePeriod="1" helpId="112001010"/>
    <m:section xlName="_GBC_b5b71a4d3cc1425c80f55e751e7e18c2" title="预计负债会计处理方法" headerRef="290" ignorePeriod="1" convertSummaryRule="NoConvert" helpId="112001010" helpText="注：说明预计负债的确认标准和各类预计负债的计量方法。"/>
    <m:section xlName="_GBC_5300d3ce4b5f4c1690fe13bde0a610e3" title="股份支付" headerRef="291" ignorePeriod="1" helpId="112001010" helpText="注：说明股份支付计划的会计处理方法，包括修改或终止股份支付计划的相关会计处理。"/>
    <m:section xlName="_GBC_d3c9524999e647d78f354bb216cfb1aa" title="优先股、永续债" headerRef="292" ignorePeriod="1" helpId="112001010" helpText="注：说明优先股、永续债等其他金融工具的会计处理方法"/>
    <m:section xlName="_GBC_19704df9fd714cad895419bf4903f70e" title="收入会计处理方法" headerRef="293" ignorePeriod="1" convertSummaryRule="NoConvert" helpId="112001010" helpText="注：说明收入确认原则和计量方法。公司应结合实际生产经营特点制定收入确认会计政策，说明具体收入确认时点及计量方法，同类业务采用不同经营模式在不同时点确认收入的，应当分别说明。按完工百分比法确认提供劳务和建造合同收入的收入的，说明确定合同完工进度的依据和方法。"/>
    <m:section xlName="_SEC_d90e7184f27046ff9caab68c045539c7" title="同类业务采用不同经营模式导致收入确认会计政策存在差异的情况" headerRef="295" ignorePeriod="1" helpId="112001010"/>
    <m:section xlName="_SEC_1a8f2a657b9d471d80373f3b25cb1dfe" title="合同成本" headerRef="296" ignorePeriod="1" helpId="112001010"/>
    <m:section xlName="_GBC_b03bd816e50b42ae97b660897ca33234" title="政府补助会计处理方法" headerRef="297" ignorePeriod="1" convertSummaryRule="NoConvert" helpId="112001010"/>
    <m:section xlName="_GBC_01f1973e44f24cd99b90200f8205be13" title="递延所得税资产/递延所得税负债会计处理方法" headerRef="298" ignorePeriod="1" convertSummaryRule="NoConvert" helpId="112001010" helpText="注：说明递延所得税资产和递延所得税负债的确认依据。"/>
    <m:item xlName="_GBC_7f954ee357264e2c946d2c530d8787c5" headerRef="299" up="租赁" concept="clcid-ci-ar:ShiFouShiYongZuLinZhongYaoKuaiJiZhengCeHeGuJi" label="是否适用：租赁_重要会计政策和估计" selectOptions="_buildInAppliance" controlType="CustomCheckbox" cRanges="[{&quot;StartName&quot;:&quot;_GBC_7f954ee357264e2c946d2c530d8787c5&quot;,&quot;EndName&quot;:&quot;_SEC_de0d6f86c5e44e9ba9ed0ad83d081f20&quot;,&quot;CType&quot;:1}]"/>
    <m:section xlName="_SEC_0b2a109afef44d198ca2c3ed557c8d1d" title="作为承租方对短期租赁和低价值资产租赁进行简化处理的判断依据和..." headerRef="299" helpId="112001010"/>
    <m:section xlName="_SEC_de0d6f86c5e44e9ba9ed0ad83d081f20" title="作为出租方的租赁分类标准和会计处理方法单击或点击此处输入文..." headerRef="299" helpId="112001010"/>
    <m:section xlName="_GBC_208440ea3a0f4676970b3672c3cdf96f" title="其他重要的会计政策和会计估计" headerRef="300" ignorePeriod="1" helpId="112001010" helpText="注：说明其他重要的会计政策和会计估计，包括但不限于：终止经营的确认标准、会计处理方法，采用套期会计的依据、会计处理方法，与回购公司股份相关的会计处理方法，资产证券化业务的会计处理方法等。"/>
    <m:item xlName="_GBC_f1ebc580f60c4d30a80747190ffbec4f" headerRef="302" up="重要会计政策变更" concept="clcid-pte:ShiFouShiYongZhongYaoKuaiJiZhengCeBianGeng" label="是否适用：重要会计政策变更" selectOptions="_buildInAppliance" controlType="CustomCheckbox" cRanges="[{&quot;StartName&quot;:&quot;_GBC_f1ebc580f60c4d30a80747190ffbec4f&quot;,&quot;EndName&quot;:&quot;_SEC_b59487ebdc7b4d11894136077303d0d8&quot;,&quot;CType&quot;:1}]"/>
    <m:section xlName="_SEC_b59487ebdc7b4d11894136077303d0d8" title="会计政策变更" headerRef="302" ignorePeriod="1" convertSummaryRule="ConvertDefinedText" convertText="无" helpId="112001010" helpText="注：说明受重要影响的报表项目名称和金额。"/>
    <m:item xlName="_GBC_902f08bd36774074945386d2d1f9b67d" headerRef="303" up="重要会计估计变更" concept="clcid-pte:ShiFouShiYongZhongYaoKuaiJiGuJiBianGeng" label="是否适用：重要会计估计变更" selectOptions="_buildInAppliance" controlType="CustomCheckbox" cRanges="[{&quot;StartName&quot;:&quot;_GBC_902f08bd36774074945386d2d1f9b67d&quot;,&quot;EndName&quot;:&quot;_SEC_acb82d75d97145538369850670e86521&quot;,&quot;CType&quot;:1}]"/>
    <m:section xlName="_SEC_acb82d75d97145538369850670e86521" title="会计估计变更" headerRef="303" ignorePeriod="1" helpId="112001010" helpText="注：说明受重要影响的报表项目名称和金额。"/>
    <m:section xlName="_SEC_a9815fd707d7490aa4f57a92594115cf" title="首次执行新金融工具准则、新收入准则、新租赁准则调整首次执行当年年初财务报表相关项目情况" headerRef="304" primarySection="_SEC_a9815fd707d7490aa4f57a92594115cf" optionText="需要编制合并报表" optionGroupTitle="是否需要合并报表" optionTargetConcept="clcid-ci-ar:ShiFouXuYaoHeBingBaoBiao" optionTargetConceptValue="true" keyAction="42" keyCode="2"/>
    <m:section xlName="_SEC_b25f53d81de34b61bf171ff5ba21cfa8" title="首次执行新金融工具准则、新收入准则、新租赁准则调整首次执行当年年初财务报表相关项目情况" headerRef="305" primarySection="_SEC_a9815fd707d7490aa4f57a92594115cf" optionText="无需编制合并报表" optionGroupTitle="是否需要合并报表" optionTargetConcept="clcid-ci-ar:ShiFouXuYaoHeBingBaoBiao" optionTargetConceptValue="false" keyAction="42" keyCode="2">
      <m:rowModel locationConcept="clcid-ci-ar:ZiDingYiKeMuWeiZhi" labelConcept="clcid-ci-ar:ZiDingYiKeMuMingCheng" conceptPrefix="资产负债表" presentationRole="http://www.xbrl-cn.org/cn/lcid/lr/role/BalanceSheetforCommercialandIndustrialCompanies " presentationParentConcept="clcid-pte:ZiChanFuZhaiBiao" tuplePrefix="项目"/>
    </m:section>
    <m:section xlName="_GBC_f9189f2c315949f484bded540173f7a8" title="其他" headerRef="306" helpId="112001034"/>
    <m:section xlName="_GBC_21c965fa52af49a9865023fb4e05671a" title="主要税种及税率" headerRef="308" convertSummaryRule="NoConvert" helpId="112001036" axisType="Column"/>
    <m:section xlName="_GBC_8efa381cc976417f9135f0c744d05452" title="税收优惠及批文" headerRef="309" convertSummaryRule="NoConvert" helpId="112001036" helpText="注：说明主要税收优惠政策及依据。"/>
    <m:section xlName="_GBC_9fdef48633e142f68e18dc5da08c2deb" title="其他说明" headerRef="310" convertSummaryRule="NoConvert" helpId="112001038"/>
    <m:section xlName="_SEC_fe3ce9278bcc4538b07f06ed84d7ee69" title="货币资金" rules="R2015_R11_002" headerRef="312" convertSummaryRule="NoConvert" helpId="112001039" helpText="注：因抵押、质押或冻结等对使用有限制，以及存放在境外且资金汇回受到限制的款项应单独说明。\n“根据《企业会计准则解释第15号》，对于成员单位未归集至集团母公司账户而直接存入财务公司的资金，成员单位应当在资产负债表“货币资金” 项目中列示， 根据重要性原则并结合本企业的实际情况，成员单位还可以在“货币资金” 项目之下增设“其中：存放财务公司款项” 项目单独列示。”"/>
    <m:section xlName="_SEC_6fb2365d490c45119367e7aca86f857c" title="交易性金融资产" headerRef="313" helpId="112001041"/>
    <m:section xlName="_GBC_bc314407a9a14c2f8b2b5368638e0a51" title="衍生金融资产" headerRef="314" helpId="112001042" helpText="注：说明衍生金融工具形成原因以及相关会计处理等。"/>
    <m:section xlName="_GBC_c1ce1fc5bd0f42bca82cd02f3a6b623f" title="应收票据分类" rules="R2015_R11_003" headerRef="316" convertSummaryRule="NoConvert" helpId="112001044"/>
    <m:section xlName="_GBC_8fdb3f7098324d0d8b9f6e395abf9009" title="期末公司已质押的应收票据情况" rules="R2015_R11_003" headerRef="317" convertSummaryRule="NoConvert" helpId="112001044"/>
    <m:section xlName="_GBC_d0a9833415574c7baa9ef176fea05ecf" title="因出票人无力履约而将票据转为应收账款的票据，以及期末已背书未到期票据" rules="R2015_R11_003" headerRef="318" convertSummaryRule="NoConvert" helpId="112001044"/>
    <m:item xlName="_GBC_064ae6cf552d47d6abf4ad2b5c55d254" headerRef="319" up="按坏账计提方法分类披露" concept="clcid-ci-ar:ShiFouShiYongYingShouPiaoJuAnHuaiZhangJiTiFangFaFenLeiPiLu" label="是否适用：应收票据按坏账计提方法分类披露" selectOptions="_buildInAppliance" controlType="CustomCheckbox" cRanges="[{&quot;StartName&quot;:&quot;_GBC_064ae6cf552d47d6abf4ad2b5c55d254&quot;,&quot;EndName&quot;:&quot;_SEC_2dc3b0ce015a4b54a67e0a855abb57d7&quot;,&quot;CType&quot;:1}]"/>
    <m:section xlName="_SEC_2dc3b0ce015a4b54a67e0a855abb57d7" title="按坏账计提方法分类披露" headerRef="319" helpId="112001044"/>
    <m:section xlName="_SEC_35f0dd53a3094420ab950eaf2d236098" title="按单项计提坏账准备：" headerRef="319" helpId="112001044"/>
    <m:item xlName="_GBC_2b00fe7228b14b11bdb374e735777f02" headerRef="319" up="按组合计提坏账准备：" concept="clcid-ci-ar:ShiFouShiYongAnZuHeJiTiHuaiZhangZhunBeiDeYingShouPiaoJuXiangXiQingKuang" label="是否适用：按组合计提坏账准备的应收票据详细情况" selectOptions="_buildInAppliance" controlType="CustomCheckbox" cRanges="[{&quot;StartName&quot;:&quot;_GBC_2b00fe7228b14b11bdb374e735777f02&quot;,&quot;EndName&quot;:&quot;_SEC_ba9a8c13d1d945d389c5919539ae944e&quot;,&quot;CType&quot;:1}]"/>
    <m:section xlName="_SEC_ba9a8c13d1d945d389c5919539ae944e" title="按组合计提坏账准备" repeatable="1" tupleConcept="clcid-pte:AnZuHeJiTiHuaiZhangZhunBeiDeYingShouPiaoJuXiangXiMingXi" headerRef="319" helpId="112001044"/>
    <m:section xlName="_SEC_6b9325db8bc94217b3b159530c2e7ce6" title="如按预期信用损失一般模型计提坏账准备，请参照其他应收款披露" headerRef="319" helpId="112001044">
      <m:axisValue occRef="应收票据"/>
    </m:section>
    <m:section xlName="_SEC_c99da1af26b84f39935c31f457be5726" title="坏账准备的情况" headerRef="320" helpId="112001044"/>
    <m:section xlName="_SEC_b5b10fb76e04464dac1f70f677b727ee" title="应收票据本期坏账准备收回或转回金额重要的" headerRef="320" helpId="112001044"/>
    <m:section xlName="_SEC_d1d07f77bea54442a58602a5a3e94f42" title="本期实际核销的应收票据情况" headerRef="321" helpId="112001044"/>
    <m:section xlName="_GBC_c7095bafbab543a9bb9dcc587154df29" title="应收票据其他说明" rules="R2015_R11_003" headerRef="321" convertSummaryRule="NoConvert" helpId="112001044"/>
    <m:section xlName="_SEC_a298d7120a244ca9b9690c64cb86f6ad" title="按账龄披露" headerRef="323" helpId="112001045" helpText="表中的“期末账面余额”指的是包含单项计提和组合计提的期末账面余额。"/>
    <m:item xlName="_GBC_fc55e6778e08412caa3e7b9e7a1a0f85" headerRef="324" up="按坏账计提方法分类披露" concept="clcid-ci-ar:ShiFouShiYongYingShouZhangKuanFenLeiPiLu" label="是否适用：应收账款分类披露" selectOptions="_buildInAppliance" controlType="CustomCheckbox" cRanges="[{&quot;StartName&quot;:&quot;_GBC_fc55e6778e08412caa3e7b9e7a1a0f85&quot;,&quot;EndName&quot;:&quot;_SEC_0398db7d3d0941d99bcd41800ef0e448&quot;,&quot;CType&quot;:1}]"/>
    <m:section xlName="_SEC_0398db7d3d0941d99bcd41800ef0e448" title="(2). 按坏账计提方法分类披露" headerRef="324" helpId="112001045"/>
    <m:section xlName="_SEC_498beef22f03474fa398c526ee8a934d" title="按单项计提坏账准备：" headerRef="324" helpId="112001045"/>
    <m:item xlName="_GBC_47a07baa9a4f4c5ea6de193ae7b87e74" headerRef="324" up="按组合计提坏账准备：" concept="clcid-ci-ar:ShiFouShiYongAnZuHeJiTiHuaiZhangZhunBeiDeYingShouZhangKuanXiangXiQingKuang" label="是否适用：按组合计提坏账准备的应收账款详细情况" selectOptions="_buildInAppliance" controlType="CustomCheckbox" cRanges="[{&quot;StartName&quot;:&quot;_GBC_47a07baa9a4f4c5ea6de193ae7b87e74&quot;,&quot;EndName&quot;:&quot;_SEC_f085826b570e4937b558307522853cff&quot;,&quot;CType&quot;:1}]"/>
    <m:section xlName="_SEC_f085826b570e4937b558307522853cff" title="组合计提项目" repeatable="1" tupleConcept="clcid-pte:AnZuHeJiTiHuaiZhangZhunBeiDeYingShouZhangKuanXiangXiMingXi" headerRef="324" helpId="112001045"/>
    <m:section xlName="_SEC_e432f11a05d54da1a71a76d4978c5139" title="如按预期信用损失一般模型计提坏账准备" headerRef="324" helpId="112001045">
      <m:axisValue occRef="应收账款"/>
    </m:section>
    <m:section xlName="_SEC_12d740ff187b4b12aec92868132c72ed" title="坏账准备的情况" headerRef="325" helpId="112001045"/>
    <m:section xlName="_SEC_cdecb9c204ca4a9c9226b9ac1afaefaa" title="本期坏账准备收回或转回金额重要的" rules="R2015_R11_004" headerRef="325" convertSummaryRule="NoConvert" helpId="112001045" helpText="注：说明转回或收回原因，确定原坏账准备计提比例的依据及其合理性。"/>
    <m:section xlName="_GBC_af8ceb97930d4d7391d4823a068c824b" title="本报告期实际核销的应收账款情况" rules="R2015_R11_004" headerRef="326" convertSummaryRule="NoConvert" helpId="112001045"/>
    <m:section xlName="_SEC_0de922a4c3ae428ca01a32fccaf5a259" title="按欠款方归集的期末余额前五名的应收账款情况：" rules="R2015_R11_004" headerRef="327" helpId="112001045" helpText="注：按欠款方集中度，汇总或分别披露期末余额前五名的应收账款的期末余额及占应收账款期末余额合计数的比例，以及相应计提的坏账准备期末余额。"/>
    <m:section xlName="_GBC_2f38c172c62a46cfa73776efdf952fad" title="应收账款其他说明" rules="R2015_R11_004" headerRef="327" helpId="112001045"/>
    <m:section xlName="_SEC_9eb3b6c88c0a41f7a3f6a2f43946f06c" title="合同资产" headerRef="328" helpId="112002271"/>
    <m:section xlName="_SEC_e8c350da8e69479e93eb03226371923c" title="报告期内账面价值发生重大变动的金额和原因" headerRef="330" helpId="112002271"/>
    <m:section xlName="_SEC_79262ce3c3fa43da93ff17d323d38679" title="按坏账计提方法分类披露" headerRef="331" helpId="112002271">
      <m:axisValue occRef="合同资产"/>
      <m:axisValue occRef="长期应收款"/>
    </m:section>
    <m:section xlName="_SEC_8ff311ab8694456982efe033266b0818" title="按单项计提坏账准备：  单位：元币种：人民币名称 期..." headerRef="331" helpId="112002271">
      <m:axisValue occRef="合同资产"/>
      <m:axisValue occRef="长期应收款"/>
    </m:section>
    <m:item xlName="_GBC_059f7dfd74cd41d4b2b8918cfc3d067f" headerRef="331" up="按组合计提坏账准备：" concept="clcid-ci-ar:ShiFouShiYongAnZuHeJiTiHuaiZhangZhunBeiDeXiangXiQingKuang" label="是否适用：按组合计提坏账准备的详细情况" selectOptions="_buildInAppliance" controlType="CustomCheckbox" cRanges="[{&quot;StartName&quot;:&quot;_GBC_059f7dfd74cd41d4b2b8918cfc3d067f&quot;,&quot;EndName&quot;:&quot;_SEC_7ee1acac21f147e8be51ad7c182a59cc&quot;,&quot;CType&quot;:1}]">
      <m:axisValue occRef="合同资产"/>
    </m:item>
    <m:section xlName="_SEC_7ee1acac21f147e8be51ad7c182a59cc" title="组合计提项目" tupleConcept="clcid-pte:AnZuHeJiTiHuaiZhangZhunBeiDeXiangXiMingXi" repeatable="1" headerRef="331" helpId="112002271">
      <m:axisValue occRef="合同资产"/>
      <m:axisValue occRef="长期应收款"/>
    </m:section>
    <m:section xlName="_SEC_cda340aaf00a44e5b3e83efedfe3e597" title="如按预期信用损失一般模型计提坏账准备" headerRef="331" helpId="112002271">
      <m:axisValue occRef="合同资产"/>
    </m:section>
    <m:section xlName="_SEC_bf3d6e0971b243878381353846199645" title="本期合同资产计提减值准备情况" headerRef="332" helpId="112002271"/>
    <m:section xlName="_SEC_41fd81b29b64408b828316d7fae0e4f5" title="其中本期坏账准备收回或转回金额重要的" headerRef="332" helpId="112002271">
      <m:axisValue occRef="合同资产"/>
    </m:section>
    <m:section xlName="_SEC_483be52511e0421bb90a3e86c5b7e9ed" title="本期实际核销的合同资产情况" headerRef="333" helpId="112002271"/>
    <m:section xlName="_SEC_a12e20a7ea774c8197717894a1e3f908" title="其中重要的合同资产核销情况 " headerRef="333" helpId="112002271">
      <m:axisValue occRef="合同资产"/>
      <m:axisValue occRef="长期应收款"/>
    </m:section>
    <m:section xlName="_SEC_5b10981ad765434eb8d30a4d75bff071" title="其他说明：" headerRef="333" helpId="112002271"/>
    <m:section xlName="_SEC_b9585f9030e74f2d93f72009bc3b92cd" title="应收款项融资分类列示" headerRef="335" helpId="112002268" helpText="按信用风险等级分类披露应收款项融资明细。"/>
    <m:section xlName="_SEC_ec636e9fe97347bfab252a12b8e3278b" title="期末公司已质押的应收款项融资" headerRef="336" helpId="112002268"/>
    <m:section xlName="_SEC_789198171e364e6b81e731af96218522" title="期末公司已背书或贴现且在资产负债表日尚未到期的应收款项融资" headerRef="337" helpId="112002268" keyAction="42" keyCode="2"/>
    <m:section xlName="_SEC_a8011b91cc30479fbff85c1b0f7c9ba6" title="按坏账计提方法分类披露" headerRef="338" helpId="112002268">
      <m:axisValue occRef="应收款项融资"/>
    </m:section>
    <m:section xlName="_SEC_325c2ed151c84f059ead84fd926427c9" title="按单项计提坏账准备：  单位：元币种：人民币名称 期..." headerRef="338" helpId="112002268">
      <m:axisValue occRef="应收款项融资"/>
    </m:section>
    <m:item xlName="_GBC_02191f78423f4f4ca97cd31179bf21d5" headerRef="338" up="按组合计提坏账准备：" concept="clcid-ci-ar:ShiFouShiYongAnZuHeJiTiHuaiZhangZhunBeiDeXiangXiQingKuang" label="是否适用：按组合计提坏账准备的详细情况" selectOptions="_buildInAppliance" controlType="CustomCheckbox" cRanges="[{&quot;StartName&quot;:&quot;_GBC_02191f78423f4f4ca97cd31179bf21d5&quot;,&quot;EndName&quot;:&quot;_SEC_3b46e5fa769b48378dd226f4c8f25a6d&quot;,&quot;CType&quot;:1}]">
      <m:axisValue occRef="应收款项融资"/>
    </m:item>
    <m:section xlName="_SEC_3b46e5fa769b48378dd226f4c8f25a6d" title="组合计提项目" tupleConcept="clcid-pte:AnZuHeJiTiHuaiZhangZhunBeiDeXiangXiMingXi" repeatable="1" headerRef="338" helpId="112002268">
      <m:axisValue occRef="应收款项融资"/>
    </m:section>
    <m:section xlName="_SEC_0c668b0e80ca4583b8434cfcd068e62f" title="如按预期信用损失一般模型计提坏账准备" headerRef="338" helpId="112002268">
      <m:axisValue occRef="应收款项融资"/>
    </m:section>
    <m:section xlName="_SEC_8fbaf4832b8a4df2a8add0c01204cf49" title="坏账准备的情况" headerRef="339" helpId="112002268"/>
    <m:section xlName="_SEC_008a4bca1fca4fc1be642fcc3d913567" title="其中本期坏账准备收回或转回金额重要的" headerRef="339" helpId="112002268">
      <m:axisValue occRef="应收款项融资"/>
    </m:section>
    <m:section xlName="_SEC_edb06bb7ac854fa4be196ec302ba7ddf" title="本期实际核销的应收款项融资情况" headerRef="340" helpId="112002268"/>
    <m:section xlName="_SEC_db1213cf20c146178575f11ed7dafbf6" title="其中重要的应收款项融资核销情况单位：币种：（..." headerRef="340" helpId="112002268">
      <m:axisValue occRef="应收款项融资"/>
    </m:section>
    <m:section xlName="_SEC_f622924e64af4a44a962a96fa26bf3ea" title="应收款项融资本期增减变动及公允价值变动情况：  " headerRef="341" helpId="112002268"/>
    <m:section xlName="_SEC_cc1b5a87b00b4f9597e03f379dacda36" title="其他说明：  " headerRef="342" helpId="112002268"/>
    <m:section xlName="_GBC_4c02994d3bd04bacba6592630552e576" title="预付款项按账龄列示" rules="R2015_R11_005" headerRef="344" convertSummaryRule="NoConvert" helpId="112001047"/>
    <m:section xlName="_GBC_2c5fba8651a04a6d88c0c9fc33310c57" title="预付款项金额前五名单位情况" rules="R2015_R11_005" headerRef="345" convertSummaryRule="NoConvert" helpId="112001047" helpText="注：按预付对象集中度，汇总或分别披露期末余额前五名的预付款项的期末余额及占预付款项期末余额合计数的比例。"/>
    <m:section xlName="_GBC_ee9bedfa5e5340c9b02fb474f1a1fc26" title="预付款项的说明" rules="R2015_R11_005" headerRef="345" convertSummaryRule="NoConvert" helpId="112001047"/>
    <m:section xlName="_SEC_440b8bdb86984dd89d750fdd7845fe71" title="分类列示" headerRef="347"/>
    <m:section xlName="_GBC_6620e2366b444b3fb9e784e1bb6a87fd" title="应收利息" headerRef="348" convertSummaryRule="NoConvert" helpId="112001049"/>
    <m:section xlName="_GBC_bcfcff19f55a43f988e9223dca0728dc" title="逾期利息" headerRef="350" convertSummaryRule="NoConvert" helpId="112001049"/>
    <m:section xlName="_SEC_3c4747ce924442abb81880a0653caa26" title="按坏账计提方法分类披露" headerRef="351" helpId="112001049">
      <m:axisValue occRef="应收利息"/>
    </m:section>
    <m:section xlName="_SEC_20180252db834d89b2024c56a55e6339" title="按单项计提坏账准备：  单位：元币种：人民币名称 期..." headerRef="351" helpId="112001049">
      <m:axisValue occRef="应收利息"/>
    </m:section>
    <m:item xlName="_GBC_0dc49505e0b44d56bf15079c4ea20a9a" headerRef="351" up="按组合计提坏账准备：" concept="clcid-ci-ar:ShiFouShiYongAnZuHeJiTiHuaiZhangZhunBeiDeXiangXiQingKuang" label="是否适用：按组合计提坏账准备的详细情况" selectOptions="_buildInAppliance" controlType="CustomCheckbox" cRanges="[{&quot;StartName&quot;:&quot;_GBC_0dc49505e0b44d56bf15079c4ea20a9a&quot;,&quot;EndName&quot;:&quot;_SEC_36b1b98311154e0784b35cec07d0e1ff&quot;,&quot;CType&quot;:1}]">
      <m:axisValue occRef="应收利息"/>
    </m:item>
    <m:section xlName="_SEC_36b1b98311154e0784b35cec07d0e1ff" title="组合计提项目" tupleConcept="clcid-pte:AnZuHeJiTiHuaiZhangZhunBeiDeXiangXiMingXi" repeatable="1" headerRef="351" helpId="112001049">
      <m:axisValue occRef="应收利息"/>
    </m:section>
    <m:section xlName="_SEC_61c56552057346dd98026d659f25d3ef" title="坏账准备计提情况" headerRef="352" helpId="112001049"/>
    <m:section xlName="_SEC_17aef62ec0584f7d9e3478a8e415e7b0" title="坏账准备的情况" headerRef="353" helpId="112001049"/>
    <m:section xlName="_SEC_2262ff1f38cb4a9a8b0014b1f85f01c2" title="其中本期坏账准备收回或转回金额重要的" headerRef="353" helpId="112001049">
      <m:axisValue occRef="应收利息"/>
    </m:section>
    <m:section xlName="_SEC_4961ad9f36704cc08392d69b741c3f4d" title="本期实际核销的应收利息情况" headerRef="354" helpId="112001049"/>
    <m:section xlName="_SEC_54cd05ce6e8b41e8ae8e158cd50f20ec" title="其中重要的应收利息核销情况" headerRef="354" helpId="112001049">
      <m:axisValue occRef="应收利息"/>
    </m:section>
    <m:section xlName="_GBC_0dc3bcd06a754f79952657ba82acdc9f" title="应收利息的说明" headerRef="354" helpId="112001049"/>
    <m:section xlName="_GBC_94a22362634d47499fd45a0a5577c49b" title="应收股利" headerRef="356" helpId="112001050"/>
    <m:section xlName="_GBC_aafe0f2583ac4a35a029d834ee52b5de" title="应收股利" headerRef="357" convertSummaryRule="NoConvert" helpId="112001050"/>
    <m:section xlName="_SEC_46e8b25d525743bd96171366da61cc99" title="按坏账计提方法分类披露" headerRef="358" helpId="112001050">
      <m:axisValue occRef="应收股利"/>
    </m:section>
    <m:section xlName="_SEC_a626035601754a95bb4dbfad76205526" title="按单项计提坏账准备：  单位：元币种：人民币名称 期..." headerRef="358" helpId="112001050">
      <m:axisValue occRef="应收股利"/>
    </m:section>
    <m:item xlName="_GBC_37434366d06a4e49b22522b1d88358dd" headerRef="358" up="按组合计提坏账准备：" concept="clcid-ci-ar:ShiFouShiYongAnZuHeJiTiHuaiZhangZhunBeiDeXiangXiQingKuang" label="是否适用：按组合计提坏账准备的详细情况" selectOptions="_buildInAppliance" controlType="CustomCheckbox" cRanges="[{&quot;StartName&quot;:&quot;_GBC_37434366d06a4e49b22522b1d88358dd&quot;,&quot;EndName&quot;:&quot;_SEC_bf8c9c72115249d0ae24858a46c41775&quot;,&quot;CType&quot;:1}]">
      <m:axisValue occRef="应收股利"/>
    </m:item>
    <m:section xlName="_SEC_bf8c9c72115249d0ae24858a46c41775" title="组合计提项目" tupleConcept="clcid-pte:AnZuHeJiTiHuaiZhangZhunBeiDeXiangXiMingXi" repeatable="1" headerRef="358" helpId="112001050">
      <m:axisValue occRef="应收股利"/>
    </m:section>
    <m:section xlName="_SEC_cce3905839dc4d6ea19cf81ee0af7e4b" title="坏账准备计提情况" headerRef="359" helpId="112001050"/>
    <m:section xlName="_SEC_ff5cad629068408799f5650de6d18979" title="坏账准备的情况" headerRef="360" helpId="112001050"/>
    <m:section xlName="_SEC_5d828ebb427e444da707ce439ad480e0" title="其中本期坏账准备收回或转回金额重要的" headerRef="360" helpId="112001050">
      <m:axisValue occRef="应收股利"/>
    </m:section>
    <m:section xlName="_SEC_918d3902ab7f4bc58530738be7a5c260" title="本期实际核销的应收股利情况" headerRef="361" helpId="112001050"/>
    <m:section xlName="_SEC_5dd71b6ee5e7434a9121bbc0060b5fb0" title="其中重要的应收股利核销情况" headerRef="361" helpId="112001050">
      <m:axisValue occRef="应收股利"/>
    </m:section>
    <m:section xlName="_GBC_3543035ac1594f0aaa966ebb907a6f0d" title="应收股利的说明" headerRef="361" convertSummaryRule="NoConvert" helpId="112001050"/>
    <m:section xlName="_SEC_59c1797238404acbb309d3cabb45702e" title="按账龄披露" headerRef="363" helpId="112001051" helpText="表里的“期末账面余额”指的是包含单项计提和组合计提的期末账面余额。"/>
    <m:section xlName="_GBC_84d520d656b8446b87c909f5ff2b545d" title="其他应收款按款项性质分类情况" rules="R2015_R11_006" headerRef="364" helpId="112001051"/>
    <m:section xlName="_SEC_5ff83398df8949c88f89340b5b0e52f6" title="坏账准备计提情况" headerRef="365" helpId="112001051" helpText="如存在坏账准备，应按照财政部企业会计准则第37号第83条规定，披露损失准备期初余额与期末余额的调节表"/>
    <m:section xlName="_SEC_7849289533db4e96add81004bc8b8e26" title="坏账准备的情况" headerRef="366" helpId="112001051"/>
    <m:section xlName="_SEC_c7b512866069406b8202b761cc645bc8" title="本期坏账准备转回或收回金额重要的" headerRef="366" helpId="112001051"/>
    <m:section xlName="_GBC_ca12851378c64f09a5335b8a527df46f" title="本报告期实际核销的其他应收款情况" rules="R2015_R11_006" headerRef="367" convertSummaryRule="NoConvert" helpId="112001051"/>
    <m:section xlName="_GBC_a83a3fc7866445d68738701d3998ac0b" title="按欠款方归集的期末余额其中前五名的其他应收款单位情况" rules="R2015_R11_006" headerRef="368" helpId="112001051"/>
    <m:section xlName="_SEC_1c58bc8760574788a64c13226568d4d4" title="因资金集中管理而列报于其他应收款 " headerRef="369" helpId="112001051"/>
    <m:section xlName="_GBC_de4246046d754793a6a2db96dd5bb245" title="其他应收款其他说明" rules="R2015_R11_006" headerRef="369" helpId="112001051"/>
    <m:section xlName="_GBC_1953ea50f68542df9fa36d84b994cf17" title="存货分类 " rules="R2015_R11_007" headerRef="371" convertSummaryRule="NoConvert" helpId="112001053" axisType="Column"/>
    <m:section xlName="_SEC_ea0da6bd0d2c478e8dec978906af6b21" title="确认为存货的数据资源" headerRef="372"/>
    <m:section xlName="_GBC_d00b46c41ac84794bd1f7b10e97923a0" title="存货跌价准备" rules="R2015_R11_007" headerRef="373" convertSummaryRule="NoConvert" helpId="112001053" helpText="注：说明确定可变现净值的具体依据及本期转回或转销存货跌价准备的原因。" axisType="Column"/>
    <m:section xlName="_SEC_06b6288b45644d34b15b9a65afd820ce" title="本期转回或转销存货跌价准备的原因  " headerRef="373" helpId="112001053"/>
    <m:section xlName="_SEC_e1c4b4d6cd8a41f493e3b74a0a74c2cb" title="按组合计提存货跌价准备  单位：元币种：人民币组合名称..." headerRef="373" helpId="112001053"/>
    <m:section xlName="_SEC_4f2c30a069004806a3a3fb2eb2452fc7" title="按组合计提存货跌价准备的计提标准  ___" headerRef="373" helpId="112001053"/>
    <m:section xlName="_GBC_dc559aaf0bf0428386e2f7f2cdeb43ec" title="存货期末余额含有借款费用资本化金额的说明：" rules="R2015_R11_007" headerRef="374" helpId="112001053"/>
    <m:section xlName="_SEC_8c46917973d94083a642ad0ca746d3cd" title="合同履约成本本期摊销金额的说明" headerRef="375" helpId="112001053"/>
    <m:section xlName="_SEC_96c2195df56b4f3eb6049f39e6923486" title="存货的其他说明" headerRef="375" helpId="112001053"/>
    <m:section xlName="_GBC_b8017c342539428893a6ec198dd061b3" title="划分为持有待售的资产" headerRef="376" helpId="112001055" helpText="企业应当按照《企业会计准则第42号——持有待售的非流动资产、处置组和终止经营》（财会〔2017〕13号）等规定，披露划分为持有待售类别的数据资源无形资产有关信息。\n注：说明划分为持有待售的资产的原因等。"/>
    <m:section xlName="_SEC_dbd8b443bc2d472ca3a90241f958114b" title="一年内到期的非流动资产" headerRef="377" helpId="112002269"/>
    <m:item xlName="_GBC_ed748eccf06845059b7b75fbb321c08e" headerRef="378" up="一年内到期的债权投资" concept="clcid-ci-ar:ShiFouShiYongYiNianNeiDaoQiDeZhaiQuanTouZi" label="是否适用：一年内到期的债权投资" selectOptions="_buildInAppliance" controlType="CustomCheckbox" cRanges="[{&quot;StartName&quot;:&quot;_GBC_ed748eccf06845059b7b75fbb321c08e&quot;,&quot;EndName&quot;:&quot;_SEC_d042825cbefd47cf84e253b4c6891fc8&quot;,&quot;CType&quot;:1}]"/>
    <m:section xlName="_SEC_39f1e39174ab4e07b2b9c6fab708b6de" title="一年内到期的债权投资情况" headerRef="379" helpId="112002269"/>
    <m:section xlName="_SEC_28254391fc4643aea4ff7f60a433e4a5" title="一年内到期的债权投资减值准备本期变动情况  单位：元币种..." headerRef="379" helpId="112002269">
      <m:axisValue occRef="一年内到期的债权投资"/>
      <m:axisValue occRef="一年内到期的其他债权投资"/>
      <m:axisValue occRef="债权投资"/>
      <m:axisValue occRef="其他债权投资"/>
    </m:section>
    <m:section xlName="_SEC_904de3ad5cbe4b719b3f3d7b6a127bd1" title="一年内到期的非流动资产期末重要的债权投资" headerRef="380" helpId="112002269"/>
    <m:section xlName="_SEC_e425664a289e46a3aa9d3a22a507f462" title="一年内到期的债权投资的减值准备计提情况" headerRef="381" helpId="112002269">
      <m:axisValue occRef="一年内到期的债权投资"/>
      <m:axisValue occRef="一年内到期的其他债权投资"/>
    </m:section>
    <m:section xlName="_SEC_76b7c4cd1d434c33a3be5908053f7051" title="本期减值准备计提金额以及评估金融工具的信用风险是否显著增加的..." headerRef="381" helpId="112002269">
      <m:axisValue occRef="一年内到期的债权投资"/>
      <m:axisValue occRef="一年内到期的其他债权投资"/>
    </m:section>
    <m:section xlName="_SEC_2fee3a86c12a495f95fcf37d4d35b7ef" title="本期实际核销的一年内到期的债权投资情况" headerRef="382" helpId="112002269"/>
    <m:section xlName="_SEC_23536a7cef02401eba5e128f1a9376b5" title="其中重要的一年内到期的债权投资的核销情况 " headerRef="382" helpId="112002269">
      <m:axisValue occRef="一年内到期的债权投资"/>
      <m:axisValue occRef="一年内到期的其他债权投资"/>
      <m:axisValue occRef="债权投资"/>
      <m:axisValue occRef="其他债权投资"/>
    </m:section>
    <m:section xlName="_SEC_d042825cbefd47cf84e253b4c6891fc8" title="其他说明 " headerRef="382" helpId="112002269"/>
    <m:item xlName="_GBC_4fffef07e644478cae129eff5661f608" headerRef="383" up="一年内到期的其他债权投资" concept="clcid-ci-ar:ShiFouShiYongYiNianNeiDaoQiDeQiTaZhaiQuanTouZi" label="是否适用：一年内到期的其他债权投资" selectOptions="_buildInAppliance" controlType="CustomCheckbox" cRanges="[{&quot;StartName&quot;:&quot;_GBC_4fffef07e644478cae129eff5661f608&quot;,&quot;EndName&quot;:&quot;_SEC_b78d5344fc5c4cb5a6bde20882705a89&quot;,&quot;CType&quot;:1}]"/>
    <m:section xlName="_SEC_22990f1e7af94869b0fbac47401ea617" title="一年内到期的其他债权投资情况" headerRef="384" helpId="112002269"/>
    <m:section xlName="_SEC_756850893c8e4f4da521cd021c2d4443" title="一年内到期的债权投资减值准备本期变动情况" headerRef="384" helpId="112002269">
      <m:axisValue occRef="一年内到期的债权投资"/>
      <m:axisValue occRef="一年内到期的其他债权投资"/>
      <m:axisValue occRef="债权投资"/>
      <m:axisValue occRef="其他债权投资"/>
    </m:section>
    <m:section xlName="_SEC_3cd7fe0fbf3a43cca3cccee5448ced1e" title="期末重要的一年内到期的其他债权投资  单位：元 币种：人..." headerRef="385" helpId="112002269"/>
    <m:section xlName="_SEC_0ee8c481fefd4fd1950720b5fa46d118" title="一年内到期的其他债权投资的减值准备计提情况" headerRef="386" helpId="112002269">
      <m:axisValue occRef="一年内到期的债权投资"/>
      <m:axisValue occRef="一年内到期的其他债权投资"/>
    </m:section>
    <m:section xlName="_SEC_e0233feae2ae424a8f685639047bc7cd" title="本期减值准备计提金额以及评估金融工具的信用风险是否显著增加的..." headerRef="386" helpId="112002269">
      <m:axisValue occRef="一年内到期的债权投资"/>
      <m:axisValue occRef="一年内到期的其他债权投资"/>
    </m:section>
    <m:section xlName="_SEC_64077e8b6cdb42a7a3c728e7774007ed" title="本期实际核销的一年内到期的其他债权投资情况" headerRef="387" helpId="112002269"/>
    <m:section xlName="_SEC_2bb2fa8912ff4c7c8354413711ab986c" title="其中重要的一年内到期的债权投资的核销情况 " headerRef="387" helpId="112002269">
      <m:axisValue occRef="一年内到期的债权投资"/>
      <m:axisValue occRef="一年内到期的其他债权投资"/>
    </m:section>
    <m:section xlName="_SEC_b78d5344fc5c4cb5a6bde20882705a89" title="其他说明" headerRef="387" helpId="112002269">
      <m:axisValue occRef="一年内到期的其他债权投资"/>
    </m:section>
    <m:section xlName="_SEC_744e256464b14d4d97c35dc1e5e2405c" title="一年内到期的非流动资产其他说明" headerRef="387" helpId="112002269"/>
    <m:section xlName="_GBC_e29fd29bee934fc3ab8325cf3625b905" title="其他流动资产" rules="R2015_R11_008" headerRef="388" helpId="112002272"/>
    <m:section xlName="_SEC_949cb4eb7a744418a5a5c6266b7029c9" title="债权投资债权投资情况" headerRef="389" helpId="112001057"/>
    <m:section xlName="_SEC_1a87d44858e0409e959095bd8463fb27" title="债权投资减值准备本期变动情况  单位：元币种..." headerRef="390" helpId="112001057">
      <m:axisValue occRef="一年内到期的债权投资"/>
      <m:axisValue occRef="一年内到期的其他债权投资"/>
      <m:axisValue occRef="债权投资"/>
      <m:axisValue occRef="其他债权投资"/>
    </m:section>
    <m:section xlName="_SEC_57ae6e89921c46d1ae9f8e69cdc2b4ab" title="期末重要的债权投资" headerRef="391" helpId="112001057"/>
    <m:section xlName="_SEC_bff86b17d4774a4a9f8a3329635b5429" title="减值准备计提情况" headerRef="392" helpId="112001057"/>
    <m:section xlName="_SEC_521886b28c8b4c10be77dbf48e5a1ca9" title="本期实际的核销债权投资情况" headerRef="393" helpId="112001057"/>
    <m:section xlName="_SEC_ffcb8eb3b5084d1eb5088577a0db748e" title="其中重要的债权投资的核销情况 " headerRef="393" helpId="112001057">
      <m:axisValue occRef="一年内到期的债权投资"/>
      <m:axisValue occRef="一年内到期的其他债权投资"/>
      <m:axisValue occRef="债权投资"/>
      <m:axisValue occRef="其他债权投资"/>
    </m:section>
    <m:section xlName="_SEC_669c12f4634f476da12e8828ee348501" title="" headerRef="393" helpId="112001057"/>
    <m:section xlName="_SEC_715ae48b76e04c4997ebf3f4be7dd37e" title="其他债权投资情况" headerRef="394" helpId="112001058"/>
    <m:section xlName="_SEC_603c2d24f1dc40448de4d279e85dbf6b" title="其他债权投资减值准备本期变动情况  单位：元币种..." headerRef="395" helpId="112001058">
      <m:axisValue occRef="一年内到期的债权投资"/>
      <m:axisValue occRef="一年内到期的其他债权投资"/>
      <m:axisValue occRef="债权投资"/>
      <m:axisValue occRef="其他债权投资"/>
    </m:section>
    <m:section xlName="_SEC_d26a416206fd4897bf57b05069b5e5f6" title="期末重要的其他债权投资" headerRef="396" helpId="112001058"/>
    <m:section xlName="_SEC_a18c2d8250c64daf904816a57fe286bd" title="减值准备计提情况" headerRef="397" helpId="112001058"/>
    <m:section xlName="_SEC_b66b91d8022d4effac38beecbf9956e3" title="本期实际核销的其他债权投资情况" headerRef="398" helpId="112001058"/>
    <m:section xlName="_SEC_61ef436f99f84243a58411b54b1bf890" title="其中重要的其他债权投资的核销情况 " headerRef="398" helpId="112001058">
      <m:axisValue occRef="一年内到期的债权投资"/>
      <m:axisValue occRef="一年内到期的其他债权投资"/>
      <m:axisValue occRef="债权投资"/>
      <m:axisValue occRef="其他债权投资"/>
    </m:section>
    <m:section xlName="_SEC_a6d7d62dd24747a08e0a132cf37e100c" title="其他说明：" headerRef="398" helpId="112001058"/>
    <m:section xlName="_GBC_2642a454002a499399e1b643b91ef1ad" title="长期应收款" rules="R2015_R11_009" headerRef="400" helpId="112001061"/>
    <m:section xlName="_SEC_677d06412bc54d80a1e1c315047edb2d" title="按坏账计提方法分类披露" headerRef="401" helpId="112001061">
      <m:axisValue occRef="合同资产"/>
      <m:axisValue occRef="长期应收款"/>
    </m:section>
    <m:section xlName="_SEC_cc5139ab22f449a8bac68465ebcc2c9a" title="按单项计提坏账准备：  单位：元币种：人民币名称 期..." headerRef="401" helpId="112001061">
      <m:axisValue occRef="合同资产"/>
      <m:axisValue occRef="长期应收款"/>
    </m:section>
    <m:item xlName="_GBC_555a40ceb7d348a0a16b652ac8e1178a" headerRef="401" up="按组合计提坏账准备：" concept="clcid-ci-ar:ShiFouShiYongAnZuHeJiTiHuaiZhangZhunBeiDeXiangXiQingKuang" label="是否适用：按组合计提坏账准备的详细情况" selectOptions="_buildInAppliance" controlType="CustomCheckbox" cRanges="[{&quot;StartName&quot;:&quot;_GBC_555a40ceb7d348a0a16b652ac8e1178a&quot;,&quot;EndName&quot;:&quot;_SEC_2478fb544ee941deb728fafe76a7d1be&quot;,&quot;CType&quot;:1}]">
      <m:axisValue occRef="长期应收款"/>
    </m:item>
    <m:section xlName="_SEC_2478fb544ee941deb728fafe76a7d1be" title="组合计提项目" tupleConcept="clcid-pte:AnZuHeJiTiHuaiZhangZhunBeiDeXiangXiMingXi" repeatable="1" headerRef="401" helpId="112001061">
      <m:axisValue occRef="合同资产"/>
      <m:axisValue occRef="长期应收款"/>
    </m:section>
    <m:section xlName="_SEC_a0520f64d4bd49e5a3638a0386a233ee" title="坏账准备计提情况" headerRef="401" helpId="112001061"/>
    <m:section xlName="_SEC_6277fd9ac8dc4fd683276214c0ea87d3" title="坏账准备的情况" headerRef="402" helpId="112001061"/>
    <m:section xlName="_SEC_0e294835c7a44e64a546aacdcd871d63" title="长期应收款其中本期坏账准备收回或转回金额重要的" headerRef="402" helpId="112001061">
      <m:axisValue occRef="合同资产"/>
      <m:axisValue occRef="长期应收款"/>
    </m:section>
    <m:section xlName="_SEC_dbf6f18a3a664f2ea79e9eb7f7d0f1a5" title="本期实际核销的长期应收款情况" headerRef="403" helpId="112001061"/>
    <m:section xlName="_SEC_bc7c1f08d9dc46d4b18f6800d8e6559f" title="其中重要的长期应收款核销情况 " headerRef="403" helpId="112001061">
      <m:axisValue occRef="合同资产"/>
      <m:axisValue occRef="长期应收款"/>
    </m:section>
    <m:section xlName="_GBC_2a6246644ca84dfdb1b5ecc95ea5c0c2" title="长期应收款的其他说明" rules="R2015_R11_009" headerRef="403" helpId="112001061"/>
    <m:item xlName="_GBC_bafa2cb2262c4c4ebc4eed8f4e4a81c6" headerRef="405" up="长期股权投资情况" concept="clcid-ci-ar:ShiFouShiYongChangQiGuQuanTouZi" label="是否适用：长期股权投资" selectOptions="_buildInAppliance" controlType="CustomCheckbox" cRanges="{&quot;StartName&quot;:&quot;_GBC_bafa2cb2262c4c4ebc4eed8f4e4a81c6&quot;,&quot;EndName&quot;:&quot;_GBC_e68906ccea2845f1856fe89f4de6c229&quot;,&quot;CType&quot;:1,&quot;DisplayText&quot;:null}"/>
    <m:section xlName="_GBC_e68906ccea2845f1856fe89f4de6c229" title="长期股权投资" rules="R2015_R11_010" headerRef="405" helpId="112001063"/>
    <m:item xlName="_GBC_c736c8a0ce06478bb4d52ef30b7043c8" headerRef="406" up="长期股权投资的减值测试情况" concept="clcid-ci-ar:ShiFouShiYongJianZhiCeShiQingKuang" label="是否适用：减值测试情况" selectOptions="_buildInAppliance" controlType="CustomCheckbox" cRanges="[{&quot;StartName&quot;:&quot;_GBC_c736c8a0ce06478bb4d52ef30b7043c8&quot;,&quot;EndName&quot;:&quot;_SEC_56d24c02504f4a8a8676c53fdded27ce&quot;,&quot;CType&quot;:1}]">
      <m:axisValue occRef="长期股权投资"/>
    </m:item>
    <m:section xlName="_SEC_0a174fdc5c7d48809c1d711c76d9ba8a" title="可收回金额按公允价值减去处置费用后的净额确定" headerRef="407" helpId="112001063">
      <m:axisValue occRef="长期股权投资"/>
      <m:axisValue occRef="母公司"/>
    </m:section>
    <m:section xlName="_SEC_0e4d4221660a4a80a54e3296f02262c3" title="可收回金额按预计未来现金流量的现值确定" headerRef="408" helpId="112001063">
      <m:axisValue occRef="长期股权投资"/>
      <m:axisValue occRef="母公司"/>
    </m:section>
    <m:section xlName="_SEC_2876f6f79eb34152b3b96723e77f2cce" title="前述信息与以前年度减值测试采用的信息或外部信息明显不一致的差..." headerRef="409" helpId="112001063">
      <m:axisValue occRef="长期股权投资"/>
      <m:axisValue occRef="母公司"/>
    </m:section>
    <m:section xlName="_SEC_56d24c02504f4a8a8676c53fdded27ce" title="公司以前年度减值测试采用信息与当年实际情况明显不一致的差异原..." headerRef="410" helpId="112001063">
      <m:axisValue occRef="长期股权投资"/>
      <m:axisValue occRef="母公司"/>
    </m:section>
    <m:section xlName="_SEC_43b46610901442f38169529110b4d1ca" title="" headerRef="410"/>
    <m:section xlName="_SEC_cd316123938740ec921ccd61703a59f5" title="其他权益工具投资情况" headerRef="411" helpId="112001059"/>
    <m:section xlName="_SEC_c9055ca12ca24c51b5df8004a6efb8fa" title="本期存在终止确认的情况说明  单位：元币种：人民币项目..." headerRef="413" helpId="112001059"/>
    <m:section xlName="_SEC_e3d4d5136ad847a0a66a1c4edca28c29" title="其他说明：" headerRef="413" orient="landscape" helpId="112001059"/>
    <m:section xlName="_SEC_6895bb6903584ff780f3500311ed1560" title="其他非流动金融资产" headerRef="414"/>
    <m:section xlName="_GBC_f6dac261d9a74df7a48db85ed7768fd1" title="成本计量模式" rules="R2015_R11_011" checkKey="!公允价值计量" headerRef="416" convertSummaryRule="NoConvert" helpId="112001064" primarySection="_GBC_f6dac261d9a74df7a48db85ed7768fd1" optionText="成本计量模式" activeContentOption="_GBC_3910517a603f4979b551ec278644d4e0" optionGroupTitle="投资性房地产计量模式" optionTargetConcept="clcid-pte:TouZiXingFangDiChanJiLiangMoShi" optionTargetConceptValue="成本计量模式" afterEmptyParagraphs="1"/>
    <m:item xlName="_GBC_14e138c3da48491787bccf21877f5a28" headerRef="418" up="采用成本计量模式的投资性房地产的减值测试情况" concept="clcid-ci-ar:ShiFouShiYongJianZhiCeShiQingKuang" label="是否适用：减值测试情况" selectOptions="_buildInAppliance" controlType="CustomCheckbox" helpText="减值测试情况仅适用于采用成本计量模式的投资性房地产，采用公允价值计量模式的投资性房地产或者不适用的，请手动删除，删除方法：双击“采用成本计量模式的投资性房地产的减值测试情况”下方的不适用。" cRanges="[{&quot;StartName&quot;:&quot;_GBC_14e138c3da48491787bccf21877f5a28&quot;,&quot;EndName&quot;:&quot;_SEC_86740bbfa4e94364a59be0de1e90da83&quot;,&quot;CType&quot;:1}]">
      <m:axisValue occRef="投资性房地产"/>
    </m:item>
    <m:section xlName="_SEC_95447f1ab4fa4aec91376142aaa92050" title="可收回金额按公允价值减去处置费用后的净额确定" headerRef="419"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m:axisValue occRef="投资性房地产"/>
    </m:section>
    <m:section xlName="_SEC_6285864112634a7688006d7f773301eb" title="可收回金额按预计未来现金流量的现值确定" headerRef="420"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m:axisValue occRef="投资性房地产"/>
    </m:section>
    <m:section xlName="_SEC_cf50dba5d5e24b8db5c2841a4dee6489" title="前述信息与以前年度减值测试采用的信息或外部信息明显不一致的差..." headerRef="421"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m:axisValue occRef="投资性房地产"/>
    </m:section>
    <m:section xlName="_SEC_86740bbfa4e94364a59be0de1e90da83" title="公司以前年度减值测试采用信息与当年实际情况明显不一致的差异原..." headerRef="422"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m:axisValue occRef="投资性房地产"/>
    </m:section>
    <m:section xlName="_SEC_3edd44fe2cb04e7886b542d771d4e134" title="" headerRef="422" helpText="减值测试情况仅适用于采用成本计量模式的投资性房地产，采用公允价值计量模式的投资性房地产或者不适用的，请手动删除，删除方法：双击“采用成本计量模式的投资性房地产的减值测试情况”下方的不适用。"/>
    <m:section xlName="_GBC_528a899f5044443fa0dd6606f304d80d" title="公允价值计量模式" rules="R2015_R11_011" checkKey="!成本计量" headerRef="423" convertSummaryRule="NoConvert" helpId="112001064" primarySection="_GBC_f6dac261d9a74df7a48db85ed7768fd1" optionText="公允价值计量模式" optionGroupTitle="投资性房地产计量模式" optionTargetConcept="clcid-pte:TouZiXingFangDiChanJiLiangMoShi" optionTargetConceptValue="公允价值计量模式"/>
    <m:section xlName="_GBC_3910517a603f4979b551ec278644d4e0" title="不适用" checkKey="!公允价值计量&amp;!成本计量" headerRef="425" primarySection="_GBC_f6dac261d9a74df7a48db85ed7768fd1" optionText="不适用" optionGroupTitle="投资性房地产计量模式" optionTargetConcept="clcid-pte:TouZiXingFangDiChanJiLiangMoShi" optionTargetConceptValue="不适用"/>
    <m:section xlName="_SEC_d216074d2ae442239dbb6f5f9b7a5d89" title="固定资产项目列示" headerRef="427"/>
    <m:section xlName="_GBC_6b764c2f9af049ba98fb55c66fe083a9" title="固定资产情况" rules="R2015_R11_012" headerRef="429" convertSummaryRule="NoConvert" helpId="112001065" helpText="注：公司根据自身实际情况确定类别，一般包括房屋及建筑物、机器设备、电子设备、运输设备等。">
      <m:virtualTuples>
        <m:virtualTuple id="bdf0d8d4-7913-40b3-bfd4-fd60241cfc86" tupleRef="clcid-pte:GuDingZiChanQingKuangMingXi" defaultRows="4" extendDirection="2" splitWidth="1"/>
      </m:virtualTuples>
    </m:section>
    <m:section xlName="_GBC_77e89169b7ab4fccae8cff3d8a125711" title="暂时闲置的固定资产情况" rules="R2015_R11_012" headerRef="430" convertSummaryRule="NoConvert" helpId="112001065"/>
    <m:section xlName="_GBC_06e38c241c8a43a99fdd68c92888bab1" title="通过经营租赁租出的固定资产" rules="R2015_R11_012" headerRef="431" helpId="112001065" helpText="未执行新租赁准则的公司填写。"/>
    <m:section xlName="_GBC_5b357259936442c38f67f17b533c7085" title="未办妥产权证书的固定资产情况" rules="R2015_R11_012" headerRef="432" convertSummaryRule="NoConvert" helpId="112001065"/>
    <m:item xlName="_GBC_9a66caee6756422c9cb01da54631670e" headerRef="433" up="固定资产的减值测试情况" concept="clcid-ci-ar:ShiFouShiYongJianZhiCeShiQingKuang" label="是否适用：减值测试情况" selectOptions="_buildInAppliance" controlType="CustomCheckbox" cRanges="[{&quot;StartName&quot;:&quot;_GBC_9a66caee6756422c9cb01da54631670e&quot;,&quot;EndName&quot;:&quot;_SEC_3766642b8ed048e7a1b5fe6a63ec3b63&quot;,&quot;CType&quot;:1}]">
      <m:axisValue occRef="固定资产"/>
    </m:item>
    <m:section xlName="_SEC_e565856d06374184b0128fde0ef05842" title="可收回金额按公允价值减去处置费用后的净额确定" headerRef="434" helpId="112001065">
      <m:axisValue occRef="固定资产"/>
    </m:section>
    <m:section xlName="_SEC_713a431386524412af8474497588c82c" title="可收回金额按预计未来现金流量的现值确定" headerRef="435" helpId="112001065">
      <m:axisValue occRef="固定资产"/>
    </m:section>
    <m:section xlName="_SEC_fbc44acbcda745aa9b026082e71ef4d9" title="前述信息与以前年度减值测试采用的信息或外部信息明显不一致的差..." headerRef="436" helpId="112001065">
      <m:axisValue occRef="固定资产"/>
    </m:section>
    <m:section xlName="_SEC_3766642b8ed048e7a1b5fe6a63ec3b63" title="公司以前年度减值测试采用信息与当年实际情况明显不一致的差异原..." headerRef="437" helpId="112001065">
      <m:axisValue occRef="固定资产"/>
    </m:section>
    <m:section xlName="_GBC_c93a179f84504ae59ee71556bc9afb64" title="固定资产说明" rules="R2015_R11_012" headerRef="437" convertSummaryRule="NoConvert" helpId="112001065"/>
    <m:section xlName="_GBC_0de4677cdcb54eaa8c2b2afa938f1054" title="固定资产清理" headerRef="438"/>
    <m:section xlName="_SEC_5259769a5b954eaaa39f8ab4268be07c" title="在建工程项目列示" headerRef="440"/>
    <m:section xlName="_GBC_88cd7483eb15414d84d17f5cc1a4bf78" title="在建工程情况" rules="R2015_R11_012" headerRef="442" convertSummaryRule="NoConvert" helpId="112001067"/>
    <m:section xlName="_GBC_b1eb75f465d7494995f17407201cfca9" title="重大在建工程项目变动情况" rules="R2015_R11_012" headerRef="443" convertSummaryRule="NoConvert" helpId="112001067" helpText="注：资金来源，一般包括募股资金、金融机构贷款和其他来源等。"/>
    <m:section xlName="_SEC_b381f285b0124fbaa1cdaa9d7cd6d93a" title="在建工程减值准备" rules="R2015_R11_012" headerRef="444" convertSummaryRule="NoConvert" helpId="112001067"/>
    <m:item xlName="_GBC_f6d4bcf1dee14a709974326281981b12" headerRef="445" up="在建工程的减值测试情况" concept="clcid-ci-ar:ShiFouShiYongJianZhiCeShiQingKuang" label="是否适用：减值测试情况" selectOptions="_buildInAppliance" controlType="CustomCheckbox" cRanges="[{&quot;StartName&quot;:&quot;_GBC_f6d4bcf1dee14a709974326281981b12&quot;,&quot;EndName&quot;:&quot;_SEC_b46390f610c64619936db407e5835ea1&quot;,&quot;CType&quot;:1}]">
      <m:axisValue occRef="在建工程"/>
    </m:item>
    <m:section xlName="_SEC_3201c8866808401db639cc2771e1c670" title="可收回金额按公允价值减去处置费用后的净额确定" headerRef="446" helpId="112001067">
      <m:axisValue occRef="在建工程"/>
    </m:section>
    <m:section xlName="_SEC_5fab5c9d4d144176b70ef763748d7a2e" title="可收回金额按预计未来现金流量的现值确定" headerRef="447" helpId="112001067">
      <m:axisValue occRef="在建工程"/>
    </m:section>
    <m:section xlName="_SEC_b1e11a250c2847a083a7929766535c0d" title="前述信息与以前年度减值测试采用的信息或外部信息明显不一致的差..." headerRef="448" helpId="112001067">
      <m:axisValue occRef="在建工程"/>
    </m:section>
    <m:section xlName="_SEC_b46390f610c64619936db407e5835ea1" title="公司以前年度减值测试采用信息与当年实际情况明显不一致的差异原..." headerRef="449" helpId="112001067">
      <m:axisValue occRef="在建工程"/>
    </m:section>
    <m:section xlName="_GBC_d5aec612c6334d1b8a827f3f39a2781d" title="在建工程的说明" rules="R2015_R11_012" headerRef="449" convertSummaryRule="NoConvert" helpId="112001067"/>
    <m:section xlName="_GBC_12c2ea8f308b49c7b5e2baae867f1ec7" title="工程物资" headerRef="450" convertSummaryRule="NoConvert" helpId="112001069"/>
    <m:section xlName="_GBC_e4aea5da03534f61818766a33b5ada09" title="采用成成本计量模式的生产性生物资产" headerRef="452" helpId="112001070">
      <m:virtualTuples>
        <m:virtualTuple id="5080c45b-c3e2-466e-8ce4-2a86227ee3da" tupleRef="clcid-pte:CaiYongChengBenJiLiangMoShiDeShengChanXingShengWuZiChanMingXi" defaultRows="8" extendDirection="2" splitWidth="1"/>
      </m:virtualTuples>
    </m:section>
    <m:item xlName="_GBC_9e260b0f45a84f50898aaf872db0ca84" headerRef="453" up="采用成本计量模式的生产性生物资产的减值测试情况" concept="clcid-ci-ar:ShiFouShiYongJianZhiCeShiQingKuang" label="是否适用：减值测试情况" selectOptions="_buildInAppliance" controlType="CustomCheckbox" cRanges="[{&quot;StartName&quot;:&quot;_GBC_9e260b0f45a84f50898aaf872db0ca84&quot;,&quot;EndName&quot;:&quot;_SEC_ee7f552f0cfe436183502e530d92c458&quot;,&quot;CType&quot;:1}]">
      <m:axisValue occRef="生产性生物资产"/>
    </m:item>
    <m:section xlName="_SEC_e34a6e21f8284a14895655d8cbbd4a0c" title="可收回金额按公允价值减去处置费用后的净额确定" headerRef="454" helpId="112001070">
      <m:axisValue occRef="生产性生物资产"/>
    </m:section>
    <m:section xlName="_SEC_d5bc4d80f72d433897c978ec3ec13d90" title="可收回金额按预计未来现金流量的现值确定" headerRef="455" helpId="112001070">
      <m:axisValue occRef="生产性生物资产"/>
    </m:section>
    <m:section xlName="_SEC_6a9bdae55c0548b3b641e5c9e51a1a55" title="前述信息与以前年度减值测试采用的信息或外部信息明显不一致的差..." headerRef="456" helpId="112001070">
      <m:axisValue occRef="生产性生物资产"/>
    </m:section>
    <m:section xlName="_SEC_ee7f552f0cfe436183502e530d92c458" title="公司以前年度减值测试采用信息与当年实际情况明显不一致的差异原..." headerRef="457" helpId="112001070">
      <m:axisValue occRef="生产性生物资产"/>
    </m:section>
    <m:section xlName="_GBC_c6f2d306944241a8a32f51421c437b66" title="采用公允价值计量模式的生产性生物资产" headerRef="458" helpId="112001070">
      <m:virtualTuples>
        <m:virtualTuple id="e6d9fec0-4b75-4442-afa4-5b5810eb6611" tupleRef="clcid-pte:CaiYongGongYunJiaZhiJiLiangMoShiDeShengChanXingShengWuZiChanMingXi" defaultRows="8" extendDirection="2" splitWidth="1"/>
      </m:virtualTuples>
    </m:section>
    <m:section xlName="_GBC_2bc189a19173429a899369a340bb8483" title="生产性生物资产的说明" headerRef="458" convertSummaryRule="NoConvert" helpId="112001070"/>
    <m:section xlName="_GBC_fe60430654f541aab1da59bd08202085" title="油气资产" headerRef="459" convertSummaryRule="NoConvert" helpId="112001071">
      <m:virtualTuples>
        <m:virtualTuple id="391f4d5d-e2bb-4e43-a73b-1a879022eeed" tupleRef="clcid-pte:YouQiZiChanMingXi" extendDirection="2" splitWidth="1"/>
      </m:virtualTuples>
    </m:section>
    <m:item xlName="_GBC_3d3afd59d9f741639537a668ab2d0ccf" headerRef="461" up="油气资产的减值测试情况" concept="clcid-ci-ar:ShiFouShiYongJianZhiCeShiQingKuang" label="是否适用：减值测试情况" selectOptions="_buildInAppliance" controlType="CustomCheckbox" cRanges="[{&quot;StartName&quot;:&quot;_GBC_3d3afd59d9f741639537a668ab2d0ccf&quot;,&quot;EndName&quot;:&quot;_SEC_f83763a685a745958904228b88bf4990&quot;,&quot;CType&quot;:1}]">
      <m:axisValue occRef="油气资产"/>
    </m:item>
    <m:section xlName="_SEC_a123788a0d8646699cf3ba94b6bc60aa" title="可收回金额按公允价值减去处置费用后的净额确定" headerRef="462" helpId="112001071">
      <m:axisValue occRef="油气资产"/>
    </m:section>
    <m:section xlName="_SEC_66c0f5190caa4463aca66c5cd4b32993" title="可收回金额按预计未来现金流量的现值确定" headerRef="463" helpId="112001071">
      <m:axisValue occRef="油气资产"/>
    </m:section>
    <m:section xlName="_SEC_6ca54465ede8432ab94c9c12b3b05a77" title="前述信息与以前年度减值测试采用的信息或外部信息明显不一致的差..." headerRef="464" helpId="112001071">
      <m:axisValue occRef="油气资产"/>
    </m:section>
    <m:section xlName="_SEC_f83763a685a745958904228b88bf4990" title="公司以前年度减值测试采用信息与当年实际情况明显不一致的差异原..." headerRef="465" helpId="112001071">
      <m:axisValue occRef="油气资产"/>
    </m:section>
    <m:section xlName="_SEC_e84ea8baed5f427281f9567ccf4fce73" title="" headerRef="465"/>
    <m:section xlName="_SEC_42126bf96c7241e38ff33aae0d98dae2" title="使用权资产" headerRef="466" tagAction="1" helpId="112001060">
      <m:virtualTuples>
        <m:virtualTuple id="06aa4ced-53cd-4ab4-88f8-025c43637847" tupleRef="clcid-pte:ShiYongQuanZiChanMingXi" extendDirection="2"/>
      </m:virtualTuples>
    </m:section>
    <m:item xlName="_GBC_d79f93753a2c43fc80991be4c588d144" headerRef="468" up="使用权资产的减值测试情况" concept="clcid-ci-ar:ShiFouShiYongJianZhiCeShiQingKuang" label="是否适用：减值测试情况" selectOptions="_buildInAppliance" controlType="CustomCheckbox" cRanges="[{&quot;StartName&quot;:&quot;_GBC_d79f93753a2c43fc80991be4c588d144&quot;,&quot;EndName&quot;:&quot;_SEC_2efe345077f34dc7b56c8b6dd09737d0&quot;,&quot;CType&quot;:1}]">
      <m:axisValue occRef="使用权资产"/>
    </m:item>
    <m:section xlName="_SEC_66982ba855cf475dbc8cade4c82ea78f" title="可收回金额按公允价值减去处置费用后的净额确定" headerRef="469" helpId="112001060">
      <m:axisValue occRef="使用权资产"/>
    </m:section>
    <m:section xlName="_SEC_7b67f63c7bda4ded9aeb5eccbcbf5448" title="可收回金额按预计未来现金流量的现值确定" headerRef="470" helpId="112001060">
      <m:axisValue occRef="使用权资产"/>
    </m:section>
    <m:section xlName="_SEC_3f9e651c30d340f7abad0cbb82380466" title="前述信息与以前年度减值测试采用的信息或外部信息明显不一致的差..." headerRef="471" helpId="112001060">
      <m:axisValue occRef="使用权资产"/>
    </m:section>
    <m:section xlName="_SEC_2efe345077f34dc7b56c8b6dd09737d0" title="公司以前年度减值测试采用信息与当年实际情况明显不一致的差异原..." headerRef="472" helpId="112001060">
      <m:axisValue occRef="使用权资产"/>
    </m:section>
    <m:section xlName="_SEC_5070aea807214dbd90520876987851ca" title="" headerRef="472" helpId="112001060"/>
    <m:item xlName="_GBC_0882d05501f84259b91efc5f2eae98cf" headerRef="474" up="无形资产情况" concept="clcid-ci-ar:ShiFouShiYongWuXingZiChanQingKuang" label="是否适用：无形资产情况" selectOptions="_buildInAppliance" controlType="CustomCheckbox" cRanges="{&quot;StartName&quot;:&quot;_GBC_0882d05501f84259b91efc5f2eae98cf&quot;,&quot;EndName&quot;:&quot;_GBC_799ffdb131784d33a2db94a85018c927&quot;,&quot;CType&quot;:1,&quot;DisplayText&quot;:null}"/>
    <m:section xlName="_GBC_799ffdb131784d33a2db94a85018c927" title="无形资产情况" rules="R2015_R11_013" headerRef="474" helpId="112001072">
      <m:virtualTuples>
        <m:virtualTuple id="dd625539-1bb3-40f2-b0d4-0097d3143f41" tupleRef="clcid-pte:WuXingZiChanMingXi" extendDirection="2" splitWidth="1"/>
      </m:virtualTuples>
    </m:section>
    <m:section xlName="_SEC_4286bf9a44474b9d8db2dc6464331cb7" title="确认为无形资产的数据资源" headerRef="475"/>
    <m:section xlName="_GBC_0daf5d1e7172402ab885ca5e5b78a389" title="未办妥产权证书的土地使用权情况：" rules="R2015_R11_013" headerRef="476" helpId="112001072"/>
    <m:item xlName="_GBC_6523dfc219a7467fb60857d0ff4fbd37" headerRef="477" up="无形资产的减值测试情况" concept="clcid-ci-ar:ShiFouShiYongJianZhiCeShiQingKuang" label="是否适用：减值测试情况" selectOptions="_buildInAppliance" controlType="CustomCheckbox" cRanges="[{&quot;StartName&quot;:&quot;_GBC_6523dfc219a7467fb60857d0ff4fbd37&quot;,&quot;EndName&quot;:&quot;_SEC_cf85eb8dfb4045928123b6c2e1643578&quot;,&quot;CType&quot;:1}]">
      <m:axisValue occRef="无形资产"/>
    </m:item>
    <m:section xlName="_SEC_38d3a053503345f48df315a347f2112c" title="可收回金额按公允价值减去处置费用后的净额确定" headerRef="478" helpId="112001072">
      <m:axisValue occRef="无形资产"/>
    </m:section>
    <m:section xlName="_SEC_b8d20578cfac42ecb639bf6fbee628e2" title="可收回金额按预计未来现金流量的现值确定" headerRef="479" helpId="112001072">
      <m:axisValue occRef="无形资产"/>
    </m:section>
    <m:section xlName="_SEC_e219e131009f41f9a2016c5cbf9bd063" title="前述信息与以前年度减值测试采用的信息或外部信息明显不一致的差..." headerRef="480" helpId="112001072">
      <m:axisValue occRef="无形资产"/>
    </m:section>
    <m:section xlName="_SEC_cf85eb8dfb4045928123b6c2e1643578" title="公司以前年度减值测试采用信息与当年实际情况明显不一致的差异原..." headerRef="481" helpId="112001072">
      <m:axisValue occRef="无形资产"/>
    </m:section>
    <m:section xlName="_GBC_c2d02a8bb1274cb1bf0330030cc64229" title="无形资产说明" rules="R2015_R11_013" headerRef="481" helpId="112001072"/>
    <m:section xlName="_SEC_0d13253f4b004ecdaea8960cfb92cf26" title="商誉账面原值" headerRef="483" helpId="112001075"/>
    <m:section xlName="_SEC_6fe538077d4746d4ba51a5610b4bd03b" title="商誉减值准备" headerRef="484" helpId="112001075"/>
    <m:section xlName="_SEC_ad8117fc791d472f816d77862f5dddb4" title="商誉所在资产组或资产组组合的相关信息  名称 所属资产..." headerRef="485" helpId="112001075"/>
    <m:section xlName="_SEC_58151e6228ce4a57b53a0b1abcc5a0a9" title="资产组或资产组组合发生变化  名称 变化前的构成 变..." headerRef="485" helpId="112001075"/>
    <m:section xlName="_SEC_18a69ff62df94142843ad78b7290472e" title="其他说明  " headerRef="485" helpId="112001075"/>
    <m:section xlName="_SEC_2f648d692d984e19aadb87773c563ba4" title="可收回金额按公允价值减去处置费用后的净额确定" headerRef="486" helpId="112001075">
      <m:axisValue occRef="商誉"/>
    </m:section>
    <m:section xlName="_SEC_2721f807202e48fabdc088f2bc6ee06e" title="可收回金额按预计未来现金流量的现值确定" headerRef="486" helpId="112001075">
      <m:axisValue occRef="商誉"/>
    </m:section>
    <m:section xlName="_SEC_702fa636abe24a5bad8a5822ba64893a" title="前述信息与以前年度减值测试采用的信息或外部信息明显不一致的差..." headerRef="486" helpId="112001075">
      <m:axisValue occRef="商誉"/>
    </m:section>
    <m:section xlName="_SEC_8704482859ed4b46ac6112fdc46ac26d" title="公司以前年度减值测试采用信息与当年实际情况明显不一致的差异原..." headerRef="486" helpId="112001075">
      <m:axisValue occRef="商誉"/>
    </m:section>
    <m:section xlName="_SEC_f50dbc62868f42b1bba55adf22761b01" title="业绩承诺完成及对应商誉减值情况形成商誉时存在业绩承诺且报告..." headerRef="487" helpId="112001075"/>
    <m:section xlName="_SEC_fd9f0a21b0c44e29ba84ddb7842fe32a" title="其他说明" headerRef="487"/>
    <m:section xlName="_GBC_c7f901dce89846cbbbab6c51c3213a6f" title="长期待摊费用" headerRef="488" convertSummaryRule="NoConvert" helpId="112001076"/>
    <m:section xlName="_SEC_24cb6110bf5143448478343c289c754e" title="未经抵销的递延所得税资产" headerRef="489" helpId="112001077"/>
    <m:section xlName="_SEC_022eb52f9e1542cbb5aaa5a287b8ee2a" title="未经抵销的递延所得税负债" headerRef="491" helpId="112001077"/>
    <m:section xlName="_SEC_393d53219fe44274aa0bc5257c75c762" title="以抵销后净额列示的递延所得税资产或负债" headerRef="492" helpId="112001077"/>
    <m:section xlName="_SEC_858c4743950048c4949e354ac068e8af" title="未确认递延所得税资产明细" headerRef="493" helpId="112001077"/>
    <m:section xlName="_SEC_a5f2b329395b406fa4b30b710f4a81e0" title="未确认递延所得税资产的可抵扣亏损将于以下年度到期" headerRef="494" helpId="112001077"/>
    <m:section xlName="_GBC_057749240d604d9ab0db94f6e505935f" title="递延所得税资产和递延所得税负债的说明" rules="R2015_R11_015" headerRef="494" convertSummaryRule="NoConvert" helpId="112001077"/>
    <m:section xlName="_GBC_b8db472f168c433c9cdb46a39ab78b50" title="其他非流动资产" rules="R2015_R11_016" headerRef="495" helpId="112001235"/>
    <m:section xlName="_SEC_a97d8d910214412e8d8459047fe06b94" title="所有权或使用权受到限制的资产" headerRef="496" helpId="112002306" helpText="1、应当披露所有权或使用权受到限制的数据资源无形资产，以及用于担保的数据资源无形资产的账面价值、当期摊销额等情况。\n2、应当披露所有权或使用权受到限制的数据资源存货，以及用于担保的数据资源存货的账面价值等情况。" axisType="Column"/>
    <m:section xlName="_GBC_7bd2428d8b3140c1a80e7a88bb928c1f" title="短期借款分类" headerRef="498" convertSummaryRule="NoConvert" helpId="112001079" axisType="Column"/>
    <m:section xlName="_GBC_ed2a6c31b7cf49cda098dbe4c44cf674" title="已到期未偿还的短期借款情况" headerRef="499" convertSummaryRule="NoConvert" helpId="112001079"/>
    <m:section xlName="_GBC_46c6d163213144f484acc37c597c42f6" title="短期借款的说明" headerRef="499" helpId="112001079"/>
    <m:section xlName="_SEC_f2a8047b67b94258bc29276832ced511" title="交易性金融负债" headerRef="500" helpId="112001080"/>
    <m:section xlName="_GBC_c6a901495ec44a7798e3a75ddb5e06bf" title="衍生金融负债" headerRef="501" helpId="112001081" helpText="注：说明衍生金融工具形成原因及相关会计处理等。"/>
    <m:item xlName="_GBC_57c67181b34944e782b23a48b1843e8f" headerRef="502" up="应付票据" concept="clcid-ci-ar:ShiFouShiYongYingFuPiaoJu" label="是否适用：应付票据" selectOptions="_buildInAppliance" controlType="CustomCheckbox" cRanges="[{&quot;StartName&quot;:&quot;_GBC_57c67181b34944e782b23a48b1843e8f&quot;,&quot;EndName&quot;:&quot;_SEC_a4b116c3ef20487f88d23464626b8bb5&quot;,&quot;CType&quot;:1}]"/>
    <m:section xlName="_SEC_a4b116c3ef20487f88d23464626b8bb5" title="商业承兑汇票" headerRef="502" helpId="112001083"/>
    <m:section xlName="_GBC_0f1b98b90c3845e1a1ad65786460f84b" title="应付账款情况" rules="R2015_R11_018" headerRef="504" convertSummaryRule="NoConvert" helpId="112001084"/>
    <m:section xlName="_GBC_5fffbd1416eb408d959645d37f190cf5" title="重要的账龄超过1年的应付账款" rules="R2015_R11_018" headerRef="505" helpId="112001084"/>
    <m:section xlName="_GBC_aecd44efc3ea456b9149dd662d0a5085" title="应付账款的其他说明" rules="R2015_R11_018" headerRef="505" convertSummaryRule="NoConvert" helpId="112001084"/>
    <m:section xlName="_GBC_d7dac18f0444439d83469555857c3195" title="预收账款情况" headerRef="507" convertSummaryRule="NoConvert" helpId="112002200"/>
    <m:section xlName="_GBC_59300802f7ac43e3ab1ce4a570fb0267" title="账龄超过1年的重要预收款项" headerRef="508" helpId="112002200"/>
    <m:section xlName="_SEC_e82c3ab4c94e42259deb54d8b6083101" title="报告期内账面价值发生重大变动的金额和原因  单位：元 币..." headerRef="509" helpId="112002200"/>
    <m:section xlName="_GBC_3b693e8055374a80821823cdad74f225" title="账龄超过1年的大额预收款项情况的说明" headerRef="509" convertSummaryRule="NoConvert" helpId="112002200"/>
    <m:section xlName="_SEC_c98a59ac0d184ea5b3b590c23bf7ff8d" title="合同负债" headerRef="510" helpId="112002281"/>
    <m:section xlName="_SEC_4460fbb7bed54524a745325e3da992a1" title="账龄超过1年的重要合同负债  单位：元币种：人民币项目..." headerRef="512" helpId="112002281"/>
    <m:section xlName="_SEC_c824c488dbc74824b379bb9187c7bdf0" title="报告期内账面价值发生重大变动的金额和原因" headerRef="513" helpId="112002281"/>
    <m:section xlName="_SEC_1910d69cccc04d3fb0422784d0b1dd58" title="其他说明：" headerRef="513" helpId="112002281"/>
    <m:section xlName="_GBC_fa609950067149f1a5c0a6c3ba353431" title="应付职工薪酬列示：" headerRef="515" helpId="112001085"/>
    <m:section xlName="_GBC_8889528627cf49dfa80ba4d972a53405" title="短期薪酬列示" headerRef="516" helpId="112001085"/>
    <m:section xlName="_GBC_b98ebc9fce454755bd30d763bee0283a" title="设定提存计划列示" headerRef="517" helpId="112001085"/>
    <m:section xlName="_GBC_9173eff793e04226ba65f69088a27313" title="应付职工薪酬说明" headerRef="517" helpId="112001085"/>
    <m:section xlName="_GBC_50fc9ef51868432e98c401f69097dfc6" title="应交税费" headerRef="518" convertSummaryRule="NoConvert" helpId="112001086" axisType="Column"/>
    <m:section xlName="_SEC_91b63eaccd3b4791a7db86166a2d97cb" title="其他应付款分类列示" headerRef="520" helpId="112001089"/>
    <m:section xlName="_SEC_60feb8ef6f7c4655a263f50d12c222d8" title="应付利息" headerRef="521" helpId="112001087"/>
    <m:section xlName="_SEC_454db7ed64ca40e48e42eb6c38ae54ca" title="应付股利" headerRef="522" helpId="112001088"/>
    <m:section xlName="_SEC_df361e68406f49208d47d08674984872" title="按款项性质列示其他应付款" headerRef="523" helpId="112001089"/>
    <m:section xlName="_SEC_83408720712d4902a68e6c9ddd4c67ae" title="账龄超过1年的重要其他应付款" headerRef="523" helpId="112001089"/>
    <m:section xlName="_SEC_b03fcb02b4b747249703cbc2e0a127fd" title="其他说明" headerRef="523" helpId="112001089"/>
    <m:section xlName="_GBC_b863defdccbc448695ee82953f3da273" title="划分为持有待售的负债" headerRef="524" helpId="112001091" helpText="注：说明划分为持有待售的负债的原因等。"/>
    <m:section xlName="_GBC_d5b7f9c02d494f85b85a36713895b9f8" title="1年内到期的非流动负债" headerRef="525" helpId="112001092"/>
    <m:item xlName="_GBC_80907e3e53c44260b850f42646eb3d63" headerRef="526" up="其他流动负债" concept="clcid-ci-ar:ShiFouShiYongQiTaLiuDongFuZhaiQingKuang" label="是否适用：其他流动负债情况 " selectOptions="_buildInAppliance" controlType="CustomCheckbox" cRanges="[{&quot;StartName&quot;:&quot;_GBC_80907e3e53c44260b850f42646eb3d63&quot;,&quot;EndName&quot;:&quot;_GBC_b1cb6faf7bad41e4868a075c1a423566&quot;,&quot;CType&quot;:1}]"/>
    <m:section xlName="_SEC_56be6eded8da4d0d9ac5c3624a91cdc6" title="其他流动负债" headerRef="526" helpId="112001093"/>
    <m:section xlName="_SEC_6226fe3c90c0484c9259178938031584" title="短期应付债券的增减变动" headerRef="526" convertSummaryRule="NoConvert" helpId="112001093"/>
    <m:section xlName="_GBC_b1cb6faf7bad41e4868a075c1a423566" title="其他流动负债说明" headerRef="526" helpId="112001093"/>
    <m:section xlName="_GBC_8b6acb9acc4745f09cf8ff1a98787eb9" title="长期借款分类 " headerRef="528" convertSummaryRule="NoConvert" helpId="112001094" axisType="Column"/>
    <m:section xlName="_GBC_7195bfed3c6d4a6fb2b17f01aa73f311" title="长期借款的说明" headerRef="528" helpId="112001094"/>
    <m:section xlName="_GBC_cd8e29427b9b4eecb46188c744528e27" title="应付债券" headerRef="530" helpId="112001095"/>
    <m:section xlName="_SEC_69d7c6c2b0fc4bd9b880a456523c61cd" title="应付债券的增减变动" headerRef="531" helpId="112001095">
      <m:virtualTuples>
        <m:virtualTuple id="05b1f0af-c01f-4fce-96b8-29a3faf0470e" tupleRef="clcid-pte:YingFuZhaiQuanMingXi" defaultRows="0" extendDirection="2"/>
      </m:virtualTuples>
    </m:section>
    <m:section xlName="_SEC_0d9de70c755e4939995c0e6cbbc104e1" title="可转换公司债券的说明" headerRef="532" helpId="112001095"/>
    <m:section xlName="_SEC_8ec97182697c4b739248bc1b21675e92" title="转股权会计处理及判断依据" headerRef="532" helpId="112001095"/>
    <m:section xlName="_GBC_d031ed2380884bb4aa3cb2efb2740308" title="划分为金融负债的其他金融工具说明" headerRef="533" helpId="112001095"/>
    <m:section xlName="_GBC_32fb23173d7a4a4fa8cb056982254a59" title="应付债券其他说明" headerRef="533" helpId="112001095"/>
    <m:section xlName="_SEC_6bd3f432494344eb8aaf6d133dbbfdc8" title="租赁负债" headerRef="534" helpId="112002270" helpText="按租赁负债年限分类列示"/>
    <m:section xlName="_SEC_c0e96ee0f49e415f98873dfb1c798446" title="项目列示" headerRef="536" helpId="112001096"/>
    <m:section xlName="_SEC_1ac73daea3484386b92787e79e677fbb" title="长期应付款" headerRef="537" helpId="112001096"/>
    <m:section xlName="_GBC_6847689be8c1493eb5db4e6dbab0fdbe" title="专项应付款" headerRef="538" convertSummaryRule="NoConvert" helpId="112001096"/>
    <m:item xlName="_GBC_077559b601814bb38f16734f98e8c045" headerRef="539" up="长期应付职工薪酬" concept="clcid-ci-ar:ShiFouShiYongChangQiYingFuZhiGongXinChou" label="是否适用：长期应付职工薪酬" selectOptions="_buildInAppliance" controlType="CustomCheckbox" cRanges="{&quot;StartName&quot;:&quot;_GBC_077559b601814bb38f16734f98e8c045&quot;,&quot;EndName&quot;:&quot;_GBC_9d7ebc39babc43788a550e83deca7fdc&quot;,&quot;CType&quot;:1,&quot;DisplayText&quot;:null}"/>
    <m:section xlName="_GBC_8af4eec42fcd4a7a8402661c45277cf7" title="长期应付职工薪酬" headerRef="540" helpId="112001097"/>
    <m:section xlName="_GBC_afdd9211c159429fa2d6540cc92dda04" title="设定受益计划变动情况" headerRef="541" helpId="112001097"/>
    <m:section xlName="_GBC_9d7ebc39babc43788a550e83deca7fdc" title="长期应付职工薪酬的其他说明" headerRef="541" helpId="112001097"/>
    <m:section xlName="_GBC_6b41f75046264d5392c8786bf4fd2da4" title="预计负债" headerRef="542" convertSummaryRule="NoConvert" helpId="112001099"/>
    <m:section xlName="_GBC_8d74a4d69f6940c3968ca9c4cf2a1b4c" title="递延收益" rules="R2015_R11_019" headerRef="543" helpId="112001100"/>
    <m:section xlName="_GBC_3e5bdbca1c524ed19d397da3dfaf83a9" title="递延收益其他说明" rules="R2015_R11_019" headerRef="543" helpId="112001100"/>
    <m:section xlName="_GBC_ebdcd37ba77540d78079b1e51c20b6ce" title="其他非流动负债" headerRef="544" convertSummaryRule="NoConvert" helpId="112001235"/>
    <m:section xlName="_GBC_7f4b2f9bba854132af4bbd6504a10383" title="股本" headerRef="545" convertSummaryRule="NoConvert" helpId="112001101"/>
    <m:section xlName="_GBC_4f862512b6914630932c1857df6db6e4" title="其他权益工具" headerRef="547" helpId="112001102"/>
    <m:section xlName="_GBC_23fef1c643714b9f82710e33a1bef935" title="资本公积" headerRef="549" convertSummaryRule="NoConvert" helpId="112001105"/>
    <m:section xlName="_GBC_02198eb4b89045c5af2f3bcd240e18af" title="库存股" headerRef="550" convertSummaryRule="NoConvert" helpId="112001103" keyAction="89"/>
    <m:section xlName="_GBC_de162f89125c4dc8abd2331e6cce7184" title="其他综合收益" headerRef="551" helpId="112001106" helpText="注：期初余额、期末余额对应资产负债表中的其他综合收益项目。期初余额+税后归属于母公司的其他综合收益=期末余额。本期发生额对应利润表中的其他综合收益项目，本期所得税前发生额-前期计入其他综合收益当期转入损益-所得税费用=税后归属于母公司的其他综合收益+税后归属于少数股东的其他综合收益。"/>
    <m:section xlName="_GBC_8a08fa7a416e4e52a104ea9b06479f9e" title="专项储备" headerRef="552" convertSummaryRule="NoConvert" helpId="112001104" axisType="Column"/>
    <m:section xlName="_GBC_fc97b66d150f4d31ba9096ec58341715" title="盈余公积" headerRef="553" convertSummaryRule="NoConvert" helpId="112001108"/>
    <m:item xlName="_GBC_32c558bdbb77445cabeee783e5ff910e" headerRef="554" up="未分配利润" concept="clcid-ci-ar:ShiFouShiYongWeiFenPeiLiRun" label="是否适用：未分配利润" selectOptions="_buildInAppliance" controlType="CustomCheckbox" cRanges="{&quot;StartName&quot;:&quot;_GBC_32c558bdbb77445cabeee783e5ff910e&quot;,&quot;EndName&quot;:&quot;_GBC_2cdd2861806d471aa767f92841b30fbf&quot;,&quot;CType&quot;:1,&quot;DisplayText&quot;:null}"/>
    <m:section xlName="_GBC_2cdd2861806d471aa767f92841b30fbf" title="未分配利润" headerRef="554" helpId="112001109"/>
    <m:section xlName="_GBC_a3a22662ec3d4fb69e12845051ced996" title="营业收入和营业成本" rules="R2015_R11_020" headerRef="555" helpId="112001110" keyAction="89"/>
    <m:section xlName="_SEC_3f909c87693c4beb8a862535b294bd8f" title=""/>
    <m:section xlName="_SEC_c4e8c6d213eb4da9850e04355e0aa292" title="合同产生的收入的情况" headerRef="557" tagAction="1" helpId="112001110">
      <m:virtualTuples>
        <m:virtualTuple id="47b64d54-c0cb-4c7a-a1b2-733bbb651abd" tupleRef="clcid-pte:HeTongChanShengDeShouRuFenBuMingXi" extendDirection="2"/>
      </m:virtualTuples>
    </m:section>
    <m:section xlName="_SEC_8329630823ac439580d388526c3a8bbd" title="履约义务的说明" headerRef="558" helpId="112001110"/>
    <m:section xlName="_SEC_52c497559d5c4501875a7b175ab4b1eb" title="分摊至剩余履约义务的说明" headerRef="559" helpId="112001110" helpText="如需删除段落，请通过模块-删除段落进行删除。"/>
    <m:section xlName="_SEC_f9c2a7e15a02428d920ae65723615b8a" title="重大合同变更或重大交易价格调整" headerRef="560" helpId="112001110"/>
    <m:section xlName="_SEC_530aa03318f04819b92848bd4d1e0874" title="营业收入和营业成本的说明" headerRef="560" helpId="112001110"/>
    <m:section xlName="_GBC_38185835049143dd873ff3e7d0941647" title="税金及附加" rules="R2015_R11_021" headerRef="561" convertSummaryRule="NoConvert" helpId="112001112" axisType="Column" keyAction="89"/>
    <m:section xlName="_GBC_3faa14b862dd44e8a54b6137b70adace" title="成本费用" rules="R2015_R11_022" headerRef="562" convertSummaryRule="NoConvert" helpId="112001111" keyAction="89"/>
    <m:section xlName="_GBC_d5a6283bdea64513980a0cc618e2ec60" title="管理费用" rules="R2015_R11_023" headerRef="563" helpId="112001111" keyAction="89"/>
    <m:section xlName="_SEC_5070ecc0a0324b189a4ec7d6e218c5d7" title="研发费用" headerRef="564" helpId="112002273" keyAction="89"/>
    <m:section xlName="_GBC_aeeadad5456b4097a79668e5a1cadb17" title="财务费用" rules="R2015_R11_024" headerRef="565" helpId="112001111" keyAction="89"/>
    <m:section xlName="_SEC_b7dd1353107541ffa3a1d66fbb85a037" title="其他收益" headerRef="566" helpId="112002275"/>
    <m:section xlName="_SEC_56e74a133dff4dcebe7ed76c1a92a2e5" title="投资收益" headerRef="567" helpId="112001114" helpText="填写时注意区分新会计准则和旧会计准则适用的明细科目"/>
    <m:section xlName="_SEC_cbd8186e9cf3452cab63fa24a69149bc" title="净敞口套期收益" headerRef="568" helpId="112002276"/>
    <m:section xlName="_GBC_66e6cb51ec7740408a31ff233ae3330d" title="公允价值变动收益" rules="R2015_R11_025" headerRef="569" convertSummaryRule="NoConvert" helpId="112001113"/>
    <m:section xlName="_SEC_00e0e3c1427f4344825ff5b9912fdfd2" title="信用减值损失" headerRef="570" helpId="112002277" keyAction="89"/>
    <m:section xlName="_SEC_73945c101b414d309d5de40d75e99e2d" title="资产减值损失" rules="R2015_R11_027" headerRef="571" helpId="112001115" keyAction="89"/>
    <m:section xlName="_SEC_32e84127ca0a46b8896ad8e149c91048" title="资产处置收益" headerRef="572" helpId="112002278"/>
    <m:item xlName="_GBC_b6e9df1124844122abb2dde58392c605" headerRef="573" up="营业外收入" concept="clcid-ci-ar:ShiFouShiYongYingYeWaiShouRuQingKuang" label="是否适用：营业外收入情况 " selectOptions="_buildInAppliance" controlType="CustomCheckbox" cRanges="[{&quot;StartName&quot;:&quot;_GBC_b6e9df1124844122abb2dde58392c605&quot;,&quot;EndName&quot;:&quot;_GBC_613f834d57f34b828d1fb937ee139a13&quot;,&quot;CType&quot;:1}]"/>
    <m:section xlName="_SEC_62e5cfd7609742dd8d0ae51a88918288" title="营业外收入" headerRef="573" helpId="112001116"/>
    <m:section xlName="_GBC_613f834d57f34b828d1fb937ee139a13" title="营业外收入说明" rules="R2015_R11_028" headerRef="573" convertSummaryRule="NoConvert" helpId="112001116"/>
    <m:section xlName="_GBC_7c51aa70be1f405d954dc316ed26b5b4" title="营业外支出" headerRef="574" convertSummaryRule="NoConvert" helpId="112001117" keyAction="89"/>
    <m:section xlName="_GBC_c8eb4731730a4ca395e992a85b3eafe1" title="所得税费用" headerRef="575" convertSummaryRule="NoConvert" helpId="112001119" keyAction="89"/>
    <m:section xlName="_GBC_a490950b62a146d9901e0aeb01787f97" title="其他综合收益" headerRef="578" helpId="112001121"/>
    <m:section xlName="_GBC_aebbed0d25f14d50b64339a751dec4bd" title="收到的其他与经营活动有关的现金" rules="R2015_R11_029" headerRef="580" convertSummaryRule="NoConvert" helpId="112002201"/>
    <m:section xlName="_GBC_3c8453861c4b4e94956633ec6c228388" title="支付的其他与经营活动有关的现金" rules="R2015_R11_030" headerRef="580" convertSummaryRule="NoConvert" helpId="112002201" keyAction="89"/>
    <m:section xlName="_SEC_00166f1660634497b2d715b89989923c" title="收到的重要的投资活动有关的现金" headerRef="581" helpId="112002201"/>
    <m:section xlName="_SEC_81b0db51e3fd4c3384f8009bd8e7890b" title="支付的重要的投资活动有关的现金 " headerRef="581" helpId="112002201"/>
    <m:section xlName="_GBC_7d29c8348da547cab82786074f1b3249" title="收到的其他与投资活动有关的现金" headerRef="581" convertSummaryRule="NoConvert" helpId="112002201"/>
    <m:section xlName="_GBC_fa501b3ede254af6bdfad826e328392a" title="支付的其他与投资活动有关的现金" headerRef="581" convertSummaryRule="NoConvert" helpId="112002201" keyAction="89"/>
    <m:section xlName="_GBC_6e57c618c25c498db37f205341e0c66a" title="收到的其他与筹资活动有关的现金" headerRef="582" convertSummaryRule="NoConvert" helpId="112002201"/>
    <m:section xlName="_GBC_96162aa406234e2485524876a03968e7" title="支付的其他与筹资活动有关的现金" headerRef="582" convertSummaryRule="NoConvert" helpId="112002201" keyAction="89"/>
    <m:section xlName="_SEC_ba18b0bdcdd046cfad79970305409a68" title="筹资活动产生的各项负债变动情况" headerRef="582" helpId="112002201"/>
    <m:section xlName="_SEC_e02efe2e841a4fb29f6751e521aa7b7b" title="以净额列报现金流量的说明" headerRef="583" helpId="112002201"/>
    <m:section xlName="_SEC_85819472f12d474cb1b5117d89f488d5" title="不涉及当期现金收支、但影响企业财务状况或在未来可能影响企业现..." headerRef="584" helpId="112002201"/>
    <m:section xlName="_GBC_7c9a174810ac4558be4e54f8019d5a1a" title="现金流量表补充资料" headerRef="586" helpId="112001123" keyAction="42" keyCode="2">
      <m:rowModel locationConcept="clcid-ci-ar:ZiDingYiKeMuWeiZhi" labelConcept="clcid-ci-ar:ZiDingYiKeMuMingCheng" conceptPrefix="补充资料现金流量表" presentationRole="http://www.xbrl-cn.org/cn/lcid/lr/role/XianJinLiuLiangBiaoBuChongZiLiao" presentationParentConcept="clcid-pte_XianJinLiuLiangBiaoBuChongZiLiao" tuplePrefix="项目"/>
    </m:section>
    <m:section xlName="_GBC_4161b069f3a54b4a9ab95be67b841c16" title="取得子公司支付的现金净额" headerRef="587" helpId="112001123"/>
    <m:section xlName="_GBC_2b15b115b2104b8ba327581d943203fc" title="处置子公司收到的现金净额" headerRef="588" helpId="112001123"/>
    <m:section xlName="_SEC_710336eea0e84b06ae3909c9e31d3ab0" title="现金和现金等价物的构成" headerRef="589" helpId="112001123"/>
    <m:section xlName="_SEC_2c9b142eefcb4db489a9c79d6d555791" title="使用范围受限但仍作为现金和现金等价物列示的情况" headerRef="590" helpId="112001123"/>
    <m:section xlName="_SEC_d6a80981c9424a3ba4698a0c8af5f921" title="不属于现金及现金等价物的货币资金  单位：元币种：人民币..." headerRef="591" helpId="112001123"/>
    <m:section xlName="_SEC_3f4e4b92c0554338b3ebe5206d887d6d" title="其他说明" headerRef="591" helpId="112001123"/>
    <m:section xlName="_GBC_f67b410d6123403caa2cee84fe191372" title="所有者权益变动表项目注释" headerRef="592" convertSummaryRule="NoConvert" helpId="112001124" keyAction="42" keyCode="2"/>
    <m:section xlName="_GBC_7a80c9b78caf4e6686905c555fe61f9a" title="外币货币性项目" resetControlTag="true" headerRef="593" helpId="112001118" axisType="Column" keyAction="48" keyCode="currency"/>
    <m:item xlName="_GBC_1a127bd18c664ed8bca6a513c43f1fa2" headerRef="597" up="作为承租人" concept="clcid-ci-ar:ShiFouShiYongZuoWeiChengZuRen" label="是否适用：作为承租人" selectOptions="_buildInAppliance" controlType="CustomCheckbox" cRanges="[{&quot;StartName&quot;:&quot;_GBC_1a127bd18c664ed8bca6a513c43f1fa2&quot;,&quot;EndName&quot;:&quot;_SEC_3d5a1e2b71884e9894780879dc182d51&quot;,&quot;CType&quot;:1}]"/>
    <m:section xlName="_SEC_cca19a1f6a5d42209985b6ec76560937" title="未纳入租赁负债计量的可变租赁付款额  ___" headerRef="597" helpId="112001198"/>
    <m:section xlName="_SEC_063ee0d2743048e58bea781c5d8165fd" title="简化处理的短期租赁或低价值资产的租赁费用  ___" headerRef="597" helpId="112001198"/>
    <m:section xlName="_SEC_0e90b414de1c40d881111d251e59104d" title="售后租回交易及判断依据  ___" headerRef="597" helpId="112001198"/>
    <m:section xlName="_SEC_3d5a1e2b71884e9894780879dc182d51" title="与租赁相关的现金流出总额" headerRef="597" helpId="112001198"/>
    <m:section xlName="_SEC_eea5e1baa5c34eab8d8ce50d01cf47fb" title="作为出租人的经营租赁" headerRef="598" helpId="112001198"/>
    <m:section xlName="_SEC_597ee86053c44de3befe25077fa87863" title="作为出租人的融资租赁" headerRef="598" helpId="112001198"/>
    <m:section xlName="_SEC_e74be360ac0d4ce89dc395c58bc6b74d" title="未折现租赁收款额与租赁投资净额的调节表" headerRef="598" helpId="112001198"/>
    <m:section xlName="_SEC_b73454b592e541048d9da59dab975100" title="未来五年未折现租赁收款额" headerRef="598" helpId="112001198"/>
    <m:section xlName="_SEC_1d50b3775de944d1adb408ea57227980" title="作为生产商或经销商确认融资租赁销售损益" headerRef="599" helpId="112001198"/>
    <m:section xlName="_SEC_f04d4ec0f0254b05bb0e1094dae777c4" title="其他说明" headerRef="599" helpId="112001198"/>
    <m:section xlName="_SEC_bc9f2882a5a14114b0398db427647ead" title="数据资源" headerRef="600" helpText="企业对数据资源进行评估且评估结果对企业财务报表具有重要影响的，应当披露评估依据的信息来源，评估结论成立的假设前提和限制条件，评估方法的选择，各重要参数的来源、分析、比较与测算过程等信息。\n企业可以根据实际情况，自愿披露数据资源（含未作为无形资产或存货确认的数据资源）下列相关信息：\n（1）数据资源的应用场景或业务模式、对企业创造价值的影响方式，与数据资源应用场景相关的宏观经济和行业领域前景等。\n（2）用于形成相关数据资源的原始数据的类型、规模、来源、权属、质量等信息。\n（3）企业对数据资源的加工维护和安全保护情况，以及相关人才、关键技术等的持有和投入情况。\n（4）数据资源的应用情况，包括数据资源相关产品或9服务等的运营应用、作价出资、流通交易、服务计费方式等情况。\n（5）重大交易事项中涉及的数据资源对该交易事项的影响及风险分析，重大交易事项包括但不限于企业的经营活动、投融资活动、质押融资、关联方及关联交易、承诺事项、或有事项、债务重组、资产置换等。\n（6）数据资源相关权利的失效情况及失效事由、对企业的影响及风险分析等，如数据资源已确认为资产的，还包括相关资产的账面原值及累计摊销、减值准备或跌价准备、失效部分的会计处理。\n（7）数据资源转让、许可或应用所涉及的地域限制、领域限制及法律法规限制等权利限制。\n（8）企业认为有必要披露的其他数据资源相关信息。"/>
    <m:section xlName="_GBC_f027b70d30154df58ffdc310123f3e1f" title="合并财务报表项目注释其他需要说明的事项" headerRef="601" helpId="112001122"/>
    <m:section xlName="_SEC_e63ffc0b4c1848bcbfcb6a0272f643cb" title="研发费用" headerRef="602" helpId="112002273"/>
    <m:section xlName="_SEC_b312f37f7aab4f59975eec37dbd6855a" title="公司开发项目支出" headerRef="604" helpId="112002273"/>
    <m:section xlName="_SEC_021e44d8dc664861b863a81af49beeec" title="重要的资本化研发项目" headerRef="604" helpId="112002273"/>
    <m:section xlName="_SEC_b67f81b1fda94b0fa6bfc4319495e3fe" title="开发支出减值准备" headerRef="604" helpId="112002273"/>
    <m:section xlName="_SEC_807c7af5fda245b0a98ccab9591d9625" title="其他说明___" headerRef="604" helpId="112002273"/>
    <m:section xlName="_SEC_0f1e461cf6154cbda5da69406432abfe" title="重要的外购在研项目  项目 预期产生经济利益的方式 ..." headerRef="605" helpId="112002273"/>
    <m:item xlName="_GBC_2f9a65b0b4644b14ab5af1407e6467f1" headerRef="607" up="非同一控制下企业合并" concept="clcid-ci-ar:ShiFouShiYongFeiTongYiKongZhiXiaQiYeHeBing" label="是否适用：非同一控制下企业合并" selectOptions="_buildInAppliance" controlType="CustomCheckbox" cRanges="{&quot;StartName&quot;:&quot;_GBC_2f9a65b0b4644b14ab5af1407e6467f1&quot;,&quot;EndName&quot;:&quot;_GBC_a8e368f1c89042528538f003b17f5f6e&quot;,&quot;CType&quot;:1,&quot;DisplayText&quot;:null}"/>
    <m:section xlName="_SEC_66258ebef13c4cb99a0a2c7fcf18a276" title="本期发生的非同一控制下企业合并" headerRef="608" helpId="112001125" helpText="注：分步实现企业合并且在本期取得控制权的交易，应分别说明前期和本期取得股权的时点、成本、比例及方式。"/>
    <m:item xlName="_GBC_56d9f6aa774c4776ac65c41472b0a280" headerRef="609" up="合并成本及商誉" concept="clcid-ci-ar:ShiFouShiYongHeBingChengBenJiShangYu" label="是否适用：合并成本及商誉" selectOptions="_buildInAppliance" controlType="CustomCheckbox" cRanges="[{&quot;StartName&quot;:&quot;_GBC_56d9f6aa774c4776ac65c41472b0a280&quot;,&quot;EndName&quot;:&quot;_GBC_b580c6f1845b4d7b8bf9ccaec8a64584&quot;,&quot;CType&quot;:1}]"/>
    <m:item xlName="_GBC_7dcc905e1cc54d7da6ff3999e09e0f1f" indRef="715" concept="clcid-ci-ar:DanWeiCaiWuFuZhuHeBingChengBenJiShangYu" label="单位：财务附注：合并成本及商誉" selectOptions="_buildInScales" appId="_GBC_56d9f6aa774c4776ac65c41472b0a280" controlType="Combobox" cellType="Scale" keyCode="InitialValue:元" keyAction="31"/>
    <m:item xlName="_GBC_1d4f1604e6724ad4aa12235f8be81df0" indRef="716" concept="clcid-ci-ar:BiZhongCaiWuFuZhuHeBingChengBenJiShangYu" label="币种：财务附注：合并成本及商誉" selectOptions="_buildInISO4217" appId="_GBC_56d9f6aa774c4776ac65c41472b0a280" controlType="Combobox" cellType="Measure" keyCode="InitialValue:人民币" keyAction="31"/>
    <m:section xlName="_GBC_b580c6f1845b4d7b8bf9ccaec8a64584" title="合并成本及商誉" repeatable="2" headerRef="609" helpId="112001126">
      <m:virtualTuples>
        <m:virtualTuple id="dc40489a-919e-4301-8c5f-ee7896369dc8" tupleRef="clcid-pte:FeiTongYiKongZhiXiaQiYeHeBingChengBenJiShangYuMingXi" extendDirection="2" splitWidth="1"/>
      </m:virtualTuples>
    </m:section>
    <m:item xlName="_GBC_b192e56c8e2242b3bf12a08de6dc76d4" headerRef="610" up="被购买方于购买日可辨认资产、负债" concept="clcid-ci-ar:ShiFouShiYongBeiGouMaiFangYuGouMaiRiKeBianRenZiChanFuZhai" label="是否适用：被购买方于购买日可辨认资产、负债" selectOptions="_buildInAppliance" controlType="CustomCheckbox" cRanges="{&quot;StartName&quot;:&quot;_GBC_b192e56c8e2242b3bf12a08de6dc76d4&quot;,&quot;EndName&quot;:&quot;_SEC_71192ac75eef458fbf50203b1ba92b57&quot;,&quot;CType&quot;:1,&quot;DisplayText&quot;:null}"/>
    <m:item xlName="_GBC_fe3b0ed5978941cd84d579dc509a4b5e" indRef="717" concept="clcid-ci-ar:DanWeiCaiWuFuZhuBeiGouMaiFangYuGouMaiRiKeBianRenZiChanFuZhai" label="单位：财务附注：被购买方于购买日可辨认资产、负债" selectOptions="_buildInScales" appId="_GBC_b192e56c8e2242b3bf12a08de6dc76d4" controlType="Combobox" cellType="Scale" keyCode="InitialValue:元" keyAction="31"/>
    <m:item xlName="_GBC_83c566a361664b7c893465ef7708f711" indRef="718" concept="clcid-ci-ar:BiZhongCaiWuFuZhuBeiGouMaiFangYuGouMaiRiKeBianRenZiChanFuZhai" label="币种：财务附注：被购买方于购买日可辨认资产、负债" selectOptions="_buildInISO4217" appId="_GBC_b192e56c8e2242b3bf12a08de6dc76d4" controlType="Combobox" cellType="Measure" keyCode="InitialValue:人民币" keyAction="31"/>
    <m:section xlName="_GBC_bae5eee03904496d93aa515da79c8f71" title="被购买方于购买日可辨认资产、负债" repeatable="1" headerRef="610" helpId="112001128" helpText="注：资产、负债项目可根据重要性原则分类汇总列示；单项不重大的企业合并可汇总列示。 " keyAction="31" keyCode="NO_FIX_TAG">
      <m:virtualTuples>
        <m:virtualTuple id="38730a4f-a883-463b-bb49-550fe2a8033d" tupleRef="clcid-pte:BeiGouMaiFangYuGouMaiRiKeBianRenZiChanFuZhaiMingXi" extendDirection="2" splitWidth="1"/>
      </m:virtualTuples>
    </m:section>
    <m:section xlName="_SEC_71192ac75eef458fbf50203b1ba92b57" title="被购买方于购买日可辨认资产、负债说明" headerRef="610" helpId="112001128"/>
    <m:section xlName="_SEC_151a1db37b9340d789b6d92a5e03cbd2" title="购买日之前持有的股权按照公允价值重新计量产生的利得或损失" headerRef="611" helpId="112001130"/>
    <m:section xlName="_GBC_fec890c9a924410f898d02e5323920ad" title="购买日或合并当期期末无法合理确定合并对价或被购买方可辨认资产..." headerRef="612" helpId="112001131"/>
    <m:section xlName="_GBC_a8e368f1c89042528538f003b17f5f6e" title="非同一控制下企业合并其他说明" headerRef="613"/>
    <m:item xlName="_GBC_cde296136a1d4f2094eb79d21291eae2" headerRef="614" up="同一控制下企业合并" concept="clcid-ci-ar:ShiFouShiYongTongYiKongZhiXiaQiYeHeBing" label="是否适用：同一控制下企业合并" selectOptions="_buildInAppliance" controlType="CustomCheckbox" cRanges="{&quot;StartName&quot;:&quot;_GBC_cde296136a1d4f2094eb79d21291eae2&quot;,&quot;EndName&quot;:&quot;_GBC_487797176f3744a7a99d390be05f0a8a&quot;,&quot;CType&quot;:1,&quot;DisplayText&quot;:null}"/>
    <m:section xlName="_GBC_66fabe3cff6241b1aebface99383f449" title="本期发生的同一控制下企业合并" headerRef="615" helpId="112001132"/>
    <m:item xlName="_GBC_1e3feddd46da4a95805d8f480f4c84d9" headerRef="616" up="合并成本" concept="clcid-ci-ar:ShiFouShiYongHeBingChengBen" label="是否适用：合并成本" selectOptions="_buildInAppliance" controlType="CustomCheckbox" cRanges="{&quot;StartName&quot;:&quot;_GBC_1e3feddd46da4a95805d8f480f4c84d9&quot;,&quot;EndName&quot;:&quot;_SEC_d81c382e27f24c569c4bbf5642a055db&quot;,&quot;CType&quot;:1,&quot;DisplayText&quot;:null}"/>
    <m:item xlName="_GBC_b32867fe2f6f4a26bbf31a8eed01cc85" indRef="723" concept="clcid-ci-ar:DanWeiHeBingChengBen" label="单位：合并成本" selectOptions="_buildInScales" appId="_GBC_1e3feddd46da4a95805d8f480f4c84d9" controlType="Combobox" cellType="Scale" keyCode="InitialValue:元" keyAction="31"/>
    <m:item xlName="_GBC_f6f12759e0c84fb0a180a147cec7432e" indRef="724" concept="clcid-ci-ar:BiZhongHeBingChengBen" label="币种：合并成本" selectOptions="_buildInISO4217" appId="_GBC_1e3feddd46da4a95805d8f480f4c84d9" controlType="Combobox" cellType="Measure" keyCode="InitialValue:人民币" keyAction="31"/>
    <m:section xlName="_GBC_e51629db13fd46dd9d30ae3e3729cd68" title="合并成本" repeatable="1" headerRef="616" helpId="112001133">
      <m:virtualTuples>
        <m:virtualTuple id="986fe223-72fe-4432-9239-c0d0b7b4149b" tupleRef="clcid-pte:TongYiKongZhiXiaQiYeHeBingChengBenMingXi" extendDirection="2" splitWidth="1"/>
      </m:virtualTuples>
    </m:section>
    <m:section xlName="_SEC_d81c382e27f24c569c4bbf5642a055db" title="合并成本说明" headerRef="616" helpId="112001133"/>
    <m:item xlName="_GBC_b46a615b0ac64c019a83debe19fe4c1c" headerRef="617" up="合并日被合并方资产、负债的账面价值" concept="clcid-ci-ar:ShiFouShiYongHeBingRiBeiHeBingFangZiChanFuZhaiDeZhangMianJiaZhi" label="是否适用：合并日被合并方资产、负债的账面价值" selectOptions="_buildInAppliance" controlType="CustomCheckbox" cRanges="{&quot;StartName&quot;:&quot;_GBC_b46a615b0ac64c019a83debe19fe4c1c&quot;,&quot;EndName&quot;:&quot;_SEC_fd90a916dff04a689bd6f8f4ea5aba89&quot;,&quot;CType&quot;:1,&quot;DisplayText&quot;:null}"/>
    <m:item xlName="_GBC_1e8d25398f6745efac6012e964de837a" indRef="725" concept="clcid-ci-ar:DanWeiCaiWuFuZhuHeBingRiBeiHeBingFangZiChanFuZhaiDeZhangMianJiaZhi" label="单位：财务附注：合并日被合并方资产、负债的账面价值" selectOptions="_buildInScales" appId="_GBC_b46a615b0ac64c019a83debe19fe4c1c" controlType="Combobox" cellType="Scale" keyCode="InitialValue:元" keyAction="31"/>
    <m:item xlName="_GBC_80b9c60fc85e443f9c97e5d91db031a4" indRef="726" concept="clcid-ci-ar:BiZhongCaiWuFuZhuHeBingRiBeiHeBingFangZiChanFuZhaiDeZhangMianJiaZhi" label="币种：财务附注：合并日被合并方资产、负债的账面价值" selectOptions="_buildInISO4217" appId="_GBC_b46a615b0ac64c019a83debe19fe4c1c" controlType="Combobox" cellType="Measure" keyCode="InitialValue:人民币" keyAction="31"/>
    <m:section xlName="_GBC_fd7a9ab8dc354763b98a4d577428c932" title="被合并方的资产、负债" repeatable="1" headerRef="617" helpId="112001135" helpText="注：资产、负债项目可根据重要性原则分类汇总列示；单项不重大的企业合并可汇总列示。">
      <m:virtualTuples>
        <m:virtualTuple id="85eb503a-1b77-4cac-a1bf-b8abba4f2f6a" tupleRef="clcid-pte:BeiHeBingFangDeZiChanFuZhaiMingXi" extendDirection="2" splitWidth="1"/>
      </m:virtualTuples>
    </m:section>
    <m:section xlName="_SEC_fd90a916dff04a689bd6f8f4ea5aba89" title="企业合并中承担的被合并方的或有负债" headerRef="617" helpId="112001135"/>
    <m:section xlName="_GBC_487797176f3744a7a99d390be05f0a8a" title="被合并方的资产、负债的说明" headerRef="617" helpId="112001135"/>
    <m:section xlName="_SEC_e0818786830d42ce99957d3ef113691a" title="反向购买" headerRef="618" helpId="112001137" helpText="注：上市公司保留的资产、负债构成业务的，同时还应按照非同一控制下企业合并披露相关信息。"/>
    <m:section xlName="_SEC_ddce958afd104b9e8903e71458d86efc" title="处置子公司" headerRef="619" helpId="112001139"/>
    <m:section xlName="_SEC_0088252418084ec7b98582fb9064102d" title="是否存在通过多次交易分步处置对子公司投资且在本期丧失控制权的情形" headerRef="619" helpId="112001139" helpText="注：分别说明前期和本期处置股权的时点、价款、比例及方式。"/>
    <m:section xlName="_SEC_2fcab20db6f0477d9b6d3e4d246339a2" title="其他说明" headerRef="619" helpId="112001139"/>
    <m:section xlName="_GBC_c61d869cb31c439992bb2118c8eaac1e" title="其他原因的合并范围变动" headerRef="620" helpId="112001141"/>
    <m:section xlName="_GBC_8ddcb59af8af49d295c61727d65b8301" title="同一控制下企业合并其他" headerRef="621" orient="landscape" helpId="112001142"/>
    <m:section xlName="_SEC_595cb386dc7744d6a8f7456c5226bc6e" title="企业集团的构成" rules="R2015_R11_031" headerRef="624" helpId="112001143"/>
    <m:section xlName="_GBC_a2ec6e05ebd34d2fa14b1ba6b3ba8eb1" title="重要的非全资子公司" rules="R2015_R11_031" headerRef="625" helpId="112001144"/>
    <m:section xlName="_GBC_501222dd8f884fabbdeaec6fe7e79709" title="重要非全资子公司的主要财务信息" rules="R2015_R11_031" headerRef="626" helpId="112001145"/>
    <m:section xlName="_GBC_573fe5c9daf0401da00d8fc5198daf66" title="使用企业集团资产和清偿企业集团债务的重大限制" rules="R2015_R11_031" headerRef="627" helpId="112001146"/>
    <m:section xlName="_GBC_114877d69a2e4b56b15fb618155127e3" title="向纳入合并财务报表范围的结构化主体提供的财务支持或其他支持" rules="R2015_R11_031" headerRef="628" helpId="112001147"/>
    <m:section xlName="_GBC_a0f68dc0a3a24efaa431a8c8d768eb0f" title="在子公司中的权益其他说明" rules="R2015_R11_031" headerRef="628"/>
    <m:item xlName="_GBC_51b903d8f50944dc91e91048eba723cd" headerRef="629" up="在子公司的所有者权益份额发生变化且仍控制子公司的交易" concept="clcid-ci-ar:ShiFouShiYongZaiZiGongSiDeSuoYouZheQuanYiFenEFaShengBianHuaQieRengKongZhiZiGongSiDeJiaoYi" label="是否适用：在子公司的所有者权益份额发生变化且仍控制子公司的交易" selectOptions="_buildInAppliance" controlType="CustomCheckbox" cRanges="{&quot;StartName&quot;:&quot;_GBC_51b903d8f50944dc91e91048eba723cd&quot;,&quot;EndName&quot;:&quot;_GBC_6c711c3ca3c84136960924716eba5afd&quot;,&quot;CType&quot;:1,&quot;DisplayText&quot;:null}"/>
    <m:section xlName="_GBC_97caac97575742839d3ba3c28ee39a60" title="在子公司所有者权益份额的变化情况的说明" rules="R2015_R11_031" headerRef="630" helpId="112001148"/>
    <m:section xlName="_GBC_6c711c3ca3c84136960924716eba5afd" title="交易对于少数股东权益及归属于母公司所有者权益的影响" rules="R2015_R11_031" repeatable="2" headerRef="631" helpId="112001148">
      <m:virtualTuples>
        <m:virtualTuple id="a9fdb2d5-7ad8-422d-a254-52ab68cea10e" tupleRef="clcid-pte:JiaoYiDuiYuShaoShuGuDongQuanYiJiGuiShuYuMuGongSiSuoYouZheQuanYiDeYingXiangMingXi" extendDirection="2" splitWidth="1"/>
      </m:virtualTuples>
    </m:section>
    <m:item xlName="_GBC_31c0fe2068fd4a898e4269df4925aa76" headerRef="632" up="在合营企业或联营企业中的权益" concept="clcid-ci-ar:ShiFouShiYongZaiHeYingQiYeHuoLianYingQiYeZhongDeQuanYi" label="是否适用：在合营企业或联营企业中的权益" selectOptions="_buildInAppliance" controlType="CustomCheckbox" cRanges="{&quot;StartName&quot;:&quot;_GBC_31c0fe2068fd4a898e4269df4925aa76&quot;,&quot;EndName&quot;:&quot;_GBC_1f803def681a42ba91cdde709a067b3f&quot;,&quot;CType&quot;:1,&quot;DisplayText&quot;:null}"/>
    <m:section xlName="_GBC_49e4a749316a464e89485cda5774fc07" title="重要的合营企业或联营企业" rules="R2015_R11_031" headerRef="633" helpId="112001149"/>
    <m:item xlName="_GBC_6241cde567c342139ae6186afeea9fb4" headerRef="634" up="重要合营企业的主要财务信息" concept="clcid-ci-ar:ShiFouShiYongZhongYaoHeYingQiYeDeZhuYaoCaiWuXinXi" label="是否适用：重要合营企业的主要财务信息" selectOptions="_buildInAppliance" controlType="CustomCheckbox" cRanges="{&quot;StartName&quot;:&quot;_GBC_6241cde567c342139ae6186afeea9fb4&quot;,&quot;EndName&quot;:&quot;_SEC_0483769c9bcc4791905aa1394ee961e5&quot;,&quot;CType&quot;:1,&quot;DisplayText&quot;:null}"/>
    <m:item xlName="_GBC_c3e62c0d62494c0bb865a164a263a4c4" indRef="741" concept="clcid-ci-ar:DanWeiCaiWuFuZhuZhongYaoHeYingQiYeDeZhuYaoCaiWuXinXi" label="单位：财务附注：重要合营企业的主要财务信息" selectOptions="_buildInScales" appId="_GBC_31c0fe2068fd4a898e4269df4925aa76" controlType="Combobox" cellType="Scale" keyCode="InitialValue:元" keyAction="31"/>
    <m:item xlName="_GBC_dbf325e8ec10449ba127b878292f7bb1" indRef="742" concept="clcid-ci-ar:BiZhongCaiWuFuZhuZhongYaoHeYingQiYeDeZhuYaoCaiWuXinXi" label="币种：财务附注：重要合营企业的主要财务信息" selectOptions="_buildInISO4217" appId="_GBC_31c0fe2068fd4a898e4269df4925aa76" controlType="Combobox" cellType="Measure" keyCode="InitialValue:人民币" keyAction="31"/>
    <m:section xlName="_GBC_10d60417c84d41c1b3386073557d9d05" title="重要合营企业的主要财务信息" repeatable="1" rules="" headerRef="634" helpId="112001150">
      <m:virtualTuples>
        <m:virtualTuple id="597dff05-272b-4d7d-ab87-8880769a1248" tupleRef="clcid-pte:ZhongYaoHeYingQiYeDeZhuYaoCaiWuXinXiMingXi" defaultRows="2" extendDirection="2" splitWidth="1"/>
      </m:virtualTuples>
    </m:section>
    <m:section xlName="_SEC_0483769c9bcc4791905aa1394ee961e5" title="重要合营企业的主要财务信息其他说明方法" rules="R2015_R11_031" headerRef="634" helpId="112001150"/>
    <m:item xlName="_GBC_e304b69adb6f449495c3916754024763" headerRef="635" up="重要联营企业的主要财务信息" concept="clcid-ci-ar:ShiFouShiYongZhongYaoLianYingQiYeDeZhuYaoCaiWuXinXi" label="是否适用：重要联营企业的主要财务信息" selectOptions="_buildInAppliance" controlType="CustomCheckbox" cRanges="{&quot;StartName&quot;:&quot;_GBC_e304b69adb6f449495c3916754024763&quot;,&quot;EndName&quot;:&quot;_SEC_3191928276884aa0be18ac148aa436b7&quot;,&quot;CType&quot;:1,&quot;DisplayText&quot;:null}"/>
    <m:item xlName="_GBC_0306b30be35040cd86d2b964142011d4" indRef="743" concept="clcid-ci-ar:DanWeiCaiWuFuZhuZhongYaoLianYingQiYeDeZhuYaoCaiWuXinXi" label="单位：财务附注：重要联营企业的主要财务信息" selectOptions="_buildInScales" appId="_GBC_31c0fe2068fd4a898e4269df4925aa76" controlType="Combobox" cellType="Scale" keyCode="InitialValue:元" keyAction="31"/>
    <m:item xlName="_GBC_a2e655bae21746219bfd958c6f5b8be9" indRef="744" concept="clcid-ci-ar:BiZhongCaiWuFuZhuZhongYaoLianYingQiYeDeZhuYaoCaiWuXinXi" label="币种：财务附注：重要联营企业的主要财务信息" selectOptions="_buildInISO4217" appId="_GBC_31c0fe2068fd4a898e4269df4925aa76" controlType="Combobox" cellType="Measure" keyCode="InitialValue:人民币" keyAction="31"/>
    <m:section xlName="_GBC_ac3eed998bbd4658ab651a88daefefb1" title="重要联营企业的主要财务信息" repeatable="1" rules="R2015_R11_031" headerRef="635" helpId="112001150">
      <m:virtualTuples>
        <m:virtualTuple id="f8a59098-2c31-40fa-b2f3-af06f4655f9e" tupleRef="clcid-pte:ZhongYaoLianYingQiYeDeZhuYaoCaiWuXinXiMingXi" defaultRows="2" extendDirection="2" splitWidth="1"/>
      </m:virtualTuples>
    </m:section>
    <m:section xlName="_SEC_3191928276884aa0be18ac148aa436b7" title="重要联营企业的主要财务信息其他说明的方法" rules="R2015_R11_031" headerRef="635" helpId="112001150"/>
    <m:section xlName="_GBC_7592afe8201c4b36a34fa177ca124037" title="不重要的合营企业和联营企业的汇总财务信息" rules="R2015_R11_031" headerRef="636" helpId="112001151"/>
    <m:section xlName="_GBC_2874973c28b34357bf81a60947721baa" title="合营企业或联营企业向公司转移资金的能力存在重大限制的说明" rules="R2015_R11_031" headerRef="637" helpId="112001152"/>
    <m:section xlName="_GBC_a9980062c82d44acae24fae7368ea42f" title="合营企业或联营企业发生的超额亏损" rules="R2015_R11_031" headerRef="638" helpId="112001153"/>
    <m:section xlName="_GBC_da055842bf8c4e9598b87bd760d969ec" title="与合营企业投资相关的未确认承诺" rules="R2015_R11_031" headerRef="639" helpId="112001154"/>
    <m:section xlName="_GBC_1f803def681a42ba91cdde709a067b3f" title="与合营企业或联营企业投资相关的或有负债" rules="R2015_R11_031" headerRef="640" helpId="112001154"/>
    <m:section xlName="_GBC_90d44eb1222944759107483908112493" title="重要的共同经营" rules="R2015_R11_031" headerRef="641" helpId="112001155"/>
    <m:section xlName="_GBC_5cfea65e45c44f1b9fdec762be35880d" title="在未纳入合并财务报表范围的结构化主体中的权益" rules="R2015_R11_031" headerRef="642" helpId="112001156"/>
    <m:section xlName="_GBC_b24eb633f5244c748225389f3b3cedd1" title="在其他主体中的权益其他需要说明的事项" rules="R2015_R11_031" headerRef="643" helpId="112001157"/>
    <m:section xlName="_SEC_987a3d87ba834dc3b82089e9d883e7ce" title="报告期末按应收金额确认的政府补助" headerRef="645" helpId="112002267"/>
    <m:section xlName="_SEC_4172c6c138864a1eafbce132eaba57ee" title="涉及政府补助的负债项目  单位:元币种:人民币财务报表..." headerRef="646" helpId="112002267"/>
    <m:section xlName="_SEC_aabb5dbe78054448bb1ab6aa5212e3bd" title="计入当期损益的政府补助" rules="R2015_R11_028" headerRef="647" convertSummaryRule="NoConvert" helpId="112002267" helpText="可按与资产/收益相关分类"/>
    <m:section xlName="_SEC_f98ef3cd61f7485e8a39176125e33f30" title="政府补助说明" headerRef="647" helpId="112002267"/>
    <m:section xlName="_SEC_5036d897cc9d4560bb716a188c49ae2f" title="与金融工具相关的风险" headerRef="648" helpId="112001158"/>
    <m:section xlName="_SEC_e38a8f292c6c49b5bdc0646a4bd61a0c" title="公司开展套期业务进行风险管理" headerRef="651" helpId="112001120"/>
    <m:section xlName="_SEC_e0de139c8e354e2b99ccf8cc6db4d9a7" title="公司开展符合条件套期业务并应用套期会计" headerRef="652" helpId="112001120"/>
    <m:section xlName="_SEC_e538f2679b9f435cb95de6c5b99133a6" title="公司开展套期业务进行风险管理、预期能实现风险管理" headerRef="653" helpId="112001120"/>
    <m:section xlName="_SEC_cef6acfba6ff48959f279b6ad5e3b0a3" title="转移方式分类" headerRef="655" helpId="112002314"/>
    <m:section xlName="_SEC_5af2aff14ae64dc2b959ce6dd009ef56" title="因转移而终止确认的金融资产" headerRef="656" helpId="112002314"/>
    <m:section xlName="_SEC_add8fbbe5cd24406afde8f9b36e57034" title="继续涉入的转移金融资产" headerRef="657" helpId="112002314"/>
    <m:section xlName="_SEC_495da6069ec14de9a8d0b2a40984514d" title="其他说明" headerRef="657" helpId="112002314"/>
    <m:section xlName="_GBC_b5067cea5bbf475388ac2623e2c669d7" title="以公允价值计量的资产和负债的期末公允价值" headerRef="659" helpId="112001159"/>
    <m:section xlName="_GBC_9cf59ced96b14247921100dffef5784f" title="持续和非持续第一层次公允价值计量项目市价的确定依据" headerRef="660" helpId="112001160"/>
    <m:section xlName="_GBC_8e00be36ed6245f895b032b3059a4854" title="持续和非持续第二层次公允价值计量项目，采用的估值技术和重要参数的定性及定量信息" headerRef="661" helpId="112001161"/>
    <m:section xlName="_GBC_5d389bac3ad747a292eb45fd87ce5896" title="持续和非持续第三层次公允价值计量项目，采用的估值技术和重要参数的定性及定量信息" headerRef="662" helpId="112001161"/>
    <m:section xlName="_GBC_353ab3e0cb19455ab2c2c2a397421afe" title="持续的第三层次公允价值计量的项目期初与期末账面价值之间的调节信息及不可观察参数的敏感性分析" headerRef="663" helpId="112001162"/>
    <m:section xlName="_GBC_a9200ec73b8d485e80b76f1a9ee34c49" title="持续的公允价值计量项目，本期内发生各层级之间转换的，转换的原因及确定转换时点的政策" headerRef="664" helpId="112001163"/>
    <m:section xlName="_GBC_8e563310a4b84a5d9dfe74fdbc178926" title="本期内发生的估值技术变更及变更原因" headerRef="665" helpId="112001164"/>
    <m:section xlName="_GBC_e354e1f41f824854b8f3345d52a9cfab" title="不以公允价值计量的金融资产和金融负债的公允价值情况" headerRef="666" helpId="112001165"/>
    <m:section xlName="_GBC_1551c1b4fedc4ac0ae859b67b4b79904" title="公允价值其他需要披露的事项" headerRef="667" helpId="112001166"/>
    <m:section xlName="_GBC_29e1f7491caa4c3e96eef8c84532de84" title="本企业的母公司情况" rules="R2015_R11_032" headerRef="669" helpId="112001167"/>
    <m:section xlName="_GBC_244a434a920446c1838410fee0ac8ba8" title="本企业的子公司情况" rules="R2015_R11_032" headerRef="670" helpId="112001167"/>
    <m:section xlName="_GBC_a5638b7fd6a848a19564209060b6909a" title="存在关联方交易或余额的合营和联营企业情况" rules="R2015_R11_032" headerRef="671" helpId="112001167"/>
    <m:section xlName="_GBC_047a0ce3dc594d779db6d4cbc1623727" title="其他关联方情况" rules="R2015_R11_032" headerRef="672" helpId="112001167"/>
    <m:section xlName="_SEC_fb5c7314892940239be1e53fefbaec88" title="采购商品/接受劳务情况表" rules="R2015_R11_032" headerRef="674" helpId="112001168"/>
    <m:section xlName="_GBC_a4e1c0efe9f741ecbb648a33c9afb8fd" title="出售商品/提供劳务情况" rules="R2015_R11_032" headerRef="674" helpId="112001168"/>
    <m:section xlName="_GBC_41e9e66a2ab04304a0db7b9e032817c5" title="关联受托管理/承包及委托管理/出包情况" rules="R2015_R11_032" headerRef="675" helpId="112001168" helpText="注：托管资产类型包括：股权托管、其他资产托管。"/>
    <m:section xlName="_GBC_17f3281299e640aa88ca71463490c054" title="关联租赁情况" rules="R2015_R11_032" headerRef="676" orient="landscape" helpId="112001168"/>
    <m:section xlName="_GBC_a87b2e666bc14a67817d2d3189396350" title="关联担保情况" rules="R2015_R11_032" headerRef="677" helpId="112001168"/>
    <m:section xlName="_SEC_b82cc4dd84264685b7f47657a2755690" title="" headerRef="678" helpId="112001168"/>
    <m:section xlName="_GBC_9319584d30f7446b9ff3e2a3d50022d5" title="关联方资产转让、债务重组情况" rules="R2015_R11_032" headerRef="679" helpId="112001168"/>
    <m:section xlName="_GBC_16da1beac91f4544809058bfda2ad3bf" title="关键管理人员报酬" rules="R2015_R11_032" headerRef="680" helpId="112001168"/>
    <m:section xlName="_GBC_45e2e59b0d6145b48f7cfd576edaa9e6" title="其他关联交易" rules="R2015_R11_032" headerRef="681" convertSummaryRule="NoConvert" helpId="112001168"/>
    <m:section xlName="_GBC_a8ddb53cf3424889a48a1749b5a1d910" title="上市公司应收关联方款项" rules="R2015_R11_032" headerRef="683" convertSummaryRule="NoConvert" helpId="112001168" helpText="注：关联交易约定以净额结算的，应收关联方款项可以抵销后金额填列。"/>
    <m:section xlName="_GBC_e7a5511f50dd4f05a897cdfaeac4023f" title="上市公司应付关联方款项" rules="R2015_R11_032" headerRef="684" convertSummaryRule="NoConvert" helpId="112001168" helpText="注：关联交易约定以净额结算的，应付关联方款项可以抵销后金额填列。"/>
    <m:section xlName="_SEC_e87e61b614b042e0b0ec6cdcff3c2fb9" title="其他项目" headerRef="685" helpId="112001168"/>
    <m:section xlName="_GBC_945a5f0033de4c9786bb7245eedc88e3" title="关联方承诺" rules="R2015_R11_032" headerRef="686" helpId="112001168"/>
    <m:section xlName="_GBC_f467d909644e4ab6b08e0abfbea78eb8" title="关联方及关联情况的其他说明" rules="R2015_R11_032" headerRef="687" helpId="112001166"/>
    <m:item xlName="_GBC_65abee0b78064363a3f4a058a40176bf" headerRef="689" up="各项权益工具" concept="clcid-ci-ar:ShiFouShiYongGeXiangQuanYiGongJu" label="是否适用：各项权益工具" selectOptions="_buildInAppliance" controlType="CustomCheckbox" cRanges="[{&quot;StartName&quot;:&quot;_GBC_65abee0b78064363a3f4a058a40176bf&quot;,&quot;EndName&quot;:&quot;_SEC_269bd1acfbb84dee9ccf7f6044aa8bf3&quot;,&quot;CType&quot;:1}]"/>
    <m:section xlName="_SEC_269bd1acfbb84dee9ccf7f6044aa8bf3" title="各项权益工具" repeatable="1" tupleConcept="clcid-pte:GeXiangQuanYiGongJuDuoBiaoMingXi" headerRef="689" helpId="112001170"/>
    <m:item xlName="_GBC_f17c034d860345b98ee280169a254e4a" headerRef="689" up="期末发行在外的股票期权或其他权益工具" concept="clcid-ci-ar:ShiFouShiYongQiMoFaXingZaiWaiDeGuPiaoQiQuanHuoQiTaQuanYiGongJu" label="是否适用：期末发行在外的股票期权或其他权益工具" selectOptions="_buildInAppliance" controlType="CustomCheckbox" cRanges="[{&quot;StartName&quot;:&quot;_GBC_f17c034d860345b98ee280169a254e4a&quot;,&quot;EndName&quot;:&quot;_SEC_f772829ee36d45de95f9cca03f80e340&quot;,&quot;CType&quot;:1}]"/>
    <m:section xlName="_SEC_80f1a12d66c14051a45cd426403e05b9" title="期末发行在外的股票期权或其他权益工具" tupleConcept="clcid-pte:QiMoFaXingZaiWaiDeGuPiaoQiQuanHuoQiTaQuanYiGongJuDuoBiaoMingXi" repeatable="1" headerRef="689" helpId="112001170"/>
    <m:section xlName="_SEC_f772829ee36d45de95f9cca03f80e340" title="期末发行在外的股票期权或其他权益工具的其他说明" headerRef="689" helpId="112001170"/>
    <m:section xlName="_SEC_8be04c479c3745bd83457c2304165bf0" title="以权益结算的股份支付情况（单表）" headerRef="690" convertSummaryRule="NoConvert" helpId="112001171" helpText="注1：本期估计与上期估计不存在重大差异的，请填写“无”。\n注2：如存在多个股份支付对象，请通过选项功能切换。" primarySection="_SEC_8be04c479c3745bd83457c2304165bf0" optionText="以权益结算的股份支付情况（单表）" optionGroupTitle="以权益结算的股份支付情况"/>
    <m:section xlName="_SEC_4157e56c7b2e4192983d8b53bcda8fec" title="以权益结算的股份支付情况（多表）" headerRef="691" convertSummaryRule="NoConvert" helpId="112001171" helpText="注：本期估计与上期估计不存在重大差异的，请填写“无”。" primarySection="_SEC_8be04c479c3745bd83457c2304165bf0" optionText="以权益结算的股份支付情况（多表）" optionGroupTitle="以权益结算的股份支付情况"/>
    <m:section xlName="_SEC_ceb0668a9ef344f4873549a6299682c4" title="以现金结算的股份支付情况" headerRef="692" helpId="112002203"/>
    <m:item xlName="_GBC_5b0304a006c7437ca2961c2d2bdf142a" headerRef="693" up="本期股份支付费用" concept="clcid-ci-ar:ShiFouShiYongGuFenZhiFuFeiYong" label="是否适用：股份支付费用" selectOptions="_buildInAppliance" controlType="CustomCheckbox" cRanges="[{&quot;StartName&quot;:&quot;_GBC_5b0304a006c7437ca2961c2d2bdf142a&quot;,&quot;EndName&quot;:&quot;_SEC_28a8d17b729847e1bbc4f523e1720242&quot;,&quot;CType&quot;:1}]"/>
    <m:section xlName="_SEC_f1d2ef590c584674bba731c2c55aca70" title="本期股份支付费用" tupleConcept="clcid-pte:GuFenZhiFuFeiYongDuoBiaoMingXi" repeatable="1" headerRef="693" helpId="112002315"/>
    <m:section xlName="_SEC_28a8d17b729847e1bbc4f523e1720242" title="本期股份支付费用的其他说明" headerRef="693"/>
    <m:section xlName="_GBC_ae153862caea4ff5a57470b6f594f167" title="股份支付的修改、终止情况" headerRef="694" convertSummaryRule="NoConvert" helpId="112001173" helpText="注：本期未发生股份支付修改、终止情况的，请填写“无”。"/>
    <m:section xlName="_GBC_d9554f13d811474eab6fe8ab0c5c8811" title="股份支付的其他情况说明" headerRef="695" helpId="112001166"/>
    <m:item xlName="_GBC_3ee02d2bff5e4dd69f75cc6148bdda8f" headerRef="697" up="重要承诺事项" concept="clcid-ci-ar:ShiFouShiYongZhongYaoChengNuoShiXiang" label="是否适用：重要承诺事项" selectOptions="_buildInAppliance" controlType="CustomCheckbox" cRanges="{&quot;StartName&quot;:&quot;_GBC_3ee02d2bff5e4dd69f75cc6148bdda8f&quot;,&quot;EndName&quot;:&quot;_GBC_bd716a4e356044ddb7c8207f0edef471&quot;,&quot;CType&quot;:1,&quot;DisplayText&quot;:null}"/>
    <m:section xlName="_GBC_bd716a4e356044ddb7c8207f0edef471" title="资产负债表日存在的重大承诺" headerRef="697" helpId="112002263" helpText="注：与合营企业投资相关的未确认承诺索引至“附注九、在其他主体中的权益”部分相应内容。" keyAction="42" keyCode="2"/>
    <m:section xlName="_GBC_c667d796bd114ba58f4592903a5601f3" title="资产负债表日存在的或有事项" headerRef="699" helpId="112002204" helpText="注：与合营企业或联营企业投资相关的或有负债索引至“附注九、在其他主体中的权益”部分相应内容。" keyAction="42" keyCode="2"/>
    <m:section xlName="_GBC_428b07d001974f7390d8bb4142377be9" title="公司没有需要披露的或有事项，也应予以说明" headerRef="700" helpId="112002206"/>
    <m:section xlName="_GBC_7967de77d1eb4fa3968e072c7d0d24ca" title="承诺及或有事项的其他情况说明" headerRef="701" helpId="112001166"/>
    <m:section xlName="_GBC_5d1bcf8f61b9443ba6ffa54897c724fc" title="重要的非调整事项" headerRef="703" helpId="112001176"/>
    <m:section xlName="_GBC_0fa3d44599d34674894cec144baccd50" title="资产负债表日后利润分配情况说明" headerRef="704" convertSummaryRule="NoConvert" helpId="112001177" keyAction="42" keyCode="2"/>
    <m:section xlName="_GBC_189c429afb95427192d478a4da4061cd" title="资产负债表日后事项-销售退回说明" headerRef="705" helpId="112001178" helpText="注：说明在资产负债表日后发生重要销售退回的相关情况及对报表的影响。" keyAction="42" keyCode="2"/>
    <m:section xlName="_GBC_90d185c72bfe452398767dd3a98447a5" title="其他资产负债表日后事项说明" headerRef="706" helpId="112001166" keyAction="42" keyCode="2"/>
    <m:section xlName="_GBC_cb1f61a36a2a43b0ad30697c25cce450" title="会计差错更正(追溯重述)" headerRef="709" convertSummaryRule="ConvertDefinedText" convertText="无" helpId="112001180"/>
    <m:section xlName="_GBC_6bd40de18d9047e48f182803eefc5581" title="未来适用法本报告期是否发现采用未来适用法的前期会计差错：（..." headerRef="710" helpId="112001180"/>
    <m:section xlName="_SEC_3b93aae1bf0f4cd5afa055ee872804c3" title="债务重组" headerRef="711" convertSummaryRule="NoConvert" helpId="112001181" helpText="注：说明重要债务重组的详细情况，包括债重组方式、债务重组利得（或损失）金额总额、债务转为资本导致的股本增加额（或债权转为股份导致的投资增加额及该投资占债务人股份总额的比例）、或有应付（或有应收）金额、债务重组中公允价值的确定方法及依据。"/>
    <m:section xlName="_GBC_c8e7bc701c4e40cea43130c65dd24cdf" title="非货币性资产交换" headerRef="713" convertSummaryRule="NoConvert" helpId="112001183" helpText="注：非货币性资产交换应披露换入资产的类别、成本确定方式和公允价值，换出资产的类别、账面价值和公允价值，以及非货币性资产交换确认的损益。"/>
    <m:section xlName="_GBC_a7d8a797c78a4fb398d42fc923a0a5dc" title="其他资产置换资产说明" headerRef="714" helpId="112001183" helpText="注：说明重要资产置换、转让及出售的情况，包括资产账面价值、转让金额、对财务状况与经营成果的影响、转让原因等。"/>
    <m:section xlName="_GBC_868ef73c1ce14e36a7c8c41a6c9d1268" title="年金计划主要内容及重大变化" headerRef="715" convertSummaryRule="NoConvert" helpId="112001185" helpText="注：说明年金计划的主要内容及重要变化。"/>
    <m:section xlName="_GBC_eb9f713a39454ce1a2b0b09086ca70cc" title="终止经营" headerRef="716" convertSummaryRule="NoConvert" helpId="112001187"/>
    <m:section xlName="_GBC_a659f5b3817d4a3394d1850cd82bbbab" title="分部信息报告分部的确定依据与会计政策" rules="R2015_R11_033" headerRef="718" helpId="112001188"/>
    <m:section xlName="_GBC_7bcfc6b35dea4597b05ae9db882c542b" title="报告分部的财务信息" rules="R2015_R11_033" headerRef="719" helpId="112001188" helpText="注：报告分部的财务信息应结合公司具体情况披露，包括主营业务收入、主营业务成本等信息。"/>
    <m:section xlName="_GBC_0a73290869524182a42675dee97eaa48" title="公司无报告分部的，或者不能披露各报告分部的资产总额和负债总额的，应说明原因" rules="R2015_R11_033" headerRef="720" helpId="112001188"/>
    <m:section xlName="_GBC_bf8b759cb5b84035861b501b67f52f53" title="分部信息其他说明" rules="R2015_R11_033" headerRef="721" helpId="112001188"/>
    <m:section xlName="_GBC_0e2af5e32a53408bb340218a0c352be0" title="其他重要事项说明" headerRef="722" convertSummaryRule="NoConvert" helpId="112001190" helpText="注：说明其他对投资者决策有影响的重要交易和事项，包括具体情况、判断依据及相关会计处理。"/>
    <m:section xlName="_GBC_a9d998641356411784b3ec54387f322d" title="其他重要事项的说明" headerRef="723" helpId="112001166"/>
    <m:section xlName="_SEC_5859d30d861c4c0292d303045c54bde7" title="按账龄披露" headerRef="726" helpId="112002207" helpText="表中“期末账面余额”指的是包含单项计提和组合计提的期末账面余额。"/>
    <m:item xlName="_GBC_bd7fb52eb7f647d5aa6c10677b261ee1" headerRef="727" up="按坏账计提方法分类披露" concept="clcid-ci-ar:ShiFouShiYongMuGongSiYingShouZhangKuanAnHuaiZhangJiTiFangFaFenLeiPiLu" label="是否适用：母公司应收账款按坏账计提方法分类披露" selectOptions="_buildInAppliance" controlType="CustomCheckbox" cRanges="[{&quot;StartName&quot;:&quot;_GBC_bd7fb52eb7f647d5aa6c10677b261ee1&quot;,&quot;EndName&quot;:&quot;_SEC_22b53fc701704bd9858f1a601e7a3144&quot;,&quot;CType&quot;:1}]"/>
    <m:section xlName="_SEC_22b53fc701704bd9858f1a601e7a3144" title="(2).  按坏账计提方法分类披露" headerRef="727" helpId="112002207"/>
    <m:section xlName="_SEC_25fdb1db4e684b509f2d87c2a7766da9" title="按单项计提坏账准备：" headerRef="727" helpId="112002207"/>
    <m:item xlName="_GBC_bf96e631f2cf4f6a876dff49863ee9d3" headerRef="727" up="按组合计提坏账准备：" concept="clcid-ci-ar:ShiFouShiYongMuGongSiYingShouZhangKuanAnZuHeJiTiHuaiZhangZhunBei" label="是否适用：母公司应收账款按组合计提坏账准备" selectOptions="_buildInAppliance" controlType="CustomCheckbox" cRanges="[{&quot;StartName&quot;:&quot;_GBC_bf96e631f2cf4f6a876dff49863ee9d3&quot;,&quot;EndName&quot;:&quot;_SEC_6113a97431b44a51b796257dc3b7c6cb&quot;,&quot;CType&quot;:1}]"/>
    <m:section xlName="_SEC_6113a97431b44a51b796257dc3b7c6cb" title="组合计提项目" repeatable="1" tupleConcept="clcid-pte:AnZuHeJiTiHuaiZhangZhunBeiDeYingShouZhangKuanXiangXiMingXi" headerRef="727" helpId="112002207"/>
    <m:section xlName="_SEC_c60e95248c4a4b468d429be8e0ec51d3" title="如按照一般预计信用损失模型计提坏账，请参照其他应收款的披露方式披露" headerRef="727" helpId="112002207"/>
    <m:item xlName="_GBC_f73789de2ecf49c4bad380c8767c93cf" headerRef="728" up="坏账准备的情况" concept="clcid-ci-ar:ShiFouShiYongMuGongSiYingShouZhangKuanHuaiZhangZhunBeiQingKuang" label="是否适用：母公司应收账款坏账准备情况" selectOptions="_buildInAppliance" controlType="CustomCheckbox" cRanges="[{&quot;StartName&quot;:&quot;_GBC_f73789de2ecf49c4bad380c8767c93cf&quot;,&quot;EndName&quot;:&quot;_SEC_1d771df7b6f44c3999ed9d4bceb75d3a&quot;,&quot;CType&quot;:1}]"/>
    <m:section xlName="_SEC_1d771df7b6f44c3999ed9d4bceb75d3a" title="计提坏账准备情况" headerRef="728" helpId="112002207"/>
    <m:section xlName="_SEC_4190eeaef32c4ff2b6c26bd394b92040" title="本期转回或收回情况" headerRef="728" convertSummaryRule="NoConvert" helpId="112002207" helpText="注：说明转回或收回原因，确定原坏账准备计提比例的依据及其合理性。"/>
    <m:section xlName="_GBC_72fe1bcd09e2470f910107f1e159af49" title="本报告期实际核销的应收账款情况" headerRef="729" convertSummaryRule="NoConvert" helpId="112002207"/>
    <m:section xlName="_SEC_3d1ed932505a4d07984c925784c16944" title="按欠款方归集的期末余额前五名的应收账款情况：" rules="R2015_R11_004" headerRef="730" helpId="112002207" helpText="注：按欠款方集中度，汇总或分别披露期末余额前五名的应收账款的期末余额及占应收账款期末余额合计数的比例，以及相应计提的坏账准备期末余额。">
      <m:axisValue occRef="母公司"/>
    </m:section>
    <m:section xlName="_GBC_eac4abdf299a4312a10e680c5fc79ef9" title="其他说明：" headerRef="730" helpId="112002207"/>
    <m:section xlName="_SEC_e2f0b728ae404babbb57dfbc1fafed13" title="项目列示" headerRef="732"/>
    <m:section xlName="_SEC_91e08163b2464f8cb5d135fd131f631f" title="应收利息分类" headerRef="734" helpId="112002209"/>
    <m:section xlName="_SEC_e80bd789f30b40de829902e04129ef49" title="重要逾期利息" headerRef="735" helpId="112002209"/>
    <m:section xlName="_SEC_b442fa9a2c684bca8071281c3cd03c34" title="按坏账计提方法分类披露" headerRef="736" helpId="112002209">
      <m:axisValue occRef="应收利息"/>
    </m:section>
    <m:section xlName="_SEC_89e2ac286b0643a7a8caf5b7e2b151a5" title="按单项计提坏账准备：  单位：元币种：人民币名称 期..." headerRef="736" helpId="112002209">
      <m:axisValue occRef="应收利息"/>
    </m:section>
    <m:item xlName="_GBC_d3043e47b1544d94a13ce780dd85e9fc" headerRef="736" up="按组合计提坏账准备：" concept="clcid-ci-ar:ShiFouShiYongMuGongSiAnZuHeJiTiHuaiZhangZhunBeiDeXiangXiQingKuang" label="是否适用：母公司按组合计提坏账准备的详细情况" selectOptions="_buildInAppliance" controlType="CustomCheckbox" cRanges="[{&quot;StartName&quot;:&quot;_GBC_d3043e47b1544d94a13ce780dd85e9fc&quot;,&quot;EndName&quot;:&quot;_SEC_d105d8ca510d42ca9fbd5947fe6f662b&quot;,&quot;CType&quot;:1}]">
      <m:axisValue occRef="应收利息"/>
    </m:item>
    <m:section xlName="_SEC_d105d8ca510d42ca9fbd5947fe6f662b" title="组合计提项目" tupleConcept="clcid-pte:AnZuHeJiTiHuaiZhangZhunBeiDeXiangXiMingXi" repeatable="1" headerRef="736" helpId="112002209">
      <m:axisValue occRef="应收利息"/>
    </m:section>
    <m:section xlName="_SEC_ce38368754b54030878f7a4b3d48648e" title="坏账准备计提情况" headerRef="737" helpId="112002209"/>
    <m:section xlName="_SEC_9bea6546387147b0820f4215aa005e52" title="母公司应收利息坏账准备的情况" headerRef="738" helpId="112002209"/>
    <m:section xlName="_SEC_152c862663f24ed881706322f4817efb" title="其中本期坏账准备收回或转回金额重要的" headerRef="738" helpId="112002209">
      <m:axisValue occRef="应收利息"/>
    </m:section>
    <m:section xlName="_SEC_82ac412e608349798785ff91b50dc0b5" title="母公司实际核销的应收利息情况" headerRef="739" helpId="112002209"/>
    <m:section xlName="_SEC_d5a3493d4d5c43979c12a289d5d94e6b" title="其中重要的应收利息核销情况" headerRef="739" helpId="112002209">
      <m:axisValue occRef="应收利息"/>
    </m:section>
    <m:section xlName="_SEC_ad2b0daa52af481d8a56e5f8f2ccc52e" title="其他说明：" headerRef="739" helpId="112002209"/>
    <m:section xlName="_SEC_18f0cc3557ff45749d07d7a27d7c9620" title="应收股利" headerRef="741" helpId="112002209"/>
    <m:section xlName="_SEC_ccfd129beeb14f31b282a062cd845e5e" title="重要的账龄超过1年的应收股利" headerRef="742" helpId="112002209"/>
    <m:section xlName="_SEC_697abfe55ee446509f5a8969b2d67a8f" title="按坏账计提方法分类披露" headerRef="743" helpId="112002209">
      <m:axisValue occRef="应收股利"/>
    </m:section>
    <m:section xlName="_SEC_781cf520716148ff97619c28f803657e" title="按单项计提坏账准备：  单位：元币种：人民币名称 期..." headerRef="743" helpId="112002209">
      <m:axisValue occRef="应收股利"/>
    </m:section>
    <m:item xlName="_GBC_9f9d44f1ec164a3da4b2c14d4d129121" headerRef="743" up="按组合计提坏账准备：" concept="clcid-ci-ar:ShiFouShiYongMuGongSiAnZuHeJiTiHuaiZhangZhunBeiDeXiangXiQingKuang" label="是否适用：母公司按组合计提坏账准备的详细情况" selectOptions="_buildInAppliance" controlType="CustomCheckbox" cRanges="[{&quot;StartName&quot;:&quot;_GBC_9f9d44f1ec164a3da4b2c14d4d129121&quot;,&quot;EndName&quot;:&quot;_SEC_c33d943e8d104301ab742de8215ea747&quot;,&quot;CType&quot;:1}]">
      <m:axisValue occRef="应收股利"/>
    </m:item>
    <m:section xlName="_SEC_c33d943e8d104301ab742de8215ea747" title="组合计提项目" tupleConcept="clcid-pte:AnZuHeJiTiHuaiZhangZhunBeiDeXiangXiMingXi" repeatable="1" headerRef="743" helpId="112002209">
      <m:axisValue occRef="应收股利"/>
    </m:section>
    <m:section xlName="_SEC_3d41530a7b3d408cbfe627f818ea914c" title="坏账准备计提情况" headerRef="744" helpId="112002209"/>
    <m:section xlName="_SEC_975a098f9e44436686992f27ed9ae1c3" title="母公司应收股利坏账准备的情况" headerRef="745" helpId="112002209"/>
    <m:section xlName="_SEC_367ce86c62fe4d36a3f067e579dc9221" title="其中本期坏账准备收回或转回金额重要的" headerRef="745" helpId="112002209">
      <m:axisValue occRef="应收股利"/>
    </m:section>
    <m:section xlName="_SEC_d86f941ba0ed440db8b5c57d27cdae38" title="母公司本期实际核销的应收股利情况" headerRef="746" helpId="112002209"/>
    <m:section xlName="_SEC_9e1f721ff3884db48731bb4d485d232f" title="其中重要的应收股利核销情况" headerRef="746" helpId="112002209">
      <m:axisValue occRef="应收股利"/>
    </m:section>
    <m:section xlName="_SEC_2b03a6eb53a24c76a6dc28f0478009f2" title="其他说明：" headerRef="746" helpId="112002209"/>
    <m:section xlName="_SEC_db399aa123ce49ddb0116f33fe18109b" title="按账龄披露" headerRef="748" helpId="112002209" helpText="表里的这里的“期末账面余额”指的是包含单项计提和组合计提的期末账面余额。"/>
    <m:section xlName="_GBC_c9f7dc8489b74105a28800b5cfad23af" title="其他应收款按款项性质分类情况" headerRef="749" helpId="112002209"/>
    <m:section xlName="_SEC_15d9e20371d54bec9233b27dd50b301d" title="坏账准备计提情况" headerRef="750" helpId="112002209" helpText="如存在坏账准备，应按照财政部企业会计准则第37号第83条规定，披露损失准备期初余额与期末余额的调节表"/>
    <m:section xlName="_SEC_1eec480beee449d4b98b9ea58a782bf3" title="坏账准备的情况" headerRef="751" helpId="112002209"/>
    <m:section xlName="_SEC_f36c1b4ef7514683b7c1ed6f28889287" title="其中本期坏账准备转回或收回金额重要的" headerRef="751" helpId="112002209"/>
    <m:section xlName="_SEC_ffe6c87a4f4a49bd9769cbeb746b444b" title="本期实际核销的其他应收款情况" headerRef="752" helpId="112002209"/>
    <m:section xlName="_SEC_6c44e00a54d34fb1a03f38b7cf5b8a5d" title="其他应收款核销说明：  " headerRef="752" helpId="112002209"/>
    <m:section xlName="_GBC_c77f7efeabc1402191807946a9bfe714" title="按欠款方归集的期末余额前五名的其他应收款情况" headerRef="753" helpId="112002209"/>
    <m:section xlName="_SEC_be582c15ca6d4a0ab5668538b5593187" title="因资金集中管理而列报于其他应收款 " headerRef="754" helpId="112002209"/>
    <m:section xlName="_GBC_4b6cd384bee54ff79269fa4457c70d49" title="其他应收款其他说明" headerRef="754" helpId="112002209"/>
    <m:item xlName="_GBC_61071b9a58624e83bfc4232808751b95" headerRef="755" up="长期股权投资" concept="clcid-ci-ar:ShiFouShiYongMuGongSiChangQiGuQuanTouZi" label="是否适用：母公司长期股权投资" selectOptions="_buildInAppliance" controlType="CustomCheckbox" cRanges="{&quot;StartName&quot;:&quot;_GBC_61071b9a58624e83bfc4232808751b95&quot;,&quot;EndName&quot;:&quot;_GBC_1577b793bbce4a50b07decde0e07491e&quot;,&quot;CType&quot;:1,&quot;DisplayText&quot;:null}"/>
    <m:section xlName="_GBC_e5163872166a4141a666e7eec5d9956c" title="长期股权投资按成本法核算" headerRef="755" helpId="112002211"/>
    <m:section xlName="_GBC_354d808d545e41aab5b25112222d90f9" title="对子公司投资" headerRef="756" helpId="112002211"/>
    <m:section xlName="_GBC_eb61534d0a614526b319605aeaa9bf73" title="对联营、合营企业投资" headerRef="757" helpId="112002211"/>
    <m:item xlName="_GBC_c0857dc1a8eb4f79b18a90f9b4b26d58" headerRef="758" up="长期股权投资的减值测试情况" concept="clcid-ci-ar:ShiFouShiYongJianZhiCeShiQingKuang" label="是否适用：减值测试情况" selectOptions="_buildInAppliance" controlType="CustomCheckbox" cRanges="[{&quot;StartName&quot;:&quot;_GBC_c0857dc1a8eb4f79b18a90f9b4b26d58&quot;,&quot;EndName&quot;:&quot;_SEC_71ea10733b824b968c2e14cf048d7d1c&quot;,&quot;CType&quot;:1}]">
      <m:axisValue occRef="母公司"/>
      <m:axisValue occRef="长期股权投资"/>
    </m:item>
    <m:section xlName="_SEC_822d71d2a6114d65a3645fd0d6a4cb7d" title="可收回金额按公允价值减去处置费用后的净额确定" headerRef="759" helpId="112002211">
      <m:axisValue occRef="长期股权投资"/>
      <m:axisValue occRef="母公司"/>
    </m:section>
    <m:section xlName="_SEC_2294f378c2eb488185ad8620abb6d34a" title="可收回金额按预计未来现金流量的现值确定" headerRef="760" helpId="112002211">
      <m:axisValue occRef="长期股权投资"/>
      <m:axisValue occRef="母公司"/>
    </m:section>
    <m:section xlName="_SEC_14eb6745f28c4405aacca844bdf50463" title="前述信息与以前年度减值测试采用的信息或外部信息明显不一致的差..." headerRef="761" helpId="112002211">
      <m:axisValue occRef="长期股权投资"/>
      <m:axisValue occRef="母公司"/>
    </m:section>
    <m:section xlName="_SEC_71ea10733b824b968c2e14cf048d7d1c" title="公司以前年度减值测试采用信息与当年实际情况明显不一致的差异原..." headerRef="762" helpId="112002211">
      <m:axisValue occRef="长期股权投资"/>
      <m:axisValue occRef="母公司"/>
    </m:section>
    <m:section xlName="_GBC_1577b793bbce4a50b07decde0e07491e" title="长期股权投资的说明" headerRef="762" helpId="112002211"/>
    <m:section xlName="_SEC_c20353238d924d35bff1a3e0cee4af4b" title="营业收入和营业成本情况" headerRef="764" helpId="112001233" keyAction="89"/>
    <m:section xlName="_SEC_55b67c614f984b14baf467a8376baa6d" title="合同产生的收入的情况" headerRef="765" tagAction="1" helpId="112001233">
      <m:virtualTuples>
        <m:virtualTuple id="47b64d54-c0cb-4c7a-a1b2-733bbb651abd" tupleRef="clcid-pte:HeTongChanShengDeShouRuFenBuMingXi" extendDirection="2"/>
      </m:virtualTuples>
    </m:section>
    <m:section xlName="_SEC_07f314ac96bd42a28c2766bb3781c913" title="履约义务的说明" headerRef="766" helpId="112001233"/>
    <m:section xlName="_SEC_e95ad3f139c54551b2b6b25c8a85cd3e" title="分摊至剩余履约义务的说明" headerRef="767" helpId="112001233"/>
    <m:section xlName="_SEC_ced2618a2bfc45bca934a93ab08bfaa3" title="重大合同变更或重大交易价格调整" headerRef="768" helpId="112001233"/>
    <m:section xlName="_SEC_0c05b3f6a2d94f5989da6e67eb2f67d6" title="营业收入和营业成本其他说明" headerRef="768" helpId="112001233"/>
    <m:section xlName="_SEC_69cb0c27d0a845f8ab1383f9a47646b6" title="投资收益" headerRef="769" helpId="112001197"/>
    <m:section xlName="_GBC_23958e5452684882b98c8317e400c8d6" title="母公司会计报表附注的其他说明事项" headerRef="770" helpId="112002212"/>
    <m:section xlName="_SEC_cde396f022fe426bae1097e657f16e83" title="当期非经常性损益明细" headerRef="772" helpId="112001192" helpText="1.非经常性损益的界定，应以非经常性损益的定义为依据。在界定非经常性损益项目时，应遵循以下原则：\n（一）非经常性损益的认定应基于交易和事项的经济性质判断\n（二）非经常性损益的认定应基于行业特点和业务模式判断\n（三）非经常性损益的认定应遵循重要性原则。\n2.各非经常性损益项目按税前金额列示。\n3.非经常性损益项目中的损失类应以负数填写。\n4.自定义科目全部填入“其他符合非经常性损益定义的损益项目”，并在该项目附注中说明具体情况。"/>
    <m:section xlName="_GBC_7944e47348cd4cd186b958ba1902ea3f" title="对公司根据《公开发行证券的公司信息披露解释性公告第1号——非..." headerRef="772" convertSummaryRule="NoConvert" helpId="112001192"/>
    <m:section xlName="_SEC_9779a45603754f5a8e4b377ad6f06fc2" title="其他说明" headerRef="772" helpId="112001192" helpText="上市公司在披露定期报告时，应在财务报表附注中披露执行本规则对可比会计期间非经常性损益的影响情况。"/>
    <m:section xlName="_GBC_146d888914ac4591bea1ff0ea9e89617" title="净资产收益率及每股收益" headerRef="773" helpId="112001194"/>
    <m:item xlName="_GBC_3482333eff2948139884cfdd1debc958" headerRef="774" up="境内外会计准则下会计数据差异" concept="clcid-ci-ar:ShiFouShiYongJingNeiWaiHuiJiZhunZeXiaHuiJiShuJuChaYi" label="是否适用：境内外会计准则下会计数据差异" selectOptions="_buildInAppliance" controlType="CustomCheckbox" cRanges="{&quot;StartName&quot;:&quot;_GBC_3482333eff2948139884cfdd1debc958&quot;,&quot;EndName&quot;:&quot;_GBC_28e04aa78d514ffaa91bd2d93b36d312&quot;,&quot;CType&quot;:1,&quot;DisplayText&quot;:null}"/>
    <m:section xlName="_GBC_30f5ba046d124b5db9ae669fe845bbdb" title="同时按照国际会计准则与按中国会计准则披露的财务报告中净利润和..." headerRef="775" helpId="112001195"/>
    <m:section xlName="_GBC_4dcd3e5d3e2046b28e99d35c3cbab7be" title="同时按照境外会计准则与按中国会计准则披露的财务报告中净利润和..." headerRef="776" helpId="112001195" helpText="注：境内外会计准则下会计数据差异填列合并报表数据。"/>
    <m:section xlName="_GBC_28e04aa78d514ffaa91bd2d93b36d312" title="境内外会计准则下会计数据差异说明" headerRef="777" convertSummaryRule="NoConvert" helpId="112001195"/>
    <m:section xlName="_GBC_a60672e5f86e422cbb864ef991c9106b" title="补充资料其他说明事项" headerRef="778" helpId="112001166"/>
    <m:section xlName="_SEC_05b1791af4454108ad401bb8a64cf5c6" title="落款" headerRef="778" convertSummaryRule="NoConvert" helpId="110002018"/>
    <m:section xlName="_GBC_e51b54728b2e4e53b95b0611d0df9b06" title="修订信息 " headerRef="778" convertSummaryRule="NoConvert"/>
  </m:document>
  <m:conditions>
    <m:precondition id="CON_1a48cdb3133a4677a167bac7a8bc1aa8" desc="营业收入_上期数大于0" test=" $_GBC_7c5da886e3a04f318f97bf5b3df41719 &gt;  0 "/>
    <m:precondition id="CON_af473f7d20304c22995363c757f6daf0" desc="资产上年末数大于0" test=" $_GBC_6c7912ed42714421ab5f733f008d5f76 &gt;  0 "/>
    <m:precondition id="CON_197fec41ec98488498dfbe498be59a74" desc="股东权益上年末数大于0" test=" $_GBC_8d9460019b644ac19fb31e97c9b4647e &gt;  0 "/>
    <m:precondition id="CON_bdd606b457ef4e93a2a0294a54e4b405" desc="经营现金流量_上期数大于0" test=" $_GBC_7e2906a118e24d74ad326fa7837a253e &gt;  0 "/>
    <m:precondition id="CON_4da0ebfe15f24df88a660504507e40e1" desc="基本每股收益上期数大于0" test=" $_GBC_584729723e57485398b1976834ccf5b0 &gt;  0 "/>
    <m:precondition id="CON_a61b951a5f0c465ba40b9b17e981dbcd" desc="稀释每股收益上期数大于0" test=" $_GBC_df6801dbb6554f788e5691b1275ddc0c &gt;  0 "/>
    <m:precondition id="CON_6f9fe1fdf3be45bbaebeadd971a87dfa" desc="扣后净利润_上期数大于0" test=" $_GBC_9a2bb710bc064c538a123f1d4d9adca0 &gt;  0 "/>
    <m:precondition id="CON_657ce831c12f4f5781f276dad93ed67d" desc="归属净利润大于0" test=" $_GBC_3730fdab291446f69786b3732d6fa348 &gt;  0 "/>
    <m:precondition id="CON_2ac0161341124c22928d7d9bda9c092a" desc="扣后基本每股收益上期数大于0" test=" $_GBC_b9acb6b637744de2b3a128c6e247d5bf &gt;  0 "/>
    <m:precondition id="CON_2ab89e5947cc4829906ec6baa0a454ef" desc="以后重分类进损益的其他综合收益横向公式" test="not (  (  $_GBC_5c655a0ef59a4277bc39216e66537c6f +  $_GBC_89a43a67e3e544edbf44809c00131299 ==  $_GBC_e110b3abe19241479fa28dadc62117e9 )  ||  (  $_GBC_5c655a0ef59a4277bc39216e66537c6f +  $_GBC_89a43a67e3e544edbf44809c00131299 -  $_GBC_3c586710a7554d53a726a15a0984f7cf ==  $_GBC_e110b3abe19241479fa28dadc62117e9 )  ||  (  $_GBC_5c655a0ef59a4277bc39216e66537c6f +  $_GBC_89a43a67e3e544edbf44809c00131299 +  $_GBC_3c586710a7554d53a726a15a0984f7cf ==  $_GBC_e110b3abe19241479fa28dadc62117e9 )  ) "/>
    <m:precondition id="CON_3bc486b5ddd6468885af782b40530a51" desc="其他综合收益合计横向公式" test="not (  (  $_GBC_7d7534c6cb1c4ffdb0ccec0f16bb954b +  $_GBC_b5118f0af02749fc806db9326d754991 ==  $_GBC_0dbee349a9e94f788424baef436dd53a )  ||  (  $_GBC_7d7534c6cb1c4ffdb0ccec0f16bb954b +  $_GBC_b5118f0af02749fc806db9326d754991 -  $_GBC_a11f3011d8674a6aa5ed7c69a7e588cd ==  $_GBC_0dbee349a9e94f788424baef436dd53a )  ||  (  $_GBC_7d7534c6cb1c4ffdb0ccec0f16bb954b +  $_GBC_b5118f0af02749fc806db9326d754991 +  $_GBC_a11f3011d8674a6aa5ed7c69a7e588cd ==  $_GBC_0dbee349a9e94f788424baef436dd53a )  ) "/>
    <m:precondition id="CON_a1eb43ebcda24b18be4383b11129a8a8" desc="以后不能重分类进损益的其他综合收益横向公式" test="not (  (  $_GBC_e2de66f3d0ff45c8b9236045779902ae +  $_GBC_85d145546e3b4f72908bbefe16244d13 ==  $_GBC_ef85990f3d1549c99f748bd71e4c8ef8 )  ||  (  $_GBC_e2de66f3d0ff45c8b9236045779902ae +  $_GBC_85d145546e3b4f72908bbefe16244d13 -  $_GBC_bd45fe5da0464410af26e48ce2a50ef6 ==  $_GBC_ef85990f3d1549c99f748bd71e4c8ef8 )  ||  (  $_GBC_e2de66f3d0ff45c8b9236045779902ae +  $_GBC_85d145546e3b4f72908bbefe16244d13 +  $_GBC_bd45fe5da0464410af26e48ce2a50ef6 ==  $_GBC_ef85990f3d1549c99f748bd71e4c8ef8 )  ) "/>
  </m:conditions>
</m:mapping>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重庆望变电气（集团）股份有限公司</clcid-cgi:GongSiFaDingZhongWenMingCheng>
  <clcid-mr:GongSiFuZeRenXingMing xmlns:clcid-mr="clcid-mr">杨泽民</clcid-mr:GongSiFuZeRenXingMing>
  <clcid-mr:ZhuGuanKuaiJiGongZuoFuZeRenXingMing xmlns:clcid-mr="clcid-mr">杨万华</clcid-mr:ZhuGuanKuaiJiGongZuoFuZeRenXingMing>
  <clcid-mr:KuaiJiJiGouFuZeRenXingMing xmlns:clcid-mr="clcid-mr">冯波</clcid-mr:KuaiJiJiGouFuZeRenXingMing>
  <clcid-cgi:GongSiFaDingDaiBiaoRen xmlns:clcid-cgi="clcid-cgi"/>
  <clcid-ci-ar:DanWeiKouChuFeiJingChangXingSunYiXiangMuHeJinE xmlns:clcid-ci-ar="clcid-ci-ar">万元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clcid-mr:DuiBaoGaoCunZaiYiYiDeDongShiXingMing/>
  <bond:DanWeiFeiJingYingXingWangLaiZhanKuanHeZiJinChaiJie>100000000</bond:DanWeiFeiJingYingXingWangLaiZhanKuanHeZiJinChaiJie>
  <bond:DanWeiMuGongSiYouXiZhaiWu>亿元</bond:DanWeiMuGongSiYouXiZhaiWu>
  <bond:DanWeiYouXiZhaiWu>亿元</bond:DanWeiYouXiZhaiWu>
  <bond:DanWeiFaXingRenJingWaiShiChangFaXingZhaiQuan>亿元</bond:DanWeiFaXingRenJingWaiShiChangFaXingZhaiQuan>
</b:binding>
</file>

<file path=customXml/item4.xml><?xml version="1.0" encoding="utf-8"?>
<t:template xmlns:t="http://mapping.word.org/2012/template">
  <t:sse><![CDATA[mlOYf2i7YClhLCkBrG7s8tHKKV6aUo4dgwSl2m7/EVQAbeamTrptQEr4LP6iL5/Ue26OstYD9PMjbWzFbUqJyENfb9ImfAkJNl0weP5Zs4HFGB2Qug5UJMGdDky4oK/UzFoi+98kgfkTamXNnVfWy/lqTgJeU6fEEL1K0r8xJrRzQpleIZOV/r9ELNSDRnyOc3Xek9Pzc3uO+helM3PYvMbuIGQm6pzSExyz5bDYfSHVuE7N7dVzoNrq31Kui9ULbzecoHVe/MXaqh0I7+1xK6i3bOGoL1NDToZPQFfasJwKqhjdBq1GoPI7ScbNR69N50a9olrOIsEvLXUm8cYzP42reXFjwA07QtQRy0T6iUYZNgnO1lF7/+p34egQk54d17iti9KkTKTN52t4rpZJ5t79J2aRz6P139g/PY6e/MLA9A/Mo6VqHKaSNEjRxi/S5wOfBYOoZEKlRTYWca05iKu8+EWUiwJhYTrB180q9Oj/aR83MmJYubhjJLmmV9z6n9W9ZsMRu9XlF9cXb11Xn1RXI5/vx7puMKGR+x2FXhVwn5unK8tuP+NEwCHogFf4mtjAy3M/Z1/rjl5Efh53r5TqhVcot6rpDEyMneV/9JzVH5BrVBLuGZDbqr7IQVDkrTf/4HJoiXNS6QT0f8BSnsKdub7fQonlMeo9oHXjsWCk/1gV18qwkKbu8yZw1VRH9KzK7kCSpWGhZXc8RgK78uX5DnGBp127C5314knjUg2492TrciY9ixw8gngzYGMYlO9SD2GdfmxEsEXAr8CN4Qr0MH8sxiT2bOb90JmOvkVM1divLDaWWO5uFmPcSszhCbKFp4adUU3MWyMtgsKuXDD8LkEHVSFb+jkbemt+qFp1vW3IZ8bK4LmQdVVuY9x0WWcfDSiA8Q/m2FziillxZcLuVkg5OWbUqG+WUgBPvJGafI2cdwWAnZNJyMJZ/E3Ohoe60K+nr2yABjZjqvLpmYryiPyrrA8RkI2+JeinyZFpbyDQs4i4FvfXhernNAR7427iMlfclyvS8lG4ylpZisJFw9g3aKK2PSFew/345XXLDj9DLQlKGdV6IS2gCXGXMm6oDQMYks9S2w6kjk3RGr99sbkFUB+0ZMjwPznWhCZEmunkW7dokYJAnqEWSlmhroikUAdjB+FNV//YRYeMngZEUfqjHnWDgmA1/lX5kUzjN/bTe/idIB1K/PwDPt9mYUiXEPGCxOl9TCLPUeD0p9tL4gDPpP9yLZqnP7Dq9MGPte4PEamV2E/HJIR/1mUJZydqzIhPggyPNzjh8MPZV23cTPTYkbUCkKW2JvDyipCUPsixv6QEawekiS3XwUByd/dOjFXNsDilT5faspT7NAOhy/vw9yX3A6dNEv5JCIIKcUcytzsec9dOgHP4Av9M9avAUKEkYqDamxNX7mFPShTgz/G0eNOmH5l6fS/hOKjpZvJfxyApxtOMFpOYR63GaMuYpkSBOKwxdl8ZuMe024mIeVZuXfMSHh7w18/XBupTcNlHqz3dOZNqHy4MnASXKY7KYhNhiIsQbnLR6cM9eSi2CA8VYctCca4jVCtoKvROzoobyrjyU66NIcyAPQ08emvB6g2UD9SVintXEzXorqIsb57xlAcTcQZXjAEAcyLqBasG8GoAaRbUl0IOFL2MwHciEf53CqDIOmTeRh50NRhd4jyXYbtUOo3DjxAWqeZbihXtGKXAxDESC20fzOTJpArZ2SSHXkNcMAa7d8zXUEGGTZk2kKl3tlScycHRX9lJYD4KiO/z82KGx3iEqDhUHe6MIW+IZ1li4Rk22HO+4usuLOaIr4U7070fTOlV3X6b5jy7B+0NxWA8czcvlh0FJRd33HtdJ7mOR9JRLmr1SDLLThhGJOoq579KnozXKQaJIwSqgyFc+CCUq3Ma0aWC9Olh32R82kkQBCLTeVW0PYFsK0fjoy883npDzZhyHWV4ymKsLI7450A4kQmSOmHTc66Fib4CRWl8FFcg3qYvE1UPb5FiQgHBqjHXeIkyAlanApVFF3qDgX0QoMSQS+rhG9vhWljqNIno+9gG5hscrn5uqJ2G75dpZ/c8I0cOS9sqbfqwSJgSu8iDV1Whf9SjAMbJeVR/QlFQzAqEIiejJRhMGbW79mTlS4lxn3pZ4nXtB4EXLfw1clIUk5uPTKGy5tYdVRKpUiCgtQPz6eTj1quLBD5J9PUyuuvxJ1CZcP+8IuomVv1oCs45Bvtt83Pxt8KMdKg7Kg/TkB0sOytI9lY3I80nkum227NFENsC/ftJIug1lnZoLYBDsyWFeDfjRXv4+04hUa1GqKc/iZgsFm852mrMrd/FwMt8jN1PNAO7WVEXnQqogyiMTQYA7dHdMVSEmU8stl3IYj1j700l2HUyUWPt4f236o787pTudkAN5nvsxRnsE1Zlptp6w2i9prvcqHv5GFNA4OsO5ZY67aTP3gavJjCB/od0BDBLMwecY3gB7l+pEMOGxuJuAYfruwP4fJEmIaOFupLARhUU0AGcfGBlzCm3iIDhEOmxjcFGs3NPaPZxOuJiPQx1AyYzBmooxvBSAPnfF81Z+KXiMDE4pLyHtJrcH+bqHxEt/S2ifNR8P4GB/g8qDfMoT2NJuV0mUmhzbWHy6LXKckBSbAu8U+35VmCsJoHERmGSO2U8rvaIuZfmgT+nnI8LXypwv6KWRQR6g0QeZwnQIqbEguJSIwCRwgcv3OvdUDB8q5kIYa8m3CCghqNBvb5D0z15UxiIBp4UdXL8kCiQfrgC+GBSZiqHjJhvprE3UtoY5LMYhIM6Gd/Rh3uEzs/ZMgC0KmxrVJb2Ofo4eugCmdgmWP4g9/50m5wdvR6lZkMd8kw0deIeFCWqtWLXVDgPuSqdPiGS786wHdbeS2XGHWs+WdRhxxxZZpdrrMG4IqQHWk4AOHRNDjileKkTVde77yAlEOCBUuOh27/t0SBqy9UL6lfz2WGAqU86n+5SOvpy1c5cqY3VHgQhl1ScKLE1hD9BIHPL1pNnpxAH5WXA0UqKqz7wAXQWwumq1HlDHA9+nvlStUBm2IkH3F3lPoxocL8GDCeloy7k6/JKuU0gKG1w6K2dtI/ZWkhXA9pelvIU7IYxBMiQzy139RJ8p1wDFYaz0X77/YNTgys3pyI8FS/UzNsVmN+AvNYAfGgu6fN0Co605KCZA6ctud5J6pZ7BlGTRzxDAJ3UtZjWmKNOGglUVrf/h5tIn6nT+nF+tw/z/odqLt2CulAaQrvy6qXUe5/xXK4ipyqY9KVhGa63j5AM8zOc3GpuTN+JmtNvG2JG3hK/dI6FeLjL6St3YhRN2bOQCwyOhePwuu6O/cgYZF+NO1bIgzFMl7kf4+Z6z3GW2EROznDuANGVGcmMjlyBCBoxyYm7sy+PVxKLzxcH4McOhh/sJ6Z2valddY0gly4YAFduuDq8q7+qiIROIO46+U6EqpcPwj3k4C4dLSsoXuzvuy5Zi4XwH8yUhSppyBDb52gzDzF/4N760YGCUqYgX7bkHkgwesXfCBEhTBOMS8mSkq9aHf/SvS5Mej8g6xHGby2sZIam3m7QMDIs6aFwPy48GLlRx3mZbDImuXmw1LqXFd2k+wva13G2CS6OrtS8WepZ7UokVD+HjUKM988QxGruOdWVw/yydDQLPphhiHWkn4oni3WThFEuZ17UmtTRsCUvwr0HGXN0ys04D1WU/RPpZQMer1mC/KX+iWovtVzc7hKuixwqbZU5RQfchsb412jSsEAn9L4Db7yVXvcgB3m7U7NePcNOddrpRK5QI7Uocq5zCYXhgjXAZimqoIFOr5uBmfpkgnvvQGLQKeiY5riMwdERLtgj+8GVUdIF5LZZN/WJ9dhXrQ8g120YzlYBj1f04GdSsctoJ7Aes/zsrB8uglrUvyKXV1P+mZvtpNGXAG+WwpeCAGJxwotsb2MvYOgS2nSltNqAEKdGXnzj0GW/zTOLkM8D1Uy/aYByVxGODISvr+dDUtMPXqi0q9P7a7thdSiaA6ZXfpR9+kvoWFsxTVNN6o/2zpCa3/VZ/RqC318pzEM8/PJKrfDoM+e3EmHvY7d6MZIn6mA1hhXYdqNS5Oq5I5Vda86aW3RiQe8b8EwppV1SJvScj3t16kP9Xpnv2es6qy4IshmBArDWOKbvCxud+wuDHy03d7NBEG412cmEEPHLsRIVKH+MMazJtmZC8yUas3WBdiHOQTPE/Sj+bA1qoqF0wYEmus3Huq5IqTE3HShz84izFOV3oZn5E6mlVcgYhU74n50AjqMwWiRF9Er/wLFEiY++7yom9iQjVtFetzEV0ujG7IavrPRZvDUuCa28nYNf4plLxfJffbHa8CCuRbqOkKwf4J+LSvz9PVnGMBINrySXhYJoz+f7Q5Drz8+h1elq6QOdVLz4sisL0GcMyMwsftxGFNE6/wWfOO+VjDH40yJGN6vxXetrG1/hXsBrOk1/qG/4/y9ZoDekYLSJRu4dW0mX05B3SO2LQqvTTM2RFI8JetQQwFoJwrP5+OJizyFmo9Z2d+tEvzFBtuXarflXXlXVXkh7ZISKxMLLbIgp7vfFyfxgktkC7G4TK6otKAlz7PW615nWrHzM/dOHqZvqMzcYyK2/rdxSi+YhbzCLBQ304QDIRdYIMwC08O/hd55idmCvqTECIXoAncXeRlUvJUS/5VHRU7JMnRJZ4/W0VX3yoL+YAWKk6j6U+HbJDVKe1krgizyv2+RlePoX6QYXuKN/BekkWhTrnkHIPz2/5ywG6/jC730KHAUG3VjZue9bmSESwoDZY5NBuBrWzVhvz/qNVCcfG30c2RLbAGbArb2latmiXoZ4sam+0+T3WNtK5stzTTjh60G7vY9hPXLQF8GRXEBZkMKhpWEcz0V+cAYp31pw3LAdZ2lUzDvJwtxiCxjcTlCas0ZatLMwN/OXFSfJNbr88c7sPtkYlIlngT8/Esgk3mhrh3bn39xxh3lkDXN5apoWw+GP4ZMRXULqBzeN9NObn8WgYN75kCywpIlDkt2GGJcY4O2tbMAgV/JOXHlWvnlGXa7k1W+eZFnBsT3yPg9AMapXnWOc4eZNP4i0eRhPBooM8hPHcxDB0NnT+6yQr8b0Z1AlY2adftPFfooqssnhqilwF3R6GIdeWFrFGpM7TQUYLBIK7nPLazSxcwi/5MdsUPL4nxsv2MjR69rFMdCKw2BversVTXwQFgeObHlHml4egaVI9IN+E27tAEw7VAbC0Z9Prj/SHHW1b6zeU94606kNRLjmIDOkjWi2HHOxYnGoMJ1Lx4KuhZ3zb+BDMIdKtBWwgWxCBLgIFD+EL9j+FwGO05ajX4jisbYkfWC0fu6+rkMcziogv7ALROKljrOQjOc24sEZYMQbetFVOv04o1TsvewLe7sRDcx1oLQbAoy6gxKCqUJFr8mum4r+iPNj3O1gIx/qzOj+vEWYLPMpZFU/XMeo6haz3yv4CdzTz10+rSfLquCtJE/EITxG9dlAOvhLo873rlpf1ApcdFBNxTcWwS3LsYsbCJotru/eYT79SEhyPoEz5SaVKYdAzNq3belfnJGhLgexVOGU8PVj8nKT0kM3afJOgSGjeRsEHfcSldHXrvSBiWaOITQ+CdqYwgO8znKldil8Qou96/N8u15rvlsPShD68ahhENTBQf2rnOGDeonaLvNdqxoFaoiOh2NPbvP3gjYMt7MGNDtlL+SNB1cK2nluCUoL264ncwLWhwQGRP/2qAb+nOtDNkjPCvpBRnckWcKQxcnkD52al6IKyKdT1gWmAb6eJ2mzvsbsXxS6fJMpkHTNorM3peYj4b/7dDfh7Prb/Vk6I+nD1LAYXgEcDleyLackbxKcY6mQPyIrNd5tUZ2YP4MWuZ/M1z1rGOWKGwhTMGXSO1DpMRVgo5x6nluwm2F5MvpbnoyCFFJBZfpnH27yxjoMFHNHz778kjUwX0Vkd+9et5+mR023vg/AcR56JDCmNa0QGVsTx1fHNIHqqGBBlOE2qc/feDfnSpa2wWXZki6C6gwcyouffmqJMTl7oIGCNNTPguL21LWDdVBwfb4REvZemE8HVqgEWnVR86X6QNXjhp0RE/Rt0so6ZYGtNfa/88ymZgBgGeepRc7PkX8SYZ4nVT27/QC6jndt3fYWeSJnDt1uZ0iQicc0akDAf9IXnB822AYm+/eFG1bJwCY4IzX8gt0jGRBV32ZOTxi7lOuipyZyegI9R2MnFoaO8yY/o6pWGbZKbsUuiLAUABR4lmGtdCNSOou/M/9/HRAH15rzzUlxrfJ3yHfsYQfUgvhUe9E+Fp/UPza6GZambTZLfQ2jaaJockwRDeNOKbz1N4e//0klKyS3wqH645buJ+jFayt9kzyYAiEJ9If4IiELNYuUNRNiLZGaVdE2lwh9YZel8YGwPrvgnhCo8ZNi0s6t+ewUE/qbSvQ9ncPGdZAfnH40Z1I/v89BDvaOmsoymfxH8KuYhc7JA6vFDIDYmfTCIm2vxKQ8dPkfnbd46L1CNtVuf3n4D58PrbdaU+qYafDTtbnstcxg5iKE/ht1emapSPIYSryK9CqNSOpKextu8F9DCYsdWDHnrsnwmzyHZ1J/9ejnrozeHDxZ9zwiVf3+aRB/qzk5tt4J8q4iT9qHZ3xbGeeooEQCIPsFPhNbCJ0vwO60PmrkgU8GtdHqYiIXHq/js8MfdTvdO4YALwtiiCp1/QyQBvDdkv1+cu6YQ/XN2iJZopmJ60T1dShr6wwwnyje/9xpO1khdUvx7Or/iPDEQm/RHbWS5/x1qdFMDaNuZVA3q1JinHGMAXwsYj2FXhcXMtnl6bBGmR2rWmVNfs/W0ZC/W1Lhhobq6GnIvvZalqWlo7yWwgE8hUiQ/6vrl9KFh12AWbnlLZlGCdaKLxgWyWpPK4cAnwXnwg/QhsB612Lo2nuz64lV5cmn+0PkWZelXvrHfCR5AnUFv4akrvH/oXSJYfYnbDbvIbOqTlCn5eHWLsU/r1PHQ66VSRKCzt+Y0nnX73J4CjrbR9xORjN9ADHxYPJf5xednxcmavMpiXdxzsw0CqQHrntjHfd5YlS5XiaPI4BZqekERQ3G2fsaTn/rda+t/25UWdyXUDXHNDpx1yFkiR7JePfx0jPANMbiM+z2WSwiO52AYJ6+wYKHInOtsJsyKsmUeLvLHb+aoaSEjMD8GXyTTKJGidrttctElPpulbd86n/nGTMg2g2ckp8evPkQN92//ZUF1TIfznBni00KA8PKd58YnOBdoJ818ZDKf0yBes/Ij2iygs5azrhO7sjgLkK1PnW4NupEQUrgk7bF9XI/uhZXdCQMRsw0MIoiNwJLdwF0ah5fM0ILJQcnwRXCuc7PBze1Cfmaqx+1nY5cRe3tLw4dINJhNHmPyKHP25vxfVTHtpC2Zi7ujO04CA4sCiJCsgb8BsrIXrYkTtSQAsEyx5JpsBHJMiUrWUV52jXYmL5mV45RjI1rFfsy28TWTJFpJ5BEJvBfN7J8yui5yMI9EB7ZnzbFQsIn8ZPRbS3O6eyDQScS+354wvI400KZBEx4V0FZoPbgYd0HtRQinuuHtFNy4rKpW0GcfTTxiHksr/SsycNWA+YsNgoe8gX5nbsygydj9TA/NF/GQ+zKGiCRkBjTD+TjP9HmoOgQbbPqS42gfxSg2zXc6v9Enq4YriyPNbW7j3meIiYaPo/qxK2A6x7QRp0uHR0zglfAraBzSJHOo7FNZCZKPzpfBqMxDik6GTo3HVknZpvb2F5jAsjirqzNgFk03h1JLtJYIwP2FWM5X43X2AATEofsW1VeBR8OhEfoVGEQCC5t7Etv5+OKnGlXZiGiv5mdH+b6taWEUUn7i+u+KMKFdjun+wxWZlW0XEjBJbE2rLHObGZkU/zHlu1OmuLDms33BXegW51aXt+517jlmvvcmVV0FFqCkfykqEzlT+CkbLM7Qf58jAX0Bk9ECblsvQVHn/b01ws656VdFTeKy4ji+NF1sOZSqOH41SuRfZO3SXEIqcA1Ea+FXhvnE4xs/GhbXfYZAUOjvlFJ9Bo7oiiG2EA+hClbXUtLdnSoNI1iABXifFI9JOztGWJ3IJv3XCtgYQMhKulxiWifM/uaUK4apdR4rHN9mwk6ye6aLQjFBiGqC3qfobjxAAanCWayhP0MYQx7c0DMchoTT3H738TTpuI2je/ndM+LTxQscq+0V3OtdgY/+FELH8KGE92vfzTqdrjIVE/h5J14QTxY8zhXoQ4NcQjXlZAA0h3ZNCJh3bU22oYY1uSyqxGewlTSaozIvbGJhcd6gFTdOleSKhptkGpP24CkhplYPsjQucfyio0c+9J7p2FhSgOMs67Tdb1FXCLwYjV2wb4dWVXBT0RJv6mGbje/PUVuYVBBMF/q77WbRz6f80LqVeDXuozXh1ICJ7LFihd4OzOaVfwG7FRIaVX6xM14s4RItWuTTJEK9Uv7HVk7n4Mh7sqUPR4KgegoQDtClce1iEr/sjuMIaYbmJfQvD0XbOc1mpLLp/PwiTYGCpMFpD872tZL+b3X9XX53jnJsMqmMxNJXVjjGgI+7LCjXmrvXD4DwCd6pkQc4DAbnL4HYKDRmKk4s/zsF8ZIQ2QK50JQAXFqkB25plfHcwU9daJJ4N4hSthPA1ko63yq7jofPcJubHjDeV+ZI+yYaj5jiVrZFMW7J0iUxFdJk4UyBm6eZ4Q8Vyr0HiWOj1IjD4aJF0wyUjXb7QJUkshFaL4a4HvpXkpt/nQDF2bDoKhfOhMfIzs83ImUY5xNLvqfvTii/zDmTHFEtnPeNy6pVuIylRKL+0KxP9yeBUCqFKUYgbLj26rwvNFSTzyY23v/usEzx/gYi5GscT3/oGsSvSKs+ix+DdfK3jAy7O1mm1M/KEqp5qFUpGVNklkJ49o98idNTvP3zdBPTtkv7Ok9WOXGPMMZcEuOJWMeOT+zl0csLsdEOXpA2sGtsmtRsP2U8Kplp4Rb72gNF3DEjMHS6erXSBvlBpUOW5BF6lvzf24XfvP3cEOgfaKvohTWUO+w7LAa1DfDlYCpsp/8E4tnhsbuY1qLHkhHW22Op3uo0WEDUpmKHyCpmBdTIvlqvv3KqzP7Zh+RcGhMvhaLljM9WTxyNA+GwplubAxfOou9t+8QeVQMTmwoiUxBPz5y/ZaOCbi9sE58/22rWYILKtcr4ZD2yUHuUJc5wv4OBQupmu+wDmyMKl8yXZRzAlzM0wZ5VPI7b0mPYPaQ5uJFL2pWv4/h+a7lVW3tAdrDu6MziW6fF2Uq2Lv44bhGPxa81ecXaiev5XYQHddjkbltSAIHAnByaZhWL3H6R3Bi07sbLN23vE8wRAs5gnqfpEUTlDc3nZcg2pGi+3QVutrCXmjmOhu1L6wXC9u+ngxcFId1BF5GrrcTC7BCEBppjl8Xu/cNJWdMTXcvbBeVZV+ksUalH/G6NqnyTSJLWbneAhj5SZHUtPap/mRj1GiHJgKo+nWeWFzxAw6+nufDzY5v9QilKsZ2HSv+7D+pQQE3cwa4cMADd3DVOODMLkiv2CYO7i2otK9pE4PF3mLoRQABqh+8Rs9obXUzkTFVo+Z+jCX+ThG8E/XFjgl4EFREf6CB1F3MzxU+sHS7HC8k0Ls0+k9eVR6H8FFzdbo8S2zsU4aBuyI7oJ5Bq2mX1A5uXkC7sXSfeSdyrbRdZUQaNMw6zLCtXv3vt1Wvq0gco90pa1IVR9fDNQpByaOBJpJygFP9TYVu2+dDIxkC5GUpN01DKU1YQYEfpL6KDfRdWcgsD52HgESLKLgBGMeCRnnCn9ncLAnJ05i3yPP5o6iAmW84SITHfL4Ky/Sr56vO2MxYbDUPPz3UME7zIhIevgbeSDVDdO29/WDXX47+IQRpwqhNrUO8JRSDJIfpdWYw9YpyU81ITkXDESWpgs70WtFcKyqgj1VD1OtVWwMMWToyUp1c3FuX46HA4d5BWXZbD6jCtokTWX63pvbkjHznSl6awg2pu6sACa7SHuYLryTglxI+gfLWdeCV1qnKPXbaYunDlj0ekB0Q50TBGfqoFTOjDPUMEZHpsp6879eUTdCwXUHv0lEL9X/2DxxrTyDkjlJ7RFmHis2ltVI5Y6X3YvTIp2gLIBeL6SaFi3gq5IQXq1Ic5zZEkfOZnIOVJp6UW6M7WJrMGAW5EKpYkhTjJGLAeDKje5b/KDIz9pZp1B6wfHEZe05sKVbto/R5aru6QJt27hEW58m8LbwYLd5rjCvumovo1Q+YB1AwwZ8AeIMEtDO2u+cG5T/c+SgEeD/WfX4ZmfWntrEruSsojGdklAcXb9IN9nuZhxMNbxEeXuuWz0emQUkKYdRGVh44nkG+rVwhmKkljD6oAPBXf1OiqU3D+ukGjX8tC9H03CrXxYSK/JIr6xYkXdZW6vCIYA4NR1gZNq2+zRCSDPT0+30S5e7vVjSrKWce2aSCH37i9LygeghZ8Xf9ISIOGC39OlU/A9XRInHCVM1m1Yg7iGNxoZCKWHyihe/kFCWuEnxMSDsF8Y6pz5de1z4BdSFPYRTRTJlxxRUTZfdibOBU893dYsJR02Nrd0TM2YZfOG0d0v5tL9QYl9+H/ToU0eLTHGgjwwExjZ3Ft/N8vGSEC10DGTsNBAdaZJRTi3Q/JS4SpZBuZeAabviIk7ijHV5L32coYCf03cnQk6FcIdppNMOD8IN9HHLeGHIS2h+5YC8gmtkjigGOBvNakHNeSFwHvDYIu0uJP6f5u1w2Z6PIcrA78AncF/oMqIjWYk7vseYOcUIqqJF++m8SFYBxRYVb1lymsOA9O8wQJE90Vq2zdp05F1VQBMkgX1vGEgy8118PsR+BGrC3wDiBQj9wyjiD4ZuXl9maiqJ6p/OC2sJv/GDkUaccineRDHXdjYVE664SMd9gLCWCDLWP6romSre2MEqPwn8GiMQCfs3H/lB1pZ2RBhNMr4hIdCq3Mg4iHQOqsSHHPrcmitTpm9mEtAmHgNtdz0D5cnjU7cOoDwyf0KoVenWvbP9+Y1TWcI9zvXYfCTzXuYgZvb+5883DTOmhsVud7+WLyMgTVTxWRN0VUAnD9x2GY2LFFnl8UiL0g3lZKKRb/nwXGF+GtM2+ei41NbPWt1vJEalhl7Ep12L1nWedHMZCPbRdRmMN25ks0+r4sGxlmCjM5rDxNLJsAhRDcBDmPVU7784kwVH13C1SEuP/4IV6oiOASnysSXu1+1rP1tG8YiEdkh0VliZb0v7PbkNyYliRt//YCMROVgk02Y2vO2/l38DpACQ5vsCS6sRijpt0MO4YVITcvfZgEQH1i5M96fp+vWyz6q4pWIOXFeMpxNuAS1T/0QCNw6W95rDEwTH6jzHnnSJC2Bj/+cJYNrk+Kfg9Figoc/JEpXqtIHt2KNu1OFcy7XM6nJee/HHpscoDUrORA/79YKC31WW47dq8eBICZtBJCDow5X5UN2HYpVZShQ+UFHUoB0946xnqrsZrA2PxekV2IpkCwOWXlj2OowxbdfEcVTOVnggWCRNUr5m+NRtp4VVfD0rInXqHR84GrrZSGaDY40Ayp50C81mZD2xPnm9Fg6IAiIWnra29zsZn8+3rYJ6GP9zoygbJFrmzvi1vaoSeQbBtSxozaQCccLmCSIYAL1nBj34/K4YJVOIbfh3SIdoWJzk2IA5GqmMsa6ksxxnLEGSc8gfoSUx/WVWluRtGdhIMj2l6G5dIlbzE27vzVMPTBtVnCYlkjhsPiiYWxOAap+wJn+6FeuQRi1iLq+fUX0t7GatUUdKzXxKfh5G1lk/07DPwaN2KFHJ2ogGZ8ALl3AgoVlgCwCGLhGdNHv2rTBS8SDdYbnDoyfZf44Q1TX81h2jvZfAiX+r5XPlPstzVRZKpYfsdsFfBUDaJdAZxB7ijnoVwsPALjUL6SGg3oNZcIfvcMSEOmGtI+tJ9kP010WwUFtCjukfOuEfxGl+Ax4f4IlqJ+JD6L82pRfDLDBpyWCscroY47KYMZLYVFzhyslFa2ZZyKr0N1O2BmgWRvan5nLGJBJ9Z6KCiKW81hlm0uT7GQqm4GAGf/QaA0jHoQoQnwgYFNlgRToAVcIYMmBYACPfmsYUKy31vAZ/p+kwusG/syLa6Ggh1SYLa5wBk2y3PaMcIWISo6uLXN1os/WtYFjRmQsHr1ngfIE90/M4ZszPdQK7U8Y7fuKt45JtPzI8yAfaRrNuGtel0NUorjVoeZ+fVOLQOKykQpkY9JHEe+YKLF4//Pg9EpbtIfm2ZJwkhbUMPkmhXpmeOJm2pyTbGTGf+99OXtYSBmBh3xIVrh7XYz4p1S6npd4V6tg1dPrXEHRSJnBUd8V4AIsqWFW1YyIiedDmSoDs022bttHbAMf3dxiaUSv7A1G4b0TzINQPFf5cH9e0bUUByr2SAXJ1SSg58HNK75nt6gQn8fIU+2Aze0gdEw3UMa/3ZXUk9bG+6twppzC9poNODeIy+V+K/3/VSv4au0bRfD5mxttvKX7YI5UsbmtFlL8Venvyx3BYdvQ12PZu0gwGdr5BaI740ChkRe8TnmpL+NBfSiJdidjzaR1zwuY5+D8tvMbt5gTR5c3nSiRfR/vZFCGbaFPUCX3Mn6MXefUP5N9SRSLX4XvLyepm6BG9v8dKkw8w7u7n8y8fw9PZdjv3H+CzawheSrQDomruXcKnJ57qOE8dIC/IwKSA/IMZgcDcWCTK4tI92QxeCw3ZKxtopRGwB+8/7HXjE9RzKJ15gRaiPrcAXBWYd5riJPEZe4Is3nKbdlEj2ci4k0YOAkMURL7Lca0Zf10Zz36QZPH66MhWwmpE23fj7v49DV1dyPuvFCtyvaSWGYpX49H47hQmqQ3Nri8MjSF4DdQu9nuzhLD0gpdgETEiVHOLn/loBpARLa/THDr4HmhKbI4HXEorXDYEzSeYzdRYBquuyg726uSPNY3YPG0y1q6IS/V7S3khfeHfr/zPq4KuOwjE9VdNhXudQwn3rPpMSqnwOUoUXZZFmc+UTsJp/8hNU7+v/kjLYc927S+DkhCNTXdObwg+OPXshTt5FGAjMpAop/qZ4s8OXghc0godBx9rqAY9k2rLZKWOdEif6MPq3yK/RlC6Zru1WZqtL8JvO4WRq19powU4P3fDKRA7Atv9hsRm1SY3z07AbecpFa3fdGzb8qgO35fEoc8ojcpv6zeGKMYGxIoM7SuTfhboxvCmKcgc/T05fwRSay3xYeTLOKCCfhSodmZOnaqqZu7ysB3wKiDs9t9Agolk4AMSHDuYvQk9Pi7ZdWbN2Wj+bjdjmkRMCYfYRU9nM6114cU4FbVO3unkvdsEWdBea7djd5iQlO6zRuZTJqm8webEMEemnnRDvGYDOa9UzXb+2TLIc7UjW7nzwCr09hI26B8QBcGm8xbobfiO2wxx/6pdFRAY2OlRGpV63PzzMs+Tp4CwNEV3/j56sXrF8ZYWjp+2OoD1EbjJi0uldyheFQ8YTtdtjjsPwbesDGGm/C5EtaJNxaRjvgu4+MM/dNESRmhEaR+Lq8NkK1jGAN79GfLhsdiVg3YvdlUJGhPpCMr2zsIV6qt0g865aN8gUH6sNfKADtz5kB5oENOSHd7ikydjGJUCGBYdVCe1yJ6+hV7uzq9SI5CzNZdBFod3p1UBKNwQ4GLWVh0QQ0mS58FpUTIcgDKFHuWLc4uArjnBu//O6KF43Oycm8JiCYwtyRkPpn4kgT9gIzvoPQBq2+iiq2xcdbrKk+maMnzownroYj2Xa98iNRYahgrAtyoAkyqckhNKwkRlSkmeNF505imsl2I2t8AxlBADR9thKJjqAASyi//ozUQ28aLA1nK1ARS7AwLbLCLWX58nWNvXRwVck0ZLcwY5hbgEtWsHyf4vpZk4oQT3Rzkbk8hM/K/m5dkgoU60pK7QbesQtARG/sL/LYKebEv+iw/So0Bqp+HSxRUc5A8cUJ5Oe9G72xFtWyj26JP2/MEQ9NTtWEoCN2YHN8KN/vRtRNGPKOeYEddoIWJjBZ/nGGIJ8LlyvCSwKXUI2uxzhqmoBjpCpMAkRq6thOjjOTzfKKDynp5tpmF8NBwKDbVgjsf/wCS2S/xEZygx9zT4InsLSayhpwxaEdRDdkIQDjbAHg56645i0iaz0ct/4jMV01TSBoEZYGHNg1eqUIiSIR+xQ4Igmw3QcbfSmwlsXB0ALLx786aCeiM+oBl1zrULNJD3Bbe7v0kiRBOW2BL4sROVEDFg4FgPA7uEUtTl1xLh7ns4D1vlhpyNH5X3efbhOy+hAT9W4YTs9N1wCRn3EnPqJ4WdomazS6LIvVNHLtTL2pRg3eHvZCZINvMPV/YKrpNc4aq9jGdO2i92Ea8g/zbfmHwfmbiWnj/D3X/4nyETGpFZ19cU+7PvF0opE4TVklqr8nyZ0QPGLw3JZ9jpMOxvGiH0D+PICTokOriCiAYUk0fUP7tLaruSCz7qJwsfyCZ/xZtvn/9ux2i4+GQ+hkP6c35VbpkV4WDgUWXGjs9RopMOrKZZVJ4I1Iy6iZK/v1kdgfaeLb+yOZ1zN3dG/JVLd0oLkSFqg2mV6e+neiKvIFCxDYL8rim3hWTh+aEP5Q8+wo4xMjdVEZOeOwDQeAuIN1BurGDGoecay8X/TOhMQ6VuUIjPHo4NRbkmuX13puZ4tO3HfcvFAFZX379FxMazzZmkIE4LLsAr7Dn+uUmuIpE+slbhpw+GsLeN9N+fCMJKVqEF9CW2FsqcO7F3Yz7RMsCpMWxkLvNkWHOQxjhS+AGkshcQmXCueovcBWyIkP4hotud0W69hqujG3p6C7Vpiu2FNrjt+mJLtxBqckYAsJG8EGsSv3m0KcfGMaNHRzVb9iAGp541IVNOOXRJbBoCqQQFBFmbOeFiU2AOY8fG1PEWNceaCEObyUFfPeeNqvu9+1wV9fVq/C7m6QfxrPMme+lvPESnRyAe5G/b/JeB436hU+VHu+JFv9TmzuZSz675lZFqR8gN25yyi+jvJH8LwXJOlvaFhTMTal1qCGFkkw4nVgfEpWoEpwvQhG63xXP1vHxHvTZUj7tmDzhaJSE46VF4m35nZxFnsk55y68BiqYEG136h8CXA9BoVYERCKe2rInTIx92KrCsof5mDbz+4D3gqlcHADkSaRkrSFvmHfzRp5kbFXPtkqRFg5ARHn4OqVePVTqKa6cJxGtcVhoREZtmG3/8VE9VT7aEQvqY94lzO4FjmMJ+xHJN3jyh95ZA7UoNceAz2Y4LyjcgBoHq8yPet9F6XwoxQVF1Z+uOhmLh1utVNYs91qImzRYjhEPPpQQfUh7OF0wedhyLAszaqY5XtbeiSlCuXy3HJKV0arz7vaZR+UBKG1WeEdo2Xng+vn8Yci9B9cl5v3NVmJUuHgHKxcU/XdGpSdaJ/Lr9mMZPtu9tYqs5QdaXkzk+7bd/xzbQTXdVsgQg8XHR1jAiuwf4TPtIWM058a6LUhq+8HWPyvgc+YeJL+E92htSeHfQfjtH6f05XYWIngnMVHP/rvvTHbkwJfObeMIKDBU+xYJlrIikwxrmrnAmol6HuKLgfUQL+jTh1COuiXU6LSi2bW3lHTak8nJW3vkrI6P5ESp6FRwc/OyTSmrH7YoxHKPDcbb3UkyQ14ZE2KBU8ahjNuteOO/OiHy/eFB5+9VJFXldhL5E+98vVySD6ZSkStHAf/WfAJp61vj7al4OJG0gpXgDHXKC1PNtBSevUeOeKLOiRrdoBugO2Gle4Din+vH0nlH1CkBWWBoF2uS8hOszQN3hOxFAjpOw/xF0QIeJWZ+2pmir7Phss1+uZHwCcddft1KjGijXqv1lHVpRZLUEvEVhJfZc0WQPEf+eNYDBkeB9gKAm7D9siMy6XqC/rvW1kqdS8D79++ztlNS8sJVKOXnGa3WfjtcfPI8csNDCamLJvhjshCDOhxG9hYHX8vOp8ogrP4sc4IXLYPb+U/xOUY7Mp4L2KqYGAunzYm3P5d7JPXpM2Jdu6U8F0qKR1uVv4lY11wBKxUsphL+bnkO5prwVN/WDZ07SHdos4sYKoLuDCnQuwTIujmdWB6ePdhRvxgZ6455MMJnWI5herysdhSOk/AIWq7X8vHrfdsjjR1zTgXueLjrq3ZC4g2uY2JQ05ilUlNuZvua5Dx6q8V2eFU4Jw6Go+6ycBYMUbNGWbqMjbEyQiIdijdZol/utJx2cZJqQ40UmYi1bT3KoY4fngIZPJTDWfFRbgDtHzOwKWaoDzu9Q5Zf2OiLy9u3i+VNnbXWPALZeAzG37q+tSLCFWp4V07DBl5pPq8CMjA06i92QAlvJrgwjPsp5s3v/beUDrtkhey6ZyuW62D38AoFhTRyTv+9AjJdUA1JCGPDap4iHv4pnV4rCr8YeiB1u3iL+bNL5cnPG3Ry8o2tamfOmpNuAZI6fbibrz4GJFBd8fpM1uO3+kuHA/bqLEAMI/QkOJdaFYTMzIZlcHEacXbDn+Ju7a/m5+F8RH3sVZZWUTf9BMlFtqTWueDgki3BC0K1DtyODmTVzDbjLSDEgN1KnWGMQ/ySlJebfA4jYJuFVylbyKquUXxyNZv9kjShyhZGcNX1Xx4/eDFLhCqTNThyJvkCUxOdRZzoHqY19fjLR843yUulKoqX12zGaDp5jKhyf/Mn1vDHVLsGg7VUU/fZB/ln0MiaOCdCKVrxaH70c0mOjFgwkgH7gPTZr+vi9kJTpKE70pk9j85q1TiYQuenq5KPkCDD8Lfx1QvipbP/W9+w9YgpnjW8PsRo8PhRFhVUTQ6TlmEAzh2tbLN+1b1uz5otrn5ikPwd/L7gGpvvql1GKj/VCCP/uwNE4avKqsFe3z1XPSHuREORdM7B1q++eKwrmAhCOna7Z1pbJTKLJYDmNrH30xjyy1MJz6CkE5wwOhkXKdxUgkTEedOTKI5UrQtpQiquyEHVf3EX1TyhnUGd+P0JuMsjb6yO+Azjure9Nr7ILLiqcuevu5/gpP+6Ky8NtUNjIZuoONJLz+LQ78AhLCss/asxHtaksiJgdSaa4qimLnWg+CK9VZQO/dICCJsuosWwCIs/14ErE6n1iGH7E4h0WFSxqteD2nKd4LXEjzyC8KQ3hXTGr9HrqzPzPQ8eGsUzZMFd/PrKDSe1IUjc7VCZoJTGtmRbz8USSzdbPNQ7FETpNFZdl6iCRLYrGYIgtRbuo4/Gn/nucqB2/6JPb6tP1jN66OdV+OC+bkFmKUQZNkN90o3aGxzFlQyXGCbBpZYz1EQ4zmHxtIu/XBUkuJ9M9AogizowF1JbNEmRtrbm55xqfkv6bMzQDzJeXB6sS60u1DvxXLLrtvAOws+siuXQlabA81vOrUlbpirns1vUoqpUQPqt2WDoz9X2gj9yarK+kseAliEfIKzShtYNBk71DZAUrH9wcR68AHrmWbXSGJ10PQ4lZIygfCXlYIOSZeWwQdbMPC6XcUXPqfzNttoOy10ZmECHnkG//MRN+B9FiintjT0FOcqVmnYnRbLY5MakCeUU+7SkLe0byyKjIbvDTXhjK56ht9i54Eo5rZGXUIIFhApNru8aNVd/IMWPfjxZWKk2iIvXFAJ0YHjYVuMqAdTNen+CdoitZX89NLrkOIiWF4V5l/8xpmQMbXJWXL8vwuzKWsBGnp+fh3gKB9LT3zhJ/xtxX7/18t1F1A8k1q9qjU5cBt37fVXag2P81+M5KbVvDeYSatp30eYt5b4AuwB+1iT78Ne9OpivRoyIX1IWSn/jE9D4s5JU9kZAQ0RBd/BDYdcoz/LnnZ/ZopWxFay7qmO61EzCbroxnHiE8hrAiDgHZSGOlLB6w1UqpAwcFvh8HmMTkZ4KQZn3AlxFC/6Yrxaa7LRkS3HMu8cvzfE5mhq+PoGYhkpZpsLM0uOF0G9tccs3VhZqFmHx+FX7WfQAf43ScK7DK1DxDEJoUiVPalEuMB+r0lmRKP826u5HtIukouclpkM5Xe8r3MMm5Xzrwp8q01d4PHcgSbPoq2O8+exJSh4NwMeR1EIOF6xwCdJ1pRdVck2GDTPWCX4QlgywV1cGXvjUjk8e7Izvzdn6r7U2SNI7BZy3lax861XtFr8Tmp/uDq8kBO7y2cKSpezZdwOixAB5SkaVA6H6jMtNvhA2o2b/ATCz5wPKM4nL/WifAmteaE2F3iXmMc8VY8RudF+NXrga336euwT+zgyyGSPoTPRSIlY1PZNkch5RwsmkfBFApT7XlUtteGr+n94NIlTrLFJKBT77TnE2u1Uy+gfJCH75gFoAzH6U+O4gbi6QtP6QbLYszRYswlIkRErTug1hiF2AaMXWG4S8aloq3hiyLE7hEDb8B1WNzb1wwm7FcKTq2oqUGFdxPrC8oj0K/zvg4i9dWWMz4w58IsL9ldft9voXcSaj+RKTCDNDXPvZsI60A64I3KcJ+Z+Vu/3TQ+hNIQbEh0pzg6j1oRGHuxhb/UsuA0Gly7WWV4coKk5csosfKevaiXvmWfqPYrElhyRmvwVj/TL2MW8ThbdrqKPkHDdSgnd5DWcXIZDnKnnEFur/zsA9kqRjXT/n3pfAB/QbVRqze9WXjLVkCNhymvwjuVxXRcvbVJr1xpsBsSpN53KH6uwGDum9wjxAIwGXNi1Q6xQvr+gUTKn7tn0MBqjgmR4oN2C2oTOYiQqzqOhq4z1kgsvCqfxX5Qe+NYzyyvZR1ouuV/U+A74j2/hBpibvhhvPpFdOpL7K3ytjlMcS/QrIFO76ty6UixXz65ZxkAe+AVFWKyB5u3Sm+nP78/swbkq4EaEeujNYml5F+JlaUr8FEunk5hrTlgIrtBruZljk5yHjjbEYDvRSeg7m5NcRFemRXzZsHQ8yH1hwyzQvmLIx9zI3qs3ZDWoW2xs+EQ7sO7qJfQcAjjCT7jRfjMaPd3I2P/WnL2kPFJqj3X5IhkZ8iEVerrAf1+c34vpyvpenFLsKnE5heNlCnJ8zZ2d7IAiiT9WJF+UXCi0daeFVoC8MaSnl7bB8zL4+KsCb/C3ItImQP56qgp5hZJgpTeHiuI6GAxhXCnQ4EiUUhkHU5W/wsAexYNX8uhtv6qxI46/hVbLG8yIdtWG2lvwE77/5a0pUZvLEM8tsdaMNQDzu8iuwlcVIy7b6JQA2JBwpZovUQ2SyANbIDeXjA/189vKZoQ4QmhMYyqHxoYRZw/b06ny+5LmKSqIm21Dm1q8CctlenxKH9aTQbs4ltEMfinFybRUztwkVgUKHDy51f/SnjygI543m8uVPVQnPWFqwYm7A8gSaFH2G3JVjW3gqCPjCq/j24WipF4dQ4AXphV1vyIT64DLrc7UYvPMIkEEnOhdTd6dlKlJ9LK3oSRkYK8elkHH3ZpEywFMNR3wzq4oOxSF2Fm1QTmMCV0//edDmtBjkSmbppDgPMJywKSlZ+B+/B9w6iaKe8tHnC6ytfCWer6fPU611P1Dsmwxr0+bnsuHpf2pL2mk5di6F6qvownl23OjyKmZShqCmj8eQqNNdzqUXTKMPfVLalPocXrqBmt7TbKVyPz5NrgRywTMp+S8HLHITWUKF0VRsaDwfplGOHy39SclJUIA4lanBBrPU8ry5IdPV0KDpPwZKS4N/zjSN0DVLv30/7bsxUZALIE1erFMRINtwD0sM4Ur9CZan6GIoCfhehMqIa0Ygb32Fd6oA/zg+bDSyXsvvz+5ilUt3wSx199Rio6jXaztmXGIoydoyFHdeDn1EhEeXQmvdsd97Zwkzw+t0gPdXnypAOvgNjHYsiD50F6oECvHeIdK7JURMVZ9q1jIbdSj8zEcyPHKenoN6BPB0C4Yw1sr55T+EA4IqC+xpEdLLr0SgGB0g+OOtq9FDSzm5w9QsDdLIDj6nm9JOKOALpXWxuoUgS3KtZ+ziCsw6ghV3cLpfr4j/uIPlFfy31CnjnDkhkJh6wVGwe04DVaF8z9n2UxHwXp4DV+scMdc6BotV+V+bzvTGiiK8KGYEzca6iD0w+I7WF1RQGl5XWgZCyto14eQT9OGcZlkdiJl2HzTnFahT46QopZB79eKwNlkU9x6JySEbxjAWdGcmFyyuHxj+jyJ4wBv8kNGi7cDGKxt1+RpCSnZQZNlNbNGFue+VgrlGW3aQzglXZdLAZHniWfjV/uO5HGi/JUZjC7XKSDA6aCiIozxXzsGMv1riAsvLf3tKXpLHNIEG8Kb8OC/1FIB9e+d8NL1SIhQP1+CnYvemC4Fsz0aQqXgZ4CheE4JoU5EWchqYBpezTlW4H3CxTesc4g3Yg9dMvEa9coXuag2IlO2U8liDpBSz7LJYW7Suu+LCOgogPzR3dtdKnKwpAKO+vzm87gViK9kFLKnSQd82TnDAybqNiOsZOZohj9kEhWwbykUJbhplC/TKDe1qRmdllB6olueAbFBi4fUtgMYPK2HQ6C6YOqOa5sTPiG7inzqyxRJAIobGCwhkquZXPvpNVyit7GfMADS3ueykvSvD4NEyytRB0Bn+7D6uoek+b2ccyA2ETah55lo3Q57/e4weS+o9V++quzr8041nQuMpy1N8DYDwinFiELlm8CN3zNFGY44baIcswRQRC+Ig+9XOd0o5tFSNKv+40VDtGAjysvs5hnEpLt6p1YFzbYjSktdK8itNP+v8MLRfN2oti2fHKWcrwS6oZvrxSYDCOX9dGlCiiUmQp8Ye7LvWCZPRMlOrmgtgc3/WILRvH9N6MIf+ldqiGTH79tCaTMACxuCddWgLiKbP+CujbfF8z4OX4YehxTTQ5daCRt+ZZ0bA5ohU3epeNeECrlzrqEyZ/wq1TqIPaYAcPF1tgvxB0EgCq2SfrRay4Hv+pZHMXzmefbO+4JaVxq7CEDTdT0qhyq/8HmPECEHazVW5XbMpcL0oY5AQcLDVTVFdzC+lbcVwXZyodubO1kQwM0nELI2zo7DOeboZWcAfwCX2e6XQrm8wjfsqHM+Do0HOIa0odK+HpC2yqT9Jr1PAWdsdDtOiDpRGlA4ZMFmRwyzzhXYba2bOMuSMLVpCyOkRlxg2ES79cAESntS8bK0egMnwOeSBHHAj12PWvogSwkDRaldgui4VjLymrdwYhSv1a4QkTL2MBMooCZKEDPY/wzoew9OuojVjAFvcOpnwtsN0U3K2vjWLR8y5lpYDwebZxPQDJBDQ7BrFo5Pr6+rcB3qrdWF55JwRETWuRBF+k1OuGsjauGDMZ7NI6/l8+2RXNlPeYhzdiTPA8mpMLIyUtnGDHDAEQCNVSIECOv1TGEIuMrp7igR8CaTpEB53PXMDGo17DW4TiVpX20dsoDuqew9tihEANXfIUSeK1nsoq0ylK7L3kFbM4/sohMikmhevvyK7+qmwVf9aUQODhybzHuwPgnVfPk3PCnkUsi7e895kH0j33Ul8XgUpSCf4Oc/sAIaT7FWTqlJ6xVBsSSCGjwPHMZXYiq2r3OHtjLIbhLuuJ89YJi/EymUwn7xX+YKaRUKhawysWcHXNfb7XCd9Bxc0ljAbxnxS+Qdth+UUas6VLV2T4wIB7lREG6ecZWIa9ysra6HS5PXQDUq++MkZ12nMHhrh8Sy7qCQRf307CT3pige9CiUsTWOfCmRdlTBBtTTZ8utxD6C5iYMTmXEvUuJLW+raIUf6HojBqQPp6ka3WGD+9Kl4zo6Mn5DHwii5m4lEHmn9Axuld0yRBg7gfRHDN8vOfcdBddB18VaDlORyb2Mg+G8HK/gaUIsooKQsa6p1WJ5YTomToXKHdACXMoMa2HkrQ4JrqeKRQZSXzLN2yqKDAdIIsiOlqczW7+/BVdMSZH1Zeaf6VCNOFVWXmbOY/ySJn9KNkTgwLva0dh3/ZwAkfn1wQolWEVeepR6sUKYII6p2aqqSCKxFHwC8F5jEfjeR9FRLE9MW18LBYq9tDSD6OhaN8m+xGWz5aNGObBdhBo93kqaMJGPJuyTAYsCdqqHLgjY+cLt8Nva7W58nu9pbis6ESiIEblQztgRyA+cDiG7jzm4ta1Kt16QS99nWR/gTIks2HisgVncGliHB1jSD7/aGkFuiy6eppc47GmEv9hhprPR0ZDcOy2GqAtwDrXI4SwgNmrbmUnrVW127QkdoNwGAV/pPuro0T9pdm08hr77FFAysUkayWtAp678kDZvRgu9AhpWUcSAtc7xCV+L+o029mZYzLZ4U712wis96c45j9Twu+6JtcSxFltxEvZbgO3SVI5b7kK53aFTwE2WCJb06gxk7JUZNqZFQabDNoOKktfrt3QBZnDTRp4S5tE8n/3MqPpPN1dnO4EGCtGl4aGKEC7dBWA0rWsh7ANDosdmwqcExubfVZ36xoMsr303ESGHmVpgIec+b4rH81Fuk/+7mwnLa6nVzzUSLERyrxskiI/10fPunA+JiKQ0sVxn7qr3Ih02kOSE7RK9GroACPwmlYuJ+QAUcWvgIGSwR8i2eUGwf1PT1biXAD3IDACD6kafldjwlG+m9B6GcQhsiVLzc0mo2hg5C2lTzwHeYn/J9Ou7tim8WE/23IDHCeSbTdwkXCzOcN8XTj/1u3Upkmebpam21E8e6b6OdN7AVXcfdgrM0EbjFNWLHOd2lLvyyaYgImmJvC9zrrZ8XyIKWTiFnMfqKPPLowkG7QvAgbKt2r+wrpPTyin86hTflo3xXiLRh+UbhLMOy+ErB/+evlDlqeKPY3vbwfJghmO1bGIrgVI7DOcoFwMY0Vat3rG/3EDKr9CgR2Rp67quoQ/A8Yo0T6Gu2ExrO1zyv9fQdTFTBNPgRK0AOiJJKtqAo05l1eOsrv+lnuRCh9jo94B0FU6Jne9QBt9MN58pVO6bqR7wNacHl7SJeEqds+nmUYEh7xvT46R5lEW9oY+9xh5L4v747cpaCy8qun4hlqeTkDXvPqX2NKYQMw4ifK+0Ck2v0VY3bVJs6y2EaGg5CGKz9asHEOTuqX8cKQSeI9Cz9oIUwPwm77MYhTonb0oXZfz5a4GCjgZchJpJqNdRMrM1jSx7ytKwtvLXH6m0G9zP70GApmuVSnwlmlF2018kVkthYZ1ApQst1HW5r2vBqOzVQhMq7kZiVGrA+5oT3mC9d4KNN95yNfF107AL2Gdf9Sea3tq4BkW7tcPc/UDeL84+dGQ9CXM7MrSAygB9s4pXCzQFrlUZHX4b+VCbKUWYkgy2GnNtOywTDja5sP13lnRSkoFkNkwDm7NETidRutRRQPXSBjrdY196WRPnYu93KKTMig00Bt1q3ZjZB9BHDhwwcVLgQ7RJ2chMRsZPwtKAHU4nE8leiLvpe+v1+e7gzJsUBvzZLqyq20yrAqNOBA7nfBcJGRRasgIDf9gmEHaNICIFojaCKeOE40iQQ/puZ0w8TTZZX0/wfpsMVq8LnnggpT+izM17ypnT7HtbQisUeth37hGjp6fAFrI1IjM6Oylj2kXAqycO2S6RBS6ufuHEG3d9lrltfa3HKxXk1ggLTK9kYJXgA3kDguSEGEdz7lNlfaXi3wTrWoJieVhKlacDFTCSq8zUejoZbB8USXUqnRZk+upDWS6PBK8KJ1MyZNLJ2QAK2g4ebiuIdsM1kTVCrMnF9fKqYpi1NUlAiI6KCxwgQ5GjwAPNh5Bb/QLJ9Jsuk6fZkRDEn89ilH3On4uNh1q+rRqY0cAJw5SYSohzxnDTRXZ5SaTRpXU4wJBalj5rsfcHgoKrc6QV+OqGk0ASPtVy+418QKgBy3GEK44ewVl9cwqxgLeF4N+hgHRNK/VA1Lzsb0Xeifc8QRAML641TgnPHK+y6ntFGdYlXyoqXUkjk2+kOnIcF7L3mKjBjomdaaLG7Iwt1hncZZdCUrB4MagPRZu39/vLWXdEvzlauic5xBqEllK9Y0faIM1dN2X+4to72a2oYNLv5KWCrz1A91666YF+QiXcEvEA4mqop2nx2IsiiYtK0pCH7/wxZTiIeQZegthXZlF2R8/VQL58+CAe3tLpsKKEW8o9r5Q4QBQ1SMCzpmMocMZoLzjSk5IdM/PDi5iCar1lwH50BdYMlL6WfLYvTOG7OBnzb07jUeSpUBrA+85mg+/mL3b/Eqm87Pt5BX6DM7tEzXVMhyLz/xmG2xl8EjD3ZZXYjNqc/ZPGeW4uozgL9AmRwX+yaZbcCatqz2oviRx323JGWAG47obetGvanDg7LYjuWkQYxRoh/N0yFEM1+GYNGd5PyG4f8Zv2MVYSZx4AY3TGcUntGxmyeq0JF/FGFRx4P+gfqmqQRQ5oWGcgj8EQj94+WisMFjNpoDiai3sQq2Ej8/tSaUhKSpPzCJwOyCJLOw2S1PwScKFnsTudfYB2RxA0rQ15Km5M82mCUjh6vgUvb58HWQHTQ6RPS/QXtdT4vFJUDUhkdLgm5w/yU2pvohHbmHAZvi2k8295odQ/4q47hOkVRAFQ58Yl1SXkNVV0nCWmBlj1A1QDM4NQhNcWAunZJsfeCk1vSdP86XerXOY6Gv+74vSURIzWR7ga7uL1c3xkQqQiY0yYap1Iw+l2QfJVlVq2AMNDBA+Gej2HG6b4PBOKaVOM+iB0TGB38JeLX5TeFUXR8Q9VwC9C7wwGsAI69I9GnYWf+0OWRirC09AIooGEPU5WNEWW7ud8G19Hb7Vh/qDv/Ie/3UPhyfJWcF3dWbLVMqTBhSwZzZ3CBhZHEJwuGX6S6JQJUW+MTpygBDbC8jDBDadoYMEHh1Tl+Ysv3Ms+L2QXGkUisWK2eboA0Q5gn368NVQ0m4vclEMNf5WCNLtNPRz+i2xPU/ws+kdfzOyDPiFDZAA+auPOz79W5iSuz2ieb09zyMQtXQump6p8Nm1A3YJ3fUjNLiAhO84d/5jy+YrbD0D/Ox/BuyksSdi1Wy6OzInU4U/W9bkivEfT0drm86JtjkvvVmD6ZVvvcwNiGRErSBWynpNCvPg55dUnf5WKB/aqodpb4YsNikRmS9YWl8A/Hf3JuI6bV1/hu1oUDhNZn6mFdXuOxaeKJp58RwAmVxWQY+6IofhdNJyc9kIkJk5+drSEjWeFs7phCzTV9wORQDi4ly+ySTR3kU0Ka7pLXn8OHG5Hly9Sj4qURFVf9J+Xmz4pVxPoMbVxoNNNirKYn9bySe5MySWQacrbAQHhg9axTKENBaxJNve36BWKkAMUTS7PPZ5AnwhzKl3E4krVEpjfz9SPyUfvwhMNqS9gs5FE83zmT+2tFk4OarfHT6ATIzQNO9G8f5CUVM8r1FpwF1tABrvLWso5fzxALPalhahU6pgaddt4wq2vBg+eZOAkAPICYpbtitrmWTgs+v+GNy0Nduf9pi/TpfH+chvoFkGRJingy0w8xnRaRpWMbowHWszJ9bs0+X5Aeugh2hnGiyXyPZ/zNf/RmLWS+jnRc4vIRLfeD0f/pqP8O/BtWZiOYfeQknthmITJdyhbJmmve2rf59E1D0lEh2aM+k0FGj+SJBFh4PswZAyc1OQQdvaoT66IsdZ+1THXTjrLI1gerbYQY4kvaDJOm1CUAs/YMuphGdUCE9/pWmxLw+mnNv235qTwWKEbZiwzpUUBMQh2WRsrJGZsewnvVbf3nIiHepsEIcKUGMG6iXuCVbgifF2TXuMmhu9Yrah6Ik+V4sGqCv8MvZr9WiE0YekGH8A7ol2SGYcCQ489+7MycPMo9clyne0dldlSVurjJx77SRgivi7ELkWcU2KaIWmf4y6Mibs1JFHbdR1Z8OGW29/Nm0Gj1yMGyTfGLPZtRGcZCWNl8eVRfVio8P7GosYLsGj5xgQuNcYnVYEloiOrAe2hS/JzQ/uqtkeTKFcvErYvjGQPAoGv/eVBvricNNT+Z6BQZD+/S14eo5lj1yMS0OJtwIMYmkCVPhuWyo/u0HyYmkqJ1B+DdhBFyyyu8qbGeGcHauwasWcA2cSLqMYBIRp6YLkEqyeSqqFPQ90WlkcbBDPhQhPAZOAeB1HhRMXTd+Kc+SZcSXUOOoIvZxrUjGFgiORSK5rUQOwoG1g4NIJ4XfM49ltiE4tU8QnHZ4SvSsC2CVv7bqXH3j7HsBH9Fo92FsQroePvs3QxL/Lg4rA1dMItrdLYzgZTz7ip/AhTDgCTqbgFhT5/KMzZlZYBduDxP+4Sg/Pb/7MKW/cSbpKdhQxUPrcN/DxBigQBg/QT6z2SogsFYHHa59F9H7zE5P+J6q34LQzY0ZT5WEd8SgaRQx+WIt4NJPI/tBI6MGWazuL0iCdP3VwSC2cDHvSaU8DgqrayUX6SCjYP4+uQXmSRZrshzQLZbWLw8KJcO0YtbGV2jjP+UNymiDmtzjB3hU6Of2CRM+flmQ9yjFypRUpSRuhlhOREIw09O0PpgghHOhOFKvrCRAgnNR7Cwznk/KlKLFa2up/6xw6aFZqpEXHpjm9B4mgVOc9bclaaiAjdmAzfeOaAFRdP+SyFjaMopaLLZpFJOT503glMOhRpI0yOh3ys023DJ6nuZZmq3uS2w0V7QKoosfm+7LWIFhX240Q8HQBaZDMpKsu7UDj3EJ5ZkwikKMWNsXZ+jp/3rpVITNMnNyWls06f9YfonZU2pfup6FF9w3/U1y78G/6Bf/GcAZYpi9plnx+v541Qa2XDJpOMfReyYDRTr/pgPiHDu4DtuXQM6QFTHmURh6A8HLZrkp3G0cSNn7Z2pPXVJfNGBnzUpk7L3PzYlkyuiF0ynwkF9soz2AoVjIslStua817lZTrCqCTfiQ01AKt8m3Zla0hrRW15gJkgisFPk8cLgB20bVgiUSkKYZnsO/GzmkuhjdJORVxkhxJJtYYBp2iJB7VyrJXwVleNbsT490p0Q8WuXkSSTn4agO023XuGgkftNCqWiS9RsLT13aPPHY6h16Sr2s8exMp8KCwk+5FzI03kAUb2SrXM2gBDJfE6Py2dG4AT2GbsjpXFk+WnkJyVb+/tegO/QxbmtMjQBWDZ4XXAqlmXE8LTNqkvxwekqhnsPankwsnW99k3qy0JDWfFE+C/oIfv4/0W9v/6bRbPkWkyjm2J2CFZpvMfEKzJSVtruvw8nSTdeyWm3Y9vR9twDf4g/xuOlanKBXDHryTMw8WfBJEVuIG5KWKQQb9UTDbCfJoDTilfp5W1CIrktMCrjFnd+Y8aSbA7uWuWYq91cmqtZmphgGJsxKkVzPM2IzSSh5OQpk9N9vr5JB+GRED6rjihMdhllAyE24bc5mMhJlNRmTplO5iO44sLdew3zg8lctZT/f4mDgOae52ue5l0hkCpIMWZWWDA/MC8r02IzeGCkTQX1cgSvF2uqmFJd/+sAI3sILuuuoo8iy86K0ERCdWpzihRLp13bsC5Y9ScCZjjzL1LKDAEOCQXP90IdtcXO5iUsGNRxS+Lafli2uYsGWK/AFDlC5PBioT7vlv0XrNZj3vg1KCWmIijiBqy7EDO+8Bvv5+CvkBqYl6PG3sEuKPaBnevjzM8Y1oz4gKEHqzisGIo5/F4yX4RpR4yObJUgLiqksVWxT4M1gfCMyrVfu96L5cNZRNDyR+ZNnKEZm31qYyBoYUNOBtzME0aITyUjMPRnZ+LLNqVSpbOlvvvxR5BiSJVxuYgots7nH21yudZQppKohz+TcDgB2lTkVi2BYpsvgVSvqzcImdJ/oYjxnft0nuKkJ9SBcRztcIaIUotgA2rCD4jJvPW1nvtVtty+54Mpg9rfsPPmKS3QoRQG/mMSCwrN7e2w/Ql8wEQQSuQCIqq2V40DzWb4GJWByXDb0jYmlYimvoIgAu3Gv3rS6q+DEhgv7vC5LCuqbU3PENqwxFg7wQgzv5B079dAaLtWywhDKlsHjJEKKg4RmpoqjHKtj+BJ9vP/Cfv1SPeoTnxK/LJ5bOBNcbGDvecOwnYhzBs3eMEy6QVPsBiU1XiwX9ORQ5pkM8Pcurt5c2WNRm8sj/kfXAqLGJljzMDaEAFgiweiioJnr6jwMcFb3cOKYPSCL31PxMl/j/khIo1hKvntzd8y7CehEU0YO4GXruhfUILZga4UWG4fVbsReNcG/Gb9Cn67StcG+QSv91IEC9UzonPuz1qqMrxa1libD4xjSYvfjyuwRXhSd5KagSN5B862xlbHtcNVtTN4ogvzhMDPyUUUnrNdntHLIgCDUrWjPQ0V+gowG81X+sSrkhSY9zRoGsTb816i5uURMcZLLudeJpkStD2S98JGbAL1SFcuBxQFRM9ZJSGDz7RaJkU4ZNe/QsyG+M87upaBBji6bk6eo1DV0HrzBqUUq40iNsw8ShM+vue7flMFX11CPRuKC35xcu1UldOxHfV8NvoBQZranCUtc4jUEDMUPMsS2dOjQZQIkji6CbYlEF62O1drzhlfFE4g6A5ie6O0VqoPD1ym9Uc/Nmkj1yKspmSju6SSvPxEaLhhwNAbhuo16MeNdtwuEj3R2JbWZGaSOQL2vksVB1xZWdIEdoDFqSG4qLoi41mGl+I73r7+dMFGRLQU0aI3hI4K4KCUcQoetnrKw/WD1dLR8BOlyPmLJIsdcANDX7LcjDWs5685Kq4raKs+d/4CG0Aq2cv6PSNjURDz9EtYtgLK3oVo6Tr23w673ur8bVxk3DdYcLgttLKq3x0gS9rQf1dt7DvL38l6RWWpcLWdiybI0wNp12BBsIe9erJqtkluxGF9zrG9xtvvRtcZpQxGP+NtPOMIwTC/VmzsRzbHDLJq5GOE01eXj9+p3eOtjuMBr9Wi/ez9j3pfUI9+Ldj5Dk5cNKKOdHzm6lZ9QVfdmpFVpBshn9QRwKHBbnl+pazMz1icdpFHAyraQgq9Sr1ZNOSrHQGhY9pG4jtWi0oeUxS+pWpZYKobfv2WHsC1TaFuT/28c22WBSwBQBXVGD0d6o29AV4OeYHBXYgXDNpDN0sbmIhFbl8xCkprar7zOxIx3FlKOk1oAF1hnuwA3pPoKvTfcDVG3huAYbGt9uUwsn+wkmQnQf1eVsuL92K1YnJ116SRHOd/zjghzI6AOLsKeEai4yIuR0snPI/6ObzNgBvKtoNdjNucU9lyKhNy5zUAkbEOvD3MgVub3i4fcNVGEJceNrnB4GyAMz79xf7UmuI9ViZdRARIIhsYCCrC7avUE2QfLLFQjU5VJfoNfz8bg1vOTrxk09rlEBkWwK91PXWchMu5mul+sAmixmg5SA1/sws7BmVI7dyjI0YGT4Asp93YoVAnc5PZ4vmfpUaRxlTtcixF5metSbF1HfFKUJrn4Sy+mjgEuuMJP6vQKUa/mPp1CG003MgvUeTWzns6FKfQ2BQPi+c7iQNuXR/6X3NPNZP16xaLSuM5BbDZj3vEJtn7JBLVfJrrv5Nw340Jdwkd+Bnbc8rUkhm3+NhilBkyBce22GkP8lfJ35n1rxRnnz48yu1G9e8QZkQHov4d35TelUIbHOZ/xlf/FkLq46TvrXF0Pi4z1Sei79WTCnQMtrhA4PE9DKfwa/BwPpPrkEB1L3F4D5k/N8nHy+Al2H6m14ooYsdJ7GoSWJb0xY/Uf9Aceapgq4H4UPUqe7yBflLLr3UjwTGdAxj2VyMTLo2FWRj2StYJil0LzgIAWpu8WAaPefBP/IBVYJssYg+oeuZBLuVjkRWerQDQq2CJ8tSJoz3fS9/5SZzMPK0nnh0dEeNKtRWgPEE+N38P8LdZWH5LcHpctRo9N2fWkWCQZBDP09wUWSZz1pLfAFLEouBxmFGUsW3ZvtvBKkLkh1qkByFsA9xHt5XWoqSfvAGJakxn/swhBSvieJ0F/ldI+mnsw/8ttegB3SezC18ZGJ8BPmP3aldwZ1vdmVWY4cbSqUvLoub1XETdjroeYguZ7+MWTnQSOBDjRcMwYwB4jl3s2KcEGjfpww64YOAS5bFIhQm4wU3ymUmH2tA/BwptyMWk7usZtuvLOgLrOlV3KNrj57HI4dkXZ7Wzpynsba5EmHWDoyzBhXoIIm7ognlogj+yFcBu/Tj1zcG1J7pznYn091Yg3d1VcJY/CbO+tKWEPD6LiJEXgsvYM3pIV7C7AkbZ8MGTjIFrxBjn2wuS8y1TSlyZDOWiPOe/n6TKIE9d5yr/yBwz8tW8Vw4JIP2qr+azPAxu64xF7Ks8xssYQ9q7AHrlNeegA3+Svjf8A3fgY6g/yKWAUajruQIjTDr+NlpqTpXT9rDMmxBoqVvFFDZdBNuZ/83DCBFpEw50hIC0e8NAVuAZ+JhLZvU9XystlaiFgvDTCitoMtulfOWJh/iUUH4s3wOmiQhsN6O8iVieZeVIRnUiyR7d9bAcrpsFAtFQRWckIFkUfINncwZeRWRAv57h+mSmsZQfJzMo5YqbiyMUc+mepdVQ0Xt6/UedHfdaZevBkvTGIypIAafun3uT+FET4xmTKdITB1ifB/UzMNrAs8ViVj5Ds1CT+Mw9Ja7S+Hrn4q5KzNaKq/pzH/JgrFHB5x2pOyCwDp2Mcq909Ue+ztAODFtDi/EXAIHu67xC1/3EoC+H7yLardAjV9Wu0rc/8+AJe4FadQ0nz6Tf/rAzl6zk0nhcpRUE/DSsswm4wAuMnKtgwD9KFWpMz23cN8R8ZaE9NBrADQOuGEt3RB7T5jiMDueKrAscsMfbY2utfgD8U+qMaPh8jHQ2zkxxlAnSxJcc9O5vhXFK880kD901oR5gHJ9hXu6TZmGukU1JuATfslKPyE5vs4a8bApCpcM02i/O9MBjh0wky/rd2gPuDD8YVsyjYDV1p9+nY09UKkxKS1vqo4lCAo7vX5F2jR1PR+BMGTOXZqjtVEaT3pmiA7xv7V0cIapkd9u12Svr4bjpfHh3RL8KwXXYFqzUOf9kfwvxDaTKjS55jEXGHsYXL5O+tGp/9ju0tZ+VSJLI9SAMm4uCJHrU4c0g6wSCeLYMjN0MaDvjUKgRsPthZ73KqvDnTW2AK0qRb5jjct7OQx0sIPATiHlyw1DabKU1t634X6WUycscpDLLtvzpGT6Z0bZH0J6xZVtRgWQDGMK/HjmdViTjmLxPMZSaeVdaHNCuPAVg+p8g0MEjgTJK/MLxJqgdcLrgrWU2Ile1HfgjOi2atUeVRgMwJqnG65PWpnFW8KH3AZIuc4yRhvbh2UsdFM1nUenytPc4H7ImbZf8UHedYDMLJ75wcBKkv7ATDDowSG+xDuZO03OC5Wm8kXoANZqLllaW9IxVSGHnJLSfEInItrbOc3pO3/I70+/W5MehISzjd4AkV2BRoMBM6xpw7WiCJgaRx2Y9FjLU++hbPGLjwOMPMv19fVzQwzZLRhe2QTM831bEprG1Y6QZCsT6xLXKIDoEcEwafUlH/bHsF5gy+Krk/CmPNQDIRseVKXA3l8cByq9rU3TGre5lWAQ4PBgdnhL8LA3vayiXVt68H8iLG5it436Q6MNcHN7ylC1EY5ezl2SAlHXhvIKldqx/YowrdVGg4JspaPrtXS6tNrDtnTFodkQB85MAg5e5Aw4qzgqCm4elH2cRGhE0ok7OQKqN9Dq1Pa6Z0ouujr0qkIs8LhQtkFdeIJ8GM/udUN5rVp2lYKzSwMz5w9MvFYH/qULWvqEs0tHFblMi4uqd50jL9XyFGljoTTQZMHn7F0klaINArCON2W5lDUkknxqckJDi/JlTYYVlulrtBS01nUjtUUMGHAVIoKYcnIRIu6iIqRXGowIvv3bNDe2WFOtrchwEblStpX741bA506ZMcKVOJYfR2XHyKPz5C71k+gh2ud2J3fuoHC+fxS8Yb1iUobM1ALYAOTfFbjtMlTZ085xnLHD55y/lE041qmPzacCTpYsZN3UMjU2aQZoSGq2XoLruTn6mWPJ4v22AQVnpqorSsAQuBJj4btO/XR9WGJZHfNQFlY1nyQiKxZ8CpC6jKJHBTq1eIozfJTiiGOXdJA3Xo4JZuFgTnFAeIPvvDg/VhFNFFGUGD4OluHtJTZ1vn5Ad+ssNkPKKtlA72RN2E5qenxDWplommwphN8BPFAn211B3i/FMLl59F536DmTeY9ODtKZCasqwcwq7GFbLIMsjo2JtMgOsE4rjthI5YW8rpEHb54vSzjFxKGIPqWq6yTv/nOGN2pwcGdEUg+4vz0jfRM8dEWjAgZUZXrSGp94xLGZNubZfNjZ7C1BpT+DQePLmOCday7bXFNr6lrNpzUnSjeDAIZqQGDGcK4taltkqnWiVpJ/NGDuSnr0b5t0/mmSD/HuscCBoDqVhtMvnbkR+p+RAbuvi1b+W8WrKa7+8/M0o6EMFoDAVwLpxizsfNTgHmA7iiUyPxdNLzpbVlmGGT2HrPBBLfxRH1i7zpDqy+SOqeZRsoot35dfBztSrQt0c05yOzWh4FEbuZZXA8Qr4AA9zkfaV3lbqWsDV1wViPuREqj8lkziDf84JIVzrTwor6SrHl8LuFXywpcqXw6LtpcNmVh5H0hF0EtKsSIhwayci20J15IRGHpROeUg/XParQntFRGzVgviPETcjXexU35zL8p79UlDkmRltQMu8JAFurYuB8m1E0qRBG7isCxr6EnFJzDF27RvOE2R8EKLByluiZe6QbAUK+MNgoF4Gz204ZS92riqDXP3WLUaE30OXnVsA6VqT4oanNre7M2uXyzyeQTuDN4+MIJ6+E6RECKgRBrTMuqqIS7s7C11CJzqlyxkusdlVIdxtsDI+h+Oz2xIm59Mxztts9dM5WQB7BZn+Sn9RdeNGrlWUljIOpGAj8WUkYVhETxRP+HjfQYm3UwYLOJCMKtoIBvj7HGbkJoF9FYo0EnVuBDI9iNujtxb1VJcjVacjt0YL47sgqrBkTtjsRMM8PVgAIfEgeTBRSG/j4lxhYsp4VT3+0tIKlcd5CuRHfgWVQFjhMJTdawn7ZVSZEWSiOGf6aneVS56TWx+9593VscCtvOh/bPvIdcPRuK0ul5Tg33vQx3+c9TDJ0JDliF86ABSWZkm7pLhW36NgSl9oPE2L6P+T5/krNDAr1343TK9do2+MzgZm1+HwPr781tfCI9uxxIiw+mdAyHxSBRR++4+CzPdCWK0wyBDkFCiB/MwC1sdjPkvvFjJqujere4gcEIHjhWIBQvdROij/IWP5PwdhiA9gRaSw31/aR8ODv23qwVbM4YGd66ZZTmk+gHIbdjBONqpQ0hjGpVVN7fgg9okuJCVqyhxeynAI5Ht1u1eh4wnW+aHPjJcE43lD6W0wB+qG+s4u+izSsnNEcrtTCSr5Msc9sTG7bz74SMioKAGpYh3DXVOpvLNhAA6f3Xl39luFTub95oCuu4GmsR3la66zSEL/2r8vprr/0yJYe8VA7MnPJGapgAh8TC3pJQ3ot0IvHtsT0b8FWXG7gQ4IPzF1Wa+D+JcOovafPtnUuF6yE7TOZLO+9uPmVtoc3U3jMNJTiwmmAdoQqANbZpc24vgsH0pF2CRMlaMezRI7fpUEqCYV/NdAXX9JLj1PQQclSEK6HxjLxhPPqrkk7fykC6KKM1nCPyotBaugktXRheYUzmC4UwS6k0vcq2UrazTPmbo+1dJ69FSL9Rm+eDkJv3UWwc5cqrBBuDYsshXkMvFLCVcxegziKW7DaScbkPO9+NNBukoD+lHuNbCLl8cz1XHyVLZH0VGocQevFeeTJqMCpTFoXw7sZ8P/Azsw3jK3MxJYwlxJDnT3hE6L/FbaG14V4K1PZJwCZq4I2BkY6iGob2cI2rKTEeHFjpKknkyi4sBiXBvCqBm00Ix0ZaKwP+9LK3mU9VtknRshw3vg0efXauZZl/AnymiyPCgae3WFWXs2EcGyOSybYJBjvHf64upVLRGK9O3MWdWpinCtMOZicR3NUhxIvMcVsdllhirTxbIkF9lrVCYe3yxhcZTYr1JvqESQbJOO26L/7OHxV252xhGQeRv1UMTQLipafNrKwLbQmMptc+j7b7ZZlQf1O0h9pLlaLMyg1Mw5FPip06EhykwerVQKCBRarhP7ebbeK7HAUmuupSoVMF+nfhCmo+ePsrmQNMA28ASDwyE3w9dWoMgmFsN7bDnCfNmx5gVDlwXmiXJ6Cx/VPk7UfXEElMO0QYbFzypj5NrG/EtyHuUkXUkWxW6A35qxg3d20FjPprAb/RzI3/RoXTzQ56gdu4onogMqpWjYgdUloEe+L5K72pdc6RQTysq9+AEGsbBzaKJCGutEJRiBlXbvhBcdNZ2MHDG7+ksF19aKG0fW3yPq2ay/BQ/M8V9iF2W29r+zCCiBprGoZwZgiH1UG1fIhjK/mMbglUrVCm697+wVbPIyW+ltByL1belPPT8VHZa9fJ7iNotUyUCcKb3MXv+61NxFkqqWvKB4qjIQRwJzSJXTPpTBYs/SPTWmlj4+a98nzJQsaqxT3p/A9te6oOAO8VjvYbzQ/OylnNGwTQKSePWNbFTWWBRECOBDL2kGpS3wGZqlheNsm7t6x2yxSBt8V/CO7Vi405VzUHjksgbm3y7yuCT32cF2PCExpMg1vTgvwizhDgUXD8++9mjG8PH4UZIjIc3gkrSWaBGJwXRSOnBCyCU/A0b8Q1bH8ii1zi8FnOaicBVx17Da1J962JJQVkjeC3fff2z+qMrKL/sODYrXpk/zWlcxIb2qeHhj4Nvp+/aNoTGnky3xEXKjkA2XRK78Fpfe4b1/9I6q1UizH5yCufipxpYdJSGNjiOTGkUdGEIJIhLbLZWIn1OGFRLpVJEJtTedHGVtAqvtV/39BRRYy/KVp8tSV1pZcaIyHpnyY2nKZZoQwpVL9TzMTIyZCv3XQoIIGq1gP2NRLAX/yKIhxAJv8G1vtij3KJQrzH4HTXD5LaKWE3QySagAwODdgLGXc+t0+j/8TbZSfybevaZsnWFtkJ/HVJZpadss4ngGJszY1atM3JAej84JrXGZjiasoOY9j2vjyQhrT66/914ObOTR5cgJFyrK7KZA3a9EHyS9Px+V0IT92wB7m+KxhEXf/V3fQVXtqG3UWzJPVds7emGlUmW+gWAqsfLGKVzBGOpi7le6i5P4aWdyhp+tUncV3QH/1tVibY0YSTrPkAeu4IP2t/9o5/tBIXwkXbg8+LdyYEluHKigdvCTcoS8A0WRk0oQPlbqXNVJmAZszaQ+KpKhRXKlMHOpTDkr1puO5r5VBus5c0XMrkYrOt4MYJ8mYJe37L67KpdNgrG86sKg9EMeG6og7bLr9ZOJT6l2uYuf5XWpT+RSfaNjDogwxfFU4c/fnzeEGcpnTVCZYoVB/cHK4UX0D8f4HemtMFs6bwt04wPHH9iAoxMBkW6MTVvYNQNvIxa22xOE781yjC6oOItEtcMaEutlfQh1x6ToENjnm0QrFxfax7maZDfI+Y6qIg3qS85+GuqopOR5BdpYEgJl+P81TbJNubqhNBvvJsUP8Ts24Bk5TiiGo9O2kfLQz4qMfQN9yO1vLxB6/S+b4rzzpHqMSpCxyNJGLmFppt2rZeMoVYa3sXBQpmoW0yxiWWX3sOsfIhm3CGPQXfRNafmp42r8W90OSshUC4ncvq4+WlRRr8LA3IE+cFoSMpjE7Me0o8pPD+wLuO9qBEqOFduW5SoNrgDRtp4ydvJdPsZ41ilgtT1gOoQYPxKlY15zuDs+hRQ0IkLlKDjN4Jryu5DVlzxe1jZiTc+vUzqWikBg9kBBSLve6gqV2FtgoMziu6E+t/MpZ6kCLgJ55qv7VanPNUI7MMpgUgZAUmjQ9oni9QN5WUc66tCtoS6XBeHVz5n05pCS5yWCP5D8Efwu8e9JBOgUaWy7trBzjykpcxUb2n9qtbhW5fko5BMjgbHH2nnQx8KorJgWnLpfX2boG21e3wHCbf14Vg7PcyDLaxtFxzcib5u53RalXz61pvcwen5bvXZbA2MaeabrSw6E71/1po9p+LDgacGu4Az/VxQYPKelakkoIdmNnfPtNNu78mKKZ/ofclbzwvsvbYnRJpUYO10ypZGtjZOPAjj93AUllc/wjKh11s2XmKa4EqmN8kpf9tRTpfGpeyo5pj6T5VfoOXDhSxp+8jtJ8a3eafL2OeenDEYDB2cIQRvYA/il+eKrfuMuVCmiyuAyumTjP5pM4ZNA3L7aI8MWecxl+MTUHaP2CpLtYKLrf1qiZ78wzvGvZDzyoHJVHEjIuq1HJHpMMnk/qRLMsRhNRb08u6HESBA0I1D8NdDzyD/3Z5z7ALeKuHilpwEt+fgVZu7DBmTQTd9jfir6DXfum9wByKXJAD1uO6Ab5RUDSScGWNZUmVazlW83VZCXO/kKFwjggGsadWnwi6krze6PzfZdRm6aMGZh6wjweUgagQj/wmIgfLPecOwDAU8xrFDuW8T4CJkk4IjgJoyqw75x3Y/2jZSnPCnzxdjDsp6JxFI0QASp7W06rK34ebKqndKitggeYaEJ6apEYeg29bXcIaDR1lcWCSXQu6e6k8bFj5QciwFbgQ98Kvw6dAHflXbrPBu6uCx0HuS3L81CTbf/s+3iNHFve1y9zJwSt6t6IjhhseuoCJ9aFXesaluGt0lR4tiYy43G6Gi8pJMSyoJgD4osflwWhGvhB0Q3R2bwI1SyLxyz0Dh8UuPE/cClU1iuLOW0bNfjWx/GqJ/qr534tymNQU0GUZn2FBcbgQfjHPodbSw7tP5Gn0mzp1gTMebcd8a9Am5Ljm+V0MebWk+Dhj+sXCsRrS02cBTL8oLBD2CHev11CglYYRL3MLTCDvbc1ZkE4NvLbPtravz8OULfVof3vXyQxxByJt62/9KrUCcdYTrbQ7Uh46xBQPfVHVb8uOWweQwDXPWBWmLczB0XYpQPMHZooQiwXqlYwRRWRp3jiES8NirBrCKez4T4YH5OSS8DjzrF8bBsssaGWK4wX7995rz7O2OTE/pM1MAQb0afXwnHN5EnipCkMPFziDiRiVaEIIX8e7qpXVZCyZvxyWBef7eQolof3HSaGItJkAKJgaB1aWHM/1fLGoFWkYv2NdkRMNJsakyEckl3fJrY22AhdtxZ4RThLNTSGzbgLym/3svtF+Pq9MbBhW+Z4XeTru75c+7SE2GAWIyyJ06CT2soWe0dUdAdn7ttmo4zhOJRKTDtsf65JGCRbR6wGpzdPhsRIH505Vn6a9nu9ZI3lfAJ1eT+3DXHjh2cobltSQ5/hQua4gME00tZ+SI2px4nXeNLIaqxD45LEahh/wLua+r01T429rNOTDoLUJ0BxHUqnkbv1Bza2hyf392D1mENwJiylAIrqn+134cwzoSNxx3x9jYnXYqMxCUnk6z1HMd9f/GPxClsSiPlkOVQb1pi74y6s0VgG38Fkcy8qv3o6TyCYF0J/COuTRa89D8ctmP02AVICyppKsKC7LWPow2Zy6bB9YQ2vNEExivaKB0uuyu7LMiFN11ld5UhluEd3veB/zVP9E+Q/g41/j5RNL9zIEB63qodiUZzaqHgwZeR1lRiwkGglZbzqVl/hCdsSSR5Y3Qp1n6r/+icPyvmrxtDG1a6h2gKK8DpzTRXt/IRzixPI1t1IR2OD5v1neQ0uF2C9ok+kpZFLqu7GEkXJgh7Ia4VG5i9eXvyonVgYqWwC9QQUJBpsk14hb92rIJVzI8w7EfyzQ5CkgpV4SZq3TWAEvM2IPqj9p99YevSGbH7Z0I+wQdedLsjAxk6I4gCo6zgme8GeDxvSbBSUJ5U5ChccKqSrBKqqCe25DsxiOeENidMmhCvllI5ReXZLHc9/fwSUxy7Iyz1v62w8GxDtD5sDDOrCPa53XF9wHPTt6H4DK9EQoauOgynODpeRSBVffRMLHHXDugBQ/jY1i0r5vP+9Ps2avn+4d1waqG8ZpZeJKAg1QrYBHnnsbPLzfeaNyR5JWwPAXYvuAcXhigSzHGILNQBysnXAk0HRbGrVrnnTaJrW0ebuHyqmrmoD8YniWJnjceAb+cOiTrpGqNPuPQ9x1WZi3XoxlG7SfWvL6/6+a0PNiKU7LGAEFN0LmFdbTpsfSaR1WL4IqwOWhZ+YF5w5pF03n85sVDmQGPqzSRRvJc+Zo0t5UCtBoxkgofcXEnLu4JWlvcugr6yQpxwAWTJcUk20dZqeP6mpzzNLipXoQ+C8S9WYoEuw7AkjzgMvYR87whA5ioIdd0m8Kifh3r27EXAAFZV0H+lBtesVPzIblbuGlki93oVmnMLHQpQjC9UbpNcWpmNH2us09EOFUquDAq2qhtRfIdJSarlCabM2413Q1dAe7ot6DlIVkFBFtyNZxmYxfH4iTmfBaVePQvPOgkO+zhhchD09nbGuVesja8BY9zAATV2xgZWW4crttdgDftwlSbxtlaYvLQsIE9ZoKDIqfryF8MAFeWr/HRB+YQHsvseIFGGE3rHz67EQeTD4gGNuNJCzlnToxzQOO92Eqqrh8xYFTsZaNEDILIIVeQY3M6FBgbGQ9yc8QN+VFp1wKCgcyO2wpXPM5vVHrB2tRa5HFAjnA7zNh2CqZvfraKJvtHjbcnl27GqxeR3gFMefes8+n0o5dcizuM0OLvOqJoVmeLrGHqYiFhneYziyiE1wrb0ntOsjN2aXr5XZPZVPHX6M9OvB22DWSCkyMNbNidsQtsG20wF5IfJlWuk9wPejl/i82BPX/0fAGC0hem+3pH5CsGqHEWkuzkAgNgcbpvrKUmGhAykWadiyhA5RD0Dag2CPEKp54yqPdGBlVe+rF+5GIpBPOz8jBETRyzQS9/FuluC1H4z5OtTgAaM9g6SUwERDh3ssSRtwIYNMIR0YnJlI/InlhYhniz5xYWNpk553FI8RoE9+vPgUY7TSBx8Q5cuWoGztXrLX0DB0bOGfI7hR0HI5MZvryykdsPnfZIViDCPxjZFdWVmQKv2ld7UWlI66yKU7HAfvkTCDm+OgsN8QP7bWEuomYTHt+rJL6YZMGA4S5gAO/6c9TQ0lH4xgJVzaI/kntlF3m9wkCw/4TngMC41kTNySgVtHUe8iubhU4A9g3GVqtudHf68FC+w7zOUgirxBDMCIP1QuKcFcOIbicDEIQjcj4UXj2YsQXUWsl/nzBmEG+Oh1T29P/WOsvpA993y6edyw0qGOS2wQNSWXqy48/WcTv4ZOc71rkchvaE6jwpt7FO5mUIJrLj1a6p1xPp/4+PM+HI08QB14ZszmT1b5UwbXBxr7I5oXEV5SFNUyuRo1V90Pc6PuW/gxMifXHBkAQ/LEYDZvph+uy546P20KpociOGIjJh5Nez/Ie8BRjsC8AxHYrCyrx9oFPYLBA5eeG5yhq0Q0fjUuPHBZXYSr7UQNULfbKCU/d8V1a3QLdPNXb4W/7zcu7QP/61AST2YZaV+w1OvMC1D7KURpcL0WTi7mDBBL9lBg5WgeBgxrV469V1y4wsSga3FIYBt4PqT25Sk1GY73QldZl4PYWRY+lPHOgH/hQt9VQ1wYwQJM1hHO10UHLfyR6/vG9HJoTw4xzbCjDqIRxEFkfqeMW/2FSiGUeIA54LCAJDcjzibZ3fD/D988TPSjktWkZmVWXOMdvAk9SAltUdMXb5usZSxiE/fXDZ7haxLCbOeGkIsLGXyidinyqcySBSmSvPvCf3Zlmn3vs8WO3PCR7l2WdlFD5dYtS6UrEWaMtCp+MligjQaEZg/MtUT6+vuYXphOWNQJdnLBQUBuzl4vWYKvb80T5CeSWLvCKb03MYg2gqtScR/K7Y1K+BU8INPL8u0rq+efuxBbTKD/7n+4fXAuKfIszHS7H18wFy3iBkxNC071VW8qErS+k7uUhIIcAURLy5tHoFjIS+C0YQEZHzABCxTK/XoEEsovreKpe50l31eNDWHA1qLBAuieWYUiqajDoZuHVC7FBz3fdoK9n96GeQ+xRBpwazo2Rjm9aLSwQGco40nXChzdrwoK8p4xVKfYnwrrRptw/Y6O529GbdeBbClH3Cnr0hjtRU051oflgH68thg1kp8aBsfRhySRMPcH+iCPPfz/bgsh9Gy8ZYD/kX5gyxMzPRWkfgSy2fESKYW2BUcZWydiUEyBq7PmtiAsZCvhyzlaCRUonJdQ2zpv9230FZy14ij0mNN3buUmZ7xLgP3UbeCTC2eNpIlZftb71pjx8WSEeU8rncTo1EEhfAwnvPV0ef/74/jvz7tKvQzNESEMq6MQiPK30cBOfEUua+5KlOM2QmNOF0CHslHD72e5h0xp/cHJukB1Wdw69aFFQrhF6AXbkVNVP453O5OT1Ulz8joefGAyQF/IT/dYMAz5MSO5yLBI8fiZr+2tet/pXSIX9cea1uaxnGb5J4gjEM2NgSsWiIkBMYL2UW9oCBlDKWOMYPJhuOUqki3uEU+1dGmR+SWdELEgqqrwcrcCAr0kOWa+Ms/E59xocpQ2XSqt5AOTWi/LDRtTthaE6aNAVX4byjvvYUu5tafwbZB8g7D6Hs/3MtQygRIk+jz0EQSbNVLn2eV4q5yFIyJy9v372tj/zzhIXdKFBu81uozpaRo8Tt0eIiOu+m5vARtCe9b+p582j9iYfjjJj8qwO9RKNLoIurEauln9gmqLeYgZCxeeYMHSQ1ZOOQL7pWHqY3yTst5nTpOso3RqXlIh7Zz1RlQJfZ9WV3w9llZLbNlkhS+fOL151gVfxixGqoZmDlaZn3nCGZQdqvn/1yMOWZAPyRKbdOEOhtBESnPZYGtp06E2PM5MFXc9RJUWvAGQS8MtwlDgpKjJ0wJbWTKLrg2M127+aap/tQ3k3Wd+uu0DY+9/oQg2pBCgaq615IHttdVNj8dhiEiPEEEGg3tGxLZCLVbVU04P8rasqT5YkQc7PyQzsJ3zuVcpUXx5HcSkUD8jRgZRlL6bdYtKTfc9zpcMhaGQpiNrblfmNas+2tVPXj2Vzm88aXPE3K3bAGcR8Vx5SGrN2kDWDntmU86IkR+xcXMQdPyWIANzARsG6d49syhF8yu7YfOzpZP/3bbVAhl55gjmNQqsTMI3hFx9fg/TV08lBYpFd8wI38lfnZ7YE5I8uEE8Oe+CK3umn4a73cts6QS2iV+GVtWja1nzPLsQf4u7Wov5aS2nB/QFUVbN5EvVVobHmHl1ST1wm4TPai4VYidZnT5n5+ayTaChIq8PPPmnZr0sX4EODeXEfyU+PyKnYEce0+DFF1sojsTBPunuc0a/4p9dhc1U6aQ0fHJ4w+Nt8+9+usCLbXy2Pyi+l5yrfjWt/m+Dp8G4f/E72MMtqMxAm18C6W1w4dC4siK1XleiGEknKMLGWjRS5TlB6fzdKRcEDtX2N/hBSeNA/FzC05y9eNEyXr3Faj+c3MNUHLoeL+jxRtUrbuL2SsDICXgb9W1QErpBuRWGkjOKCmI8a7I/Om1ZqF2mSjrwrWGedO6J8P/aQYs8gCmIbYgtmCNZw71ttzB9S2WocPbw4gap2I0mC4C3zZmzCFMznlv1aO+HEQ/wmFG9EaWddaLiO2zEN5b+at+GcOPc7rwruUa5MMkvfYTiUTzmbw75hj5X59ElS8bcwArkCcwitcA1J166+v4CQuP2F7G8abC1CMbuaaaLIrzR4G45iJmvPMakJwIMkKIx16SnvnJQgvYuu6/rpo/I/VJ5hyT1nclwjUZMXvWtkxOC3nw6t8azm0f4559s86T2a1rOXE7FWdMZGjdBzct8+ILnDRcmZUnbBlo2IWIS7mfm2i7SJxGCOcX+NH0uHA1xYLyLS7lbRezi5UyZMEuSaUQrj5OvH881ixZ1WR1ZgpETpfJ5lb4fihEKHiik/b8zva6xwfQCJ8zMwbZSqQM7x6SHJVBsmYeYu19raiI9soWaEwIfhBLatZihRfHvBbv1Sa3FAs2g0PjbGBdjMvJ/TREvmV/T1VxtmYtwaQQWKEipN8WnQeGwGnTIU9gwdtsM/mmEg9Ts09TQGUd7cBNJ1/TQx9MDCOyBPhW8P7Vse8crIfT1HZxdxQyuLZShqYhhDIxIUN0Hz2TlH6Iomhr3cwgujSWs8c8jF4dSsNbIOS6+CuC5aWkJ7bgGiMLCtOuDdbdi4ZIZjOVE8V47UIxIwA3TtUklyGYA/pqNk0ggXMxmUf+lXtZP3PmTcFjAYYuy7hzJM6x9RlVQcSc8FiHGDaXw/e98woFeEBf3DP/0Po8uXQXT/vFvIVg5Qe2Xc9yG1rQT5RtWyuE+zRX9I5hlhQIpgF2eV9Iu4Y60Zs+F4+GVe5VZT0Y/eakHpOAEUOfaF3+yAD+cNmD686tNHnrET3UBEeEkXb681cxGGfnudXekaEvjHpbHGQutWpLw6S+NNIQjNYpgr3VxXnNOJduHiyPK9HSFLepfpdSKx8aWvl8YdSazg/gOIVRac+Cvpz4CoCNMBwo/DZIr3ioAli6nNvGQnm2iscNOiSr5CQ+iDpEVs/6qZj3s//eBDsGUC6WwcyHpddF4A3TXrD/ZiAHHhuPuiGdUJz6MepQok1Mh89e10JQYGOd88/vs47SQ3z2kzRCTv/olOex/MnOlKrcx2eceAISYCWHpIZV8f47dqXfNb0lvKkCUYRh0b0q1GQXDeZxsdgWJGy2jCcPeZO5A6uws7brBFAXyFRAlVrsCB2C1NFdv6Pb1W3S7dhw4KOkzVctrklH7TjxoohP4pMZGSjfc728WQHUW0pTVQeanu1nOjWz+C14PJdQrhmLZYpItyxZgqFdY+85gr872DtnLjIZYUjgEAG7IAaTUZcuuAlNSapq6/JzI1a5yg90tKC3KgX6s0GicfZlzBPiskZAcwv7boFVb8j74gEyDlxqC53HLpM4KQhOCPuh8eESp4gTLfwYG1HngnkOyW9846j9kd63JGxEAXR1AtXtbfrnyy9lWDLTgihYjWaA1W9mY0PC1JeqtzvBPSek4drH2+tzoL9mcGScN/OMWn+bnxOnV9mLHVpRkdCe9W/5szskBEJTsBgjPl1Mq2RxFYqoGFcbVRr5z94SIyO3gIua50iRek3U8o1/GFDWEb2nFX/rl9+DYnH51Z1K3Z7MhVt7Uyz7oskfV27GzeNlKfncaBHN8WBfTl6wO8nmP+LJkwczQkoFu6iySm0xgsnOrYJF+YtNOXUy5aQSvPSQwM4NzyGf9FmFsehofjiXtq0OG0Skoe8ct1RA30bp5c+Kxwhn5Ju+SSzF4ZUM3HoQssyKmTEd2+e1SUy+8MAH2wOHAoDWYnR94kher3hiV23w7AaPpB94AkLeKX9bdOmuzKnOtsWVtkhzEo08Sa82aFIc50ohOGZHnu1G14E8SMrsR7EFAX37JViWQYRMR+1G3lTIUVNAbskDb+x1GepvsUhuYtAWtwRZA8Jf9wHk4Jk4NP2bZ0S0We8QxvqkEBlgKepVTHjU3ChVGDs8huo+A3JkNTGI50R9GprKlohfc5CfATlHTMGCiCssoZChTrn+81vtPg4uoAzr9hakVtRqZsYIuZBusA8E+FD3un2A7F5+GX7iIsSdgfPm141ftoDujTjc1RqaXr4Btya24k6W/Hxl/i1tb6hkpdzVK8z/59fDWyu6WnQSO8S1p8PD+Z7m4v/Q6ns8f/BWvdANjiLNjicaQ7f7tlMXaxuzyn/+PTPkLottnWTQp2vfwqAdu71d/Tl2bkph9g82GxTQFMKtMNqVTxzSML1yLxYLGwwgrsKE/bATv64DVnQOAT41JOlcJoUHkPq/DnFRWfg7fHd5O8N8ZVbOon1mu46zAo02NOUsJoCbiK8YKSHaeKjyP+xRt1vq4gOXDMafFgkl6/FF3Brb6q7U41fckGncfRDT7TVs1sPe7UF4yJv77ljEbbBfkgns5JxlHUmO44oCtknji8+CVSXCGlYy805IiJFYN0EaXTuI2M6WgmsL5YX/x+nN+nDz9oBBPJfTF0PafqMTuzGrw05wes90x+IvGVT/IqRLswc4HF0r5Lq1r3reiOdFAgB7BqIMv9Hldg3wEXMOVlu1TKf+t2ZDWfwnRlEuj5qSWzPOIsKNtCAUbT+5W2JY13eHEEbmw6F/TUBpP50zQ/zxO8QQ06Yv5EbCwmZPmDOEjoziUq4ZQhQwHruJLRlkXPBKk4Urib5tRtVfyJCQT0RCRIVWiw35kk/1solv6VZNAg9ehkFGCSbwkKQVIKmHR6IZyy5GHHioL3eYACqkRYVsGo285dkapmjssaNXj6zVNE3briPhwHpWf0MRSbxUmCoto3HIZnfcJz4PnYl6c+IrnxKYGL+FpparQASavH7lX8ENYiCqWWWOIz0wc6QCXyo0FlqwV2kkGewCSTZg1AUS8yQGUCqswwQc/rhnhayU9p6n3VlOzR+4Ovgwl+zXuDByfnxUbS+dUdmHyrBERGB3xwEpAdg/scI9c1zEQkVUyzbm71cdtdx/AbcDuZZQfTJxICFaHxaYI1y7BnxTnH6M6U2yvblDCUYo+rmMKX893Uqkyfxh8lnaMpzRNsg6rwcK1CIQ2uQHbLfRLMfEHP2wvWp+gqDZLzxhwmiywk45UxZcbw7TUN0wDb+Q/6GPofzLfHVKQhVk5Jow0YWh2OwiMGjePmf44TluJOzRJnOPx68btDAtaEh30eR7GegYDcYyWoRHcntLL6BavHekxZ43QKiZ/pyM6Bq4Te7Xb+m18c6/VXzJmtCMJvMkFZBem6c/8t0FfOrjqjgUma49Rjv1d7yHcP/gOZsd6q6iRfHSg1BEsPMHzgTYXRZc80c2QX0F+K77Ks7RLPdjIzXOXfMOHj+83KTYnCkFW0e11sA90iQMnntpWmGJj5Y9UlsFIk+l/jopInjL2r6xn9PAy6TY6L0iNfg36XOo7c9cHSuPBKyV+b6PpE9gyVO4PedSdbsgpw6WZdvBrGCP+ZxQgq7irwgdLiHotCoMeI4GEzB4VwCJoU/8ada6dPLfWhMKXQ0TGh/XUGc15X6u9F1H/tAv1lAi8MITVfSfPHX8RU8M3T8oA/W5A/hLMraTw9oeow/XQNRplG6qdWQIWVqjyOGowNGrENMDzGEPMnVFhTltq2yDB9xv6xJscpRYWZFAWdR0D7nbI8ERx9jHjFjNUbAtq0lKNpcAuIDoxSoS3lRkWyly7HVlmgrkGzYvNbeB/7aozuSUUz+V3uZAgAO3GajNDJk/c8DIJqN7C9ahcM3IsMKwAMyzi3tf3of2LCcULZF98t4qzKYinTnteys63b3+eXMxTTrpcF/Z5bwx6lCKuZSCS28+tCYjXNdoTaS7Ov/cntFY9E/ccvWQEpOTJUVylWjofX3Mbr4SUO9cHoCX0wt/l7Cc11PMKVfNQTFtBF3KWQQeP4KEkEU+nqKW3bOLyMIyv9k/PREMzM7p20crXAQuTcRKUYwTSxAyRD40eFYWE7bWyshrGiFibU+QrCmmVWU2L77O+9NmQvD8RJwWd7L5GJbdXGOr/X/atxvFFLS/nCbdkTHL85iP9/7LBr/Y3ihw0EupzRDCssgXfSTgO7LMqfTdR3xvtsYyVumk5kgx38mXbZHHXSxXooFR0atPhRj7zBhVvDm6ToktrmoXF+rZXnGc5xAr5Aw27GcCyKInLttzR5DO/cpnS5x6Ol/9MC0Sjw4iGA8PKLilidOOImS/B5/vnILZpfcUXYt9+CW49oj2CnmpkwYO++nCyL0ZizRYbHNpCEqw9seWFUOjOjtnu5iM5kjCkDuiob21Dq4qug1gf6WVgg/pZZr7a0kfOs6jbRnzraTDXvQKTdIZfcHeNYTq83C+IIhpYHfh7oJyzlLAieW0e6mPtSA84QDSaNt/aR7wbTW03rSEWAhoJRHSZJ0xNOgzWT3PsuWITbAXNSWbF+dsWlRtqNG5XnWQruclyLLZggCWznWfYwq4qCX1gkQN+MCZ66HsQ4i2+fZbUygOX9lbEn34SHJHLe7IS6vWEpudseRZpC+z8bfnGxH50re0vyle1/n9HWG1vLl0ssRF0QwzwZ/6I3e97nrQ6LWBDOuS+kOMhTMigPyelgLLEQQ7bIvHDh8psXB62VJUecAEiQW0B+H6peJT5hk5+fsKbznLH6hgsyHySTyNRZadk8wxbW9ThoKXnV1faZNjqtFnMElchAYPS/XlDKmzj7mGiPC0+E4soud2JcFheU08XNTJjiS0YCUdnpCPWt6ZpyERiyGCo+a3Izrgyy8iDeZT+7CJD5iK+g/4ZENOJnbQZVsV0cLPvFKXrNHHqKpmN1xdKVdjJczSeAu7uHd3ePYZMQdP20mW1CSDuIYzUxkLrifVk02RWaSm/0czZzkdxh+j4MPp4Uq0SSQsjvRllq4KrQLBoF+l6pOtUiBE6xQVuQJz3/PdI7FfZlbGnUqasMzlz7Vrg9JTz0fCHU9SOyRS6Q9Mzd9IY9JAHwAT0gKVw6ws4za1DCTe1DSA78MJ+VJ+w/CxAdi5nl/FwSnF/42+VbeOMHEMv5N7w+BKWxA2jXco+XA0oXuji5vdiqYBvo5cxAtIHTEblNyvHcpeq4BlsylpDIXGkaW51o0rNO0LTAoSrCRQgqsy9/8xOCKfmQdZ7bwXS8Qk+sg3m8xoA+5QtbMCMDTPQwYPIYywmZ7UIPpXSdgTalPtVfW/Bi9He6nCQzVW/sC/oMt6yUh8BCtWuxpuQLhmMa/VshUhRYmEOvlNrB6b1RDmCLaL2mh/Pn0YbYsKbYO7bR6uo4Jz4RiGs9q8azjbrHA+1xn59/NPlnT0ATmK4ul+PQHVCeLWOmVufXTggSDNmc6Fh6AUeaOnY2ou1e7le+RsalpbA9WlgY/tmJLH98R6+AFqTmKXaKWj+DCQXthgrtcsPAIE63HbuZHHykrF687srmrvAgzfmI26fGjwYK1F/0CZEMe/3kVvAqQ4tA/m5NmCJsuc86yDam3KKs7R8Z6IXfTQrBuBd+PvOTu79nUO6sJhWobJOjHeSSNjw1adyUh3swQRd6bQbm52wmehWCh5g5vzr2TnE5seGK9t/WzXVsn1u1raKYGXfxBzlD5nFe/UdC5hQ2bFx+/83Fkxd7EKdumVohD7ohr3BpuynBOcLnc6rjBi/Ku8YFPkNIz7ky9D8UqtXnX+XIDFoEjdYgrE6foOqeR5Fuu4+LI+WnEvDhLynbcwtYJFvUeK8xEyoY3iroiSxqzYw9FsKVg8NGluQPSeOqCmMhZIkr/uhsdQmIwsOC+PZw5mYJKuOYzgs1gw1GkKzTno1oiOpqWY4OK6P1R4VERyZuvmt3uPvqCb8sVhf7+GujdsoqjwRFELtF1AICHOhDxpyuoHuYFaHGO2luNnqsojiSppyZL7sShquW3MzrkzA5bH+MZwTxAPcHs3cGTLgBz7gjiZf34XpbVX8tm7jv/ZZlgiV5Y9GrIOCevBczTVj+GA4LVHzUrxmmq7FziBow+qKuJVZKmOZGcWL0zz3Tz5hbS6Oh5EULcJVAF0NGbUj26WJ+qrG113Yk+WCwpH8PyRoHrn/2J13gB4fFz/tP7w1PI8yewPNph0jq4JT0j8iM+qpQTPZEIExLhj8jbd3HLdtU8Jmalp66Vi8Cx5lOlcviT6YwHHVdj9gEUZUUJrYLqT1d4IyOiq67K+IsSEHrXcOppGYFE/v0/iQ4r47XnQCm50L/Q0IwciDIcS5RgCMtJSFhxAVQuWURCGTo8fCHpkeJ3sl/IL7XAtwRfXYH2sfZ4bHllr2yvR2aWOYHUGNB3+ih6gXfclMszFFpWp031WRGIbBXmZ/PiEqVnIaux3hdbetYKdkTxJuWDIZksVRNU5Zwrq3ZXztQ4KOjI6gKq4NcRjSZJBwBJk87Mm9OMVRs1cL9Sd7ec/Gxqi0nrAZISZrl239ikUKZfhcdODlnNgCli/tIHElA4H8bOH16zeDD5toNGEfdXpeQuGRxsmUtikx5a6uD4Wxt0L/tbyWgpLwy5E8RZwXzM/FlqtlYx7urMvAQrf1SADd2mhVAtiFm6gOmmKAZ7RrUPgQyfupqPA/LovUhYUAmTYZXb8KIm9On91Z3G3GTrURxqQs9bZ+RZGcmphgs43c0HMO36m09Yt6ypgYRjuzwITIeZz/qPptUPsIse+pqh2CVUCMA7z2l++gIB3RPCdLJ4rg4XQTwF9SoIU5y6zRVpfv7rs2/3pjatCdI4K1sumAxHFF9RfpgPTeAjn3uo5z/70GMtFj9YZeFzfg5IvMiWggpprA9f3f00b11U49nQP/lZKqQpX61BBIKpCJLB+6ki8i2NYtEBIGX0NkGGPEJzzaIB5rwxGZjqPw40UYeHqFoxkd6CbWg2rZxICWuE4QkfQ2VQbjIorqskq9CO4r6hGWEY2jMNP3zC4zgKX8El45xh0FL6ngMHinhRlCbIUDeqaOYZtQwHj9VlavWbsaravzBz7ig8PoPPwimn0ENn6OiAzAWMLdJrfKihXZULniB7jrv9Vw0lsTvGAsQZNOb+BOtzwYINcGoB9/+JQSb+iqjbroTRE953BJW5azY8vvN+tMSFRNdNOZo1pUIBXVE4UgNmsLQmCXp/HU5zvNYIb81xMvShW1ff+V5AkJZTh83VdOO+A8QRKofjRc2cqi+ETNSswJH3GJQryfe4+nwkKqtQxYUIL3xQRaSPIPpE1AXU3ma3G36Ialjpn/J/ETyETMa7yzq4kpowaEP+6QtnBUXw3YM7wsNui3imV+UIMe/H/u1FHzYXmuoSPiVlMZZUoxH3KqgLWKcG9GTFgWevtVkh/YvnY3D0SDRh1zWwYFZs0i/d5zjMl+kaHXMOzW6d42R86oekEkZ6Z91dpy8en1aNbYm0Xc7J8L+zdfx1O2Jf3yHaLMroXiyW+GsrbIAzgFwynQwfeUAJFG+EBLCn1u3fFRWq64L0gbkNyupcGC7XNdGPRCbdkQPloP9xNLKYOSvvHCDqcFFxoWfW+FV2s00q5MX/fHS4HZZ4x1NRrfJlUkngcahxesBDEEnePj2NwiEFT0yk0h0eVfhAqSwWIk+ZjpHxTLqdQwkPVQvKe6t8cWiK+75J8/Jdgd3FYc6yO32mv0dK/IXNcMcSTHRChGDY2aGSy851MuQR5xNHxHTlU0RLql3JM3mE1Ae5uje+CGFFJ+iFpxpFg2ZvN9FS19MaqEfo4lvy3zaDqJV9wZxjAbTm/9v7DhQtxLNizRvMhqdjYNfQdIWUOlmL+Uvd5wElFWcDkKJHdwOzvobiV7tyYYEwt6QgU9JeTmDyi9Er5M/nkIeGuqZXOqPO35aZN80s/4VN1nUKKws54e/ijLzqwBv/NtDSyKUJyLxu0WBDEmvhSXzs4QMrctrdFAWS0j1fHABCV7ak1Ii3fiG0LMs8gTAcIw7uNduoGRm/epKpJnC/SkE+rK8uDU+TvjIt5ZS7m321676/8IWWLgOs8YgRwDCtjtSPVf+ytH5MAdrXMaX3j177uYwectjLi4nDWmUn5Q4eQHvsWryR7/doKrOeaOmUdeP7mnd2DdzhJ1tvLUBVhg4nhZ9IJCyIVU5+H7vlE9mADkOW0uVVciYBUGy8D9O6wQffBxsHRhUsRR/fZfVM/mmQ0gpWt7CQ5PWD50HZrVDKCagxU9BNzbUjt7/aywyVq+PBsAGThRcK2f323MjK8GfzbM3cZL2/yn7Ic7JS/qkFey8D8roYhXABjStdbr7FWOX6Kvcsn6UcjC7ZdM1t9NClhprzt5qruyLnwLIAFLdzBvhTNirjALH25F32odVgDmIU/L7uUH/tOSrKylg6qfmCZnpVn5/NQe0NaI3biwQdsHe4wiVLgl2cYZh8Llbxodsqz0hy6yx/KFHYMchOgoW+0Q/yMovBeZC0Z8+IAvcKzDg66wqo3YHfIivp+symDDomOBmFmZ23NvJ6dgza5QVjsHt4ETfPU9dFPHfgpG2Ql4otB+4eIxcVzCDKo636NgLlS8LOUSUXFdKELcwPzr0vm1CeC2DRM4dLXW1GHms6E2nMuJOdadqwaDqdtbg/Ig8CuBqdtPthi+Su6Jo5NJvLndXxr04ESrMmRlBYcOMxezVtc+v5m9bVnpZeRca60pu8eTY44DjLfREfZzlbNPiyvxX8BEuAsWXx7UJ6t5QSlQ/VfDPtTVQwdJmkBpoRwjMgNSCnc3eDNn0fp2L9uefrJatS+1im2vVgrms9VXEnod3DtqsmCNPzfveIMDGTN1K90nXSl2L/uFmkKsDQuV9o4dPuofpMA3hmgD5Yomkza1lVHfBomG/HXQSnAP4XytmhKOZLDEjsBXuNTu03qxPFsNlzzNujvleGC/lafETojB5NNUBogidX1cnDQxOFk0mAw+Var3mDPr0IBvo97tqeLY/iTyjRxgLYiqtSUYlSK3OtJxzRByIsYgS6rXDUXYsnG1qVOGkft8CpNYLXx82e7isN7wSBjhKXyjhSaP5CeCe2t/7iCz2q/CSqdhvubYoMCgg81vISDavRsf7TN9Co3PCNk+UqewCBtuTxfmdsf30ZQ/C+EwxPD1QH1ELbvz+PprijFhR5S1BXkniNQoCzCdFC5b99YawSM9ZvesxBKcZh0sJbSBmykDncP2HHu9AQLwTf4H5+zC3loOvkZym5SKiPs85qriKb7RFQxkbwBDK4wddmdfrPYz4/3Q7IEi/fHSNn1+1Kt8AbydLpqws9uDaGuuWXSf16mkx+nmd3KLqa5ZA3RIpHgxQiXFP5emTJlr2at9F37vb+MWV2q2k7715u+cTl8qRnHwti3ZrveV+6OiZdSIAPHr1sJvDOoHhIAp/RZICUHufndULmmIfCx5wZrG8seGo8/7dVJC+S+LUXIb2sPWF8gapKyeDYjl9XpSmmGlITsl3VVYt7Uhmdj5iu3+O14h3WaJQleaGVFhc0KAd0bNgecitP+exNL8FZuSzHs4RilAqy/NeyFILsDgpwI+gf8VNZJUKg06ZxuN/BGZl6uxp542unWk39MpHVja1Az/wMU+feoyxoPQp5xBKLYEuP6EmTRonZwXyZ4SOck5Qg4rnD18H9qtdmGYV4+XFylTnq23SucUNuGR2ZPNosnGBRIfVcjL/pwTFzy/n2xhEZOcN9vF9y9kxJoK9rlsKEqLL6LvM/kdHnL0YVZ7Dxpi5dcYvC6sSvvy9uXvH4YJjDtM9IbTFHWUPvGsWmwHZOI/u4cfat6zKZ6oMfdAScMa4XosN6vmo+lhmQAHtw36r3sg1e2gDa2nt4engFMvh8gXyubmsDarOB4vWuv96UB/5kI1gPua64gR1uddp5va+n+gelgoUuwD5TwGNSpOOB7k3bjKsB1nPZl32ufLAsbJL2Dbw0fP01r4SkqJSiHQGb29ZoBEyc+0XCERe9mflOKlFdSVLYn2JNbpa3MP3t/KB11RQad6V2XKiXcSWqgb/iEwlhe+jvNlmnOCu8oTk8LthCj+c2tsrOrMrj7SL3EfA9mOEi6N/BNtbJA5ikG6XuAT+4WMNIEW6KFr7f6mAq1/n8lqn/CgQwPpmNErvYWC9GtvqIcU1FF2SWOO9aY9TBurmiVAnZ1ddKYLk/fKAKxQhCCA65bvz6X+chGofrMau6SQkwvftozGbpzQXJx1fyVbmYmPW3Ly/y/3Fc9eAmSIhZy9fWlhPw5hh9yeflOrogKBylCt12nFALIJB5Iz5p3IsLPCHDrsQVgYAv70Yaqii2RSL1da/ZSiz8Zcd/Rl+bw5TbZ/t8tcbXtr/thAJM20xk9wfc2m411q0JaN6eoQ4znJ85rmsPvIciBr+R/XoEJhYVb2W740PMcWUQ23mbnnuXRKECHYdA8veE81a5M8SV86iWKQmsCW3FnZ4m4h9f7cJyTQfj+iOvRzG3hbeCbW9EAua9is9GOym/9+RM7UkVHpk/dD5z+4DT6JkegACAuLuywXoi4/kQwHQDPHfNRVmY5KRfot4h1uu5m7s+XDLS+uFESpht56Bl0gHrola0gK/6k1b6IW0WMATxru0SEb4d3mSpZr0Xaz0AFzYvi+v4sr17IiKSbdYMo5oqw4xJhUykdYhj++CedLEEtQXq6aa+h/DHpAyRXVoXxgw6ORX8W8SL+0gVBlhVExDb+QK04fs1M6/94iDYFG+YpF1yLQfshmwCbBHZP3FtkncjVeAhdpBRgxdSpJ+PSIKk4ohOALZyVX/SpNIeOzgdFMyA5Nip1EJMCP/VqkJvf0iI7UwNLS2TxVv2ZxYuQccL3/kpwTmCZZyugjr31zGv+D/mhDnhAzZ++dcAmuGOuUOwYkmM0lzKfcqq236m5x4gO0jufqnUudYHaI7EdVQJneLSFMSJmKi2JRgn00C9Mg1/nRjUnfihfCrmM7l5vj/CTuEGya7NYQWXolman5d8mH19TEkIb210bwg4z6Gt2qPWGa/EoEVwpk48mFA4SPoqBT7lXzmV3JqA3gp249E0V/0UC59lLmZSs0sn3FqMZs24k8k330byCO/jUf8uQcJCvIlf7hPlMUrrSuprtexBHYrgmUISXx71CVrhho2ZbegfAYmqyau3gq6oXyJymlGZq6DCAZgleF7DHxQTHWmQx8ky7utS8L+RWPlT8yGWGDKjSObymvrQytFDqZZZAOLBFc5znRWc2PjoRWYkY7QiL8Z5dCUV/TPjxhnESzuMeGxDpGaNIQLINMLcoXybetXLdTWBdwgpWKIKTKYqzltcHxjg8Bm60wBimsYsDLuHg24nPdA8lNVrkxBGSLxUvC/JHU60aLBn4jEqkZMH6AlooTBA1sgjIRWYQHAwLRyGL3Z4JEkvHtnM+rByI2uNLQ1LsPw78muQYjAJp1QN6sOSsxZ0Dze249tXxnY6cF+xNshAFmH9PI7xFgw7zt7etr4k8nnb3f7LbHLdtmJDq0+zv+UaajMF5N7Gz9LC/Q5WMVrklyU43vw6hPg9hhL8RPwNVKAT0P4yWf440HN1sZM/lSmKLrD1ON1ICCK/sDHDAeE5ah2TvU4G59UlNK5QJOI/fkpu2Q06lCKxZ8wUXYOWCx9ylpZc7cc/gXGeMJRxClpmNuQn8awfOLXI3mGzG3bK3fUbHrMhAwJxMGTuaoNOR2nwJlR5rOVCHQA1Oe8mVfbTTZnEPZcThNGz576a6wPwEjMwU3d9E1nRFNRBJPNWp6NQ0isxo17UN8E9t+ADWKS3oibtJNlDCOvCW/ycnsR9r5suidHRnAaDN/Q9vaoSZxxRnTxbQxS5hANfygBdAjYUJW5XATZUCfTI+xo3munq0A4hwaR11invsmSiybyhZNz1U64ZajUvCV7jsHYih5w+WsoDRki8cc3Rs0XfqDu6DOwUJ33xFLZIDDOw6VESSyswsj4fmVCQdGfuwTT783OC7qa6iK9Wav6GB+XU1RSW85+PISKLgs+rxh3sc6A9iaQ+X7SvWD1icOqnQSLOTMEBzAqghOWZx2pXh4fIvH22lU/CrzB1u4PwcEe3J0vkpa78CgkTLA2yp9qA47oaqMV70vVjPitlyW1GMTlHlSVppnOr2riuLH+Etq3MGHev0ipycprtoRZ80Mn+OdMjP7lHt6xKDmtUXnpNP8hZ4ITOClg5HWkE/I8F7ahdc7MHXv2+gUIJxEXIWPycoxd1ITC0HW8V2j1w+cCuNmoGm3hwaaVRQ4X3ieLSfn/CdhAFHQNsGnjTnCt3VWS9oSJgiExcgLaV3Yjm0TQpEtYxY4sSqpKufVmK3XNizp1wRS8D9iNnmJB1JTCeWVhPmKeOpAoVtFzrdC3cvb3jsH6+IDxCYhvy4aYlGr/IkIFeD6bnM+0G0DZkmJ2DzMmtKu5gWzHqge8xfVISyMq2K2DgSYF8VFqfjIJfBAGYlGWmkg9mt2oF5clKRE4osGcmBsPSOz6+EzHEX2fcqbEcSRq5G/n8C4242tEpk80V42zgD5+9/aedBVTdnBBScvB2UePX0FarIg2AEj37zSquVNoqzOWcNtKkU+F7suJucWTRiIO0PM3dY8uW2jVVqhmLo4CO6ao5ORT8sgJ6y9MIR/Y0AQx8dX7/BCppkUGaUu3zFyhwxICuuIjg/iG4elUbuBPxRNC9xycNVFMpMlz8gaadWR30NyFG2mbKlsRWBKzzctAgin9rOqJem1IHtWTly3quKtyZKwIF/yJRFkOMsxtN6/3NzWIPGlxRL4gVlfN7KJ/UXtjkvuEmlliIO/g1Z2XGSPhhDj8Cu8qYXVoY8YoBgYCPscjP+hbPHucmDX7/iZavkRveBQbdhZgZcoxk6lVFC1aroSrWQjKC5ZIAZM6390De/Gd8ecf0rSWDf5dxu5S8sjUFMFC+ZXrsDWFESWNRQoCjIIsWiEEhPFPZj3Z69jVEKy0btQECf3e8mpg5eo8fq88XehrF/csEf7UFo36lhUIAtvkaaISvcW1BwJIif4EWYV5HNiSvLZ1QSdSZvOhJ1NBPVwRzxrPtRuHgwuT0MMCAEI5RNbuoyShYVDiFuiQOlF1SwPdGi0+2nc2Do0J2Ndc+1zuZt8H+2yxar2LVq4sl8bqkBJQA/JXJG11n1ffCIvhxDUu9KuZbBHXIKvY+8Wh+St483OPcuP/y2BaqORbfovD7+4pG5vBZg8uDJcvQAyta/7CdFsB5bBl/OmavFfTbdHR8aXxEDFWiE2aJGT457SWYTT1sZuNeK8KCP3zxDjHTv4w9xWYkhhk7QnBkLDe6301cKCMYvWeLTnDBL1yA1rrtyhrLshDCKihgbyFNY0DvP1w08FwpNJrg9sVqBbpMYZCmhcA/rKybZCCuRFQzLc8cFQQ+XajtBEEB4OtPU+ExcoQldqJkkxiJijl3uvgZtbkmdZEhdIvJvB1OfD81SQA4ANpqB3XPiajZLN9fiVIUay4xvH2bRvHaTBmTbrBelD0QmcthDP1VoT25RaKRsASXFGowYm5klyNtZLkoO3OGDBQhXFMszuOs46TZkQdQWGjoa12An8SWOPGtxuQwwDvacYAdJiauLoYx/tsca3KblMHzB2TapGU0fz/Lpi24lQYb9rGVe3nHUmMafkQKRVu4XyjvZXjtrQT8TbtgHpDq51TBzGUrq8BoIZfWScSA2iMlQOVMf2rrlM575KgmU5P/OzVHWyBUVPeotOXFkOsy3XjHYnMNLPLkU6EBCAbDkjFb1ynyg/rAOy6euUWCUhjcXyg9nU3GIP0PXw69WdltXG0Sv3eXRSgeaJS2N0Bze7zqdyENBBVpxgYq+2HU2LKX//4gxYdwoKf+GPohSJkN+0xl6eINND1SinAVz6dW5IZJ7ufZEJd7zKK9UPQRxrhDPYmc2+PXEdz8veswH9Z4BdvfnwYTrsu+IWBb6hhLdKnchNMPY/6c39TtIBylwZ7IL+/WhtgchII/VMojSwZjj/3iIKkC4YrCbTOonM2fPsZPHYLv9fTwVlFXC7tYbg3IyGhSzC5KRCgsebKg0Kfp/I212u1DLbFmfsK6HNTCrRw9OiKJ/CRh22BycpKQ53Mr81UHdhAXLPZ1A5wEanq4mPYyQrSkjHVWjzxHlyudw2mDGuOlzdqe0Xw2+wQmzcORpfO+FV+MUA2yEI4bS4oHEY8gspycVYsStyYiHj+Noxy0LrQX4yZSEEOSJyNyWQFoRKqllCt7AgQMoTuvoB/qZAlvavFGCwMXIkwGTWY3rk9U3dLoaBaFFoNE0T0O32kvK569lsvMJMP9UPgN21AZdUCFsGRi12t5aFMHa3DKlKReLnw2VoydWpZR2wCwyB5KVbCAEimNCXf1EHR4zJy6eht5e5lj1h/F2brBjkGocNH8SssrcX62BPG/f+4y+cw4EeAd5wof50xf4b2sVjLz0BWozYaq7iKrOaykvAiBKWor/T8jGsVebyktOhveN7R1e6aWlB1FOghvYozI7oGdC+WsFe+IOi4xmKD6Vc+OrL8bDp5kQeDvSx18tpQg6Hz9Qv7wx/jBcjyuLMHxpiV1Esfsmcu1M+EgUz0rI5Hda23PuP2aj9mqlKmtzkH7ZJJApBfaF+48Uw8flAk5dKYrIMaeV8z7rf7BdPrxHYdVwUSgAPWxfhHfwGoC2zXxQGSt8vp/S21smKuQgrELoAXlJUPvTjtNSYRzxP+wFfm6YMxaQWgPVRMseQ5mNZuj7lTPQnopb7REpmWIAho+qwLLJsk9Z4d/OGygZUUMGwGYaFdToNTqoLWPO+FORgGu2YUaAEf2s5fbCNp9OcV/oX8WGg39e4yBonOcpq0La5Fan+jiP21lAqqHYKVKZhzEOA8QGHCQvyoLsosdsPFgFSHvub8hd3ft83R7VeAwrhdaWttkllQXFGenIja8f4H8m5XjN7XGwBFzsJmE8+kKM5Ps1U7q1AwflzgExx8CiK3XfCNyAB0KKSOZ2YouEWqjALOaPFoRtREhdINmaS9N9V3nQiex/w9050jcJ9q2cWmA+zep9OjOvnBkwNqaY4XVqNx1z0mGL7uHxpF7GMbsD6i4Glt07fooVJEQ6B4TQvfo/qrSj39SR2YnYc732OjNTsA0CwdsoFWafLuc3HvgL89S4UHli5znrOvH8CZDuN/iG5FtKG5Et01qfMw7HqL/t5xa7Yc181EEZ4VyZRob79ZXpqOEebADCmPPP8H8M11yJsjl/EH8fTjm1sRRe4YSlqCLifDLKTJPx1jn20hXlwHXPSEvwP7z1mSbStHMP/KHPKjGYUb4j4gf5YSj0akdbLWTbhIg/fyh5yTvtClH7/D/Ii6kkTRcsKiYPFRtE7Gnm7JvL8O7pvxQpenaPiox08wWxSHcUakZ/eIXSBtWtpvaff3jXy7UsTc4xHsaSOooMlNkmao/TaUGHJmxK/GJoe70u6xCtrKQzHg3D9FLVwaPgsXYjR1vehcoRajIzQAwU75J019WMloiYZyELpOdg9Dmx7ar5J6pRkmLTM6mn7Mzn6KtWwTRRRMqHxwvJPBF1JxISi2YJWPSniMwvqJWBWf57OQdeZp4eTugVpYauM0yo5lEaBbtgcwOLbPgOnrmqyD/1bln4oDDsnc/PHw9O2UA9gZGgiRi1wfv/Q5K3vP2O74QWiFERqyYrEK/9H9x9rDabHAUcd6+fi9FpAuQiVWhf4HvgHTA+ARQiGMwhoSl6oqCkkbitIAtc4fyqIMAN+o8N2bHB76S/HX92ZIr+ti8LerXTJGpG4LVILzyOUDZDFiLgkq1JyK6wFFNpIV97J2OzFj8GXf7Jh1ChZkUCr8RVjz+9aQmahfYfO6FqUMeFA2+/U3j/wUNo/lyuVCx6JE46YR8L63iQvq2qnWzoT6Q820opcUXQdO/Fuql3NpYcJo1golLtVZU2eLmTIiN4Tu5PKd1NWMlGeLclDsCMovvKLbBxhatuOAzW07a6HRu9rD3QsgNXeBxqmidGA6RnC5HVJwRLSDOfLBE/OQlGULIr8snOqbFFObwXP/i0rbQqbw1CxfwaRZP3FU3Nvxf9yO1Bh9935xtvHOVLN9S+jGMITbmcD9CdDoitb4stPEqaM+z7NC//DzwJXuPIbFlG775jkkVXnl63m5A6JEjofVzZzBNC536n1afh7td5aivYh8+Ea+3UsTGbDPutdGWhhI6YKMagLHggJiH9vFxBeRLbo8ryVu/XTv30ouloyl1vfZJeQzmUj7SqrRH5Skgf/FbK+SRiJJe+VPMaBPw0R0GBLRxvhV5psAuqS85jFuK8FvbmU6rxnhBL3e6ksk3ihIYIlrVK96Kl4HBBQN09V9A+lWKgpoJtBuxmvdcNTcF9du18ZL1maDGhtET6UUkhODfwn1PbrG/w1BOrEI2kEDEcdYL83VK6JXxs10yms8Tz6qsP4xbIAI0LhDBgIGBaJCsp3sENYBMLICDD2ggjgrf0LGiAdQna8Usg78rChUFZhi979/sXKu9UUqv4KhqN2gpTw2sobCxrL5aqMkjXIO7iqd6ChcE9sPQ5cadTZ55f+5DSsGPTQKSunsn7t00jRzIGROFysxcI05JJKFj0NLz5r9JxcRLKiKU+E6p4az7NXgeNHO/7wvay+gyVu4bAuWT1aBKsi02yNmHJrmddEPLjsDkwnZcSyT/K3WE4wbXfBwIHZ7N+/b04y2DLVoGD3o3KXg7oqB4LAFzSKx92jr5sZw7OPcd0CMXtFKgnV+pxTBGeUrsDH3EsdY2vOWbvkGkETTdhuj53TA/JnHkj+mrY0DtO+3c3BqLKJetKgkMiSVC1bC75guc9CpN3UyXuOTRsgxdsGArvExwx/iNP1bZilIqzj+3DqtwZZHgGigKBtHEUvAkaounWHdnzjpPptVN+XQ8AlQFjSwK8CubV0CT+LdlT628PYX6M5HVqIYo2LjVIjWcHo7iSq5/OR5Sao2OHk7CcYjPMADPlHMGfWf+wws5ly58zEdVzuJxv5mxPBP5plG3y4BIOru5n8VoJS2WKjk117emF/Hrrgr3QRmbSwWUosELABGWHgY4QvfqBZbKHwU79Mv3/cMBs8apwHNeiVBbr5o8rP9s6DaOiYdqD3HmxrTQ+/mBewZ1Po/1jX6KJwTeIqxVpE7h1Mqaw3PlCFVxeXtK7GTkHt/H/F0OzuQwwWqUu4XXyPGQpriwjKlNQxGo4nTCSk4hUP5Wy+GoMTolZMz7rRlhPK9+SDeHedfrrAPPFsWSaxhEpY6MEPgFFt1IvbECVl5yE2anmMJxhsJmISj4zPtlP9yxPA8nHOTCjJJx8d+X/yjp9n5jrXSV8eHzr45r2J3D6FRiaMlfJv5IAouudzfJY/o2lfDJvVKb9Lieb27bju7HyDg1fw59btz29kWUKZ+SoYBvGockyWP9/hkqCEy2rHCHSvRwR4E8Az8/gWLzMMb4ZdYC05/S1hddz1OJzMsyGFQEp0/ed0frXNCpLHDyDgmFwBNWlPooTywAvlDahbrzMNyzhJLw6u3dKj4sCUnu2Sev41s8h6+kfRWmFK3Nvv0Q5Hhgb163NDCErI2k/snA/RLFey8Y0Sevb2zWSwoHlFJIufD9GSl4lX2Q83EpdvCPS693T8wB5XNo1uptfCkgoj97eKVVuITjYLS2iJUMPY/xhc16xpLFLiy0Df9GLTGhlg+Z+/bv99FV7bUAW/R8R9ergDYqlbVGCE2w2VuHVZyiXz1L4pxbhhoMQ74fdNdhi/C7sEW9rtRCdm01S3iwAXfh3SHrFL5gPrwLfjfA2Jgbk4VI7SpDYo7M/peycmE/cCrmsCQVvQ5NVurTCdlni6p0Zrb7K2iY9Jbn0HTXbm+RrA6H2OC/I7wBS9yByB+ErCaNBc9S2PCLMdQbx64V13kn+h79NVqgb2XxPht/ufmQAJ2iy+Mr297tWmKVHOwbarTEatbq16eM5Q6YReOOjJzY1u0/lEC9wVEJI02Il0ITXnVRH1d69JPwwJ/JVtMVIZ87mogKslxM3BXcLO9gjZK4vfJErNm0OkQr5gH4i34BqDnklzSDnm+wJgTAc2lRztcqdiZvO0M0uthCulZZE2dqZ7KsAY3hRdmVckjnzfwxPtYSgWIQ9adN0kJwCRdCuVixkP03y/a4lT2XKe+rFySyjPijMTgTfYL3n1VLX2DlrLm9PQQrV0CY9xT5X2sgNEhemMsD3pFVBhYd/z+qycT01WwehAHgF1MI4axRqKMrtQYT8cjsZxdqgZ3odMWCF86RnFVzYvfS8PXZWvGrp0RQRL9Xyp5MflpSuc3Ze4sodLaoUoyFCvNSaa2cxyCpoZTZoHV7JVpsfcjBwrMLkM6lK6ZgHBfrQNDfQFG02oNN/Qe0CCmRQzMZoTNjO9xotWutuFODj3qmf8w1Vs+t8z8ddNgyVL2gop4Kaz3kfmkHhpaPthxAE39PKrQXVNNoru23Sj/lxw+LElS14vNOinHMsofYJrZ5JTxrSAgZv6gU0tfg0A19nEJU1lLZXdl3Rpi/4KUfsYRka+hJlz17hn3wFVcPBv5nz2eJFnmnPc1YRW03e1nQU6Ck1vn6RC6E39ygVgPtHCuG89NaghOENH+UTmvVBLBjx/we8ul8DcxXtHwGjjp7IHq4irNt7mlLTC1/F+82v1S5bemrceLgmJHbWTJdqPXRbHsqoOjG+UCeGFBIAhcmVPwgbRgbPxk/6Y8nLWHQ23T8bNxmZHqDZBUNkdEG5XpKM/tduFunrnpnJ2Hs8dGwR2gA/+sUd41rX1t1V1w61ih6Y6GyqGFljH0m1ymUjXVawp5vvBrWIXp/zXdkEhB7z+PLkntJtr+ixyGf5bZenzl8+jCvWmQY/Lq+mDj4fiXtuiMTX8SLwYdlPcW35dntX1I+CuMf7mKy8ixHB2pdwEgoB2YkPKyxTk/uPsK8uY8saV24IFH8WmRaqRW4/FZAG3ofLN5VgG1FnmxMfc7K777ImWVKe2g4bNfvcFNZjEhZIEK3x+fR+7aQUfKAX1/EOMwuBQyEZhDMfcQ/yDWHyr0PjjAwMAby41QNGPs1MRKI8tPbtQRHh2zTP2byQy7b/wHJo4UYYcMlWhTkmKCMwp8ykv90M7DCcRzUxFMrFyMZcUeYn00+r7BhXBUuYF7+8AYNTj0FmbQXJjVnP0G/SIFU4Cxli1WeyMJRf/V4kVnjYtdfx+FA/W1qOl11O3xv4ZjQILC5iZHhiHokPUxfwNg64c+1vzVdGVs+pGTfuJHv2X8eG7f5ek0ilYDmvnQtODV5YgWr9SrED2AbZzTMFdDs4tETMnZ4pdW6oKTlWQ9pywjzMId6D+hpYEG7jTSd3ujZ1kfdIR5yXdhyVQ4Ym9FkPwJHEpbsv+xPDny1Hc+IXZoHJMKXayhYBTmMDTkHmJD5i4Y7CFRzz5Ssz0IBrExyUJXB/TyntKxJqRO/T2tgwNIXs1hE3kfLC7Ck6G3ghttWwCtJyuCXzI6a9gDOUB0mo+ojaON+gJlOHYKrlnLUzhA3rFFI+Ck/d4nhGGUeVJP+tuVy/Ir/rk7sIh22zO2Qrf5BezomEC/dC+KD1cIJDz72QQd6XSFl5+K3weno3BNVNAp+XX9KaRkR6jITSEGsxYo7SR2NtAiCxJSH1gfG2j2KHFxEuOm2vKsZViHqVGniyiumAmIRzwaIC1YkCJ26baHwRVn4m3mitKzAnJaJowBS6bMBCf027gAiHOZ3JBv7y8GTl5sQcaosYUP/DTNLyaXjFK0wlE3uM1Y1HdBfiJp69pH3FIMLcqcgw==]]></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C3AD8-BC00-4117-A3CF-6A71392BF6D6}">
  <ds:schemaRefs>
    <ds:schemaRef ds:uri="http://mapping.word.org/2012/mapping"/>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4.xml><?xml version="1.0" encoding="utf-8"?>
<ds:datastoreItem xmlns:ds="http://schemas.openxmlformats.org/officeDocument/2006/customXml" ds:itemID="{E6DDF3C5-7838-4F69-A75A-16657E160F66}">
  <ds:schemaRefs>
    <ds:schemaRef ds:uri="http://mapping.word.org/2012/template"/>
  </ds:schemaRefs>
</ds:datastoreItem>
</file>

<file path=customXml/itemProps5.xml><?xml version="1.0" encoding="utf-8"?>
<ds:datastoreItem xmlns:ds="http://schemas.openxmlformats.org/officeDocument/2006/customXml" ds:itemID="{EAE599FA-F7DF-4358-8D2C-81B94E148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59</TotalTime>
  <Pages>207</Pages>
  <Words>35062</Words>
  <Characters>199854</Characters>
  <Application>Microsoft Office Word</Application>
  <DocSecurity>0</DocSecurity>
  <Lines>1665</Lines>
  <Paragraphs>468</Paragraphs>
  <ScaleCrop>false</ScaleCrop>
  <Company>Sky123.Org</Company>
  <LinksUpToDate>false</LinksUpToDate>
  <CharactersWithSpaces>234448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W</cp:lastModifiedBy>
  <cp:revision>23</cp:revision>
  <dcterms:created xsi:type="dcterms:W3CDTF">2024-08-29T05:37:00Z</dcterms:created>
  <dcterms:modified xsi:type="dcterms:W3CDTF">2024-08-30T09:07:00Z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40299C98436D468CBF3BD6AAA508555A_13</vt:lpwstr>
  </property>
</Properties>
</file>