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left"/>
        <w:rPr>
          <w:rFonts w:ascii="宋体" w:hAnsi="宋体"/>
          <w:b/>
          <w:color w:val="auto"/>
          <w:sz w:val="24"/>
          <w:szCs w:val="24"/>
        </w:rPr>
      </w:pPr>
      <w:r>
        <w:rPr>
          <w:rFonts w:hint="eastAsia" w:ascii="宋体" w:hAnsi="宋体"/>
          <w:b/>
          <w:color w:val="auto"/>
          <w:sz w:val="24"/>
          <w:szCs w:val="24"/>
        </w:rPr>
        <w:t>证券代码：</w:t>
      </w:r>
      <w:r>
        <w:rPr>
          <w:rFonts w:ascii="宋体" w:hAnsi="宋体"/>
          <w:b/>
          <w:color w:val="auto"/>
          <w:sz w:val="24"/>
          <w:szCs w:val="24"/>
        </w:rPr>
        <w:t xml:space="preserve">603191        </w:t>
      </w:r>
      <w:r>
        <w:rPr>
          <w:rFonts w:hint="eastAsia" w:ascii="宋体" w:hAnsi="宋体"/>
          <w:b/>
          <w:color w:val="auto"/>
          <w:sz w:val="24"/>
          <w:szCs w:val="24"/>
        </w:rPr>
        <w:t xml:space="preserve">证券简称：望变电气 </w:t>
      </w:r>
      <w:r>
        <w:rPr>
          <w:rFonts w:ascii="宋体" w:hAnsi="宋体"/>
          <w:b/>
          <w:color w:val="auto"/>
          <w:sz w:val="24"/>
          <w:szCs w:val="24"/>
        </w:rPr>
        <w:t xml:space="preserve">       </w:t>
      </w:r>
      <w:r>
        <w:rPr>
          <w:rFonts w:hint="eastAsia" w:ascii="宋体" w:hAnsi="宋体"/>
          <w:b/>
          <w:color w:val="auto"/>
          <w:sz w:val="24"/>
          <w:szCs w:val="24"/>
        </w:rPr>
        <w:t>公告编号：2</w:t>
      </w:r>
      <w:r>
        <w:rPr>
          <w:rFonts w:ascii="宋体" w:hAnsi="宋体"/>
          <w:b/>
          <w:color w:val="auto"/>
          <w:sz w:val="24"/>
          <w:szCs w:val="24"/>
        </w:rPr>
        <w:t>02</w:t>
      </w:r>
      <w:r>
        <w:rPr>
          <w:rFonts w:hint="eastAsia" w:ascii="宋体" w:hAnsi="宋体"/>
          <w:b/>
          <w:color w:val="auto"/>
          <w:sz w:val="24"/>
          <w:szCs w:val="24"/>
        </w:rPr>
        <w:t>4</w:t>
      </w:r>
      <w:r>
        <w:rPr>
          <w:rFonts w:ascii="宋体" w:hAnsi="宋体"/>
          <w:b/>
          <w:color w:val="auto"/>
          <w:sz w:val="24"/>
          <w:szCs w:val="24"/>
        </w:rPr>
        <w:t>-0</w:t>
      </w:r>
      <w:r>
        <w:rPr>
          <w:rFonts w:hint="eastAsia" w:ascii="宋体" w:hAnsi="宋体"/>
          <w:b/>
          <w:color w:val="auto"/>
          <w:sz w:val="24"/>
          <w:szCs w:val="24"/>
        </w:rPr>
        <w:t>0</w:t>
      </w:r>
      <w:r>
        <w:rPr>
          <w:rFonts w:hint="eastAsia" w:ascii="宋体" w:hAnsi="宋体"/>
          <w:b/>
          <w:color w:val="auto"/>
          <w:sz w:val="24"/>
          <w:szCs w:val="24"/>
          <w:lang w:val="en-US" w:eastAsia="zh-CN"/>
        </w:rPr>
        <w:t>4</w:t>
      </w:r>
    </w:p>
    <w:p>
      <w:pPr>
        <w:adjustRightInd w:val="0"/>
        <w:snapToGrid w:val="0"/>
        <w:spacing w:line="560" w:lineRule="exact"/>
        <w:jc w:val="left"/>
        <w:rPr>
          <w:rFonts w:ascii="仿宋" w:hAnsi="仿宋" w:eastAsia="仿宋_GB2312"/>
          <w:color w:val="auto"/>
          <w:sz w:val="30"/>
          <w:szCs w:val="30"/>
        </w:rPr>
      </w:pPr>
    </w:p>
    <w:p>
      <w:pPr>
        <w:adjustRightInd w:val="0"/>
        <w:snapToGrid w:val="0"/>
        <w:spacing w:before="156" w:beforeLines="50" w:line="560" w:lineRule="exact"/>
        <w:jc w:val="center"/>
        <w:rPr>
          <w:rFonts w:ascii="宋体" w:hAnsi="宋体" w:cs="仿宋_GB2312"/>
          <w:b/>
          <w:bCs/>
          <w:color w:val="FF0000"/>
          <w:sz w:val="36"/>
          <w:szCs w:val="36"/>
        </w:rPr>
      </w:pPr>
      <w:r>
        <w:rPr>
          <w:rFonts w:hint="eastAsia" w:ascii="宋体" w:hAnsi="宋体" w:cs="仿宋_GB2312"/>
          <w:b/>
          <w:bCs/>
          <w:color w:val="FF0000"/>
          <w:sz w:val="36"/>
          <w:szCs w:val="36"/>
        </w:rPr>
        <w:t>重庆望变电气（集团）股份有限公司</w:t>
      </w:r>
    </w:p>
    <w:p>
      <w:pPr>
        <w:adjustRightInd w:val="0"/>
        <w:snapToGrid w:val="0"/>
        <w:spacing w:before="156" w:beforeLines="50" w:line="560" w:lineRule="exact"/>
        <w:jc w:val="center"/>
        <w:rPr>
          <w:rFonts w:ascii="宋体" w:hAnsi="宋体" w:cs="仿宋_GB2312"/>
          <w:b/>
          <w:bCs/>
          <w:color w:val="FF0000"/>
          <w:sz w:val="36"/>
          <w:szCs w:val="36"/>
        </w:rPr>
      </w:pPr>
      <w:r>
        <w:rPr>
          <w:rFonts w:hint="eastAsia" w:ascii="宋体" w:hAnsi="宋体" w:cs="仿宋_GB2312"/>
          <w:b/>
          <w:bCs/>
          <w:color w:val="FF0000"/>
          <w:sz w:val="36"/>
          <w:szCs w:val="36"/>
        </w:rPr>
        <w:t>关于预计2024年度对子公司新增担保额度的公告</w:t>
      </w:r>
    </w:p>
    <w:p>
      <w:pPr>
        <w:adjustRightInd w:val="0"/>
        <w:snapToGrid w:val="0"/>
        <w:spacing w:before="156" w:beforeLines="50" w:line="560" w:lineRule="exact"/>
        <w:jc w:val="center"/>
        <w:rPr>
          <w:rFonts w:ascii="仿宋_GB2312" w:hAnsi="仿宋_GB2312" w:eastAsia="仿宋_GB2312" w:cs="仿宋_GB2312"/>
          <w:b/>
          <w:bCs/>
          <w:color w:val="auto"/>
          <w:sz w:val="30"/>
          <w:szCs w:val="30"/>
        </w:rPr>
      </w:pPr>
    </w:p>
    <w:p>
      <w:pPr>
        <w:pBdr>
          <w:top w:val="single" w:color="auto" w:sz="4" w:space="1"/>
          <w:left w:val="single" w:color="auto" w:sz="4" w:space="4"/>
          <w:bottom w:val="single" w:color="auto" w:sz="4" w:space="1"/>
          <w:right w:val="single" w:color="auto" w:sz="4" w:space="4"/>
        </w:pBdr>
        <w:adjustRightInd w:val="0"/>
        <w:snapToGrid w:val="0"/>
        <w:spacing w:line="560" w:lineRule="exact"/>
        <w:ind w:firstLine="480" w:firstLineChars="200"/>
        <w:rPr>
          <w:rFonts w:ascii="宋体" w:hAnsi="宋体"/>
          <w:color w:val="auto"/>
          <w:sz w:val="24"/>
          <w:szCs w:val="24"/>
        </w:rPr>
      </w:pPr>
      <w:r>
        <w:rPr>
          <w:rFonts w:hint="eastAsia" w:ascii="仿宋" w:hAnsi="仿宋" w:eastAsia="仿宋"/>
          <w:color w:val="auto"/>
          <w:sz w:val="24"/>
          <w:szCs w:val="24"/>
        </w:rPr>
        <w:t>本公司董事会及全体董事保证本公告内容不存在任何虚假记载、误导性陈述或者重大遗漏，并对其内容的真实性、准确性和完整性承担法律责任</w:t>
      </w:r>
      <w:r>
        <w:rPr>
          <w:rFonts w:hint="eastAsia" w:ascii="宋体" w:hAnsi="宋体"/>
          <w:color w:val="auto"/>
          <w:sz w:val="24"/>
          <w:szCs w:val="24"/>
        </w:rPr>
        <w:t>。</w:t>
      </w:r>
    </w:p>
    <w:p>
      <w:pPr>
        <w:adjustRightInd w:val="0"/>
        <w:snapToGrid w:val="0"/>
        <w:spacing w:line="560" w:lineRule="exact"/>
        <w:rPr>
          <w:rFonts w:ascii="宋体" w:hAnsi="宋体" w:cs="宋体"/>
          <w:color w:val="auto"/>
          <w:sz w:val="24"/>
          <w:szCs w:val="24"/>
        </w:rPr>
      </w:pPr>
    </w:p>
    <w:p>
      <w:pPr>
        <w:adjustRightInd w:val="0"/>
        <w:snapToGrid w:val="0"/>
        <w:spacing w:line="560" w:lineRule="exact"/>
        <w:rPr>
          <w:rFonts w:ascii="宋体" w:hAnsi="宋体" w:cs="宋体"/>
          <w:b/>
          <w:color w:val="auto"/>
          <w:sz w:val="24"/>
          <w:szCs w:val="24"/>
        </w:rPr>
      </w:pPr>
      <w:r>
        <w:rPr>
          <w:rFonts w:hint="eastAsia" w:ascii="宋体" w:hAnsi="宋体" w:cs="宋体"/>
          <w:b/>
          <w:color w:val="auto"/>
          <w:sz w:val="24"/>
          <w:szCs w:val="24"/>
        </w:rPr>
        <w:t>重要内容提示：</w:t>
      </w:r>
    </w:p>
    <w:p>
      <w:pPr>
        <w:pStyle w:val="24"/>
        <w:numPr>
          <w:ilvl w:val="0"/>
          <w:numId w:val="2"/>
        </w:numPr>
        <w:rPr>
          <w:rFonts w:hint="eastAsia" w:ascii="宋体" w:hAnsi="宋体" w:eastAsia="宋体" w:cs="宋体"/>
          <w:color w:val="auto"/>
          <w:sz w:val="24"/>
          <w:szCs w:val="24"/>
        </w:rPr>
      </w:pPr>
      <w:r>
        <w:rPr>
          <w:rFonts w:hint="eastAsia" w:ascii="宋体" w:hAnsi="宋体" w:eastAsia="宋体" w:cs="宋体"/>
          <w:color w:val="auto"/>
          <w:sz w:val="24"/>
          <w:szCs w:val="24"/>
        </w:rPr>
        <w:t>被担保人：全资子公司重庆惠</w:t>
      </w:r>
      <w:bookmarkStart w:id="0" w:name="_GoBack"/>
      <w:bookmarkEnd w:id="0"/>
      <w:r>
        <w:rPr>
          <w:rFonts w:hint="eastAsia" w:ascii="宋体" w:hAnsi="宋体" w:eastAsia="宋体" w:cs="宋体"/>
          <w:color w:val="auto"/>
          <w:sz w:val="24"/>
          <w:szCs w:val="24"/>
        </w:rPr>
        <w:t>泽电器有限公司（以下简称“惠泽电器”）和黔南望江变压器有限公司（以下简称“黔南望江”）</w:t>
      </w:r>
    </w:p>
    <w:p>
      <w:pPr>
        <w:pStyle w:val="24"/>
        <w:rPr>
          <w:rFonts w:hint="eastAsia" w:ascii="宋体" w:hAnsi="宋体" w:eastAsia="宋体" w:cs="宋体"/>
          <w:color w:val="auto"/>
          <w:sz w:val="24"/>
          <w:szCs w:val="24"/>
        </w:rPr>
      </w:pPr>
      <w:r>
        <w:rPr>
          <w:rFonts w:hint="eastAsia" w:ascii="宋体" w:hAnsi="宋体" w:eastAsia="宋体" w:cs="宋体"/>
          <w:color w:val="auto"/>
          <w:sz w:val="24"/>
          <w:szCs w:val="24"/>
        </w:rPr>
        <w:t>本次担保金额：公司同意2024年度为惠泽电器向银行等金融机构申请综合授信或借款提供新增额度不超过</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000.00万元人民币（或等值外币）的担保，截至本公告披露日公司已实际为惠泽电器提供的担保余额为人民币0.00万元；公司同意2024年度为黔南望江向银行等金融机构申请综合授信或借款提供新增额度不超过21,000.00万元人民币（或等值外币）的担保，截至本公告披露日公司已实际为黔南望江提供的担保余额为人民币5,888.00万元。</w:t>
      </w:r>
    </w:p>
    <w:p>
      <w:pPr>
        <w:pStyle w:val="24"/>
        <w:rPr>
          <w:rFonts w:hint="eastAsia" w:ascii="宋体" w:hAnsi="宋体" w:eastAsia="宋体" w:cs="宋体"/>
          <w:color w:val="auto"/>
          <w:sz w:val="24"/>
          <w:szCs w:val="24"/>
        </w:rPr>
      </w:pPr>
      <w:r>
        <w:rPr>
          <w:rFonts w:hint="eastAsia" w:ascii="宋体" w:hAnsi="宋体" w:eastAsia="宋体" w:cs="宋体"/>
          <w:color w:val="auto"/>
          <w:sz w:val="24"/>
          <w:szCs w:val="24"/>
        </w:rPr>
        <w:t>本次担保有无反担保：无</w:t>
      </w:r>
    </w:p>
    <w:p>
      <w:pPr>
        <w:pStyle w:val="24"/>
        <w:rPr>
          <w:rFonts w:hint="eastAsia" w:ascii="宋体" w:hAnsi="宋体" w:eastAsia="宋体" w:cs="宋体"/>
          <w:color w:val="auto"/>
          <w:sz w:val="24"/>
          <w:szCs w:val="24"/>
        </w:rPr>
      </w:pPr>
      <w:r>
        <w:rPr>
          <w:rFonts w:hint="eastAsia" w:ascii="宋体" w:hAnsi="宋体" w:eastAsia="宋体" w:cs="宋体"/>
          <w:color w:val="auto"/>
          <w:sz w:val="24"/>
          <w:szCs w:val="24"/>
        </w:rPr>
        <w:t>公司无逾期对外担保的情况：无</w:t>
      </w:r>
    </w:p>
    <w:p>
      <w:pPr>
        <w:pStyle w:val="24"/>
        <w:rPr>
          <w:rFonts w:hint="eastAsia" w:ascii="宋体" w:hAnsi="宋体" w:eastAsia="宋体" w:cs="宋体"/>
          <w:color w:val="auto"/>
          <w:sz w:val="24"/>
          <w:szCs w:val="24"/>
        </w:rPr>
      </w:pPr>
      <w:r>
        <w:rPr>
          <w:rFonts w:hint="eastAsia" w:ascii="宋体" w:hAnsi="宋体" w:eastAsia="宋体" w:cs="宋体"/>
          <w:color w:val="auto"/>
          <w:sz w:val="24"/>
          <w:szCs w:val="24"/>
        </w:rPr>
        <w:t>特别风险提示：截至2023年9月30日，本次被担保对象黔南望江资产负债率超过70%（未经审计），请广大投资者关注担保风险。</w:t>
      </w:r>
    </w:p>
    <w:p>
      <w:pPr>
        <w:autoSpaceDE w:val="0"/>
        <w:autoSpaceDN w:val="0"/>
        <w:adjustRightInd w:val="0"/>
        <w:spacing w:line="560" w:lineRule="exact"/>
        <w:rPr>
          <w:rFonts w:ascii="宋体" w:hAnsi="宋体" w:cs="宋体"/>
          <w:b/>
          <w:color w:val="auto"/>
          <w:sz w:val="24"/>
          <w:szCs w:val="24"/>
        </w:rPr>
      </w:pPr>
      <w:r>
        <w:rPr>
          <w:rFonts w:hint="eastAsia" w:ascii="宋体" w:hAnsi="宋体" w:cs="宋体"/>
          <w:b/>
          <w:color w:val="auto"/>
          <w:sz w:val="24"/>
          <w:szCs w:val="24"/>
        </w:rPr>
        <w:t>一、担保情况概述</w:t>
      </w:r>
    </w:p>
    <w:p>
      <w:pPr>
        <w:autoSpaceDE w:val="0"/>
        <w:autoSpaceDN w:val="0"/>
        <w:adjustRightInd w:val="0"/>
        <w:spacing w:line="560" w:lineRule="exact"/>
        <w:rPr>
          <w:rFonts w:ascii="宋体" w:hAnsi="宋体" w:cs="宋体"/>
          <w:color w:val="auto"/>
          <w:kern w:val="0"/>
          <w:sz w:val="24"/>
          <w:szCs w:val="24"/>
        </w:rPr>
      </w:pPr>
      <w:r>
        <w:rPr>
          <w:rFonts w:hint="eastAsia" w:ascii="宋体" w:hAnsi="宋体" w:cs="宋体"/>
          <w:color w:val="auto"/>
          <w:kern w:val="0"/>
          <w:sz w:val="24"/>
          <w:szCs w:val="24"/>
        </w:rPr>
        <w:t>（一）本次担保基本情况</w:t>
      </w:r>
    </w:p>
    <w:p>
      <w:pPr>
        <w:spacing w:line="560" w:lineRule="exact"/>
        <w:ind w:firstLine="480" w:firstLineChars="200"/>
        <w:rPr>
          <w:rFonts w:hAnsi="宋体"/>
          <w:color w:val="auto"/>
        </w:rPr>
      </w:pPr>
      <w:r>
        <w:rPr>
          <w:rFonts w:hint="eastAsia" w:ascii="宋体" w:hAnsi="宋体" w:cs="宋体"/>
          <w:color w:val="auto"/>
          <w:kern w:val="0"/>
          <w:sz w:val="24"/>
          <w:szCs w:val="24"/>
        </w:rPr>
        <w:t>根据《上海证券交易所股票上市规则》等相关法律法规要求，为满足公司日常生产经营及业务发展需要，公司第四届董事会第二次会议审议通过《关于2024年度向银行等金融机构申请综合授信额度及为子公司提供融资担保额度的议案》，同意</w:t>
      </w:r>
      <w:r>
        <w:rPr>
          <w:rFonts w:ascii="宋体" w:hAnsi="宋体" w:cs="宋体"/>
          <w:color w:val="auto"/>
          <w:kern w:val="0"/>
          <w:sz w:val="24"/>
          <w:szCs w:val="24"/>
        </w:rPr>
        <w:t>2024</w:t>
      </w:r>
      <w:r>
        <w:rPr>
          <w:rFonts w:hint="eastAsia" w:ascii="宋体" w:hAnsi="宋体" w:cs="宋体"/>
          <w:color w:val="auto"/>
          <w:kern w:val="0"/>
          <w:sz w:val="24"/>
          <w:szCs w:val="24"/>
        </w:rPr>
        <w:t>年度为惠泽电器向银行等金融机构申请综合授信或借款提供新增额度不超过</w:t>
      </w:r>
      <w:r>
        <w:rPr>
          <w:rFonts w:hint="eastAsia" w:ascii="宋体" w:hAnsi="宋体" w:cs="宋体"/>
          <w:color w:val="auto"/>
          <w:kern w:val="0"/>
          <w:sz w:val="24"/>
          <w:szCs w:val="24"/>
          <w:lang w:val="en-US" w:eastAsia="zh-CN"/>
        </w:rPr>
        <w:t>5</w:t>
      </w:r>
      <w:r>
        <w:rPr>
          <w:rFonts w:ascii="宋体" w:hAnsi="宋体" w:cs="宋体"/>
          <w:color w:val="auto"/>
          <w:kern w:val="0"/>
          <w:sz w:val="24"/>
          <w:szCs w:val="24"/>
        </w:rPr>
        <w:t>,000.00万元人民币（或等值外币）的担保，</w:t>
      </w:r>
      <w:r>
        <w:rPr>
          <w:rFonts w:hint="eastAsia" w:ascii="宋体" w:hAnsi="宋体" w:cs="宋体"/>
          <w:color w:val="auto"/>
          <w:kern w:val="0"/>
          <w:sz w:val="24"/>
          <w:szCs w:val="24"/>
        </w:rPr>
        <w:t>同意</w:t>
      </w:r>
      <w:r>
        <w:rPr>
          <w:rFonts w:ascii="宋体" w:hAnsi="宋体" w:cs="宋体"/>
          <w:color w:val="auto"/>
          <w:kern w:val="0"/>
          <w:sz w:val="24"/>
          <w:szCs w:val="24"/>
        </w:rPr>
        <w:t>2024年度为黔南望江</w:t>
      </w:r>
      <w:r>
        <w:rPr>
          <w:rFonts w:hint="eastAsia" w:ascii="宋体" w:hAnsi="宋体" w:cs="宋体"/>
          <w:color w:val="auto"/>
          <w:kern w:val="0"/>
          <w:sz w:val="24"/>
          <w:szCs w:val="24"/>
        </w:rPr>
        <w:t>向银行等金融机构申请综合授信或借款提供新增额度不超过</w:t>
      </w:r>
      <w:r>
        <w:rPr>
          <w:rFonts w:ascii="宋体" w:hAnsi="宋体" w:cs="宋体"/>
          <w:color w:val="auto"/>
          <w:kern w:val="0"/>
          <w:sz w:val="24"/>
          <w:szCs w:val="24"/>
        </w:rPr>
        <w:t>21,000.00万元人民币（或等值外币）的担保</w:t>
      </w:r>
      <w:r>
        <w:rPr>
          <w:rFonts w:hint="eastAsia" w:ascii="宋体" w:hAnsi="宋体" w:cs="宋体"/>
          <w:color w:val="auto"/>
          <w:kern w:val="0"/>
          <w:sz w:val="24"/>
          <w:szCs w:val="24"/>
        </w:rPr>
        <w:t>。上述担保额度有效期自</w:t>
      </w:r>
      <w:r>
        <w:rPr>
          <w:rFonts w:ascii="宋体" w:hAnsi="宋体" w:cs="宋体"/>
          <w:color w:val="auto"/>
          <w:kern w:val="0"/>
          <w:sz w:val="24"/>
          <w:szCs w:val="24"/>
        </w:rPr>
        <w:t>2024</w:t>
      </w:r>
      <w:r>
        <w:rPr>
          <w:rFonts w:hint="eastAsia" w:ascii="宋体" w:hAnsi="宋体" w:cs="宋体"/>
          <w:color w:val="auto"/>
          <w:kern w:val="0"/>
          <w:sz w:val="24"/>
          <w:szCs w:val="24"/>
        </w:rPr>
        <w:t>年</w:t>
      </w:r>
      <w:r>
        <w:rPr>
          <w:rFonts w:ascii="宋体" w:hAnsi="宋体" w:cs="宋体"/>
          <w:color w:val="auto"/>
          <w:kern w:val="0"/>
          <w:sz w:val="24"/>
          <w:szCs w:val="24"/>
        </w:rPr>
        <w:t>1</w:t>
      </w:r>
      <w:r>
        <w:rPr>
          <w:rFonts w:hint="eastAsia" w:ascii="宋体" w:hAnsi="宋体" w:cs="宋体"/>
          <w:color w:val="auto"/>
          <w:kern w:val="0"/>
          <w:sz w:val="24"/>
          <w:szCs w:val="24"/>
        </w:rPr>
        <w:t>月</w:t>
      </w:r>
      <w:r>
        <w:rPr>
          <w:rFonts w:ascii="宋体" w:hAnsi="宋体" w:cs="宋体"/>
          <w:color w:val="auto"/>
          <w:kern w:val="0"/>
          <w:sz w:val="24"/>
          <w:szCs w:val="24"/>
        </w:rPr>
        <w:t>1</w:t>
      </w:r>
      <w:r>
        <w:rPr>
          <w:rFonts w:hint="eastAsia" w:ascii="宋体" w:hAnsi="宋体" w:cs="宋体"/>
          <w:color w:val="auto"/>
          <w:kern w:val="0"/>
          <w:sz w:val="24"/>
          <w:szCs w:val="24"/>
        </w:rPr>
        <w:t>日至</w:t>
      </w:r>
      <w:r>
        <w:rPr>
          <w:rFonts w:ascii="宋体" w:hAnsi="宋体" w:cs="宋体"/>
          <w:color w:val="auto"/>
          <w:kern w:val="0"/>
          <w:sz w:val="24"/>
          <w:szCs w:val="24"/>
        </w:rPr>
        <w:t>2024</w:t>
      </w:r>
      <w:r>
        <w:rPr>
          <w:rFonts w:hint="eastAsia" w:ascii="宋体" w:hAnsi="宋体" w:cs="宋体"/>
          <w:color w:val="auto"/>
          <w:kern w:val="0"/>
          <w:sz w:val="24"/>
          <w:szCs w:val="24"/>
        </w:rPr>
        <w:t>年</w:t>
      </w:r>
      <w:r>
        <w:rPr>
          <w:rFonts w:ascii="宋体" w:hAnsi="宋体" w:cs="宋体"/>
          <w:color w:val="auto"/>
          <w:kern w:val="0"/>
          <w:sz w:val="24"/>
          <w:szCs w:val="24"/>
        </w:rPr>
        <w:t>12</w:t>
      </w:r>
      <w:r>
        <w:rPr>
          <w:rFonts w:hint="eastAsia" w:ascii="宋体" w:hAnsi="宋体" w:cs="宋体"/>
          <w:color w:val="auto"/>
          <w:kern w:val="0"/>
          <w:sz w:val="24"/>
          <w:szCs w:val="24"/>
        </w:rPr>
        <w:t>月</w:t>
      </w:r>
      <w:r>
        <w:rPr>
          <w:rFonts w:ascii="宋体" w:hAnsi="宋体" w:cs="宋体"/>
          <w:color w:val="auto"/>
          <w:kern w:val="0"/>
          <w:sz w:val="24"/>
          <w:szCs w:val="24"/>
        </w:rPr>
        <w:t>31日</w:t>
      </w:r>
      <w:r>
        <w:rPr>
          <w:rFonts w:hint="eastAsia" w:ascii="宋体" w:hAnsi="宋体" w:cs="宋体"/>
          <w:color w:val="auto"/>
          <w:kern w:val="0"/>
          <w:sz w:val="24"/>
          <w:szCs w:val="24"/>
        </w:rPr>
        <w:t>。</w:t>
      </w:r>
    </w:p>
    <w:p>
      <w:pPr>
        <w:pStyle w:val="22"/>
        <w:spacing w:line="560" w:lineRule="exact"/>
        <w:ind w:firstLine="480" w:firstLineChars="200"/>
        <w:rPr>
          <w:rFonts w:hAnsi="宋体"/>
          <w:color w:val="auto"/>
        </w:rPr>
      </w:pPr>
      <w:r>
        <w:rPr>
          <w:rFonts w:hint="eastAsia" w:hAnsi="宋体"/>
          <w:color w:val="auto"/>
        </w:rPr>
        <w:t>本次担保授权公司总经理在上述额度及有效期范围内，实施与申请综合授信额度及借款事项有关的担保一切事宜，包括但不限于办理并签署有关合同、协议等文件。</w:t>
      </w:r>
    </w:p>
    <w:p>
      <w:pPr>
        <w:pStyle w:val="22"/>
        <w:spacing w:line="560" w:lineRule="exact"/>
        <w:ind w:firstLine="480" w:firstLineChars="200"/>
        <w:rPr>
          <w:rFonts w:ascii="仿宋" w:hAnsi="仿宋" w:eastAsia="仿宋" w:cs="仿宋"/>
          <w:color w:val="auto"/>
          <w:sz w:val="32"/>
          <w:szCs w:val="32"/>
        </w:rPr>
      </w:pPr>
      <w:r>
        <w:rPr>
          <w:rFonts w:hint="eastAsia" w:hAnsi="宋体"/>
          <w:color w:val="auto"/>
        </w:rPr>
        <w:t>本次担保事项尚需提交公司2024年第一次临时股东大会审议。</w:t>
      </w:r>
    </w:p>
    <w:p>
      <w:pPr>
        <w:numPr>
          <w:ilvl w:val="0"/>
          <w:numId w:val="3"/>
        </w:numPr>
        <w:spacing w:line="560" w:lineRule="exact"/>
        <w:rPr>
          <w:rFonts w:ascii="宋体" w:hAnsi="宋体" w:cs="宋体"/>
          <w:b w:val="0"/>
          <w:bCs w:val="0"/>
          <w:color w:val="auto"/>
          <w:kern w:val="0"/>
          <w:sz w:val="24"/>
          <w:szCs w:val="24"/>
        </w:rPr>
      </w:pPr>
      <w:r>
        <w:rPr>
          <w:rFonts w:hint="eastAsia" w:ascii="宋体" w:hAnsi="宋体" w:cs="宋体"/>
          <w:b w:val="0"/>
          <w:bCs w:val="0"/>
          <w:color w:val="auto"/>
          <w:kern w:val="0"/>
          <w:sz w:val="24"/>
          <w:szCs w:val="24"/>
        </w:rPr>
        <w:t>担保预计基本情况</w:t>
      </w:r>
    </w:p>
    <w:p>
      <w:pPr>
        <w:autoSpaceDE w:val="0"/>
        <w:autoSpaceDN w:val="0"/>
        <w:adjustRightInd w:val="0"/>
        <w:spacing w:line="560" w:lineRule="exact"/>
        <w:jc w:val="right"/>
        <w:rPr>
          <w:rFonts w:ascii="仿宋" w:hAnsi="仿宋" w:eastAsia="仿宋" w:cs="仿宋"/>
          <w:bCs/>
          <w:color w:val="auto"/>
          <w:kern w:val="0"/>
          <w:sz w:val="32"/>
          <w:szCs w:val="32"/>
        </w:rPr>
      </w:pPr>
      <w:r>
        <w:rPr>
          <w:rFonts w:hint="eastAsia" w:ascii="仿宋" w:hAnsi="仿宋" w:eastAsia="仿宋" w:cs="仿宋"/>
          <w:b/>
          <w:color w:val="auto"/>
          <w:kern w:val="0"/>
          <w:szCs w:val="21"/>
        </w:rPr>
        <w:t xml:space="preserve">                                                                   </w:t>
      </w:r>
      <w:r>
        <w:rPr>
          <w:rFonts w:ascii="仿宋" w:hAnsi="仿宋" w:eastAsia="仿宋" w:cs="仿宋"/>
          <w:bCs/>
          <w:color w:val="auto"/>
          <w:kern w:val="0"/>
          <w:szCs w:val="21"/>
        </w:rPr>
        <w:t xml:space="preserve">  单位：万元</w:t>
      </w:r>
    </w:p>
    <w:tbl>
      <w:tblPr>
        <w:tblStyle w:val="18"/>
        <w:tblW w:w="8716" w:type="dxa"/>
        <w:tblInd w:w="108" w:type="dxa"/>
        <w:tblLayout w:type="fixed"/>
        <w:tblCellMar>
          <w:top w:w="0" w:type="dxa"/>
          <w:left w:w="108" w:type="dxa"/>
          <w:bottom w:w="0" w:type="dxa"/>
          <w:right w:w="108" w:type="dxa"/>
        </w:tblCellMar>
      </w:tblPr>
      <w:tblGrid>
        <w:gridCol w:w="860"/>
        <w:gridCol w:w="982"/>
        <w:gridCol w:w="859"/>
        <w:gridCol w:w="1227"/>
        <w:gridCol w:w="821"/>
        <w:gridCol w:w="959"/>
        <w:gridCol w:w="1156"/>
        <w:gridCol w:w="744"/>
        <w:gridCol w:w="614"/>
        <w:gridCol w:w="494"/>
      </w:tblGrid>
      <w:tr>
        <w:tblPrEx>
          <w:tblCellMar>
            <w:top w:w="0" w:type="dxa"/>
            <w:left w:w="108" w:type="dxa"/>
            <w:bottom w:w="0" w:type="dxa"/>
            <w:right w:w="108" w:type="dxa"/>
          </w:tblCellMar>
        </w:tblPrEx>
        <w:trPr>
          <w:trHeight w:val="1795" w:hRule="atLeast"/>
        </w:trPr>
        <w:tc>
          <w:tcPr>
            <w:tcW w:w="8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担保方</w:t>
            </w:r>
          </w:p>
        </w:tc>
        <w:tc>
          <w:tcPr>
            <w:tcW w:w="98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被担保方</w:t>
            </w:r>
          </w:p>
        </w:tc>
        <w:tc>
          <w:tcPr>
            <w:tcW w:w="8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担保方持股比例</w:t>
            </w:r>
          </w:p>
        </w:tc>
        <w:tc>
          <w:tcPr>
            <w:tcW w:w="122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被担保方最近一期资产负债率（截至2023.09.30未经审计）</w:t>
            </w:r>
          </w:p>
        </w:tc>
        <w:tc>
          <w:tcPr>
            <w:tcW w:w="82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截至目前担保余额</w:t>
            </w:r>
          </w:p>
        </w:tc>
        <w:tc>
          <w:tcPr>
            <w:tcW w:w="9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本次新增担保额度</w:t>
            </w:r>
          </w:p>
        </w:tc>
        <w:tc>
          <w:tcPr>
            <w:tcW w:w="115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新增担保额度占上市公司最近一期经审计净资产比例</w:t>
            </w:r>
          </w:p>
        </w:tc>
        <w:tc>
          <w:tcPr>
            <w:tcW w:w="74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担保额度预计有效期</w:t>
            </w:r>
          </w:p>
        </w:tc>
        <w:tc>
          <w:tcPr>
            <w:tcW w:w="61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是否关联担保</w:t>
            </w:r>
          </w:p>
        </w:tc>
        <w:tc>
          <w:tcPr>
            <w:tcW w:w="49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是否有反担保</w:t>
            </w:r>
          </w:p>
        </w:tc>
      </w:tr>
      <w:tr>
        <w:tblPrEx>
          <w:tblCellMar>
            <w:top w:w="0" w:type="dxa"/>
            <w:left w:w="108" w:type="dxa"/>
            <w:bottom w:w="0" w:type="dxa"/>
            <w:right w:w="108" w:type="dxa"/>
          </w:tblCellMar>
        </w:tblPrEx>
        <w:trPr>
          <w:trHeight w:val="308" w:hRule="atLeast"/>
        </w:trPr>
        <w:tc>
          <w:tcPr>
            <w:tcW w:w="8716"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eastAsia" w:ascii="宋体" w:hAnsi="宋体" w:cs="宋体"/>
                <w:color w:val="auto"/>
                <w:kern w:val="0"/>
                <w:sz w:val="20"/>
                <w:szCs w:val="20"/>
              </w:rPr>
            </w:pPr>
            <w:r>
              <w:rPr>
                <w:rFonts w:hint="eastAsia" w:ascii="宋体" w:hAnsi="宋体" w:cs="宋体"/>
                <w:color w:val="auto"/>
                <w:kern w:val="0"/>
                <w:sz w:val="20"/>
                <w:szCs w:val="20"/>
              </w:rPr>
              <w:t>对控股子公司的担保预计</w:t>
            </w:r>
          </w:p>
        </w:tc>
      </w:tr>
      <w:tr>
        <w:tblPrEx>
          <w:tblCellMar>
            <w:top w:w="0" w:type="dxa"/>
            <w:left w:w="108" w:type="dxa"/>
            <w:bottom w:w="0" w:type="dxa"/>
            <w:right w:w="108" w:type="dxa"/>
          </w:tblCellMar>
        </w:tblPrEx>
        <w:trPr>
          <w:trHeight w:val="318" w:hRule="atLeast"/>
        </w:trPr>
        <w:tc>
          <w:tcPr>
            <w:tcW w:w="8716"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1.资产负债率为70%以上的控股子公司</w:t>
            </w:r>
          </w:p>
        </w:tc>
      </w:tr>
      <w:tr>
        <w:tblPrEx>
          <w:tblCellMar>
            <w:top w:w="0" w:type="dxa"/>
            <w:left w:w="108" w:type="dxa"/>
            <w:bottom w:w="0" w:type="dxa"/>
            <w:right w:w="108" w:type="dxa"/>
          </w:tblCellMar>
        </w:tblPrEx>
        <w:trPr>
          <w:trHeight w:val="605" w:hRule="atLeast"/>
        </w:trPr>
        <w:tc>
          <w:tcPr>
            <w:tcW w:w="8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望变</w:t>
            </w:r>
          </w:p>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电气</w:t>
            </w:r>
          </w:p>
        </w:tc>
        <w:tc>
          <w:tcPr>
            <w:tcW w:w="98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黔南</w:t>
            </w:r>
          </w:p>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望江</w:t>
            </w:r>
          </w:p>
        </w:tc>
        <w:tc>
          <w:tcPr>
            <w:tcW w:w="859"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cs="宋体"/>
                <w:color w:val="auto"/>
                <w:kern w:val="0"/>
                <w:sz w:val="20"/>
                <w:szCs w:val="20"/>
              </w:rPr>
            </w:pPr>
            <w:r>
              <w:rPr>
                <w:rFonts w:hint="eastAsia" w:ascii="宋体" w:hAnsi="宋体" w:cs="宋体"/>
                <w:color w:val="auto"/>
                <w:kern w:val="0"/>
                <w:sz w:val="20"/>
                <w:szCs w:val="20"/>
              </w:rPr>
              <w:t>100%</w:t>
            </w:r>
          </w:p>
        </w:tc>
        <w:tc>
          <w:tcPr>
            <w:tcW w:w="1227"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cs="宋体"/>
                <w:color w:val="auto"/>
                <w:kern w:val="0"/>
                <w:sz w:val="20"/>
                <w:szCs w:val="20"/>
              </w:rPr>
            </w:pPr>
            <w:r>
              <w:rPr>
                <w:rFonts w:hint="eastAsia" w:ascii="宋体" w:hAnsi="宋体" w:cs="宋体"/>
                <w:color w:val="auto"/>
                <w:kern w:val="0"/>
                <w:sz w:val="20"/>
                <w:szCs w:val="20"/>
              </w:rPr>
              <w:t>75.97%</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cs="宋体"/>
                <w:color w:val="auto"/>
                <w:kern w:val="0"/>
                <w:sz w:val="20"/>
                <w:szCs w:val="20"/>
              </w:rPr>
            </w:pPr>
            <w:r>
              <w:rPr>
                <w:rFonts w:hint="eastAsia" w:ascii="宋体" w:hAnsi="宋体" w:cs="宋体"/>
                <w:color w:val="auto"/>
                <w:kern w:val="0"/>
                <w:sz w:val="20"/>
                <w:szCs w:val="20"/>
              </w:rPr>
              <w:t>5,888</w:t>
            </w:r>
          </w:p>
        </w:tc>
        <w:tc>
          <w:tcPr>
            <w:tcW w:w="959"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cs="宋体"/>
                <w:color w:val="auto"/>
                <w:kern w:val="0"/>
                <w:sz w:val="20"/>
                <w:szCs w:val="20"/>
              </w:rPr>
            </w:pPr>
            <w:r>
              <w:rPr>
                <w:rFonts w:hint="eastAsia" w:ascii="宋体" w:hAnsi="宋体" w:cs="宋体"/>
                <w:color w:val="auto"/>
                <w:kern w:val="0"/>
                <w:sz w:val="20"/>
                <w:szCs w:val="20"/>
              </w:rPr>
              <w:t>21,000</w:t>
            </w:r>
          </w:p>
        </w:tc>
        <w:tc>
          <w:tcPr>
            <w:tcW w:w="1156"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cs="宋体"/>
                <w:color w:val="auto"/>
                <w:kern w:val="0"/>
                <w:sz w:val="20"/>
                <w:szCs w:val="20"/>
              </w:rPr>
            </w:pPr>
            <w:r>
              <w:rPr>
                <w:rFonts w:hint="eastAsia" w:ascii="宋体" w:hAnsi="宋体" w:cs="宋体"/>
                <w:color w:val="auto"/>
                <w:kern w:val="0"/>
                <w:sz w:val="20"/>
                <w:szCs w:val="20"/>
              </w:rPr>
              <w:t>9.26%</w:t>
            </w:r>
          </w:p>
        </w:tc>
        <w:tc>
          <w:tcPr>
            <w:tcW w:w="74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2024.12.31</w:t>
            </w:r>
          </w:p>
        </w:tc>
        <w:tc>
          <w:tcPr>
            <w:tcW w:w="61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否</w:t>
            </w:r>
          </w:p>
        </w:tc>
        <w:tc>
          <w:tcPr>
            <w:tcW w:w="494"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否</w:t>
            </w:r>
          </w:p>
        </w:tc>
      </w:tr>
      <w:tr>
        <w:tblPrEx>
          <w:tblCellMar>
            <w:top w:w="0" w:type="dxa"/>
            <w:left w:w="108" w:type="dxa"/>
            <w:bottom w:w="0" w:type="dxa"/>
            <w:right w:w="108" w:type="dxa"/>
          </w:tblCellMar>
        </w:tblPrEx>
        <w:trPr>
          <w:trHeight w:val="308" w:hRule="atLeast"/>
        </w:trPr>
        <w:tc>
          <w:tcPr>
            <w:tcW w:w="8716"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eastAsia" w:ascii="宋体" w:hAnsi="宋体" w:cs="宋体"/>
                <w:color w:val="auto"/>
                <w:kern w:val="0"/>
                <w:sz w:val="20"/>
                <w:szCs w:val="20"/>
              </w:rPr>
            </w:pPr>
            <w:r>
              <w:rPr>
                <w:rFonts w:hint="eastAsia" w:ascii="宋体" w:hAnsi="宋体" w:cs="宋体"/>
                <w:color w:val="auto"/>
                <w:kern w:val="0"/>
                <w:sz w:val="20"/>
                <w:szCs w:val="20"/>
              </w:rPr>
              <w:t>2.资产负债率为70%以下的控股子公司</w:t>
            </w:r>
          </w:p>
        </w:tc>
      </w:tr>
      <w:tr>
        <w:tblPrEx>
          <w:tblCellMar>
            <w:top w:w="0" w:type="dxa"/>
            <w:left w:w="108" w:type="dxa"/>
            <w:bottom w:w="0" w:type="dxa"/>
            <w:right w:w="108" w:type="dxa"/>
          </w:tblCellMar>
        </w:tblPrEx>
        <w:trPr>
          <w:trHeight w:val="615" w:hRule="atLeast"/>
        </w:trPr>
        <w:tc>
          <w:tcPr>
            <w:tcW w:w="8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望变</w:t>
            </w:r>
          </w:p>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电气</w:t>
            </w:r>
          </w:p>
        </w:tc>
        <w:tc>
          <w:tcPr>
            <w:tcW w:w="98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惠泽</w:t>
            </w:r>
          </w:p>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电器</w:t>
            </w:r>
          </w:p>
        </w:tc>
        <w:tc>
          <w:tcPr>
            <w:tcW w:w="859"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cs="宋体"/>
                <w:color w:val="auto"/>
                <w:kern w:val="0"/>
                <w:sz w:val="20"/>
                <w:szCs w:val="20"/>
              </w:rPr>
            </w:pPr>
            <w:r>
              <w:rPr>
                <w:rFonts w:hint="eastAsia" w:ascii="宋体" w:hAnsi="宋体" w:cs="宋体"/>
                <w:color w:val="auto"/>
                <w:kern w:val="0"/>
                <w:sz w:val="20"/>
                <w:szCs w:val="20"/>
              </w:rPr>
              <w:t>100%</w:t>
            </w:r>
          </w:p>
        </w:tc>
        <w:tc>
          <w:tcPr>
            <w:tcW w:w="1227"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cs="宋体"/>
                <w:color w:val="auto"/>
                <w:kern w:val="0"/>
                <w:sz w:val="20"/>
                <w:szCs w:val="20"/>
              </w:rPr>
            </w:pPr>
            <w:r>
              <w:rPr>
                <w:rFonts w:hint="eastAsia" w:ascii="宋体" w:hAnsi="宋体" w:cs="宋体"/>
                <w:color w:val="auto"/>
                <w:kern w:val="0"/>
                <w:sz w:val="20"/>
                <w:szCs w:val="20"/>
              </w:rPr>
              <w:t>9.74%</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cs="宋体"/>
                <w:color w:val="auto"/>
                <w:kern w:val="0"/>
                <w:sz w:val="20"/>
                <w:szCs w:val="20"/>
              </w:rPr>
            </w:pPr>
            <w:r>
              <w:rPr>
                <w:rFonts w:hint="eastAsia" w:ascii="宋体" w:hAnsi="宋体" w:cs="宋体"/>
                <w:color w:val="auto"/>
                <w:kern w:val="0"/>
                <w:sz w:val="20"/>
                <w:szCs w:val="20"/>
              </w:rPr>
              <w:t>0</w:t>
            </w:r>
          </w:p>
        </w:tc>
        <w:tc>
          <w:tcPr>
            <w:tcW w:w="959"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cs="宋体"/>
                <w:color w:val="auto"/>
                <w:kern w:val="0"/>
                <w:sz w:val="20"/>
                <w:szCs w:val="20"/>
              </w:rPr>
            </w:pPr>
            <w:r>
              <w:rPr>
                <w:rFonts w:hint="eastAsia" w:ascii="宋体" w:hAnsi="宋体" w:cs="宋体"/>
                <w:color w:val="auto"/>
                <w:kern w:val="0"/>
                <w:sz w:val="20"/>
                <w:szCs w:val="20"/>
                <w:lang w:val="en-US" w:eastAsia="zh-CN"/>
              </w:rPr>
              <w:t>5</w:t>
            </w:r>
            <w:r>
              <w:rPr>
                <w:rFonts w:hint="eastAsia" w:ascii="宋体" w:hAnsi="宋体" w:cs="宋体"/>
                <w:color w:val="auto"/>
                <w:kern w:val="0"/>
                <w:sz w:val="20"/>
                <w:szCs w:val="20"/>
              </w:rPr>
              <w:t>,000</w:t>
            </w:r>
          </w:p>
        </w:tc>
        <w:tc>
          <w:tcPr>
            <w:tcW w:w="1156"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cs="宋体"/>
                <w:color w:val="auto"/>
                <w:kern w:val="0"/>
                <w:sz w:val="20"/>
                <w:szCs w:val="20"/>
              </w:rPr>
            </w:pPr>
            <w:r>
              <w:rPr>
                <w:rFonts w:hint="eastAsia" w:ascii="宋体" w:hAnsi="宋体" w:cs="宋体"/>
                <w:color w:val="auto"/>
                <w:kern w:val="0"/>
                <w:sz w:val="20"/>
                <w:szCs w:val="20"/>
                <w:lang w:val="en-US" w:eastAsia="zh-CN"/>
              </w:rPr>
              <w:t>2.21</w:t>
            </w:r>
            <w:r>
              <w:rPr>
                <w:rFonts w:hint="eastAsia" w:ascii="宋体" w:hAnsi="宋体" w:cs="宋体"/>
                <w:color w:val="auto"/>
                <w:kern w:val="0"/>
                <w:sz w:val="20"/>
                <w:szCs w:val="20"/>
              </w:rPr>
              <w:t>%</w:t>
            </w:r>
          </w:p>
        </w:tc>
        <w:tc>
          <w:tcPr>
            <w:tcW w:w="74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2024.12.31</w:t>
            </w:r>
          </w:p>
        </w:tc>
        <w:tc>
          <w:tcPr>
            <w:tcW w:w="61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否</w:t>
            </w:r>
          </w:p>
        </w:tc>
        <w:tc>
          <w:tcPr>
            <w:tcW w:w="494"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否</w:t>
            </w:r>
          </w:p>
        </w:tc>
      </w:tr>
    </w:tbl>
    <w:p>
      <w:pPr>
        <w:pStyle w:val="22"/>
        <w:spacing w:line="560" w:lineRule="exact"/>
        <w:rPr>
          <w:rFonts w:hAnsi="宋体"/>
          <w:color w:val="auto"/>
        </w:rPr>
      </w:pPr>
    </w:p>
    <w:p>
      <w:pPr>
        <w:autoSpaceDE w:val="0"/>
        <w:autoSpaceDN w:val="0"/>
        <w:adjustRightInd w:val="0"/>
        <w:spacing w:line="560" w:lineRule="exact"/>
        <w:rPr>
          <w:color w:val="auto"/>
        </w:rPr>
      </w:pPr>
      <w:r>
        <w:rPr>
          <w:rFonts w:hint="eastAsia" w:ascii="宋体" w:hAnsi="宋体" w:cs="宋体"/>
          <w:b/>
          <w:color w:val="auto"/>
          <w:sz w:val="24"/>
          <w:szCs w:val="24"/>
        </w:rPr>
        <w:t>二、被担保人基本情况</w:t>
      </w:r>
    </w:p>
    <w:p>
      <w:pPr>
        <w:autoSpaceDE w:val="0"/>
        <w:autoSpaceDN w:val="0"/>
        <w:adjustRightInd w:val="0"/>
        <w:spacing w:line="560" w:lineRule="exact"/>
        <w:ind w:firstLine="460" w:firstLineChars="192"/>
        <w:rPr>
          <w:rFonts w:ascii="宋体" w:hAnsi="宋体" w:cs="宋体"/>
          <w:color w:val="auto"/>
          <w:sz w:val="24"/>
          <w:szCs w:val="24"/>
        </w:rPr>
      </w:pPr>
      <w:r>
        <w:rPr>
          <w:rFonts w:hint="eastAsia" w:ascii="宋体" w:hAnsi="宋体" w:cs="宋体"/>
          <w:color w:val="auto"/>
          <w:sz w:val="24"/>
          <w:szCs w:val="24"/>
        </w:rPr>
        <w:t>1、惠泽电器</w:t>
      </w:r>
    </w:p>
    <w:p>
      <w:pPr>
        <w:autoSpaceDE w:val="0"/>
        <w:autoSpaceDN w:val="0"/>
        <w:adjustRightInd w:val="0"/>
        <w:spacing w:line="560" w:lineRule="exact"/>
        <w:ind w:firstLine="460" w:firstLineChars="192"/>
        <w:rPr>
          <w:rFonts w:ascii="宋体" w:hAnsi="宋体" w:cs="宋体"/>
          <w:color w:val="auto"/>
          <w:sz w:val="24"/>
          <w:szCs w:val="24"/>
        </w:rPr>
      </w:pPr>
      <w:r>
        <w:rPr>
          <w:rFonts w:hint="eastAsia" w:ascii="宋体" w:hAnsi="宋体" w:cs="宋体"/>
          <w:color w:val="auto"/>
          <w:sz w:val="24"/>
          <w:szCs w:val="24"/>
        </w:rPr>
        <w:t>公司名称：重庆惠泽电器有限公司</w:t>
      </w:r>
    </w:p>
    <w:p>
      <w:pPr>
        <w:autoSpaceDE w:val="0"/>
        <w:autoSpaceDN w:val="0"/>
        <w:adjustRightInd w:val="0"/>
        <w:spacing w:line="560" w:lineRule="exact"/>
        <w:ind w:firstLine="460" w:firstLineChars="192"/>
        <w:rPr>
          <w:rFonts w:ascii="宋体" w:hAnsi="宋体" w:cs="宋体"/>
          <w:color w:val="auto"/>
          <w:sz w:val="24"/>
          <w:szCs w:val="24"/>
        </w:rPr>
      </w:pPr>
      <w:r>
        <w:rPr>
          <w:rFonts w:hint="eastAsia" w:ascii="宋体" w:hAnsi="宋体" w:cs="宋体"/>
          <w:color w:val="auto"/>
          <w:sz w:val="24"/>
          <w:szCs w:val="24"/>
        </w:rPr>
        <w:t>统一社会信用代码：91500115745302994P</w:t>
      </w:r>
    </w:p>
    <w:p>
      <w:pPr>
        <w:autoSpaceDE w:val="0"/>
        <w:autoSpaceDN w:val="0"/>
        <w:adjustRightInd w:val="0"/>
        <w:spacing w:line="560" w:lineRule="exact"/>
        <w:ind w:firstLine="460" w:firstLineChars="192"/>
        <w:rPr>
          <w:rFonts w:ascii="宋体" w:hAnsi="宋体" w:cs="宋体"/>
          <w:color w:val="auto"/>
          <w:sz w:val="24"/>
          <w:szCs w:val="24"/>
        </w:rPr>
      </w:pPr>
      <w:r>
        <w:rPr>
          <w:rFonts w:hint="eastAsia" w:ascii="宋体" w:hAnsi="宋体" w:cs="宋体"/>
          <w:color w:val="auto"/>
          <w:sz w:val="24"/>
          <w:szCs w:val="24"/>
        </w:rPr>
        <w:t>成立时间：2002年11月15日</w:t>
      </w:r>
    </w:p>
    <w:p>
      <w:pPr>
        <w:autoSpaceDE w:val="0"/>
        <w:autoSpaceDN w:val="0"/>
        <w:adjustRightInd w:val="0"/>
        <w:spacing w:line="560" w:lineRule="exact"/>
        <w:ind w:firstLine="460" w:firstLineChars="192"/>
        <w:rPr>
          <w:rFonts w:ascii="宋体" w:hAnsi="宋体" w:cs="宋体"/>
          <w:color w:val="auto"/>
          <w:sz w:val="24"/>
          <w:szCs w:val="24"/>
        </w:rPr>
      </w:pPr>
      <w:r>
        <w:rPr>
          <w:rFonts w:hint="eastAsia" w:ascii="宋体" w:hAnsi="宋体" w:cs="宋体"/>
          <w:color w:val="auto"/>
          <w:sz w:val="24"/>
          <w:szCs w:val="24"/>
        </w:rPr>
        <w:t>注册地：重庆市长寿区凤城轻化路（彭家坪）</w:t>
      </w:r>
    </w:p>
    <w:p>
      <w:pPr>
        <w:autoSpaceDE w:val="0"/>
        <w:autoSpaceDN w:val="0"/>
        <w:adjustRightInd w:val="0"/>
        <w:spacing w:line="560" w:lineRule="exact"/>
        <w:ind w:firstLine="460" w:firstLineChars="192"/>
        <w:rPr>
          <w:rFonts w:ascii="宋体" w:hAnsi="宋体" w:cs="宋体"/>
          <w:color w:val="auto"/>
          <w:sz w:val="24"/>
          <w:szCs w:val="24"/>
        </w:rPr>
      </w:pPr>
      <w:r>
        <w:rPr>
          <w:rFonts w:hint="eastAsia" w:ascii="宋体" w:hAnsi="宋体" w:cs="宋体"/>
          <w:color w:val="auto"/>
          <w:sz w:val="24"/>
          <w:szCs w:val="24"/>
        </w:rPr>
        <w:t>主要办公地点：重庆市长寿区凤城轻化路（彭家坪）</w:t>
      </w:r>
    </w:p>
    <w:p>
      <w:pPr>
        <w:autoSpaceDE w:val="0"/>
        <w:autoSpaceDN w:val="0"/>
        <w:adjustRightInd w:val="0"/>
        <w:spacing w:line="560" w:lineRule="exact"/>
        <w:ind w:firstLine="460" w:firstLineChars="192"/>
        <w:rPr>
          <w:rFonts w:ascii="宋体" w:hAnsi="宋体" w:cs="宋体"/>
          <w:color w:val="auto"/>
          <w:sz w:val="24"/>
          <w:szCs w:val="24"/>
        </w:rPr>
      </w:pPr>
      <w:r>
        <w:rPr>
          <w:rFonts w:hint="eastAsia" w:ascii="宋体" w:hAnsi="宋体" w:cs="宋体"/>
          <w:color w:val="auto"/>
          <w:sz w:val="24"/>
          <w:szCs w:val="24"/>
        </w:rPr>
        <w:t>法定代表人：皮统政</w:t>
      </w:r>
    </w:p>
    <w:p>
      <w:pPr>
        <w:autoSpaceDE w:val="0"/>
        <w:autoSpaceDN w:val="0"/>
        <w:adjustRightInd w:val="0"/>
        <w:spacing w:line="560" w:lineRule="exact"/>
        <w:ind w:firstLine="460" w:firstLineChars="192"/>
        <w:rPr>
          <w:rFonts w:ascii="宋体" w:hAnsi="宋体" w:cs="宋体"/>
          <w:color w:val="auto"/>
          <w:sz w:val="24"/>
          <w:szCs w:val="24"/>
        </w:rPr>
      </w:pPr>
      <w:r>
        <w:rPr>
          <w:rFonts w:hint="eastAsia" w:ascii="宋体" w:hAnsi="宋体" w:cs="宋体"/>
          <w:color w:val="auto"/>
          <w:sz w:val="24"/>
          <w:szCs w:val="24"/>
        </w:rPr>
        <w:t>注册资本：4000万人民币</w:t>
      </w:r>
    </w:p>
    <w:p>
      <w:pPr>
        <w:autoSpaceDE w:val="0"/>
        <w:autoSpaceDN w:val="0"/>
        <w:adjustRightInd w:val="0"/>
        <w:spacing w:line="560" w:lineRule="exact"/>
        <w:ind w:firstLine="460" w:firstLineChars="192"/>
        <w:rPr>
          <w:rFonts w:ascii="宋体" w:hAnsi="宋体" w:cs="宋体"/>
          <w:color w:val="auto"/>
          <w:sz w:val="24"/>
          <w:szCs w:val="24"/>
        </w:rPr>
      </w:pPr>
      <w:r>
        <w:rPr>
          <w:rFonts w:hint="eastAsia" w:ascii="宋体" w:hAnsi="宋体" w:cs="宋体"/>
          <w:color w:val="auto"/>
          <w:sz w:val="24"/>
          <w:szCs w:val="24"/>
        </w:rPr>
        <w:t>经营范围：</w:t>
      </w:r>
    </w:p>
    <w:p>
      <w:pPr>
        <w:autoSpaceDE w:val="0"/>
        <w:autoSpaceDN w:val="0"/>
        <w:adjustRightInd w:val="0"/>
        <w:spacing w:line="560" w:lineRule="exact"/>
        <w:ind w:firstLine="460" w:firstLineChars="192"/>
        <w:rPr>
          <w:rFonts w:ascii="宋体" w:hAnsi="宋体" w:cs="宋体"/>
          <w:color w:val="auto"/>
          <w:sz w:val="24"/>
          <w:szCs w:val="24"/>
        </w:rPr>
      </w:pPr>
      <w:r>
        <w:rPr>
          <w:rFonts w:ascii="宋体" w:hAnsi="宋体" w:cs="宋体"/>
          <w:color w:val="auto"/>
          <w:sz w:val="24"/>
          <w:szCs w:val="24"/>
        </w:rPr>
        <w:t xml:space="preserve">许可项目：建设工程施工，输电、供电、受电电力设施的安装、维修和试验（依法须经批准的项目，经相关部门批准后方可开展经营活动，具体经营项目以相关部门批准文件或许可证件为准） </w:t>
      </w:r>
    </w:p>
    <w:p>
      <w:pPr>
        <w:autoSpaceDE w:val="0"/>
        <w:autoSpaceDN w:val="0"/>
        <w:adjustRightInd w:val="0"/>
        <w:spacing w:line="560" w:lineRule="exact"/>
        <w:ind w:firstLine="480" w:firstLineChars="200"/>
        <w:rPr>
          <w:rFonts w:ascii="宋体" w:hAnsi="宋体" w:cs="宋体"/>
          <w:color w:val="auto"/>
          <w:sz w:val="24"/>
          <w:szCs w:val="24"/>
        </w:rPr>
      </w:pPr>
      <w:r>
        <w:rPr>
          <w:rFonts w:ascii="宋体" w:hAnsi="宋体" w:cs="宋体"/>
          <w:color w:val="auto"/>
          <w:sz w:val="24"/>
          <w:szCs w:val="24"/>
        </w:rPr>
        <w:t>一般项目：制造、销售：开关柜屏、变压器、箱变外壳、电线；修理变压器；输配电及控制设备制造、安装、修试、运维；普通机械设备加工；水利电力工程安装及技术咨询；销售：建材；再生资源回收、加工</w:t>
      </w:r>
      <w:r>
        <w:rPr>
          <w:rFonts w:hint="eastAsia" w:ascii="宋体" w:hAnsi="宋体" w:cs="宋体"/>
          <w:color w:val="auto"/>
          <w:sz w:val="24"/>
          <w:szCs w:val="24"/>
        </w:rPr>
        <w:t>（</w:t>
      </w:r>
      <w:r>
        <w:rPr>
          <w:rFonts w:ascii="宋体" w:hAnsi="宋体" w:cs="宋体"/>
          <w:color w:val="auto"/>
          <w:sz w:val="24"/>
          <w:szCs w:val="24"/>
        </w:rPr>
        <w:t>不含固体废物、危险废物、报废汽车等需经相关部门批准的项目</w:t>
      </w:r>
      <w:r>
        <w:rPr>
          <w:rFonts w:hint="eastAsia" w:ascii="宋体" w:hAnsi="宋体" w:cs="宋体"/>
          <w:color w:val="auto"/>
          <w:sz w:val="24"/>
          <w:szCs w:val="24"/>
        </w:rPr>
        <w:t>）</w:t>
      </w:r>
      <w:r>
        <w:rPr>
          <w:rFonts w:ascii="宋体" w:hAnsi="宋体" w:cs="宋体"/>
          <w:color w:val="auto"/>
          <w:sz w:val="24"/>
          <w:szCs w:val="24"/>
        </w:rPr>
        <w:t>，磁性材料销售（除依法须经批准的项目外，凭营业执照依法自主开展经营活动）</w:t>
      </w:r>
    </w:p>
    <w:p>
      <w:pPr>
        <w:autoSpaceDE w:val="0"/>
        <w:autoSpaceDN w:val="0"/>
        <w:adjustRightInd w:val="0"/>
        <w:spacing w:line="560" w:lineRule="exact"/>
        <w:ind w:firstLine="460" w:firstLineChars="192"/>
        <w:rPr>
          <w:rFonts w:ascii="宋体" w:hAnsi="宋体" w:cs="宋体"/>
          <w:color w:val="auto"/>
          <w:sz w:val="24"/>
          <w:szCs w:val="24"/>
        </w:rPr>
      </w:pPr>
      <w:r>
        <w:rPr>
          <w:rFonts w:hint="eastAsia" w:ascii="宋体" w:hAnsi="宋体" w:cs="宋体"/>
          <w:color w:val="auto"/>
          <w:sz w:val="24"/>
          <w:szCs w:val="24"/>
        </w:rPr>
        <w:t>股东情况：重庆望变电气（集团）股份有限公司（100%）</w:t>
      </w:r>
    </w:p>
    <w:p>
      <w:pPr>
        <w:autoSpaceDE w:val="0"/>
        <w:autoSpaceDN w:val="0"/>
        <w:adjustRightInd w:val="0"/>
        <w:spacing w:line="560" w:lineRule="exact"/>
        <w:ind w:firstLine="460" w:firstLineChars="192"/>
        <w:rPr>
          <w:rFonts w:ascii="宋体" w:hAnsi="宋体" w:cs="宋体"/>
          <w:color w:val="auto"/>
          <w:sz w:val="24"/>
          <w:szCs w:val="24"/>
        </w:rPr>
      </w:pPr>
      <w:r>
        <w:rPr>
          <w:rFonts w:hint="eastAsia" w:ascii="宋体" w:hAnsi="宋体" w:cs="宋体"/>
          <w:color w:val="auto"/>
          <w:sz w:val="24"/>
          <w:szCs w:val="24"/>
        </w:rPr>
        <w:t>关联关系：惠泽电器系公司全资子公司。</w:t>
      </w:r>
    </w:p>
    <w:p>
      <w:pPr>
        <w:autoSpaceDE w:val="0"/>
        <w:autoSpaceDN w:val="0"/>
        <w:adjustRightInd w:val="0"/>
        <w:spacing w:line="56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 xml:space="preserve">最近一年及一期主要财务指标如下：  </w:t>
      </w:r>
    </w:p>
    <w:p>
      <w:pPr>
        <w:autoSpaceDE w:val="0"/>
        <w:autoSpaceDN w:val="0"/>
        <w:adjustRightInd w:val="0"/>
        <w:spacing w:line="560" w:lineRule="exact"/>
        <w:ind w:firstLine="7200" w:firstLineChars="3000"/>
        <w:rPr>
          <w:rFonts w:ascii="宋体" w:hAnsi="宋体" w:cs="宋体"/>
          <w:color w:val="auto"/>
          <w:sz w:val="24"/>
          <w:szCs w:val="24"/>
        </w:rPr>
      </w:pPr>
      <w:r>
        <w:rPr>
          <w:rFonts w:hint="eastAsia" w:ascii="宋体" w:hAnsi="宋体" w:cs="宋体"/>
          <w:color w:val="auto"/>
          <w:sz w:val="24"/>
          <w:szCs w:val="24"/>
        </w:rPr>
        <w:t>单位：万元</w:t>
      </w:r>
    </w:p>
    <w:tbl>
      <w:tblPr>
        <w:tblStyle w:val="19"/>
        <w:tblpPr w:leftFromText="180" w:rightFromText="180" w:vertAnchor="text" w:horzAnchor="page" w:tblpX="1860" w:tblpY="130"/>
        <w:tblOverlap w:val="never"/>
        <w:tblW w:w="84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1"/>
        <w:gridCol w:w="2834"/>
        <w:gridCol w:w="2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831" w:type="dxa"/>
          </w:tcPr>
          <w:p>
            <w:pPr>
              <w:autoSpaceDE w:val="0"/>
              <w:autoSpaceDN w:val="0"/>
              <w:adjustRightInd w:val="0"/>
              <w:spacing w:line="560" w:lineRule="exact"/>
              <w:rPr>
                <w:rFonts w:ascii="宋体" w:hAnsi="宋体" w:cs="宋体"/>
                <w:b/>
                <w:bCs/>
                <w:color w:val="auto"/>
                <w:kern w:val="0"/>
                <w:sz w:val="20"/>
                <w:szCs w:val="20"/>
              </w:rPr>
            </w:pPr>
            <w:r>
              <w:rPr>
                <w:rFonts w:hint="eastAsia" w:ascii="宋体" w:hAnsi="宋体" w:cs="宋体"/>
                <w:b/>
                <w:bCs/>
                <w:color w:val="auto"/>
                <w:kern w:val="0"/>
                <w:sz w:val="20"/>
                <w:szCs w:val="20"/>
              </w:rPr>
              <w:t>财务指标</w:t>
            </w:r>
          </w:p>
        </w:tc>
        <w:tc>
          <w:tcPr>
            <w:tcW w:w="2834" w:type="dxa"/>
          </w:tcPr>
          <w:p>
            <w:pPr>
              <w:autoSpaceDE w:val="0"/>
              <w:autoSpaceDN w:val="0"/>
              <w:adjustRightInd w:val="0"/>
              <w:spacing w:line="560" w:lineRule="exact"/>
              <w:jc w:val="center"/>
              <w:rPr>
                <w:rFonts w:ascii="宋体" w:hAnsi="宋体" w:cs="宋体"/>
                <w:b/>
                <w:bCs/>
                <w:color w:val="auto"/>
                <w:kern w:val="0"/>
                <w:sz w:val="20"/>
                <w:szCs w:val="20"/>
              </w:rPr>
            </w:pPr>
            <w:r>
              <w:rPr>
                <w:rFonts w:hint="eastAsia" w:ascii="宋体" w:hAnsi="宋体" w:cs="宋体"/>
                <w:b/>
                <w:bCs/>
                <w:color w:val="auto"/>
                <w:kern w:val="0"/>
                <w:sz w:val="20"/>
                <w:szCs w:val="20"/>
              </w:rPr>
              <w:t>2023年9月30日（未经审计）</w:t>
            </w:r>
          </w:p>
        </w:tc>
        <w:tc>
          <w:tcPr>
            <w:tcW w:w="2834" w:type="dxa"/>
          </w:tcPr>
          <w:p>
            <w:pPr>
              <w:autoSpaceDE w:val="0"/>
              <w:autoSpaceDN w:val="0"/>
              <w:adjustRightInd w:val="0"/>
              <w:spacing w:line="560" w:lineRule="exact"/>
              <w:jc w:val="center"/>
              <w:rPr>
                <w:rFonts w:ascii="宋体" w:hAnsi="宋体" w:cs="宋体"/>
                <w:b/>
                <w:bCs/>
                <w:color w:val="auto"/>
                <w:kern w:val="0"/>
                <w:sz w:val="20"/>
                <w:szCs w:val="20"/>
                <w:highlight w:val="yellow"/>
              </w:rPr>
            </w:pPr>
            <w:r>
              <w:rPr>
                <w:rFonts w:hint="eastAsia" w:ascii="宋体" w:hAnsi="宋体" w:cs="宋体"/>
                <w:b/>
                <w:bCs/>
                <w:color w:val="auto"/>
                <w:kern w:val="0"/>
                <w:sz w:val="20"/>
                <w:szCs w:val="20"/>
              </w:rPr>
              <w:t>2022年12月31日(经审计)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831" w:type="dxa"/>
          </w:tcPr>
          <w:p>
            <w:pPr>
              <w:autoSpaceDE w:val="0"/>
              <w:autoSpaceDN w:val="0"/>
              <w:adjustRightInd w:val="0"/>
              <w:spacing w:line="560" w:lineRule="exact"/>
              <w:rPr>
                <w:rFonts w:ascii="宋体" w:hAnsi="宋体" w:cs="宋体"/>
                <w:b/>
                <w:bCs/>
                <w:color w:val="auto"/>
                <w:kern w:val="0"/>
                <w:sz w:val="20"/>
                <w:szCs w:val="20"/>
              </w:rPr>
            </w:pPr>
            <w:r>
              <w:rPr>
                <w:rFonts w:hint="eastAsia" w:ascii="宋体" w:hAnsi="宋体" w:cs="宋体"/>
                <w:b/>
                <w:bCs/>
                <w:color w:val="auto"/>
                <w:kern w:val="0"/>
                <w:sz w:val="20"/>
                <w:szCs w:val="20"/>
              </w:rPr>
              <w:t>资产总额</w:t>
            </w:r>
          </w:p>
        </w:tc>
        <w:tc>
          <w:tcPr>
            <w:tcW w:w="2834" w:type="dxa"/>
            <w:vAlign w:val="center"/>
          </w:tcPr>
          <w:p>
            <w:pPr>
              <w:widowControl/>
              <w:jc w:val="righ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 xml:space="preserve"> 5,250.81 </w:t>
            </w:r>
          </w:p>
        </w:tc>
        <w:tc>
          <w:tcPr>
            <w:tcW w:w="2834" w:type="dxa"/>
            <w:vAlign w:val="center"/>
          </w:tcPr>
          <w:p>
            <w:pPr>
              <w:widowControl/>
              <w:jc w:val="right"/>
              <w:textAlignment w:val="center"/>
              <w:rPr>
                <w:rFonts w:ascii="宋体" w:hAnsi="宋体" w:cs="宋体"/>
                <w:color w:val="auto"/>
                <w:sz w:val="20"/>
                <w:szCs w:val="20"/>
              </w:rPr>
            </w:pPr>
            <w:r>
              <w:rPr>
                <w:rFonts w:hint="eastAsia" w:ascii="宋体" w:hAnsi="宋体" w:cs="宋体"/>
                <w:color w:val="auto"/>
                <w:kern w:val="0"/>
                <w:sz w:val="20"/>
                <w:szCs w:val="20"/>
                <w:lang w:bidi="ar"/>
              </w:rPr>
              <w:t xml:space="preserve"> 2,082.22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831" w:type="dxa"/>
          </w:tcPr>
          <w:p>
            <w:pPr>
              <w:autoSpaceDE w:val="0"/>
              <w:autoSpaceDN w:val="0"/>
              <w:adjustRightInd w:val="0"/>
              <w:spacing w:line="560" w:lineRule="exact"/>
              <w:rPr>
                <w:rFonts w:ascii="宋体" w:hAnsi="宋体" w:cs="宋体"/>
                <w:b/>
                <w:bCs/>
                <w:color w:val="auto"/>
                <w:kern w:val="0"/>
                <w:sz w:val="20"/>
                <w:szCs w:val="20"/>
              </w:rPr>
            </w:pPr>
            <w:r>
              <w:rPr>
                <w:rFonts w:hint="eastAsia" w:ascii="宋体" w:hAnsi="宋体" w:cs="宋体"/>
                <w:b/>
                <w:bCs/>
                <w:color w:val="auto"/>
                <w:kern w:val="0"/>
                <w:sz w:val="20"/>
                <w:szCs w:val="20"/>
              </w:rPr>
              <w:t>负债总额</w:t>
            </w:r>
          </w:p>
        </w:tc>
        <w:tc>
          <w:tcPr>
            <w:tcW w:w="2834" w:type="dxa"/>
            <w:vAlign w:val="center"/>
          </w:tcPr>
          <w:p>
            <w:pPr>
              <w:widowControl/>
              <w:jc w:val="righ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 xml:space="preserve"> 511.25 </w:t>
            </w:r>
          </w:p>
        </w:tc>
        <w:tc>
          <w:tcPr>
            <w:tcW w:w="2834" w:type="dxa"/>
            <w:vAlign w:val="center"/>
          </w:tcPr>
          <w:p>
            <w:pPr>
              <w:widowControl/>
              <w:jc w:val="right"/>
              <w:textAlignment w:val="center"/>
              <w:rPr>
                <w:rFonts w:ascii="宋体" w:hAnsi="宋体" w:cs="宋体"/>
                <w:color w:val="auto"/>
                <w:sz w:val="20"/>
                <w:szCs w:val="20"/>
              </w:rPr>
            </w:pPr>
            <w:r>
              <w:rPr>
                <w:rFonts w:hint="eastAsia" w:ascii="宋体" w:hAnsi="宋体" w:cs="宋体"/>
                <w:color w:val="auto"/>
                <w:kern w:val="0"/>
                <w:sz w:val="20"/>
                <w:szCs w:val="20"/>
                <w:lang w:bidi="ar"/>
              </w:rPr>
              <w:t xml:space="preserve"> 268.78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831" w:type="dxa"/>
          </w:tcPr>
          <w:p>
            <w:pPr>
              <w:autoSpaceDE w:val="0"/>
              <w:autoSpaceDN w:val="0"/>
              <w:adjustRightInd w:val="0"/>
              <w:spacing w:line="560" w:lineRule="exact"/>
              <w:rPr>
                <w:rFonts w:ascii="宋体" w:hAnsi="宋体" w:cs="宋体"/>
                <w:b/>
                <w:bCs/>
                <w:color w:val="auto"/>
                <w:kern w:val="0"/>
                <w:sz w:val="20"/>
                <w:szCs w:val="20"/>
              </w:rPr>
            </w:pPr>
            <w:r>
              <w:rPr>
                <w:rFonts w:hint="eastAsia" w:ascii="宋体" w:hAnsi="宋体" w:cs="宋体"/>
                <w:b/>
                <w:bCs/>
                <w:color w:val="auto"/>
                <w:kern w:val="0"/>
                <w:sz w:val="20"/>
                <w:szCs w:val="20"/>
              </w:rPr>
              <w:t>净资产</w:t>
            </w:r>
          </w:p>
        </w:tc>
        <w:tc>
          <w:tcPr>
            <w:tcW w:w="2834" w:type="dxa"/>
            <w:vAlign w:val="center"/>
          </w:tcPr>
          <w:p>
            <w:pPr>
              <w:widowControl/>
              <w:jc w:val="right"/>
              <w:textAlignment w:val="center"/>
              <w:rPr>
                <w:rFonts w:ascii="宋体" w:hAnsi="宋体" w:cs="宋体"/>
                <w:color w:val="auto"/>
                <w:kern w:val="0"/>
                <w:sz w:val="20"/>
                <w:szCs w:val="20"/>
                <w:lang w:bidi="ar"/>
              </w:rPr>
            </w:pPr>
            <w:r>
              <w:rPr>
                <w:rFonts w:hint="eastAsia" w:ascii="仿宋" w:hAnsi="仿宋" w:eastAsia="仿宋" w:cs="仿宋"/>
                <w:color w:val="auto"/>
                <w:kern w:val="0"/>
                <w:sz w:val="20"/>
                <w:szCs w:val="20"/>
                <w:lang w:bidi="ar"/>
              </w:rPr>
              <w:t xml:space="preserve"> 4,739.56 </w:t>
            </w:r>
          </w:p>
        </w:tc>
        <w:tc>
          <w:tcPr>
            <w:tcW w:w="2834" w:type="dxa"/>
            <w:vAlign w:val="center"/>
          </w:tcPr>
          <w:p>
            <w:pPr>
              <w:widowControl/>
              <w:jc w:val="right"/>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 xml:space="preserve"> 1,813.44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831" w:type="dxa"/>
            <w:vAlign w:val="center"/>
          </w:tcPr>
          <w:p>
            <w:pPr>
              <w:widowControl/>
              <w:jc w:val="right"/>
              <w:textAlignment w:val="center"/>
              <w:rPr>
                <w:rFonts w:ascii="宋体" w:hAnsi="宋体" w:cs="宋体"/>
                <w:b/>
                <w:bCs/>
                <w:color w:val="auto"/>
                <w:kern w:val="0"/>
                <w:sz w:val="20"/>
                <w:szCs w:val="20"/>
              </w:rPr>
            </w:pPr>
          </w:p>
        </w:tc>
        <w:tc>
          <w:tcPr>
            <w:tcW w:w="2834" w:type="dxa"/>
            <w:vAlign w:val="center"/>
          </w:tcPr>
          <w:p>
            <w:pPr>
              <w:widowControl/>
              <w:jc w:val="right"/>
              <w:textAlignment w:val="center"/>
              <w:rPr>
                <w:rFonts w:ascii="仿宋" w:hAnsi="仿宋" w:eastAsia="仿宋" w:cs="仿宋"/>
                <w:color w:val="auto"/>
                <w:sz w:val="20"/>
                <w:szCs w:val="20"/>
              </w:rPr>
            </w:pPr>
            <w:r>
              <w:rPr>
                <w:rFonts w:hint="eastAsia" w:ascii="宋体" w:hAnsi="宋体" w:cs="宋体"/>
                <w:color w:val="auto"/>
                <w:kern w:val="0"/>
                <w:sz w:val="20"/>
                <w:szCs w:val="20"/>
                <w:lang w:bidi="ar"/>
              </w:rPr>
              <w:t>2023年1-9月（未经审计）</w:t>
            </w:r>
          </w:p>
        </w:tc>
        <w:tc>
          <w:tcPr>
            <w:tcW w:w="2834" w:type="dxa"/>
            <w:vAlign w:val="center"/>
          </w:tcPr>
          <w:p>
            <w:pPr>
              <w:widowControl/>
              <w:jc w:val="right"/>
              <w:textAlignment w:val="center"/>
              <w:rPr>
                <w:rFonts w:ascii="宋体" w:hAnsi="宋体" w:cs="宋体"/>
                <w:color w:val="auto"/>
                <w:sz w:val="20"/>
                <w:szCs w:val="20"/>
              </w:rPr>
            </w:pPr>
            <w:r>
              <w:rPr>
                <w:rFonts w:hint="eastAsia" w:ascii="宋体" w:hAnsi="宋体" w:cs="宋体"/>
                <w:color w:val="auto"/>
                <w:kern w:val="0"/>
                <w:sz w:val="20"/>
                <w:szCs w:val="20"/>
                <w:lang w:bidi="ar"/>
              </w:rPr>
              <w:t>2022年1-12月（经审计）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831" w:type="dxa"/>
          </w:tcPr>
          <w:p>
            <w:pPr>
              <w:autoSpaceDE w:val="0"/>
              <w:autoSpaceDN w:val="0"/>
              <w:adjustRightInd w:val="0"/>
              <w:spacing w:line="560" w:lineRule="exact"/>
              <w:rPr>
                <w:rFonts w:ascii="宋体" w:hAnsi="宋体" w:cs="宋体"/>
                <w:b/>
                <w:bCs/>
                <w:color w:val="auto"/>
                <w:kern w:val="0"/>
                <w:sz w:val="20"/>
                <w:szCs w:val="20"/>
              </w:rPr>
            </w:pPr>
            <w:r>
              <w:rPr>
                <w:rFonts w:hint="eastAsia" w:ascii="宋体" w:hAnsi="宋体" w:cs="宋体"/>
                <w:b/>
                <w:bCs/>
                <w:color w:val="auto"/>
                <w:kern w:val="0"/>
                <w:sz w:val="20"/>
                <w:szCs w:val="20"/>
              </w:rPr>
              <w:t>营业收入</w:t>
            </w:r>
          </w:p>
        </w:tc>
        <w:tc>
          <w:tcPr>
            <w:tcW w:w="2834" w:type="dxa"/>
            <w:vAlign w:val="center"/>
          </w:tcPr>
          <w:p>
            <w:pPr>
              <w:widowControl/>
              <w:jc w:val="righ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 xml:space="preserve"> 2,034.94 </w:t>
            </w:r>
          </w:p>
        </w:tc>
        <w:tc>
          <w:tcPr>
            <w:tcW w:w="2834" w:type="dxa"/>
            <w:vAlign w:val="center"/>
          </w:tcPr>
          <w:p>
            <w:pPr>
              <w:widowControl/>
              <w:jc w:val="right"/>
              <w:textAlignment w:val="center"/>
              <w:rPr>
                <w:rFonts w:ascii="宋体" w:hAnsi="宋体" w:cs="宋体"/>
                <w:color w:val="auto"/>
                <w:sz w:val="20"/>
                <w:szCs w:val="20"/>
              </w:rPr>
            </w:pPr>
            <w:r>
              <w:rPr>
                <w:rFonts w:hint="eastAsia" w:ascii="宋体" w:hAnsi="宋体" w:cs="宋体"/>
                <w:color w:val="auto"/>
                <w:kern w:val="0"/>
                <w:sz w:val="20"/>
                <w:szCs w:val="20"/>
                <w:lang w:bidi="ar"/>
              </w:rPr>
              <w:t xml:space="preserve"> 863.99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831" w:type="dxa"/>
          </w:tcPr>
          <w:p>
            <w:pPr>
              <w:autoSpaceDE w:val="0"/>
              <w:autoSpaceDN w:val="0"/>
              <w:adjustRightInd w:val="0"/>
              <w:spacing w:line="560" w:lineRule="exact"/>
              <w:rPr>
                <w:rFonts w:ascii="宋体" w:hAnsi="宋体" w:cs="宋体"/>
                <w:b/>
                <w:bCs/>
                <w:color w:val="auto"/>
                <w:kern w:val="0"/>
                <w:sz w:val="20"/>
                <w:szCs w:val="20"/>
              </w:rPr>
            </w:pPr>
            <w:r>
              <w:rPr>
                <w:rFonts w:hint="eastAsia" w:ascii="宋体" w:hAnsi="宋体" w:cs="宋体"/>
                <w:b/>
                <w:bCs/>
                <w:color w:val="auto"/>
                <w:kern w:val="0"/>
                <w:sz w:val="20"/>
                <w:szCs w:val="20"/>
              </w:rPr>
              <w:t>净利润</w:t>
            </w:r>
          </w:p>
        </w:tc>
        <w:tc>
          <w:tcPr>
            <w:tcW w:w="2834" w:type="dxa"/>
            <w:vAlign w:val="center"/>
          </w:tcPr>
          <w:p>
            <w:pPr>
              <w:widowControl/>
              <w:jc w:val="righ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 xml:space="preserve"> -50.99 </w:t>
            </w:r>
          </w:p>
        </w:tc>
        <w:tc>
          <w:tcPr>
            <w:tcW w:w="2834" w:type="dxa"/>
            <w:vAlign w:val="center"/>
          </w:tcPr>
          <w:p>
            <w:pPr>
              <w:widowControl/>
              <w:jc w:val="right"/>
              <w:textAlignment w:val="center"/>
              <w:rPr>
                <w:rFonts w:ascii="宋体" w:hAnsi="宋体" w:cs="宋体"/>
                <w:color w:val="auto"/>
                <w:sz w:val="20"/>
                <w:szCs w:val="20"/>
              </w:rPr>
            </w:pPr>
            <w:r>
              <w:rPr>
                <w:rFonts w:hint="eastAsia" w:ascii="宋体" w:hAnsi="宋体" w:cs="宋体"/>
                <w:color w:val="auto"/>
                <w:kern w:val="0"/>
                <w:sz w:val="20"/>
                <w:szCs w:val="20"/>
                <w:lang w:bidi="ar"/>
              </w:rPr>
              <w:t xml:space="preserve"> -68.79 </w:t>
            </w:r>
          </w:p>
        </w:tc>
      </w:tr>
    </w:tbl>
    <w:p>
      <w:pPr>
        <w:spacing w:line="560" w:lineRule="exact"/>
        <w:rPr>
          <w:color w:val="auto"/>
        </w:rPr>
      </w:pPr>
    </w:p>
    <w:p>
      <w:pPr>
        <w:pStyle w:val="22"/>
        <w:numPr>
          <w:ilvl w:val="0"/>
          <w:numId w:val="4"/>
        </w:numPr>
        <w:spacing w:line="560" w:lineRule="exact"/>
        <w:rPr>
          <w:rFonts w:hAnsi="宋体"/>
          <w:color w:val="auto"/>
        </w:rPr>
      </w:pPr>
      <w:r>
        <w:rPr>
          <w:rFonts w:hint="eastAsia" w:hAnsi="宋体"/>
          <w:color w:val="auto"/>
        </w:rPr>
        <w:t>黔南望江</w:t>
      </w:r>
    </w:p>
    <w:p>
      <w:pPr>
        <w:autoSpaceDE w:val="0"/>
        <w:autoSpaceDN w:val="0"/>
        <w:adjustRightInd w:val="0"/>
        <w:spacing w:line="560" w:lineRule="exact"/>
        <w:ind w:firstLine="460" w:firstLineChars="192"/>
        <w:rPr>
          <w:rFonts w:ascii="宋体" w:hAnsi="宋体" w:cs="宋体"/>
          <w:color w:val="auto"/>
          <w:sz w:val="24"/>
          <w:szCs w:val="24"/>
        </w:rPr>
      </w:pPr>
      <w:r>
        <w:rPr>
          <w:rFonts w:hint="eastAsia" w:ascii="宋体" w:hAnsi="宋体" w:cs="宋体"/>
          <w:color w:val="auto"/>
          <w:sz w:val="24"/>
          <w:szCs w:val="24"/>
        </w:rPr>
        <w:t>公司名称：黔南望江变压器有限公司</w:t>
      </w:r>
    </w:p>
    <w:p>
      <w:pPr>
        <w:widowControl/>
        <w:spacing w:line="56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统一社会信用代码：</w:t>
      </w:r>
      <w:r>
        <w:rPr>
          <w:rFonts w:ascii="宋体" w:hAnsi="宋体" w:cs="宋体"/>
          <w:color w:val="auto"/>
          <w:kern w:val="0"/>
          <w:sz w:val="24"/>
          <w:szCs w:val="24"/>
        </w:rPr>
        <w:t>91522701789761914Q</w:t>
      </w:r>
    </w:p>
    <w:p>
      <w:pPr>
        <w:autoSpaceDE w:val="0"/>
        <w:autoSpaceDN w:val="0"/>
        <w:adjustRightInd w:val="0"/>
        <w:spacing w:line="560" w:lineRule="exact"/>
        <w:ind w:firstLine="460" w:firstLineChars="192"/>
        <w:rPr>
          <w:rFonts w:ascii="宋体" w:hAnsi="宋体" w:cs="宋体"/>
          <w:color w:val="auto"/>
          <w:sz w:val="24"/>
          <w:szCs w:val="24"/>
        </w:rPr>
      </w:pPr>
      <w:r>
        <w:rPr>
          <w:rFonts w:hint="eastAsia" w:ascii="宋体" w:hAnsi="宋体" w:cs="宋体"/>
          <w:color w:val="auto"/>
          <w:sz w:val="24"/>
          <w:szCs w:val="24"/>
        </w:rPr>
        <w:t>成立时间：</w:t>
      </w:r>
      <w:r>
        <w:rPr>
          <w:rFonts w:ascii="宋体" w:hAnsi="宋体" w:cs="宋体"/>
          <w:color w:val="auto"/>
          <w:sz w:val="24"/>
          <w:szCs w:val="24"/>
        </w:rPr>
        <w:t>2007年8月</w:t>
      </w:r>
      <w:r>
        <w:rPr>
          <w:rFonts w:hint="eastAsia" w:ascii="宋体" w:hAnsi="宋体" w:cs="宋体"/>
          <w:color w:val="auto"/>
          <w:sz w:val="24"/>
          <w:szCs w:val="24"/>
        </w:rPr>
        <w:t>21日</w:t>
      </w:r>
    </w:p>
    <w:p>
      <w:pPr>
        <w:widowControl/>
        <w:spacing w:line="56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注册地：</w:t>
      </w:r>
      <w:r>
        <w:rPr>
          <w:rFonts w:hint="eastAsia" w:ascii="宋体" w:hAnsi="宋体" w:cs="宋体"/>
          <w:color w:val="auto"/>
          <w:kern w:val="0"/>
          <w:sz w:val="24"/>
          <w:szCs w:val="24"/>
        </w:rPr>
        <w:t>贵州省黔南州都匀市绿茵湖至斗篷山旅游公路西侧</w:t>
      </w:r>
    </w:p>
    <w:p>
      <w:pPr>
        <w:widowControl/>
        <w:spacing w:line="56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主要办公地点：</w:t>
      </w:r>
      <w:r>
        <w:rPr>
          <w:rFonts w:hint="eastAsia" w:ascii="宋体" w:hAnsi="宋体" w:cs="宋体"/>
          <w:color w:val="auto"/>
          <w:kern w:val="0"/>
          <w:sz w:val="24"/>
          <w:szCs w:val="24"/>
        </w:rPr>
        <w:t>贵州省黔南州都匀市绿茵湖至斗篷山旅游公路西侧</w:t>
      </w:r>
    </w:p>
    <w:p>
      <w:pPr>
        <w:autoSpaceDE w:val="0"/>
        <w:autoSpaceDN w:val="0"/>
        <w:adjustRightInd w:val="0"/>
        <w:spacing w:line="560" w:lineRule="exact"/>
        <w:ind w:firstLine="460" w:firstLineChars="192"/>
        <w:rPr>
          <w:rFonts w:ascii="宋体" w:hAnsi="宋体" w:cs="宋体"/>
          <w:color w:val="auto"/>
          <w:sz w:val="24"/>
          <w:szCs w:val="24"/>
        </w:rPr>
      </w:pPr>
      <w:r>
        <w:rPr>
          <w:rFonts w:hint="eastAsia" w:ascii="宋体" w:hAnsi="宋体" w:cs="宋体"/>
          <w:color w:val="auto"/>
          <w:sz w:val="24"/>
          <w:szCs w:val="24"/>
        </w:rPr>
        <w:t>法定代表人：王海波</w:t>
      </w:r>
    </w:p>
    <w:p>
      <w:pPr>
        <w:autoSpaceDE w:val="0"/>
        <w:autoSpaceDN w:val="0"/>
        <w:adjustRightInd w:val="0"/>
        <w:spacing w:before="92" w:line="560" w:lineRule="exact"/>
        <w:ind w:left="133" w:right="113" w:firstLine="460" w:firstLineChars="192"/>
        <w:rPr>
          <w:color w:val="auto"/>
          <w:sz w:val="24"/>
          <w:szCs w:val="24"/>
        </w:rPr>
      </w:pPr>
      <w:r>
        <w:rPr>
          <w:rFonts w:hint="eastAsia" w:ascii="宋体" w:hAnsi="宋体" w:cs="宋体"/>
          <w:color w:val="auto"/>
          <w:sz w:val="24"/>
          <w:szCs w:val="24"/>
        </w:rPr>
        <w:t>注册资本：</w:t>
      </w:r>
      <w:r>
        <w:rPr>
          <w:rFonts w:ascii="宋体" w:hAnsi="宋体" w:cs="宋体"/>
          <w:color w:val="auto"/>
          <w:sz w:val="24"/>
          <w:szCs w:val="24"/>
        </w:rPr>
        <w:t>6000万</w:t>
      </w:r>
    </w:p>
    <w:p>
      <w:pPr>
        <w:autoSpaceDE w:val="0"/>
        <w:autoSpaceDN w:val="0"/>
        <w:adjustRightInd w:val="0"/>
        <w:spacing w:before="92" w:line="560" w:lineRule="exact"/>
        <w:ind w:left="133" w:right="113" w:firstLine="460" w:firstLineChars="192"/>
        <w:rPr>
          <w:rFonts w:ascii="宋体" w:hAnsi="宋体" w:cs="宋体"/>
          <w:color w:val="auto"/>
          <w:sz w:val="24"/>
          <w:szCs w:val="24"/>
        </w:rPr>
      </w:pPr>
      <w:r>
        <w:rPr>
          <w:rFonts w:hint="eastAsia" w:ascii="宋体" w:hAnsi="宋体" w:cs="宋体"/>
          <w:color w:val="auto"/>
          <w:sz w:val="24"/>
          <w:szCs w:val="24"/>
        </w:rPr>
        <w:t>经营范围：</w:t>
      </w:r>
      <w:r>
        <w:rPr>
          <w:rFonts w:hint="eastAsia" w:ascii="宋体" w:hAnsi="宋体" w:cs="宋体"/>
          <w:color w:val="auto"/>
          <w:spacing w:val="-16"/>
          <w:sz w:val="24"/>
          <w:szCs w:val="24"/>
        </w:rPr>
        <w:t>法律、法规、国务院决定规定禁止的不得经营；法律、法规、国务院</w:t>
      </w:r>
      <w:r>
        <w:rPr>
          <w:rFonts w:ascii="宋体" w:hAnsi="宋体" w:cs="宋体"/>
          <w:color w:val="auto"/>
          <w:spacing w:val="9"/>
          <w:sz w:val="24"/>
          <w:szCs w:val="24"/>
        </w:rPr>
        <w:t xml:space="preserve"> </w:t>
      </w:r>
      <w:r>
        <w:rPr>
          <w:rFonts w:hint="eastAsia" w:ascii="宋体" w:hAnsi="宋体" w:cs="宋体"/>
          <w:color w:val="auto"/>
          <w:spacing w:val="3"/>
          <w:sz w:val="24"/>
          <w:szCs w:val="24"/>
        </w:rPr>
        <w:t>决定规定应当许可</w:t>
      </w:r>
      <w:r>
        <w:rPr>
          <w:rFonts w:ascii="宋体" w:hAnsi="宋体" w:cs="宋体"/>
          <w:color w:val="auto"/>
          <w:spacing w:val="3"/>
          <w:sz w:val="24"/>
          <w:szCs w:val="24"/>
        </w:rPr>
        <w:t>(审批)的，经审批机关批准后凭许可(审批)文</w:t>
      </w:r>
      <w:r>
        <w:rPr>
          <w:rFonts w:hint="eastAsia" w:ascii="宋体" w:hAnsi="宋体" w:cs="宋体"/>
          <w:color w:val="auto"/>
          <w:spacing w:val="-3"/>
          <w:sz w:val="24"/>
          <w:szCs w:val="24"/>
        </w:rPr>
        <w:t>件经营；法律、法规、国务院决定规定无需许可</w:t>
      </w:r>
      <w:r>
        <w:rPr>
          <w:rFonts w:ascii="宋体" w:hAnsi="宋体" w:cs="宋体"/>
          <w:color w:val="auto"/>
          <w:spacing w:val="-3"/>
          <w:sz w:val="24"/>
          <w:szCs w:val="24"/>
        </w:rPr>
        <w:t>(审批)的，市场主</w:t>
      </w:r>
      <w:r>
        <w:rPr>
          <w:rFonts w:hint="eastAsia" w:ascii="宋体" w:hAnsi="宋体" w:cs="宋体"/>
          <w:color w:val="auto"/>
          <w:spacing w:val="-15"/>
          <w:sz w:val="24"/>
          <w:szCs w:val="24"/>
        </w:rPr>
        <w:t>体自主选择经营。电力变压器、矿用变压器、各种高低压</w:t>
      </w:r>
      <w:r>
        <w:rPr>
          <w:rFonts w:hint="eastAsia" w:ascii="宋体" w:hAnsi="宋体" w:cs="宋体"/>
          <w:color w:val="auto"/>
          <w:spacing w:val="-16"/>
          <w:sz w:val="24"/>
          <w:szCs w:val="24"/>
        </w:rPr>
        <w:t>成套电力设备及配件、低压无功补偿装置、各类特种变压器与配电设备的制造、</w:t>
      </w:r>
      <w:r>
        <w:rPr>
          <w:rFonts w:hint="eastAsia" w:ascii="宋体" w:hAnsi="宋体" w:cs="宋体"/>
          <w:color w:val="auto"/>
          <w:spacing w:val="-6"/>
          <w:sz w:val="24"/>
          <w:szCs w:val="24"/>
        </w:rPr>
        <w:t>销售和改造维修，普通道路货物运输</w:t>
      </w:r>
      <w:r>
        <w:rPr>
          <w:rFonts w:ascii="宋体" w:hAnsi="宋体" w:cs="宋体"/>
          <w:color w:val="auto"/>
          <w:spacing w:val="-6"/>
          <w:sz w:val="24"/>
          <w:szCs w:val="24"/>
        </w:rPr>
        <w:t>(不含危险品)涉及许可经营项</w:t>
      </w:r>
      <w:r>
        <w:rPr>
          <w:rFonts w:hint="eastAsia" w:ascii="宋体" w:hAnsi="宋体" w:cs="宋体"/>
          <w:color w:val="auto"/>
          <w:spacing w:val="-16"/>
          <w:sz w:val="24"/>
          <w:szCs w:val="24"/>
        </w:rPr>
        <w:t>目，应取得相关部门许可后方可经营。</w:t>
      </w:r>
    </w:p>
    <w:p>
      <w:pPr>
        <w:autoSpaceDE w:val="0"/>
        <w:autoSpaceDN w:val="0"/>
        <w:adjustRightInd w:val="0"/>
        <w:spacing w:line="560" w:lineRule="exact"/>
        <w:ind w:firstLine="460" w:firstLineChars="192"/>
        <w:rPr>
          <w:rFonts w:ascii="宋体" w:hAnsi="宋体" w:cs="宋体"/>
          <w:color w:val="auto"/>
          <w:sz w:val="24"/>
          <w:szCs w:val="24"/>
        </w:rPr>
      </w:pPr>
      <w:r>
        <w:rPr>
          <w:rFonts w:hint="eastAsia" w:ascii="宋体" w:hAnsi="宋体" w:cs="宋体"/>
          <w:color w:val="auto"/>
          <w:sz w:val="24"/>
          <w:szCs w:val="24"/>
        </w:rPr>
        <w:t>股东情况：重庆望变电气（集团）股份有限公司（</w:t>
      </w:r>
      <w:r>
        <w:rPr>
          <w:rFonts w:ascii="宋体" w:hAnsi="宋体" w:cs="宋体"/>
          <w:color w:val="auto"/>
          <w:sz w:val="24"/>
          <w:szCs w:val="24"/>
        </w:rPr>
        <w:t>100%）</w:t>
      </w:r>
    </w:p>
    <w:p>
      <w:pPr>
        <w:autoSpaceDE w:val="0"/>
        <w:autoSpaceDN w:val="0"/>
        <w:adjustRightInd w:val="0"/>
        <w:spacing w:line="560" w:lineRule="exact"/>
        <w:ind w:firstLine="460" w:firstLineChars="192"/>
        <w:rPr>
          <w:rFonts w:ascii="宋体" w:hAnsi="宋体" w:cs="宋体"/>
          <w:color w:val="auto"/>
          <w:sz w:val="24"/>
          <w:szCs w:val="24"/>
        </w:rPr>
      </w:pPr>
      <w:r>
        <w:rPr>
          <w:rFonts w:hint="eastAsia" w:ascii="宋体" w:hAnsi="宋体" w:cs="宋体"/>
          <w:color w:val="auto"/>
          <w:sz w:val="24"/>
          <w:szCs w:val="24"/>
        </w:rPr>
        <w:t>关联关系：黔南望江系公司全资子公司。</w:t>
      </w:r>
    </w:p>
    <w:p>
      <w:pPr>
        <w:autoSpaceDE w:val="0"/>
        <w:autoSpaceDN w:val="0"/>
        <w:adjustRightInd w:val="0"/>
        <w:spacing w:line="560" w:lineRule="exact"/>
        <w:ind w:firstLine="480" w:firstLineChars="200"/>
        <w:rPr>
          <w:rFonts w:ascii="宋体" w:hAnsi="宋体" w:cs="宋体"/>
          <w:color w:val="auto"/>
          <w:sz w:val="24"/>
          <w:szCs w:val="24"/>
        </w:rPr>
      </w:pPr>
      <w:r>
        <w:rPr>
          <w:rFonts w:hint="eastAsia" w:ascii="宋体" w:hAnsi="宋体" w:cs="宋体"/>
          <w:color w:val="auto"/>
          <w:sz w:val="24"/>
          <w:szCs w:val="24"/>
        </w:rPr>
        <w:t>最近一年及一期主要财务指标如下：</w:t>
      </w:r>
    </w:p>
    <w:p>
      <w:pPr>
        <w:autoSpaceDE w:val="0"/>
        <w:autoSpaceDN w:val="0"/>
        <w:adjustRightInd w:val="0"/>
        <w:spacing w:line="560" w:lineRule="exact"/>
        <w:ind w:firstLine="6720" w:firstLineChars="2800"/>
        <w:rPr>
          <w:rFonts w:ascii="宋体" w:hAnsi="宋体" w:cs="宋体"/>
          <w:color w:val="auto"/>
          <w:sz w:val="24"/>
          <w:szCs w:val="24"/>
        </w:rPr>
      </w:pPr>
      <w:r>
        <w:rPr>
          <w:rFonts w:hint="eastAsia" w:ascii="宋体" w:hAnsi="宋体" w:cs="宋体"/>
          <w:color w:val="auto"/>
          <w:sz w:val="24"/>
          <w:szCs w:val="24"/>
        </w:rPr>
        <w:t>单位：万元</w:t>
      </w:r>
    </w:p>
    <w:tbl>
      <w:tblPr>
        <w:tblStyle w:val="19"/>
        <w:tblpPr w:leftFromText="180" w:rightFromText="180" w:vertAnchor="text" w:horzAnchor="page" w:tblpX="1806" w:tblpY="226"/>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1"/>
        <w:gridCol w:w="3328"/>
        <w:gridCol w:w="3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92" w:type="pct"/>
          </w:tcPr>
          <w:p>
            <w:pPr>
              <w:autoSpaceDE w:val="0"/>
              <w:autoSpaceDN w:val="0"/>
              <w:adjustRightInd w:val="0"/>
              <w:spacing w:line="560" w:lineRule="exact"/>
              <w:rPr>
                <w:rFonts w:ascii="宋体" w:hAnsi="宋体" w:cs="宋体"/>
                <w:b/>
                <w:bCs/>
                <w:color w:val="auto"/>
                <w:kern w:val="0"/>
                <w:sz w:val="20"/>
                <w:szCs w:val="20"/>
              </w:rPr>
            </w:pPr>
            <w:r>
              <w:rPr>
                <w:rFonts w:hint="eastAsia" w:ascii="宋体" w:hAnsi="宋体" w:cs="宋体"/>
                <w:b/>
                <w:bCs/>
                <w:color w:val="auto"/>
                <w:kern w:val="0"/>
                <w:sz w:val="20"/>
                <w:szCs w:val="20"/>
              </w:rPr>
              <w:t>财务指标</w:t>
            </w:r>
          </w:p>
        </w:tc>
        <w:tc>
          <w:tcPr>
            <w:tcW w:w="1953" w:type="pct"/>
          </w:tcPr>
          <w:p>
            <w:pPr>
              <w:autoSpaceDE w:val="0"/>
              <w:autoSpaceDN w:val="0"/>
              <w:adjustRightInd w:val="0"/>
              <w:spacing w:line="560" w:lineRule="exact"/>
              <w:jc w:val="center"/>
              <w:rPr>
                <w:rFonts w:ascii="宋体" w:hAnsi="宋体" w:cs="宋体"/>
                <w:b/>
                <w:bCs/>
                <w:color w:val="auto"/>
                <w:kern w:val="0"/>
                <w:sz w:val="20"/>
                <w:szCs w:val="20"/>
              </w:rPr>
            </w:pPr>
            <w:r>
              <w:rPr>
                <w:rFonts w:hint="eastAsia" w:ascii="宋体" w:hAnsi="宋体" w:cs="宋体"/>
                <w:b/>
                <w:bCs/>
                <w:color w:val="auto"/>
                <w:kern w:val="0"/>
                <w:sz w:val="20"/>
                <w:szCs w:val="20"/>
              </w:rPr>
              <w:t>2023年9月30日（未经审计）</w:t>
            </w:r>
          </w:p>
        </w:tc>
        <w:tc>
          <w:tcPr>
            <w:tcW w:w="1954" w:type="pct"/>
          </w:tcPr>
          <w:p>
            <w:pPr>
              <w:autoSpaceDE w:val="0"/>
              <w:autoSpaceDN w:val="0"/>
              <w:adjustRightInd w:val="0"/>
              <w:spacing w:line="560" w:lineRule="exact"/>
              <w:jc w:val="center"/>
              <w:rPr>
                <w:rFonts w:ascii="宋体" w:hAnsi="宋体" w:cs="宋体"/>
                <w:b/>
                <w:bCs/>
                <w:color w:val="auto"/>
                <w:kern w:val="0"/>
                <w:sz w:val="20"/>
                <w:szCs w:val="20"/>
                <w:highlight w:val="yellow"/>
              </w:rPr>
            </w:pPr>
            <w:r>
              <w:rPr>
                <w:rFonts w:hint="eastAsia" w:ascii="宋体" w:hAnsi="宋体" w:cs="宋体"/>
                <w:b/>
                <w:bCs/>
                <w:color w:val="auto"/>
                <w:kern w:val="0"/>
                <w:sz w:val="20"/>
                <w:szCs w:val="20"/>
              </w:rPr>
              <w:t>2022年12月31日(经审计)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92" w:type="pct"/>
          </w:tcPr>
          <w:p>
            <w:pPr>
              <w:autoSpaceDE w:val="0"/>
              <w:autoSpaceDN w:val="0"/>
              <w:adjustRightInd w:val="0"/>
              <w:spacing w:line="560" w:lineRule="exact"/>
              <w:rPr>
                <w:rFonts w:ascii="宋体" w:hAnsi="宋体" w:cs="宋体"/>
                <w:b/>
                <w:bCs/>
                <w:color w:val="auto"/>
                <w:kern w:val="0"/>
                <w:sz w:val="20"/>
                <w:szCs w:val="20"/>
              </w:rPr>
            </w:pPr>
            <w:r>
              <w:rPr>
                <w:rFonts w:hint="eastAsia" w:ascii="宋体" w:hAnsi="宋体" w:cs="宋体"/>
                <w:b/>
                <w:bCs/>
                <w:color w:val="auto"/>
                <w:kern w:val="0"/>
                <w:sz w:val="20"/>
                <w:szCs w:val="20"/>
              </w:rPr>
              <w:t>资产总额</w:t>
            </w:r>
          </w:p>
        </w:tc>
        <w:tc>
          <w:tcPr>
            <w:tcW w:w="3329" w:type="dxa"/>
            <w:vAlign w:val="center"/>
          </w:tcPr>
          <w:p>
            <w:pPr>
              <w:widowControl/>
              <w:jc w:val="righ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 xml:space="preserve"> 19,776.02 </w:t>
            </w:r>
          </w:p>
        </w:tc>
        <w:tc>
          <w:tcPr>
            <w:tcW w:w="3330" w:type="dxa"/>
            <w:vAlign w:val="center"/>
          </w:tcPr>
          <w:p>
            <w:pPr>
              <w:widowControl/>
              <w:jc w:val="right"/>
              <w:textAlignment w:val="center"/>
              <w:rPr>
                <w:rFonts w:ascii="宋体" w:hAnsi="宋体" w:cs="宋体"/>
                <w:color w:val="auto"/>
                <w:sz w:val="20"/>
                <w:szCs w:val="20"/>
                <w:highlight w:val="yellow"/>
              </w:rPr>
            </w:pPr>
            <w:r>
              <w:rPr>
                <w:rFonts w:hint="eastAsia" w:ascii="宋体" w:hAnsi="宋体" w:cs="宋体"/>
                <w:color w:val="auto"/>
                <w:kern w:val="0"/>
                <w:sz w:val="20"/>
                <w:szCs w:val="20"/>
                <w:lang w:bidi="ar"/>
              </w:rPr>
              <w:t xml:space="preserve"> 16,875.98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92" w:type="pct"/>
          </w:tcPr>
          <w:p>
            <w:pPr>
              <w:autoSpaceDE w:val="0"/>
              <w:autoSpaceDN w:val="0"/>
              <w:adjustRightInd w:val="0"/>
              <w:spacing w:line="560" w:lineRule="exact"/>
              <w:rPr>
                <w:rFonts w:ascii="宋体" w:hAnsi="宋体" w:cs="宋体"/>
                <w:b/>
                <w:bCs/>
                <w:color w:val="auto"/>
                <w:kern w:val="0"/>
                <w:sz w:val="20"/>
                <w:szCs w:val="20"/>
              </w:rPr>
            </w:pPr>
            <w:r>
              <w:rPr>
                <w:rFonts w:hint="eastAsia" w:ascii="宋体" w:hAnsi="宋体" w:cs="宋体"/>
                <w:b/>
                <w:bCs/>
                <w:color w:val="auto"/>
                <w:kern w:val="0"/>
                <w:sz w:val="20"/>
                <w:szCs w:val="20"/>
              </w:rPr>
              <w:t>负债总额</w:t>
            </w:r>
          </w:p>
        </w:tc>
        <w:tc>
          <w:tcPr>
            <w:tcW w:w="3329" w:type="dxa"/>
            <w:vAlign w:val="center"/>
          </w:tcPr>
          <w:p>
            <w:pPr>
              <w:widowControl/>
              <w:jc w:val="right"/>
              <w:textAlignment w:val="center"/>
              <w:rPr>
                <w:rFonts w:ascii="宋体" w:hAnsi="宋体" w:cs="宋体"/>
                <w:color w:val="auto"/>
                <w:kern w:val="0"/>
                <w:sz w:val="20"/>
                <w:szCs w:val="20"/>
                <w:lang w:bidi="ar"/>
              </w:rPr>
            </w:pPr>
            <w:r>
              <w:rPr>
                <w:rFonts w:hint="eastAsia" w:ascii="仿宋" w:hAnsi="仿宋" w:eastAsia="仿宋" w:cs="仿宋"/>
                <w:color w:val="auto"/>
                <w:kern w:val="0"/>
                <w:sz w:val="20"/>
                <w:szCs w:val="20"/>
                <w:lang w:bidi="ar"/>
              </w:rPr>
              <w:t xml:space="preserve"> 15,024.10 </w:t>
            </w:r>
          </w:p>
        </w:tc>
        <w:tc>
          <w:tcPr>
            <w:tcW w:w="3330" w:type="dxa"/>
            <w:vAlign w:val="center"/>
          </w:tcPr>
          <w:p>
            <w:pPr>
              <w:widowControl/>
              <w:jc w:val="right"/>
              <w:textAlignment w:val="center"/>
              <w:rPr>
                <w:rFonts w:ascii="宋体" w:hAnsi="宋体" w:cs="宋体"/>
                <w:color w:val="auto"/>
                <w:kern w:val="0"/>
                <w:sz w:val="20"/>
                <w:szCs w:val="20"/>
                <w:highlight w:val="yellow"/>
              </w:rPr>
            </w:pPr>
            <w:r>
              <w:rPr>
                <w:rFonts w:hint="eastAsia" w:ascii="宋体" w:hAnsi="宋体" w:cs="宋体"/>
                <w:color w:val="auto"/>
                <w:kern w:val="0"/>
                <w:sz w:val="20"/>
                <w:szCs w:val="20"/>
                <w:lang w:bidi="ar"/>
              </w:rPr>
              <w:t xml:space="preserve"> 16,693.51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92" w:type="pct"/>
          </w:tcPr>
          <w:p>
            <w:pPr>
              <w:autoSpaceDE w:val="0"/>
              <w:autoSpaceDN w:val="0"/>
              <w:adjustRightInd w:val="0"/>
              <w:spacing w:line="560" w:lineRule="exact"/>
              <w:rPr>
                <w:rFonts w:ascii="宋体" w:hAnsi="宋体" w:cs="宋体"/>
                <w:b/>
                <w:bCs/>
                <w:color w:val="auto"/>
                <w:kern w:val="0"/>
                <w:sz w:val="20"/>
                <w:szCs w:val="20"/>
              </w:rPr>
            </w:pPr>
            <w:r>
              <w:rPr>
                <w:rFonts w:hint="eastAsia" w:ascii="宋体" w:hAnsi="宋体" w:cs="宋体"/>
                <w:b/>
                <w:bCs/>
                <w:color w:val="auto"/>
                <w:kern w:val="0"/>
                <w:sz w:val="20"/>
                <w:szCs w:val="20"/>
              </w:rPr>
              <w:t>净资产</w:t>
            </w:r>
          </w:p>
        </w:tc>
        <w:tc>
          <w:tcPr>
            <w:tcW w:w="3329" w:type="dxa"/>
            <w:vAlign w:val="center"/>
          </w:tcPr>
          <w:p>
            <w:pPr>
              <w:widowControl/>
              <w:jc w:val="right"/>
              <w:textAlignment w:val="center"/>
              <w:rPr>
                <w:rFonts w:ascii="宋体" w:hAnsi="宋体" w:cs="宋体"/>
                <w:color w:val="auto"/>
                <w:kern w:val="0"/>
                <w:sz w:val="20"/>
                <w:szCs w:val="20"/>
                <w:lang w:bidi="ar"/>
              </w:rPr>
            </w:pPr>
            <w:r>
              <w:rPr>
                <w:rFonts w:hint="eastAsia" w:ascii="仿宋" w:hAnsi="仿宋" w:eastAsia="仿宋" w:cs="仿宋"/>
                <w:color w:val="auto"/>
                <w:kern w:val="0"/>
                <w:sz w:val="20"/>
                <w:szCs w:val="20"/>
                <w:lang w:bidi="ar"/>
              </w:rPr>
              <w:t xml:space="preserve"> 4,751.93 </w:t>
            </w:r>
          </w:p>
        </w:tc>
        <w:tc>
          <w:tcPr>
            <w:tcW w:w="3330" w:type="dxa"/>
            <w:vAlign w:val="center"/>
          </w:tcPr>
          <w:p>
            <w:pPr>
              <w:widowControl/>
              <w:jc w:val="right"/>
              <w:textAlignment w:val="center"/>
              <w:rPr>
                <w:rFonts w:ascii="宋体" w:hAnsi="宋体" w:cs="宋体"/>
                <w:color w:val="auto"/>
                <w:kern w:val="0"/>
                <w:sz w:val="20"/>
                <w:szCs w:val="20"/>
                <w:highlight w:val="yellow"/>
              </w:rPr>
            </w:pPr>
            <w:r>
              <w:rPr>
                <w:rFonts w:hint="eastAsia" w:ascii="宋体" w:hAnsi="宋体" w:cs="宋体"/>
                <w:color w:val="auto"/>
                <w:kern w:val="0"/>
                <w:sz w:val="20"/>
                <w:szCs w:val="20"/>
                <w:lang w:bidi="ar"/>
              </w:rPr>
              <w:t xml:space="preserve"> 182.47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92" w:type="pct"/>
          </w:tcPr>
          <w:p>
            <w:pPr>
              <w:autoSpaceDE w:val="0"/>
              <w:autoSpaceDN w:val="0"/>
              <w:adjustRightInd w:val="0"/>
              <w:spacing w:line="560" w:lineRule="exact"/>
              <w:rPr>
                <w:rFonts w:ascii="宋体" w:hAnsi="宋体" w:cs="宋体"/>
                <w:b/>
                <w:bCs/>
                <w:color w:val="auto"/>
                <w:kern w:val="0"/>
                <w:sz w:val="20"/>
                <w:szCs w:val="20"/>
              </w:rPr>
            </w:pPr>
          </w:p>
        </w:tc>
        <w:tc>
          <w:tcPr>
            <w:tcW w:w="1953" w:type="pct"/>
            <w:vAlign w:val="center"/>
          </w:tcPr>
          <w:p>
            <w:pPr>
              <w:widowControl/>
              <w:jc w:val="right"/>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2023年1-9月（未经审计）</w:t>
            </w:r>
          </w:p>
        </w:tc>
        <w:tc>
          <w:tcPr>
            <w:tcW w:w="1954" w:type="pct"/>
            <w:vAlign w:val="center"/>
          </w:tcPr>
          <w:p>
            <w:pPr>
              <w:widowControl/>
              <w:jc w:val="right"/>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2022年1-12月（经审计）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92" w:type="pct"/>
          </w:tcPr>
          <w:p>
            <w:pPr>
              <w:autoSpaceDE w:val="0"/>
              <w:autoSpaceDN w:val="0"/>
              <w:adjustRightInd w:val="0"/>
              <w:spacing w:line="560" w:lineRule="exact"/>
              <w:rPr>
                <w:rFonts w:ascii="宋体" w:hAnsi="宋体" w:cs="宋体"/>
                <w:b/>
                <w:bCs/>
                <w:color w:val="auto"/>
                <w:kern w:val="0"/>
                <w:sz w:val="20"/>
                <w:szCs w:val="20"/>
              </w:rPr>
            </w:pPr>
            <w:r>
              <w:rPr>
                <w:rFonts w:hint="eastAsia" w:ascii="宋体" w:hAnsi="宋体" w:cs="宋体"/>
                <w:b/>
                <w:bCs/>
                <w:color w:val="auto"/>
                <w:kern w:val="0"/>
                <w:sz w:val="20"/>
                <w:szCs w:val="20"/>
              </w:rPr>
              <w:t>营业收入</w:t>
            </w:r>
          </w:p>
        </w:tc>
        <w:tc>
          <w:tcPr>
            <w:tcW w:w="3329" w:type="dxa"/>
            <w:vAlign w:val="center"/>
          </w:tcPr>
          <w:p>
            <w:pPr>
              <w:widowControl/>
              <w:jc w:val="right"/>
              <w:textAlignment w:val="center"/>
              <w:rPr>
                <w:rFonts w:ascii="宋体" w:hAnsi="宋体" w:cs="宋体"/>
                <w:color w:val="auto"/>
                <w:kern w:val="0"/>
                <w:sz w:val="20"/>
                <w:szCs w:val="20"/>
                <w:lang w:bidi="ar"/>
              </w:rPr>
            </w:pPr>
            <w:r>
              <w:rPr>
                <w:rFonts w:hint="eastAsia" w:ascii="仿宋" w:hAnsi="仿宋" w:eastAsia="仿宋" w:cs="仿宋"/>
                <w:color w:val="auto"/>
                <w:kern w:val="0"/>
                <w:sz w:val="20"/>
                <w:szCs w:val="20"/>
                <w:lang w:bidi="ar"/>
              </w:rPr>
              <w:t xml:space="preserve"> 10,057.37 </w:t>
            </w:r>
          </w:p>
        </w:tc>
        <w:tc>
          <w:tcPr>
            <w:tcW w:w="3330" w:type="dxa"/>
            <w:vAlign w:val="center"/>
          </w:tcPr>
          <w:p>
            <w:pPr>
              <w:widowControl/>
              <w:jc w:val="right"/>
              <w:textAlignment w:val="center"/>
              <w:rPr>
                <w:rFonts w:ascii="宋体" w:hAnsi="宋体" w:cs="宋体"/>
                <w:color w:val="auto"/>
                <w:kern w:val="0"/>
                <w:sz w:val="20"/>
                <w:szCs w:val="20"/>
                <w:highlight w:val="yellow"/>
              </w:rPr>
            </w:pPr>
            <w:r>
              <w:rPr>
                <w:rFonts w:hint="eastAsia" w:ascii="宋体" w:hAnsi="宋体" w:cs="宋体"/>
                <w:color w:val="auto"/>
                <w:kern w:val="0"/>
                <w:sz w:val="20"/>
                <w:szCs w:val="20"/>
                <w:lang w:bidi="ar"/>
              </w:rPr>
              <w:t xml:space="preserve"> 9,858.39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92" w:type="pct"/>
          </w:tcPr>
          <w:p>
            <w:pPr>
              <w:autoSpaceDE w:val="0"/>
              <w:autoSpaceDN w:val="0"/>
              <w:adjustRightInd w:val="0"/>
              <w:spacing w:line="560" w:lineRule="exact"/>
              <w:rPr>
                <w:rFonts w:ascii="宋体" w:hAnsi="宋体" w:cs="宋体"/>
                <w:b/>
                <w:bCs/>
                <w:color w:val="auto"/>
                <w:kern w:val="0"/>
                <w:sz w:val="20"/>
                <w:szCs w:val="20"/>
              </w:rPr>
            </w:pPr>
            <w:r>
              <w:rPr>
                <w:rFonts w:hint="eastAsia" w:ascii="宋体" w:hAnsi="宋体" w:cs="宋体"/>
                <w:b/>
                <w:bCs/>
                <w:color w:val="auto"/>
                <w:kern w:val="0"/>
                <w:sz w:val="20"/>
                <w:szCs w:val="20"/>
              </w:rPr>
              <w:t>净利润</w:t>
            </w:r>
          </w:p>
        </w:tc>
        <w:tc>
          <w:tcPr>
            <w:tcW w:w="3329" w:type="dxa"/>
            <w:vAlign w:val="center"/>
          </w:tcPr>
          <w:p>
            <w:pPr>
              <w:widowControl/>
              <w:jc w:val="right"/>
              <w:textAlignment w:val="center"/>
              <w:rPr>
                <w:rFonts w:ascii="宋体" w:hAnsi="宋体" w:cs="宋体"/>
                <w:color w:val="auto"/>
                <w:kern w:val="0"/>
                <w:sz w:val="20"/>
                <w:szCs w:val="20"/>
                <w:lang w:bidi="ar"/>
              </w:rPr>
            </w:pPr>
            <w:r>
              <w:rPr>
                <w:rFonts w:hint="eastAsia" w:ascii="仿宋" w:hAnsi="仿宋" w:eastAsia="仿宋" w:cs="仿宋"/>
                <w:color w:val="auto"/>
                <w:kern w:val="0"/>
                <w:sz w:val="20"/>
                <w:szCs w:val="20"/>
                <w:lang w:bidi="ar"/>
              </w:rPr>
              <w:t xml:space="preserve"> -238.34 </w:t>
            </w:r>
          </w:p>
        </w:tc>
        <w:tc>
          <w:tcPr>
            <w:tcW w:w="3330" w:type="dxa"/>
            <w:vAlign w:val="center"/>
          </w:tcPr>
          <w:p>
            <w:pPr>
              <w:widowControl/>
              <w:jc w:val="right"/>
              <w:textAlignment w:val="center"/>
              <w:rPr>
                <w:rFonts w:ascii="宋体" w:hAnsi="宋体" w:cs="宋体"/>
                <w:color w:val="auto"/>
                <w:kern w:val="0"/>
                <w:sz w:val="20"/>
                <w:szCs w:val="20"/>
                <w:highlight w:val="yellow"/>
              </w:rPr>
            </w:pPr>
            <w:r>
              <w:rPr>
                <w:rFonts w:hint="eastAsia" w:ascii="宋体" w:hAnsi="宋体" w:cs="宋体"/>
                <w:color w:val="auto"/>
                <w:kern w:val="0"/>
                <w:sz w:val="20"/>
                <w:szCs w:val="20"/>
                <w:lang w:bidi="ar"/>
              </w:rPr>
              <w:t xml:space="preserve"> -1,125.56 </w:t>
            </w:r>
          </w:p>
        </w:tc>
      </w:tr>
    </w:tbl>
    <w:p>
      <w:pPr>
        <w:pStyle w:val="22"/>
        <w:numPr>
          <w:ilvl w:val="255"/>
          <w:numId w:val="0"/>
        </w:numPr>
        <w:rPr>
          <w:color w:val="auto"/>
        </w:rPr>
      </w:pPr>
    </w:p>
    <w:p>
      <w:pPr>
        <w:autoSpaceDE w:val="0"/>
        <w:autoSpaceDN w:val="0"/>
        <w:adjustRightInd w:val="0"/>
        <w:spacing w:line="560" w:lineRule="exact"/>
        <w:rPr>
          <w:rFonts w:ascii="宋体" w:hAnsi="宋体" w:cs="宋体"/>
          <w:b/>
          <w:color w:val="auto"/>
          <w:kern w:val="0"/>
          <w:sz w:val="24"/>
          <w:szCs w:val="24"/>
        </w:rPr>
      </w:pPr>
      <w:r>
        <w:rPr>
          <w:rFonts w:hint="eastAsia" w:ascii="宋体" w:hAnsi="宋体" w:cs="宋体"/>
          <w:b/>
          <w:color w:val="auto"/>
          <w:kern w:val="0"/>
          <w:sz w:val="24"/>
          <w:szCs w:val="24"/>
        </w:rPr>
        <w:t>三、担保协议的主要内容</w:t>
      </w:r>
    </w:p>
    <w:p>
      <w:pPr>
        <w:autoSpaceDE w:val="0"/>
        <w:autoSpaceDN w:val="0"/>
        <w:adjustRightInd w:val="0"/>
        <w:spacing w:line="56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本次担保预计系为子公司提供的最高担保额度，在该担保额度内，公司将根据实际发生的担保在定期报告或进展公告中披露相应内容。</w:t>
      </w:r>
    </w:p>
    <w:p>
      <w:pPr>
        <w:autoSpaceDE w:val="0"/>
        <w:autoSpaceDN w:val="0"/>
        <w:adjustRightInd w:val="0"/>
        <w:spacing w:line="560" w:lineRule="exact"/>
        <w:rPr>
          <w:rFonts w:ascii="宋体" w:hAnsi="宋体" w:cs="宋体"/>
          <w:b/>
          <w:color w:val="auto"/>
          <w:sz w:val="24"/>
          <w:szCs w:val="24"/>
        </w:rPr>
      </w:pPr>
      <w:r>
        <w:rPr>
          <w:rFonts w:hint="eastAsia" w:ascii="宋体" w:hAnsi="宋体" w:cs="宋体"/>
          <w:b/>
          <w:color w:val="auto"/>
          <w:sz w:val="24"/>
          <w:szCs w:val="24"/>
        </w:rPr>
        <w:t>四、担保的必要性和合理性</w:t>
      </w:r>
    </w:p>
    <w:p>
      <w:pPr>
        <w:autoSpaceDE w:val="0"/>
        <w:autoSpaceDN w:val="0"/>
        <w:adjustRightInd w:val="0"/>
        <w:spacing w:line="56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本次担保主要为满足子公司日常生产经营需要，保证其生产经营活动的顺利开展，符合公司实际经营情况和整体发展战略，具有必要性和合理性。被担保对象为公司全资子公司，公司对其日常经营活动和资信状况能够及时掌握，担保风险总体可控，不存在损害公司及股东特别是中小股东利益的情形。</w:t>
      </w:r>
    </w:p>
    <w:p>
      <w:pPr>
        <w:autoSpaceDE w:val="0"/>
        <w:autoSpaceDN w:val="0"/>
        <w:adjustRightInd w:val="0"/>
        <w:spacing w:line="560" w:lineRule="exact"/>
        <w:rPr>
          <w:rFonts w:ascii="宋体" w:hAnsi="宋体" w:cs="宋体"/>
          <w:b/>
          <w:color w:val="auto"/>
          <w:sz w:val="24"/>
          <w:szCs w:val="24"/>
        </w:rPr>
      </w:pPr>
      <w:r>
        <w:rPr>
          <w:rFonts w:hint="eastAsia" w:ascii="宋体" w:hAnsi="宋体" w:cs="宋体"/>
          <w:b/>
          <w:color w:val="auto"/>
          <w:sz w:val="24"/>
          <w:szCs w:val="24"/>
        </w:rPr>
        <w:t>五、董事会意见</w:t>
      </w:r>
    </w:p>
    <w:p>
      <w:pPr>
        <w:tabs>
          <w:tab w:val="left" w:pos="3468"/>
        </w:tabs>
        <w:autoSpaceDE w:val="0"/>
        <w:autoSpaceDN w:val="0"/>
        <w:adjustRightInd w:val="0"/>
        <w:spacing w:line="560" w:lineRule="exact"/>
        <w:ind w:firstLine="460" w:firstLineChars="192"/>
        <w:rPr>
          <w:rFonts w:ascii="宋体" w:hAnsi="宋体" w:cs="宋体"/>
          <w:color w:val="auto"/>
          <w:sz w:val="24"/>
          <w:szCs w:val="24"/>
        </w:rPr>
      </w:pPr>
      <w:r>
        <w:rPr>
          <w:rFonts w:ascii="宋体" w:hAnsi="宋体" w:cs="宋体"/>
          <w:color w:val="auto"/>
          <w:sz w:val="24"/>
          <w:szCs w:val="24"/>
        </w:rPr>
        <w:t>董事会认为</w:t>
      </w:r>
      <w:r>
        <w:rPr>
          <w:rFonts w:hint="eastAsia" w:ascii="宋体" w:hAnsi="宋体" w:cs="宋体"/>
          <w:color w:val="auto"/>
          <w:sz w:val="24"/>
          <w:szCs w:val="24"/>
        </w:rPr>
        <w:t>，</w:t>
      </w:r>
      <w:r>
        <w:rPr>
          <w:rFonts w:ascii="宋体" w:hAnsi="宋体" w:cs="宋体"/>
          <w:color w:val="auto"/>
          <w:sz w:val="24"/>
          <w:szCs w:val="24"/>
        </w:rPr>
        <w:t>本次担保预计是考虑子公司日常经营需求，符合相关法律法规及公司章程的规定，担保风险总体可控，有利于公司的生产经营和长远发展，董事会</w:t>
      </w:r>
      <w:r>
        <w:rPr>
          <w:rFonts w:hint="eastAsia" w:ascii="宋体" w:hAnsi="宋体" w:cs="宋体"/>
          <w:color w:val="auto"/>
          <w:sz w:val="24"/>
          <w:szCs w:val="24"/>
        </w:rPr>
        <w:t>全票</w:t>
      </w:r>
      <w:r>
        <w:rPr>
          <w:rFonts w:ascii="宋体" w:hAnsi="宋体" w:cs="宋体"/>
          <w:color w:val="auto"/>
          <w:sz w:val="24"/>
          <w:szCs w:val="24"/>
        </w:rPr>
        <w:t>同意上述担保</w:t>
      </w:r>
      <w:r>
        <w:rPr>
          <w:rFonts w:hint="eastAsia" w:ascii="宋体" w:hAnsi="宋体" w:cs="宋体"/>
          <w:color w:val="auto"/>
          <w:sz w:val="24"/>
          <w:szCs w:val="24"/>
        </w:rPr>
        <w:t>事宜</w:t>
      </w:r>
      <w:r>
        <w:rPr>
          <w:rFonts w:ascii="宋体" w:hAnsi="宋体" w:cs="宋体"/>
          <w:color w:val="auto"/>
          <w:sz w:val="24"/>
          <w:szCs w:val="24"/>
        </w:rPr>
        <w:t>。</w:t>
      </w:r>
    </w:p>
    <w:p>
      <w:pPr>
        <w:tabs>
          <w:tab w:val="left" w:pos="3468"/>
        </w:tabs>
        <w:autoSpaceDE w:val="0"/>
        <w:autoSpaceDN w:val="0"/>
        <w:adjustRightInd w:val="0"/>
        <w:spacing w:line="560" w:lineRule="exact"/>
        <w:ind w:firstLine="460" w:firstLineChars="192"/>
        <w:rPr>
          <w:rFonts w:ascii="宋体" w:hAnsi="宋体" w:cs="宋体"/>
          <w:color w:val="auto"/>
          <w:sz w:val="24"/>
          <w:szCs w:val="24"/>
        </w:rPr>
      </w:pPr>
      <w:r>
        <w:rPr>
          <w:rFonts w:ascii="宋体" w:hAnsi="宋体" w:cs="宋体"/>
          <w:color w:val="auto"/>
          <w:sz w:val="24"/>
          <w:szCs w:val="24"/>
        </w:rPr>
        <w:t>公司独立董事认为</w:t>
      </w:r>
      <w:r>
        <w:rPr>
          <w:rFonts w:hint="eastAsia" w:ascii="宋体" w:hAnsi="宋体" w:cs="宋体"/>
          <w:color w:val="auto"/>
          <w:sz w:val="24"/>
          <w:szCs w:val="24"/>
        </w:rPr>
        <w:t>，公司拟为下属子公司提供担保，支持子公司发展，满足其生产经营需要，具有合理性。公司对子公司具有充分的控制力，能对其经营进行有效监控与管理，本次担保不会损害公司及股东特别是中小股东的利益；该担保事项的审议表决程序符合《上海证券交易所股票上市规则》及《公司章程》等相关法律法规和公司制度的规定。我们一致同意该议案并同意提交公司2024年第一次临时股东大会进行审议</w:t>
      </w:r>
      <w:r>
        <w:rPr>
          <w:rFonts w:ascii="宋体" w:hAnsi="宋体" w:cs="宋体"/>
          <w:color w:val="auto"/>
          <w:sz w:val="24"/>
          <w:szCs w:val="24"/>
        </w:rPr>
        <w:t>。</w:t>
      </w:r>
    </w:p>
    <w:p>
      <w:pPr>
        <w:pStyle w:val="16"/>
        <w:widowControl/>
        <w:numPr>
          <w:ilvl w:val="0"/>
          <w:numId w:val="5"/>
        </w:numPr>
        <w:rPr>
          <w:rFonts w:ascii="宋体" w:hAnsi="宋体" w:cs="宋体"/>
          <w:b/>
          <w:color w:val="auto"/>
          <w:kern w:val="2"/>
          <w:szCs w:val="24"/>
        </w:rPr>
      </w:pPr>
      <w:r>
        <w:rPr>
          <w:rFonts w:hint="eastAsia" w:ascii="宋体" w:hAnsi="宋体" w:cs="宋体"/>
          <w:b/>
          <w:color w:val="auto"/>
          <w:kern w:val="2"/>
          <w:szCs w:val="24"/>
        </w:rPr>
        <w:t>累计对外担保数量及逾期担保的数量</w:t>
      </w:r>
    </w:p>
    <w:p>
      <w:pPr>
        <w:autoSpaceDE w:val="0"/>
        <w:autoSpaceDN w:val="0"/>
        <w:adjustRightInd w:val="0"/>
        <w:spacing w:line="560" w:lineRule="exact"/>
        <w:ind w:firstLine="460" w:firstLineChars="192"/>
        <w:rPr>
          <w:rFonts w:ascii="宋体" w:hAnsi="宋体" w:cs="宋体"/>
          <w:color w:val="auto"/>
          <w:sz w:val="24"/>
          <w:szCs w:val="24"/>
        </w:rPr>
      </w:pPr>
      <w:r>
        <w:rPr>
          <w:rFonts w:hint="eastAsia" w:ascii="宋体" w:hAnsi="宋体" w:cs="宋体"/>
          <w:color w:val="auto"/>
          <w:sz w:val="24"/>
          <w:szCs w:val="24"/>
        </w:rPr>
        <w:t>截至</w:t>
      </w:r>
      <w:r>
        <w:rPr>
          <w:rFonts w:ascii="宋体" w:hAnsi="宋体" w:cs="宋体"/>
          <w:color w:val="auto"/>
          <w:sz w:val="24"/>
          <w:szCs w:val="24"/>
        </w:rPr>
        <w:t>2023</w:t>
      </w:r>
      <w:r>
        <w:rPr>
          <w:rFonts w:hint="eastAsia" w:ascii="宋体" w:hAnsi="宋体" w:cs="宋体"/>
          <w:color w:val="auto"/>
          <w:sz w:val="24"/>
          <w:szCs w:val="24"/>
        </w:rPr>
        <w:t>年</w:t>
      </w:r>
      <w:r>
        <w:rPr>
          <w:rFonts w:ascii="宋体" w:hAnsi="宋体" w:cs="宋体"/>
          <w:color w:val="auto"/>
          <w:sz w:val="24"/>
          <w:szCs w:val="24"/>
        </w:rPr>
        <w:t>12</w:t>
      </w:r>
      <w:r>
        <w:rPr>
          <w:rFonts w:hint="eastAsia" w:ascii="宋体" w:hAnsi="宋体" w:cs="宋体"/>
          <w:color w:val="auto"/>
          <w:sz w:val="24"/>
          <w:szCs w:val="24"/>
        </w:rPr>
        <w:t>月</w:t>
      </w:r>
      <w:r>
        <w:rPr>
          <w:rFonts w:ascii="宋体" w:hAnsi="宋体" w:cs="宋体"/>
          <w:color w:val="auto"/>
          <w:sz w:val="24"/>
          <w:szCs w:val="24"/>
        </w:rPr>
        <w:t>31</w:t>
      </w:r>
      <w:r>
        <w:rPr>
          <w:rFonts w:hint="eastAsia" w:ascii="宋体" w:hAnsi="宋体" w:cs="宋体"/>
          <w:color w:val="auto"/>
          <w:sz w:val="24"/>
          <w:szCs w:val="24"/>
        </w:rPr>
        <w:t>日，公司及控股子公司对外担保总额为</w:t>
      </w:r>
      <w:r>
        <w:rPr>
          <w:rFonts w:ascii="宋体" w:hAnsi="宋体" w:cs="宋体"/>
          <w:color w:val="auto"/>
          <w:sz w:val="24"/>
          <w:szCs w:val="24"/>
        </w:rPr>
        <w:t>8,000</w:t>
      </w:r>
      <w:r>
        <w:rPr>
          <w:rFonts w:hint="eastAsia" w:ascii="宋体" w:hAnsi="宋体" w:cs="宋体"/>
          <w:color w:val="auto"/>
          <w:sz w:val="24"/>
          <w:szCs w:val="24"/>
          <w:lang w:val="en-US" w:eastAsia="zh-CN"/>
        </w:rPr>
        <w:t>.00</w:t>
      </w:r>
      <w:r>
        <w:rPr>
          <w:rFonts w:hint="eastAsia" w:ascii="宋体" w:hAnsi="宋体" w:cs="宋体"/>
          <w:color w:val="auto"/>
          <w:sz w:val="24"/>
          <w:szCs w:val="24"/>
        </w:rPr>
        <w:t>万元，余额为</w:t>
      </w:r>
      <w:r>
        <w:rPr>
          <w:rFonts w:ascii="宋体" w:hAnsi="宋体" w:cs="宋体"/>
          <w:color w:val="auto"/>
          <w:sz w:val="24"/>
          <w:szCs w:val="24"/>
        </w:rPr>
        <w:t>5,888</w:t>
      </w:r>
      <w:r>
        <w:rPr>
          <w:rFonts w:hint="eastAsia" w:ascii="宋体" w:hAnsi="宋体" w:cs="宋体"/>
          <w:color w:val="auto"/>
          <w:sz w:val="24"/>
          <w:szCs w:val="24"/>
          <w:lang w:val="en-US" w:eastAsia="zh-CN"/>
        </w:rPr>
        <w:t>.00</w:t>
      </w:r>
      <w:r>
        <w:rPr>
          <w:rFonts w:hint="eastAsia" w:ascii="宋体" w:hAnsi="宋体" w:cs="宋体"/>
          <w:color w:val="auto"/>
          <w:sz w:val="24"/>
          <w:szCs w:val="24"/>
        </w:rPr>
        <w:t>万元（不含本次），系公司为全资子公司黔南望江变压器有限公司提供的担保，余额占公司最近一期经审计归属于上市公司股东的净资产的</w:t>
      </w:r>
      <w:r>
        <w:rPr>
          <w:rFonts w:ascii="宋体" w:hAnsi="宋体" w:cs="宋体"/>
          <w:color w:val="auto"/>
          <w:sz w:val="24"/>
          <w:szCs w:val="24"/>
        </w:rPr>
        <w:t>2.60%</w:t>
      </w:r>
      <w:r>
        <w:rPr>
          <w:rFonts w:hint="eastAsia" w:ascii="宋体" w:hAnsi="宋体" w:cs="宋体"/>
          <w:color w:val="auto"/>
          <w:sz w:val="24"/>
          <w:szCs w:val="24"/>
        </w:rPr>
        <w:t>，不存在逾期担保。</w:t>
      </w:r>
    </w:p>
    <w:p>
      <w:pPr>
        <w:pStyle w:val="16"/>
        <w:widowControl/>
        <w:numPr>
          <w:ilvl w:val="0"/>
          <w:numId w:val="5"/>
        </w:numPr>
        <w:rPr>
          <w:rFonts w:ascii="宋体" w:hAnsi="宋体" w:cs="宋体"/>
          <w:b/>
          <w:color w:val="auto"/>
          <w:kern w:val="2"/>
          <w:szCs w:val="24"/>
          <w:lang w:val="zh-TW" w:eastAsia="zh-TW"/>
        </w:rPr>
      </w:pPr>
      <w:r>
        <w:rPr>
          <w:rFonts w:hint="eastAsia" w:ascii="宋体" w:hAnsi="宋体" w:cs="宋体"/>
          <w:b/>
          <w:color w:val="auto"/>
          <w:kern w:val="2"/>
          <w:szCs w:val="24"/>
          <w:lang w:val="zh-TW" w:eastAsia="zh-TW"/>
        </w:rPr>
        <w:t>保荐</w:t>
      </w:r>
      <w:r>
        <w:rPr>
          <w:rFonts w:hint="eastAsia" w:ascii="宋体" w:hAnsi="宋体" w:cs="宋体"/>
          <w:b/>
          <w:color w:val="auto"/>
          <w:kern w:val="2"/>
          <w:szCs w:val="24"/>
        </w:rPr>
        <w:t>机构</w:t>
      </w:r>
      <w:r>
        <w:rPr>
          <w:rFonts w:hint="eastAsia" w:ascii="宋体" w:hAnsi="宋体" w:cs="宋体"/>
          <w:b/>
          <w:color w:val="auto"/>
          <w:kern w:val="2"/>
          <w:szCs w:val="24"/>
          <w:lang w:val="zh-TW" w:eastAsia="zh-TW"/>
        </w:rPr>
        <w:t>核查意见</w:t>
      </w:r>
    </w:p>
    <w:p>
      <w:pPr>
        <w:autoSpaceDE w:val="0"/>
        <w:autoSpaceDN w:val="0"/>
        <w:adjustRightInd w:val="0"/>
        <w:spacing w:line="560" w:lineRule="exact"/>
        <w:ind w:firstLine="460" w:firstLineChars="192"/>
        <w:rPr>
          <w:rFonts w:ascii="宋体" w:hAnsi="宋体" w:cs="宋体"/>
          <w:color w:val="auto"/>
          <w:sz w:val="24"/>
          <w:szCs w:val="24"/>
        </w:rPr>
      </w:pPr>
      <w:r>
        <w:rPr>
          <w:rFonts w:hint="eastAsia" w:ascii="宋体" w:hAnsi="宋体" w:cs="宋体"/>
          <w:color w:val="auto"/>
          <w:sz w:val="24"/>
          <w:szCs w:val="24"/>
        </w:rPr>
        <w:t>经核查，保荐机构认为：公司预计2024年度对子公司的新增担保额度，是为了满足公司经营及发展需求，该事项已经公司董事会、监事会审议通过，尚需提交股东大会审议，其决策程序合法、有效，符合法律法规及相关文件的规定，未损害公司及股东的利益。</w:t>
      </w:r>
    </w:p>
    <w:p>
      <w:pPr>
        <w:autoSpaceDE w:val="0"/>
        <w:autoSpaceDN w:val="0"/>
        <w:adjustRightInd w:val="0"/>
        <w:spacing w:line="560" w:lineRule="exact"/>
        <w:ind w:firstLine="460" w:firstLineChars="192"/>
        <w:rPr>
          <w:rFonts w:ascii="宋体" w:hAnsi="宋体" w:cs="宋体"/>
          <w:color w:val="auto"/>
          <w:sz w:val="24"/>
          <w:szCs w:val="24"/>
        </w:rPr>
      </w:pPr>
      <w:r>
        <w:rPr>
          <w:rFonts w:hint="eastAsia" w:ascii="宋体" w:hAnsi="宋体" w:cs="宋体"/>
          <w:color w:val="auto"/>
          <w:sz w:val="24"/>
          <w:szCs w:val="24"/>
        </w:rPr>
        <w:t>综上，保荐机构对公司预计2024年度对子公司的新增担保额度的相关事项无异议。</w:t>
      </w:r>
    </w:p>
    <w:p>
      <w:pPr>
        <w:autoSpaceDE w:val="0"/>
        <w:autoSpaceDN w:val="0"/>
        <w:adjustRightInd w:val="0"/>
        <w:spacing w:line="560" w:lineRule="exact"/>
        <w:ind w:firstLine="460" w:firstLineChars="192"/>
        <w:rPr>
          <w:rFonts w:ascii="宋体" w:hAnsi="宋体" w:cs="宋体"/>
          <w:b/>
          <w:color w:val="auto"/>
          <w:sz w:val="24"/>
          <w:szCs w:val="24"/>
        </w:rPr>
      </w:pPr>
      <w:r>
        <w:rPr>
          <w:rFonts w:hint="eastAsia" w:ascii="宋体" w:hAnsi="宋体" w:cs="宋体"/>
          <w:color w:val="auto"/>
          <w:kern w:val="0"/>
          <w:sz w:val="24"/>
          <w:szCs w:val="24"/>
        </w:rPr>
        <w:t>特此公告。</w:t>
      </w:r>
    </w:p>
    <w:p>
      <w:pPr>
        <w:autoSpaceDE w:val="0"/>
        <w:autoSpaceDN w:val="0"/>
        <w:adjustRightInd w:val="0"/>
        <w:spacing w:line="560" w:lineRule="exact"/>
        <w:jc w:val="left"/>
        <w:rPr>
          <w:rFonts w:ascii="宋体" w:hAnsi="宋体" w:cs="宋体"/>
          <w:color w:val="auto"/>
          <w:kern w:val="0"/>
          <w:sz w:val="24"/>
          <w:szCs w:val="24"/>
        </w:rPr>
      </w:pPr>
    </w:p>
    <w:p>
      <w:pPr>
        <w:adjustRightInd w:val="0"/>
        <w:snapToGrid w:val="0"/>
        <w:spacing w:line="560" w:lineRule="exact"/>
        <w:ind w:firstLine="480" w:firstLineChars="200"/>
        <w:jc w:val="right"/>
        <w:rPr>
          <w:rFonts w:ascii="宋体" w:hAnsi="宋体"/>
          <w:color w:val="auto"/>
          <w:sz w:val="24"/>
          <w:szCs w:val="24"/>
        </w:rPr>
      </w:pPr>
      <w:r>
        <w:rPr>
          <w:rFonts w:hint="eastAsia" w:ascii="宋体" w:hAnsi="宋体" w:cs="宋体"/>
          <w:color w:val="auto"/>
          <w:kern w:val="0"/>
          <w:sz w:val="24"/>
          <w:szCs w:val="24"/>
        </w:rPr>
        <w:t>重庆望变电气（集团）</w:t>
      </w:r>
      <w:r>
        <w:rPr>
          <w:rFonts w:hint="eastAsia" w:ascii="宋体" w:hAnsi="宋体" w:cs="仿宋_GB2312"/>
          <w:color w:val="auto"/>
          <w:sz w:val="24"/>
          <w:szCs w:val="24"/>
        </w:rPr>
        <w:t>股</w:t>
      </w:r>
      <w:r>
        <w:rPr>
          <w:rFonts w:hint="eastAsia" w:ascii="宋体" w:hAnsi="宋体"/>
          <w:color w:val="auto"/>
          <w:sz w:val="24"/>
          <w:szCs w:val="24"/>
        </w:rPr>
        <w:t>份有限公司董事会</w:t>
      </w:r>
    </w:p>
    <w:p>
      <w:pPr>
        <w:adjustRightInd w:val="0"/>
        <w:snapToGrid w:val="0"/>
        <w:spacing w:line="560" w:lineRule="exact"/>
        <w:ind w:firstLine="480" w:firstLineChars="200"/>
        <w:jc w:val="right"/>
        <w:rPr>
          <w:rFonts w:ascii="宋体" w:hAnsi="宋体"/>
          <w:color w:val="auto"/>
          <w:sz w:val="24"/>
          <w:szCs w:val="24"/>
        </w:rPr>
      </w:pPr>
      <w:r>
        <w:rPr>
          <w:rFonts w:ascii="宋体" w:hAnsi="宋体"/>
          <w:color w:val="auto"/>
          <w:sz w:val="24"/>
          <w:szCs w:val="24"/>
        </w:rPr>
        <w:t>202</w:t>
      </w:r>
      <w:r>
        <w:rPr>
          <w:rFonts w:hint="eastAsia" w:ascii="宋体" w:hAnsi="宋体"/>
          <w:color w:val="auto"/>
          <w:sz w:val="24"/>
          <w:szCs w:val="24"/>
        </w:rPr>
        <w:t>4年1月22日</w:t>
      </w:r>
    </w:p>
    <w:p>
      <w:pPr>
        <w:spacing w:line="560" w:lineRule="exact"/>
        <w:jc w:val="right"/>
        <w:rPr>
          <w:rFonts w:ascii="宋体" w:hAnsi="宋体" w:cs="宋体"/>
          <w:color w:val="auto"/>
          <w:kern w:val="0"/>
          <w:sz w:val="24"/>
          <w:szCs w:val="24"/>
        </w:rPr>
      </w:pPr>
    </w:p>
    <w:p>
      <w:pPr>
        <w:autoSpaceDE w:val="0"/>
        <w:autoSpaceDN w:val="0"/>
        <w:adjustRightInd w:val="0"/>
        <w:snapToGrid w:val="0"/>
        <w:spacing w:line="560" w:lineRule="exact"/>
        <w:ind w:firstLine="480" w:firstLineChars="200"/>
        <w:rPr>
          <w:rFonts w:ascii="宋体" w:hAnsi="宋体" w:cs="宋体"/>
          <w:color w:val="auto"/>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501252"/>
    </w:sdtPr>
    <w:sdtContent>
      <w:p>
        <w:pPr>
          <w:pStyle w:val="9"/>
          <w:jc w:val="center"/>
        </w:pPr>
        <w:r>
          <w:fldChar w:fldCharType="begin"/>
        </w:r>
        <w:r>
          <w:instrText xml:space="preserve"> PAGE   \* MERGEFORMAT </w:instrText>
        </w:r>
        <w:r>
          <w:fldChar w:fldCharType="separate"/>
        </w:r>
        <w:r>
          <w:rPr>
            <w:lang w:val="zh-CN"/>
          </w:rPr>
          <w:t>4</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C2E0ED"/>
    <w:multiLevelType w:val="singleLevel"/>
    <w:tmpl w:val="B8C2E0ED"/>
    <w:lvl w:ilvl="0" w:tentative="0">
      <w:start w:val="2"/>
      <w:numFmt w:val="chineseCounting"/>
      <w:suff w:val="nothing"/>
      <w:lvlText w:val="（%1）"/>
      <w:lvlJc w:val="left"/>
      <w:rPr>
        <w:rFonts w:hint="eastAsia"/>
      </w:rPr>
    </w:lvl>
  </w:abstractNum>
  <w:abstractNum w:abstractNumId="1">
    <w:nsid w:val="B8F92DDF"/>
    <w:multiLevelType w:val="singleLevel"/>
    <w:tmpl w:val="B8F92DDF"/>
    <w:lvl w:ilvl="0" w:tentative="0">
      <w:start w:val="6"/>
      <w:numFmt w:val="chineseCounting"/>
      <w:suff w:val="nothing"/>
      <w:lvlText w:val="%1、"/>
      <w:lvlJc w:val="left"/>
      <w:rPr>
        <w:rFonts w:hint="eastAsia"/>
      </w:rPr>
    </w:lvl>
  </w:abstractNum>
  <w:abstractNum w:abstractNumId="2">
    <w:nsid w:val="D5604579"/>
    <w:multiLevelType w:val="singleLevel"/>
    <w:tmpl w:val="D5604579"/>
    <w:lvl w:ilvl="0" w:tentative="0">
      <w:start w:val="1"/>
      <w:numFmt w:val="bullet"/>
      <w:lvlText w:val=""/>
      <w:lvlJc w:val="left"/>
      <w:pPr>
        <w:ind w:left="420" w:hanging="420"/>
      </w:pPr>
      <w:rPr>
        <w:rFonts w:hint="default" w:ascii="Wingdings" w:hAnsi="Wingdings"/>
      </w:rPr>
    </w:lvl>
  </w:abstractNum>
  <w:abstractNum w:abstractNumId="3">
    <w:nsid w:val="0ADE8AB6"/>
    <w:multiLevelType w:val="singleLevel"/>
    <w:tmpl w:val="0ADE8AB6"/>
    <w:lvl w:ilvl="0" w:tentative="0">
      <w:start w:val="2"/>
      <w:numFmt w:val="decimal"/>
      <w:suff w:val="nothing"/>
      <w:lvlText w:val="%1、"/>
      <w:lvlJc w:val="left"/>
      <w:pPr>
        <w:ind w:left="360" w:firstLine="0"/>
      </w:pPr>
    </w:lvl>
  </w:abstractNum>
  <w:abstractNum w:abstractNumId="4">
    <w:nsid w:val="22712713"/>
    <w:multiLevelType w:val="singleLevel"/>
    <w:tmpl w:val="22712713"/>
    <w:lvl w:ilvl="0" w:tentative="0">
      <w:start w:val="1"/>
      <w:numFmt w:val="bullet"/>
      <w:pStyle w:val="24"/>
      <w:lvlText w:val=""/>
      <w:lvlJc w:val="left"/>
      <w:pPr>
        <w:ind w:left="420" w:hanging="420"/>
      </w:pPr>
      <w:rPr>
        <w:rFonts w:hint="default" w:ascii="Wingdings" w:hAnsi="Wingdings"/>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zZmRmZDMxMjkwMDE2NTk0ZWQ1ZWYwMzRmYjVhNmUifQ=="/>
  </w:docVars>
  <w:rsids>
    <w:rsidRoot w:val="00BF2ECD"/>
    <w:rsid w:val="00000558"/>
    <w:rsid w:val="00000BC9"/>
    <w:rsid w:val="00037429"/>
    <w:rsid w:val="00044B7A"/>
    <w:rsid w:val="000507FA"/>
    <w:rsid w:val="00050D8C"/>
    <w:rsid w:val="00051D15"/>
    <w:rsid w:val="00054EEE"/>
    <w:rsid w:val="00060DFA"/>
    <w:rsid w:val="00064333"/>
    <w:rsid w:val="000671F4"/>
    <w:rsid w:val="0007156E"/>
    <w:rsid w:val="000764C3"/>
    <w:rsid w:val="00082408"/>
    <w:rsid w:val="00087F94"/>
    <w:rsid w:val="00095674"/>
    <w:rsid w:val="000A490B"/>
    <w:rsid w:val="000B677B"/>
    <w:rsid w:val="00124FA5"/>
    <w:rsid w:val="00125C8C"/>
    <w:rsid w:val="00126188"/>
    <w:rsid w:val="001335CF"/>
    <w:rsid w:val="001368F4"/>
    <w:rsid w:val="001619B6"/>
    <w:rsid w:val="00161C50"/>
    <w:rsid w:val="001631B1"/>
    <w:rsid w:val="00177222"/>
    <w:rsid w:val="001903B0"/>
    <w:rsid w:val="001B5730"/>
    <w:rsid w:val="001C165F"/>
    <w:rsid w:val="001C235A"/>
    <w:rsid w:val="001D0405"/>
    <w:rsid w:val="001E4E44"/>
    <w:rsid w:val="001E7562"/>
    <w:rsid w:val="001F0293"/>
    <w:rsid w:val="001F3BAD"/>
    <w:rsid w:val="002032FC"/>
    <w:rsid w:val="002051AC"/>
    <w:rsid w:val="00207506"/>
    <w:rsid w:val="002114BE"/>
    <w:rsid w:val="00224E96"/>
    <w:rsid w:val="00246976"/>
    <w:rsid w:val="00266A7C"/>
    <w:rsid w:val="00272D61"/>
    <w:rsid w:val="002878A7"/>
    <w:rsid w:val="00294DFB"/>
    <w:rsid w:val="002B1A65"/>
    <w:rsid w:val="002B291C"/>
    <w:rsid w:val="002C32E2"/>
    <w:rsid w:val="002C3AF3"/>
    <w:rsid w:val="002C5387"/>
    <w:rsid w:val="002D6A43"/>
    <w:rsid w:val="002E2215"/>
    <w:rsid w:val="002F1340"/>
    <w:rsid w:val="002F33C4"/>
    <w:rsid w:val="002F6DC2"/>
    <w:rsid w:val="002F6FD5"/>
    <w:rsid w:val="0030115C"/>
    <w:rsid w:val="003051B5"/>
    <w:rsid w:val="00313A26"/>
    <w:rsid w:val="00335DCA"/>
    <w:rsid w:val="00342251"/>
    <w:rsid w:val="00343F60"/>
    <w:rsid w:val="00352F3F"/>
    <w:rsid w:val="003A3C4B"/>
    <w:rsid w:val="003A4934"/>
    <w:rsid w:val="003A6877"/>
    <w:rsid w:val="003B5E5C"/>
    <w:rsid w:val="003C13ED"/>
    <w:rsid w:val="003D1D39"/>
    <w:rsid w:val="003D4987"/>
    <w:rsid w:val="003D500E"/>
    <w:rsid w:val="003E399E"/>
    <w:rsid w:val="003F26EB"/>
    <w:rsid w:val="00412966"/>
    <w:rsid w:val="004166FA"/>
    <w:rsid w:val="00421FBB"/>
    <w:rsid w:val="00432414"/>
    <w:rsid w:val="004417CE"/>
    <w:rsid w:val="004617FD"/>
    <w:rsid w:val="00481530"/>
    <w:rsid w:val="004A27BC"/>
    <w:rsid w:val="004B6940"/>
    <w:rsid w:val="004C3D35"/>
    <w:rsid w:val="004E11B1"/>
    <w:rsid w:val="004F4D81"/>
    <w:rsid w:val="004F792E"/>
    <w:rsid w:val="00501890"/>
    <w:rsid w:val="0050197F"/>
    <w:rsid w:val="00507042"/>
    <w:rsid w:val="0052284A"/>
    <w:rsid w:val="0052751C"/>
    <w:rsid w:val="00563DEF"/>
    <w:rsid w:val="00593D94"/>
    <w:rsid w:val="005950D7"/>
    <w:rsid w:val="005A5697"/>
    <w:rsid w:val="005B06D0"/>
    <w:rsid w:val="005B1790"/>
    <w:rsid w:val="005B1CE9"/>
    <w:rsid w:val="005E015E"/>
    <w:rsid w:val="005E0D94"/>
    <w:rsid w:val="006004F3"/>
    <w:rsid w:val="0061300F"/>
    <w:rsid w:val="0061302E"/>
    <w:rsid w:val="00616B8A"/>
    <w:rsid w:val="00621D2E"/>
    <w:rsid w:val="00623320"/>
    <w:rsid w:val="006233E1"/>
    <w:rsid w:val="00631267"/>
    <w:rsid w:val="006414A6"/>
    <w:rsid w:val="00656B76"/>
    <w:rsid w:val="0065737B"/>
    <w:rsid w:val="006754DD"/>
    <w:rsid w:val="00692CB8"/>
    <w:rsid w:val="006B13DA"/>
    <w:rsid w:val="006B2315"/>
    <w:rsid w:val="006B45CE"/>
    <w:rsid w:val="006B6910"/>
    <w:rsid w:val="006C6811"/>
    <w:rsid w:val="006D1676"/>
    <w:rsid w:val="006D6459"/>
    <w:rsid w:val="007041A1"/>
    <w:rsid w:val="00713C80"/>
    <w:rsid w:val="00732D11"/>
    <w:rsid w:val="0073774F"/>
    <w:rsid w:val="00745B5F"/>
    <w:rsid w:val="0076073C"/>
    <w:rsid w:val="00776B0C"/>
    <w:rsid w:val="007946B0"/>
    <w:rsid w:val="007A42EC"/>
    <w:rsid w:val="007A54FF"/>
    <w:rsid w:val="007B4990"/>
    <w:rsid w:val="007C343C"/>
    <w:rsid w:val="007C655F"/>
    <w:rsid w:val="007D539C"/>
    <w:rsid w:val="00816C8F"/>
    <w:rsid w:val="00826B51"/>
    <w:rsid w:val="0083455D"/>
    <w:rsid w:val="008625FB"/>
    <w:rsid w:val="00866013"/>
    <w:rsid w:val="00885E01"/>
    <w:rsid w:val="00891EE8"/>
    <w:rsid w:val="008A76CD"/>
    <w:rsid w:val="008B360D"/>
    <w:rsid w:val="008B4652"/>
    <w:rsid w:val="008C75E8"/>
    <w:rsid w:val="008D10ED"/>
    <w:rsid w:val="008D7908"/>
    <w:rsid w:val="008D7D16"/>
    <w:rsid w:val="008E2FF0"/>
    <w:rsid w:val="00912197"/>
    <w:rsid w:val="00913A1A"/>
    <w:rsid w:val="009238FB"/>
    <w:rsid w:val="009477DC"/>
    <w:rsid w:val="009536D8"/>
    <w:rsid w:val="00955454"/>
    <w:rsid w:val="00955DC4"/>
    <w:rsid w:val="00960BDB"/>
    <w:rsid w:val="00962784"/>
    <w:rsid w:val="0096329B"/>
    <w:rsid w:val="0097194D"/>
    <w:rsid w:val="009752E9"/>
    <w:rsid w:val="00977420"/>
    <w:rsid w:val="0099027E"/>
    <w:rsid w:val="00992A41"/>
    <w:rsid w:val="009A242D"/>
    <w:rsid w:val="009A3EBC"/>
    <w:rsid w:val="009C3379"/>
    <w:rsid w:val="00A06636"/>
    <w:rsid w:val="00A20224"/>
    <w:rsid w:val="00A317FA"/>
    <w:rsid w:val="00A369A9"/>
    <w:rsid w:val="00A4773A"/>
    <w:rsid w:val="00A50776"/>
    <w:rsid w:val="00A56BD4"/>
    <w:rsid w:val="00A80442"/>
    <w:rsid w:val="00A87F63"/>
    <w:rsid w:val="00A9108C"/>
    <w:rsid w:val="00AA1DF6"/>
    <w:rsid w:val="00AA36C5"/>
    <w:rsid w:val="00AC6182"/>
    <w:rsid w:val="00AD2992"/>
    <w:rsid w:val="00AD7080"/>
    <w:rsid w:val="00AF4CB2"/>
    <w:rsid w:val="00B10348"/>
    <w:rsid w:val="00B10A2A"/>
    <w:rsid w:val="00B12308"/>
    <w:rsid w:val="00B13505"/>
    <w:rsid w:val="00B152B7"/>
    <w:rsid w:val="00B253D1"/>
    <w:rsid w:val="00B25554"/>
    <w:rsid w:val="00B3338B"/>
    <w:rsid w:val="00B35C9C"/>
    <w:rsid w:val="00B575AF"/>
    <w:rsid w:val="00B65460"/>
    <w:rsid w:val="00B656C4"/>
    <w:rsid w:val="00B66D7C"/>
    <w:rsid w:val="00B90010"/>
    <w:rsid w:val="00B96BB6"/>
    <w:rsid w:val="00BC4BBB"/>
    <w:rsid w:val="00BD7901"/>
    <w:rsid w:val="00BE0431"/>
    <w:rsid w:val="00BE7AC6"/>
    <w:rsid w:val="00BF2ECD"/>
    <w:rsid w:val="00BF54FF"/>
    <w:rsid w:val="00C061F6"/>
    <w:rsid w:val="00C11DBC"/>
    <w:rsid w:val="00C21159"/>
    <w:rsid w:val="00C2610B"/>
    <w:rsid w:val="00C321FA"/>
    <w:rsid w:val="00C335E9"/>
    <w:rsid w:val="00C37A23"/>
    <w:rsid w:val="00C5077D"/>
    <w:rsid w:val="00C515E8"/>
    <w:rsid w:val="00C55AA9"/>
    <w:rsid w:val="00C578DC"/>
    <w:rsid w:val="00C57B6A"/>
    <w:rsid w:val="00C64E83"/>
    <w:rsid w:val="00C800AF"/>
    <w:rsid w:val="00CA5962"/>
    <w:rsid w:val="00CA5E22"/>
    <w:rsid w:val="00CC2A94"/>
    <w:rsid w:val="00CC6A06"/>
    <w:rsid w:val="00CD0630"/>
    <w:rsid w:val="00CE38B0"/>
    <w:rsid w:val="00D0021B"/>
    <w:rsid w:val="00D060E9"/>
    <w:rsid w:val="00D061EC"/>
    <w:rsid w:val="00D12713"/>
    <w:rsid w:val="00D14999"/>
    <w:rsid w:val="00D20476"/>
    <w:rsid w:val="00D348AE"/>
    <w:rsid w:val="00D36CEC"/>
    <w:rsid w:val="00D37022"/>
    <w:rsid w:val="00D40D5F"/>
    <w:rsid w:val="00D51495"/>
    <w:rsid w:val="00D6642E"/>
    <w:rsid w:val="00DA6BAB"/>
    <w:rsid w:val="00DB4349"/>
    <w:rsid w:val="00DD1465"/>
    <w:rsid w:val="00DD3A5B"/>
    <w:rsid w:val="00DD5D73"/>
    <w:rsid w:val="00DE0D68"/>
    <w:rsid w:val="00DE24A1"/>
    <w:rsid w:val="00DE2FB4"/>
    <w:rsid w:val="00E1723F"/>
    <w:rsid w:val="00E2700A"/>
    <w:rsid w:val="00E313D8"/>
    <w:rsid w:val="00E35CC1"/>
    <w:rsid w:val="00E360F6"/>
    <w:rsid w:val="00E50EF5"/>
    <w:rsid w:val="00E54250"/>
    <w:rsid w:val="00E62DAF"/>
    <w:rsid w:val="00E92E43"/>
    <w:rsid w:val="00E97E71"/>
    <w:rsid w:val="00EA34E8"/>
    <w:rsid w:val="00EC5C5A"/>
    <w:rsid w:val="00ED0055"/>
    <w:rsid w:val="00EF138E"/>
    <w:rsid w:val="00EF74FD"/>
    <w:rsid w:val="00F16E07"/>
    <w:rsid w:val="00F2365C"/>
    <w:rsid w:val="00F60665"/>
    <w:rsid w:val="00F65A6F"/>
    <w:rsid w:val="00F77490"/>
    <w:rsid w:val="00F84CFA"/>
    <w:rsid w:val="00F967B2"/>
    <w:rsid w:val="00FA1CAB"/>
    <w:rsid w:val="00FD1980"/>
    <w:rsid w:val="00FE0712"/>
    <w:rsid w:val="02066364"/>
    <w:rsid w:val="02815CE9"/>
    <w:rsid w:val="03134C0F"/>
    <w:rsid w:val="032D4E3E"/>
    <w:rsid w:val="073B5BC9"/>
    <w:rsid w:val="07BE292C"/>
    <w:rsid w:val="07C65CA5"/>
    <w:rsid w:val="08514037"/>
    <w:rsid w:val="096251C7"/>
    <w:rsid w:val="11F04FB0"/>
    <w:rsid w:val="11FD41AB"/>
    <w:rsid w:val="1E79312C"/>
    <w:rsid w:val="213B1B76"/>
    <w:rsid w:val="230A0721"/>
    <w:rsid w:val="24100647"/>
    <w:rsid w:val="24BC60E2"/>
    <w:rsid w:val="251B37E1"/>
    <w:rsid w:val="26401ABD"/>
    <w:rsid w:val="2AAC23F9"/>
    <w:rsid w:val="2C422599"/>
    <w:rsid w:val="2FB04883"/>
    <w:rsid w:val="30FC41DF"/>
    <w:rsid w:val="36372CA9"/>
    <w:rsid w:val="381C2D1C"/>
    <w:rsid w:val="39E2569B"/>
    <w:rsid w:val="3A8D0F72"/>
    <w:rsid w:val="3A960DE3"/>
    <w:rsid w:val="3C6F4907"/>
    <w:rsid w:val="3CF573AA"/>
    <w:rsid w:val="3D624079"/>
    <w:rsid w:val="3FFBD36B"/>
    <w:rsid w:val="42275509"/>
    <w:rsid w:val="4611554A"/>
    <w:rsid w:val="499F1D78"/>
    <w:rsid w:val="4A983129"/>
    <w:rsid w:val="4D556624"/>
    <w:rsid w:val="524C7FC2"/>
    <w:rsid w:val="52E00474"/>
    <w:rsid w:val="53202F13"/>
    <w:rsid w:val="565D3A9C"/>
    <w:rsid w:val="57C86637"/>
    <w:rsid w:val="59531228"/>
    <w:rsid w:val="5BA66D99"/>
    <w:rsid w:val="5C7436E9"/>
    <w:rsid w:val="5C8255FD"/>
    <w:rsid w:val="5CEE2784"/>
    <w:rsid w:val="5D0E2A44"/>
    <w:rsid w:val="5FE3F82D"/>
    <w:rsid w:val="611F29C3"/>
    <w:rsid w:val="61AD670E"/>
    <w:rsid w:val="620A112B"/>
    <w:rsid w:val="67DC6589"/>
    <w:rsid w:val="69D24BFB"/>
    <w:rsid w:val="6BE74894"/>
    <w:rsid w:val="6EEE5B5B"/>
    <w:rsid w:val="6F6946EC"/>
    <w:rsid w:val="6F8D7841"/>
    <w:rsid w:val="757F06CF"/>
    <w:rsid w:val="75B740CF"/>
    <w:rsid w:val="78852C26"/>
    <w:rsid w:val="794B6266"/>
    <w:rsid w:val="7E0457F8"/>
    <w:rsid w:val="7EFD57C1"/>
    <w:rsid w:val="7FE01AFA"/>
    <w:rsid w:val="FDA7D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toc 7"/>
    <w:basedOn w:val="1"/>
    <w:next w:val="1"/>
    <w:autoRedefine/>
    <w:semiHidden/>
    <w:unhideWhenUsed/>
    <w:qFormat/>
    <w:uiPriority w:val="39"/>
    <w:pPr>
      <w:ind w:left="2520" w:leftChars="1200"/>
    </w:pPr>
  </w:style>
  <w:style w:type="paragraph" w:styleId="3">
    <w:name w:val="annotation text"/>
    <w:basedOn w:val="1"/>
    <w:link w:val="29"/>
    <w:autoRedefine/>
    <w:unhideWhenUsed/>
    <w:qFormat/>
    <w:uiPriority w:val="0"/>
    <w:pPr>
      <w:jc w:val="left"/>
    </w:pPr>
  </w:style>
  <w:style w:type="paragraph" w:styleId="4">
    <w:name w:val="Body Text"/>
    <w:basedOn w:val="1"/>
    <w:autoRedefine/>
    <w:semiHidden/>
    <w:qFormat/>
    <w:uiPriority w:val="0"/>
    <w:rPr>
      <w:rFonts w:ascii="宋体" w:hAnsi="宋体" w:cs="宋体"/>
      <w:sz w:val="35"/>
      <w:szCs w:val="35"/>
      <w:lang w:eastAsia="en-US"/>
    </w:rPr>
  </w:style>
  <w:style w:type="paragraph" w:styleId="5">
    <w:name w:val="toc 5"/>
    <w:basedOn w:val="1"/>
    <w:next w:val="1"/>
    <w:autoRedefine/>
    <w:semiHidden/>
    <w:unhideWhenUsed/>
    <w:qFormat/>
    <w:uiPriority w:val="39"/>
    <w:pPr>
      <w:ind w:left="1680" w:leftChars="800"/>
    </w:pPr>
  </w:style>
  <w:style w:type="paragraph" w:styleId="6">
    <w:name w:val="toc 3"/>
    <w:basedOn w:val="1"/>
    <w:next w:val="1"/>
    <w:autoRedefine/>
    <w:semiHidden/>
    <w:unhideWhenUsed/>
    <w:qFormat/>
    <w:uiPriority w:val="39"/>
    <w:pPr>
      <w:ind w:left="840" w:leftChars="400"/>
    </w:pPr>
  </w:style>
  <w:style w:type="paragraph" w:styleId="7">
    <w:name w:val="toc 8"/>
    <w:basedOn w:val="1"/>
    <w:next w:val="1"/>
    <w:autoRedefine/>
    <w:semiHidden/>
    <w:unhideWhenUsed/>
    <w:qFormat/>
    <w:uiPriority w:val="39"/>
    <w:pPr>
      <w:ind w:left="2940" w:leftChars="1400"/>
    </w:pPr>
  </w:style>
  <w:style w:type="paragraph" w:styleId="8">
    <w:name w:val="Balloon Text"/>
    <w:basedOn w:val="1"/>
    <w:link w:val="26"/>
    <w:autoRedefine/>
    <w:unhideWhenUsed/>
    <w:qFormat/>
    <w:uiPriority w:val="99"/>
    <w:rPr>
      <w:sz w:val="18"/>
      <w:szCs w:val="18"/>
    </w:rPr>
  </w:style>
  <w:style w:type="paragraph" w:styleId="9">
    <w:name w:val="footer"/>
    <w:basedOn w:val="1"/>
    <w:link w:val="23"/>
    <w:autoRedefine/>
    <w:unhideWhenUsed/>
    <w:qFormat/>
    <w:uiPriority w:val="99"/>
    <w:pPr>
      <w:tabs>
        <w:tab w:val="center" w:pos="4153"/>
        <w:tab w:val="right" w:pos="8306"/>
      </w:tabs>
      <w:snapToGrid w:val="0"/>
      <w:jc w:val="left"/>
    </w:pPr>
    <w:rPr>
      <w:sz w:val="18"/>
      <w:szCs w:val="18"/>
    </w:rPr>
  </w:style>
  <w:style w:type="paragraph" w:styleId="10">
    <w:name w:val="header"/>
    <w:basedOn w:val="1"/>
    <w:link w:val="2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semiHidden/>
    <w:unhideWhenUsed/>
    <w:qFormat/>
    <w:uiPriority w:val="39"/>
  </w:style>
  <w:style w:type="paragraph" w:styleId="12">
    <w:name w:val="toc 4"/>
    <w:basedOn w:val="1"/>
    <w:next w:val="1"/>
    <w:autoRedefine/>
    <w:semiHidden/>
    <w:unhideWhenUsed/>
    <w:qFormat/>
    <w:uiPriority w:val="39"/>
    <w:pPr>
      <w:ind w:left="1260" w:leftChars="600"/>
    </w:pPr>
  </w:style>
  <w:style w:type="paragraph" w:styleId="13">
    <w:name w:val="toc 6"/>
    <w:basedOn w:val="1"/>
    <w:next w:val="1"/>
    <w:autoRedefine/>
    <w:semiHidden/>
    <w:unhideWhenUsed/>
    <w:qFormat/>
    <w:uiPriority w:val="39"/>
    <w:pPr>
      <w:ind w:left="2100" w:leftChars="1000"/>
    </w:pPr>
  </w:style>
  <w:style w:type="paragraph" w:styleId="14">
    <w:name w:val="toc 2"/>
    <w:basedOn w:val="1"/>
    <w:next w:val="1"/>
    <w:autoRedefine/>
    <w:semiHidden/>
    <w:unhideWhenUsed/>
    <w:qFormat/>
    <w:uiPriority w:val="39"/>
    <w:pPr>
      <w:ind w:left="420" w:leftChars="200"/>
    </w:pPr>
  </w:style>
  <w:style w:type="paragraph" w:styleId="15">
    <w:name w:val="toc 9"/>
    <w:basedOn w:val="1"/>
    <w:next w:val="1"/>
    <w:autoRedefine/>
    <w:semiHidden/>
    <w:unhideWhenUsed/>
    <w:qFormat/>
    <w:uiPriority w:val="39"/>
    <w:pPr>
      <w:ind w:left="3360" w:leftChars="1600"/>
    </w:pPr>
  </w:style>
  <w:style w:type="paragraph" w:styleId="16">
    <w:name w:val="Normal (Web)"/>
    <w:basedOn w:val="1"/>
    <w:autoRedefine/>
    <w:semiHidden/>
    <w:unhideWhenUsed/>
    <w:qFormat/>
    <w:uiPriority w:val="99"/>
    <w:pPr>
      <w:spacing w:beforeAutospacing="1" w:afterAutospacing="1"/>
      <w:jc w:val="left"/>
    </w:pPr>
    <w:rPr>
      <w:kern w:val="0"/>
      <w:sz w:val="24"/>
    </w:rPr>
  </w:style>
  <w:style w:type="paragraph" w:styleId="17">
    <w:name w:val="annotation subject"/>
    <w:basedOn w:val="3"/>
    <w:next w:val="3"/>
    <w:link w:val="30"/>
    <w:autoRedefine/>
    <w:semiHidden/>
    <w:unhideWhenUsed/>
    <w:qFormat/>
    <w:uiPriority w:val="99"/>
    <w:rPr>
      <w:b/>
      <w:bCs/>
    </w:rPr>
  </w:style>
  <w:style w:type="table" w:styleId="19">
    <w:name w:val="Table Grid"/>
    <w:basedOn w:val="1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annotation reference"/>
    <w:basedOn w:val="20"/>
    <w:autoRedefine/>
    <w:semiHidden/>
    <w:unhideWhenUsed/>
    <w:qFormat/>
    <w:uiPriority w:val="0"/>
    <w:rPr>
      <w:sz w:val="21"/>
      <w:szCs w:val="21"/>
    </w:rPr>
  </w:style>
  <w:style w:type="paragraph" w:customStyle="1" w:styleId="22">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
    <w:name w:val="页脚 字符"/>
    <w:basedOn w:val="20"/>
    <w:link w:val="9"/>
    <w:autoRedefine/>
    <w:qFormat/>
    <w:uiPriority w:val="99"/>
    <w:rPr>
      <w:rFonts w:ascii="Calibri" w:hAnsi="Calibri" w:eastAsia="宋体" w:cs="Times New Roman"/>
      <w:sz w:val="18"/>
      <w:szCs w:val="18"/>
    </w:rPr>
  </w:style>
  <w:style w:type="paragraph" w:customStyle="1" w:styleId="24">
    <w:name w:val="列出段落1"/>
    <w:basedOn w:val="1"/>
    <w:autoRedefine/>
    <w:qFormat/>
    <w:uiPriority w:val="34"/>
    <w:pPr>
      <w:numPr>
        <w:ilvl w:val="0"/>
        <w:numId w:val="1"/>
      </w:numPr>
      <w:adjustRightInd w:val="0"/>
      <w:snapToGrid w:val="0"/>
      <w:spacing w:line="560" w:lineRule="exact"/>
    </w:pPr>
  </w:style>
  <w:style w:type="character" w:customStyle="1" w:styleId="25">
    <w:name w:val="页眉 字符"/>
    <w:basedOn w:val="20"/>
    <w:link w:val="10"/>
    <w:autoRedefine/>
    <w:semiHidden/>
    <w:qFormat/>
    <w:uiPriority w:val="99"/>
    <w:rPr>
      <w:rFonts w:ascii="Calibri" w:hAnsi="Calibri" w:eastAsia="宋体" w:cs="Times New Roman"/>
      <w:sz w:val="18"/>
      <w:szCs w:val="18"/>
    </w:rPr>
  </w:style>
  <w:style w:type="character" w:customStyle="1" w:styleId="26">
    <w:name w:val="批注框文本 字符"/>
    <w:basedOn w:val="20"/>
    <w:link w:val="8"/>
    <w:autoRedefine/>
    <w:semiHidden/>
    <w:qFormat/>
    <w:uiPriority w:val="99"/>
    <w:rPr>
      <w:rFonts w:ascii="Calibri" w:hAnsi="Calibri" w:eastAsia="宋体" w:cs="Times New Roman"/>
      <w:sz w:val="18"/>
      <w:szCs w:val="18"/>
    </w:rPr>
  </w:style>
  <w:style w:type="paragraph" w:customStyle="1" w:styleId="27">
    <w:name w:val="修订1"/>
    <w:autoRedefine/>
    <w:hidden/>
    <w:semiHidden/>
    <w:qFormat/>
    <w:uiPriority w:val="99"/>
    <w:rPr>
      <w:rFonts w:ascii="Calibri" w:hAnsi="Calibri" w:eastAsia="宋体" w:cs="Times New Roman"/>
      <w:kern w:val="2"/>
      <w:sz w:val="21"/>
      <w:szCs w:val="22"/>
      <w:lang w:val="en-US" w:eastAsia="zh-CN" w:bidi="ar-SA"/>
    </w:rPr>
  </w:style>
  <w:style w:type="paragraph" w:styleId="28">
    <w:name w:val="List Paragraph"/>
    <w:basedOn w:val="1"/>
    <w:autoRedefine/>
    <w:qFormat/>
    <w:uiPriority w:val="99"/>
    <w:pPr>
      <w:ind w:firstLine="420" w:firstLineChars="200"/>
    </w:pPr>
  </w:style>
  <w:style w:type="character" w:customStyle="1" w:styleId="29">
    <w:name w:val="批注文字 字符"/>
    <w:basedOn w:val="20"/>
    <w:link w:val="3"/>
    <w:autoRedefine/>
    <w:qFormat/>
    <w:uiPriority w:val="0"/>
    <w:rPr>
      <w:rFonts w:ascii="Calibri" w:hAnsi="Calibri"/>
      <w:kern w:val="2"/>
      <w:sz w:val="21"/>
      <w:szCs w:val="22"/>
    </w:rPr>
  </w:style>
  <w:style w:type="character" w:customStyle="1" w:styleId="30">
    <w:name w:val="批注主题 字符"/>
    <w:basedOn w:val="29"/>
    <w:link w:val="17"/>
    <w:autoRedefine/>
    <w:qFormat/>
    <w:uiPriority w:val="0"/>
    <w:rPr>
      <w:rFonts w:ascii="Calibri" w:hAnsi="Calibri" w:eastAsia="宋体" w:cs="Times New Roman"/>
      <w:kern w:val="2"/>
      <w:sz w:val="21"/>
      <w:szCs w:val="22"/>
    </w:rPr>
  </w:style>
  <w:style w:type="paragraph" w:customStyle="1" w:styleId="31">
    <w:name w:val="修订2"/>
    <w:autoRedefine/>
    <w:hidden/>
    <w:semiHidden/>
    <w:qFormat/>
    <w:uiPriority w:val="99"/>
    <w:rPr>
      <w:rFonts w:ascii="Calibri" w:hAnsi="Calibri" w:eastAsia="宋体" w:cs="Times New Roman"/>
      <w:kern w:val="2"/>
      <w:sz w:val="21"/>
      <w:szCs w:val="22"/>
      <w:lang w:val="en-US" w:eastAsia="zh-CN" w:bidi="ar-SA"/>
    </w:rPr>
  </w:style>
  <w:style w:type="paragraph" w:customStyle="1" w:styleId="32">
    <w:name w:val="修订3"/>
    <w:autoRedefine/>
    <w:hidden/>
    <w:unhideWhenUsed/>
    <w:qFormat/>
    <w:uiPriority w:val="99"/>
    <w:rPr>
      <w:rFonts w:ascii="Calibri" w:hAnsi="Calibri" w:eastAsia="宋体" w:cs="Times New Roman"/>
      <w:kern w:val="2"/>
      <w:sz w:val="21"/>
      <w:szCs w:val="22"/>
      <w:lang w:val="en-US" w:eastAsia="zh-CN" w:bidi="ar-SA"/>
    </w:rPr>
  </w:style>
  <w:style w:type="paragraph" w:customStyle="1" w:styleId="33">
    <w:name w:val="Revision"/>
    <w:autoRedefine/>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516</Words>
  <Characters>2945</Characters>
  <Lines>24</Lines>
  <Paragraphs>6</Paragraphs>
  <TotalTime>0</TotalTime>
  <ScaleCrop>false</ScaleCrop>
  <LinksUpToDate>false</LinksUpToDate>
  <CharactersWithSpaces>3455</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2022-04-24T20:27:00Z</dcterms:created>
  <dc:creator>tek</dc:creator>
  <cp:lastModifiedBy>Y.    Miss</cp:lastModifiedBy>
  <dcterms:modified xsi:type="dcterms:W3CDTF">2024-01-20T11:49:46Z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46CCD2DD0626292EF56CA365A6E5E3E2_43</vt:lpwstr>
  </property>
</Properties>
</file>