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hint="default" w:ascii="宋体" w:hAnsi="宋体" w:eastAsia="宋体"/>
          <w:b/>
          <w:sz w:val="24"/>
          <w:szCs w:val="24"/>
          <w:highlight w:val="none"/>
          <w:lang w:val="en-US" w:eastAsia="zh-CN"/>
        </w:rPr>
      </w:pPr>
      <w:r>
        <w:rPr>
          <w:rFonts w:hint="eastAsia" w:ascii="宋体" w:hAnsi="宋体" w:eastAsia="宋体"/>
          <w:b/>
          <w:sz w:val="24"/>
          <w:szCs w:val="24"/>
        </w:rPr>
        <w:t>证券代码：</w:t>
      </w:r>
      <w:r>
        <w:rPr>
          <w:rFonts w:ascii="宋体" w:hAnsi="宋体" w:eastAsia="宋体"/>
          <w:b/>
          <w:sz w:val="24"/>
          <w:szCs w:val="24"/>
        </w:rPr>
        <w:t xml:space="preserve">603191        </w:t>
      </w:r>
      <w:r>
        <w:rPr>
          <w:rFonts w:hint="eastAsia" w:ascii="宋体" w:hAnsi="宋体" w:eastAsia="宋体"/>
          <w:b/>
          <w:sz w:val="24"/>
          <w:szCs w:val="24"/>
        </w:rPr>
        <w:t xml:space="preserve">证券简称：望变电气 </w:t>
      </w:r>
      <w:r>
        <w:rPr>
          <w:rFonts w:ascii="宋体" w:hAnsi="宋体" w:eastAsia="宋体"/>
          <w:b/>
          <w:sz w:val="24"/>
          <w:szCs w:val="24"/>
        </w:rPr>
        <w:t xml:space="preserve">       </w:t>
      </w:r>
      <w:r>
        <w:rPr>
          <w:rFonts w:hint="eastAsia" w:ascii="宋体" w:hAnsi="宋体" w:eastAsia="宋体"/>
          <w:b/>
          <w:sz w:val="24"/>
          <w:szCs w:val="24"/>
        </w:rPr>
        <w:t>公告编号：2</w:t>
      </w:r>
      <w:r>
        <w:rPr>
          <w:rFonts w:ascii="宋体" w:hAnsi="宋体" w:eastAsia="宋体"/>
          <w:b/>
          <w:sz w:val="24"/>
          <w:szCs w:val="24"/>
        </w:rPr>
        <w:t>02</w:t>
      </w:r>
      <w:r>
        <w:rPr>
          <w:rFonts w:hint="eastAsia" w:ascii="宋体" w:hAnsi="宋体" w:eastAsia="宋体"/>
          <w:b/>
          <w:sz w:val="24"/>
          <w:szCs w:val="24"/>
        </w:rPr>
        <w:t>4</w:t>
      </w:r>
      <w:r>
        <w:rPr>
          <w:rFonts w:ascii="宋体" w:hAnsi="宋体" w:eastAsia="宋体"/>
          <w:b/>
          <w:sz w:val="24"/>
          <w:szCs w:val="24"/>
        </w:rPr>
        <w:t>-</w:t>
      </w:r>
      <w:r>
        <w:rPr>
          <w:rFonts w:ascii="宋体" w:hAnsi="宋体" w:eastAsia="宋体"/>
          <w:b/>
          <w:sz w:val="24"/>
          <w:szCs w:val="24"/>
          <w:highlight w:val="none"/>
        </w:rPr>
        <w:t>0</w:t>
      </w:r>
      <w:r>
        <w:rPr>
          <w:rFonts w:hint="eastAsia" w:ascii="宋体" w:hAnsi="宋体" w:eastAsia="宋体"/>
          <w:b/>
          <w:sz w:val="24"/>
          <w:szCs w:val="24"/>
          <w:highlight w:val="none"/>
          <w:lang w:val="en-US" w:eastAsia="zh-CN"/>
        </w:rPr>
        <w:t>06</w:t>
      </w:r>
    </w:p>
    <w:p>
      <w:pPr>
        <w:adjustRightInd w:val="0"/>
        <w:snapToGrid w:val="0"/>
        <w:spacing w:line="560" w:lineRule="exact"/>
        <w:jc w:val="left"/>
        <w:rPr>
          <w:rFonts w:ascii="仿宋" w:hAnsi="仿宋" w:eastAsia="仿宋_GB2312"/>
          <w:sz w:val="30"/>
          <w:szCs w:val="30"/>
        </w:rPr>
      </w:pPr>
    </w:p>
    <w:p>
      <w:pPr>
        <w:adjustRightInd w:val="0"/>
        <w:snapToGrid w:val="0"/>
        <w:spacing w:before="156" w:beforeLines="50" w:line="560" w:lineRule="exact"/>
        <w:jc w:val="center"/>
        <w:rPr>
          <w:rFonts w:ascii="宋体" w:hAnsi="宋体" w:eastAsia="宋体" w:cs="仿宋_GB2312"/>
          <w:b/>
          <w:bCs/>
          <w:color w:val="FF0000"/>
          <w:sz w:val="36"/>
          <w:szCs w:val="36"/>
        </w:rPr>
      </w:pPr>
      <w:r>
        <w:rPr>
          <w:rFonts w:hint="eastAsia" w:ascii="宋体" w:hAnsi="宋体" w:eastAsia="宋体" w:cs="仿宋_GB2312"/>
          <w:b/>
          <w:bCs/>
          <w:color w:val="FF0000"/>
          <w:sz w:val="36"/>
          <w:szCs w:val="36"/>
        </w:rPr>
        <w:t>重庆望变电气（集团）股份有限公司</w:t>
      </w:r>
    </w:p>
    <w:p>
      <w:pPr>
        <w:adjustRightInd w:val="0"/>
        <w:snapToGrid w:val="0"/>
        <w:spacing w:before="156" w:beforeLines="50" w:line="560" w:lineRule="exact"/>
        <w:jc w:val="center"/>
        <w:rPr>
          <w:rFonts w:ascii="宋体" w:hAnsi="宋体" w:eastAsia="宋体" w:cs="仿宋_GB2312"/>
          <w:b/>
          <w:bCs/>
          <w:color w:val="FF0000"/>
          <w:sz w:val="36"/>
          <w:szCs w:val="36"/>
        </w:rPr>
      </w:pPr>
      <w:r>
        <w:rPr>
          <w:rFonts w:hint="eastAsia" w:ascii="宋体" w:hAnsi="宋体" w:eastAsia="宋体" w:cs="仿宋_GB2312"/>
          <w:b/>
          <w:bCs/>
          <w:color w:val="FF0000"/>
          <w:sz w:val="36"/>
          <w:szCs w:val="36"/>
        </w:rPr>
        <w:t>关于开展外汇套期保值业务的公告</w:t>
      </w:r>
    </w:p>
    <w:p>
      <w:pPr>
        <w:adjustRightInd w:val="0"/>
        <w:snapToGrid w:val="0"/>
        <w:spacing w:before="156" w:beforeLines="50" w:line="560" w:lineRule="exact"/>
        <w:jc w:val="center"/>
        <w:rPr>
          <w:rFonts w:ascii="仿宋_GB2312" w:hAnsi="仿宋_GB2312" w:eastAsia="仿宋_GB2312" w:cs="仿宋_GB2312"/>
          <w:b/>
          <w:bCs/>
          <w:color w:val="FF0000"/>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firstLine="480" w:firstLineChars="200"/>
        <w:rPr>
          <w:rFonts w:ascii="宋体" w:hAnsi="宋体" w:eastAsia="宋体"/>
          <w:color w:val="000000"/>
          <w:sz w:val="24"/>
          <w:szCs w:val="24"/>
        </w:rPr>
      </w:pPr>
      <w:r>
        <w:rPr>
          <w:rFonts w:hint="eastAsia" w:ascii="仿宋" w:hAnsi="仿宋" w:eastAsia="仿宋"/>
          <w:color w:val="000000"/>
          <w:sz w:val="24"/>
          <w:szCs w:val="24"/>
        </w:rPr>
        <w:t>本公司董事会及全体董事保证本公告内容不存在任何虚假记载、误导性陈述或者重大遗漏，并对其内容的真实性、准确性和完整性承担法律责任</w:t>
      </w:r>
      <w:r>
        <w:rPr>
          <w:rFonts w:hint="eastAsia" w:ascii="宋体" w:hAnsi="宋体" w:eastAsia="宋体"/>
          <w:color w:val="000000"/>
          <w:sz w:val="24"/>
          <w:szCs w:val="24"/>
        </w:rPr>
        <w:t>。</w:t>
      </w:r>
    </w:p>
    <w:p>
      <w:pPr>
        <w:adjustRightInd w:val="0"/>
        <w:snapToGrid w:val="0"/>
        <w:spacing w:line="560" w:lineRule="exact"/>
        <w:ind w:firstLine="482" w:firstLineChars="200"/>
        <w:rPr>
          <w:rFonts w:asciiTheme="minorEastAsia" w:hAnsiTheme="minorEastAsia"/>
          <w:b/>
          <w:sz w:val="24"/>
          <w:szCs w:val="24"/>
        </w:rPr>
      </w:pPr>
      <w:r>
        <w:rPr>
          <w:rFonts w:hint="eastAsia" w:asciiTheme="minorEastAsia" w:hAnsiTheme="minorEastAsia"/>
          <w:b/>
          <w:sz w:val="24"/>
          <w:szCs w:val="24"/>
        </w:rPr>
        <w:t>重要内容提示：</w:t>
      </w:r>
    </w:p>
    <w:p>
      <w:pPr>
        <w:numPr>
          <w:ilvl w:val="0"/>
          <w:numId w:val="1"/>
        </w:numPr>
        <w:adjustRightInd w:val="0"/>
        <w:snapToGrid w:val="0"/>
        <w:spacing w:line="560" w:lineRule="exact"/>
        <w:ind w:left="1020"/>
        <w:rPr>
          <w:rFonts w:asciiTheme="minorEastAsia" w:hAnsiTheme="minorEastAsia"/>
          <w:bCs/>
          <w:sz w:val="24"/>
          <w:szCs w:val="24"/>
        </w:rPr>
      </w:pPr>
      <w:r>
        <w:rPr>
          <w:rFonts w:hint="eastAsia" w:asciiTheme="minorEastAsia" w:hAnsiTheme="minorEastAsia"/>
          <w:bCs/>
          <w:sz w:val="24"/>
          <w:szCs w:val="24"/>
        </w:rPr>
        <w:t>交易目的：套期保值</w:t>
      </w:r>
    </w:p>
    <w:p>
      <w:pPr>
        <w:numPr>
          <w:ilvl w:val="0"/>
          <w:numId w:val="1"/>
        </w:numPr>
        <w:adjustRightInd w:val="0"/>
        <w:snapToGrid w:val="0"/>
        <w:spacing w:line="560" w:lineRule="exact"/>
        <w:ind w:left="1020"/>
        <w:rPr>
          <w:rFonts w:asciiTheme="minorEastAsia" w:hAnsiTheme="minorEastAsia"/>
          <w:bCs/>
          <w:sz w:val="24"/>
          <w:szCs w:val="24"/>
        </w:rPr>
      </w:pPr>
      <w:r>
        <w:rPr>
          <w:rFonts w:hint="eastAsia" w:asciiTheme="minorEastAsia" w:hAnsiTheme="minorEastAsia"/>
          <w:bCs/>
          <w:sz w:val="24"/>
          <w:szCs w:val="24"/>
        </w:rPr>
        <w:t>交易品种：</w:t>
      </w:r>
      <w:r>
        <w:rPr>
          <w:rFonts w:hint="eastAsia" w:ascii="宋体" w:hAnsi="宋体" w:eastAsia="宋体" w:cs="宋体"/>
          <w:color w:val="000000"/>
          <w:kern w:val="0"/>
          <w:sz w:val="24"/>
          <w:szCs w:val="24"/>
        </w:rPr>
        <w:t>远期结售汇</w:t>
      </w:r>
    </w:p>
    <w:p>
      <w:pPr>
        <w:numPr>
          <w:ilvl w:val="0"/>
          <w:numId w:val="1"/>
        </w:numPr>
        <w:adjustRightInd w:val="0"/>
        <w:snapToGrid w:val="0"/>
        <w:spacing w:line="560" w:lineRule="exact"/>
        <w:ind w:left="1020"/>
        <w:rPr>
          <w:rFonts w:asciiTheme="minorEastAsia" w:hAnsiTheme="minorEastAsia"/>
          <w:bCs/>
          <w:sz w:val="24"/>
          <w:szCs w:val="24"/>
        </w:rPr>
      </w:pPr>
      <w:r>
        <w:rPr>
          <w:rFonts w:hint="eastAsia" w:asciiTheme="minorEastAsia" w:hAnsiTheme="minorEastAsia"/>
          <w:bCs/>
          <w:sz w:val="24"/>
          <w:szCs w:val="24"/>
        </w:rPr>
        <w:t>交易场所：</w:t>
      </w:r>
      <w:r>
        <w:rPr>
          <w:rFonts w:hint="eastAsia" w:ascii="宋体" w:hAnsi="宋体" w:eastAsia="宋体" w:cs="宋体"/>
          <w:color w:val="000000"/>
          <w:kern w:val="0"/>
          <w:sz w:val="24"/>
          <w:szCs w:val="24"/>
        </w:rPr>
        <w:t>国家外汇管理局和中国人民银行批准、具有外汇衍生品交易业务经营资格的银行等金融机构</w:t>
      </w:r>
    </w:p>
    <w:p>
      <w:pPr>
        <w:numPr>
          <w:ilvl w:val="0"/>
          <w:numId w:val="1"/>
        </w:numPr>
        <w:adjustRightInd w:val="0"/>
        <w:snapToGrid w:val="0"/>
        <w:spacing w:line="560" w:lineRule="exact"/>
        <w:ind w:left="1020"/>
        <w:rPr>
          <w:rFonts w:asciiTheme="minorEastAsia" w:hAnsiTheme="minorEastAsia"/>
          <w:bCs/>
          <w:sz w:val="24"/>
          <w:szCs w:val="24"/>
        </w:rPr>
      </w:pPr>
      <w:r>
        <w:rPr>
          <w:rFonts w:hint="eastAsia" w:asciiTheme="minorEastAsia" w:hAnsiTheme="minorEastAsia"/>
          <w:bCs/>
          <w:sz w:val="24"/>
          <w:szCs w:val="24"/>
        </w:rPr>
        <w:t>交易金额：预计全年出口销售业务收汇和设备进口业务付汇总金额不超过100,000万元或等值外币，为规避汇率波动对公司经营业绩的影响，计划在上述实际交易业务总额范围内开展外汇套期保值业务；套期保值业务标的交易额度不超过实际外汇业务发生总额的80%，单笔套期业务期限不超过6个月，计划使用保证金为不超过人民币5,000万元（授权期限以内任意时点保证金总额不超过5</w:t>
      </w:r>
      <w:r>
        <w:rPr>
          <w:rFonts w:hint="eastAsia" w:asciiTheme="minorEastAsia" w:hAnsiTheme="minorEastAsia"/>
          <w:bCs/>
          <w:sz w:val="24"/>
          <w:szCs w:val="24"/>
          <w:lang w:val="en-US" w:eastAsia="zh-CN"/>
        </w:rPr>
        <w:t>,</w:t>
      </w:r>
      <w:r>
        <w:rPr>
          <w:rFonts w:hint="eastAsia" w:asciiTheme="minorEastAsia" w:hAnsiTheme="minorEastAsia"/>
          <w:bCs/>
          <w:sz w:val="24"/>
          <w:szCs w:val="24"/>
        </w:rPr>
        <w:t>000万元）</w:t>
      </w:r>
    </w:p>
    <w:p>
      <w:pPr>
        <w:pStyle w:val="17"/>
        <w:numPr>
          <w:ilvl w:val="0"/>
          <w:numId w:val="2"/>
        </w:numPr>
        <w:adjustRightInd w:val="0"/>
        <w:snapToGrid w:val="0"/>
        <w:spacing w:line="560" w:lineRule="exact"/>
        <w:ind w:firstLineChars="0"/>
        <w:rPr>
          <w:rFonts w:asciiTheme="minorEastAsia" w:hAnsiTheme="minorEastAsia" w:eastAsiaTheme="minorEastAsia"/>
          <w:sz w:val="24"/>
          <w:szCs w:val="24"/>
        </w:rPr>
      </w:pPr>
      <w:r>
        <w:rPr>
          <w:rFonts w:hint="eastAsia" w:asciiTheme="minorEastAsia" w:hAnsiTheme="minorEastAsia" w:eastAsiaTheme="minorEastAsia"/>
          <w:bCs/>
          <w:sz w:val="24"/>
          <w:szCs w:val="24"/>
        </w:rPr>
        <w:t>审议程序：本事项已经公司</w:t>
      </w:r>
      <w:r>
        <w:rPr>
          <w:rFonts w:ascii="宋体" w:hAnsi="宋体" w:cs="宋体"/>
          <w:sz w:val="24"/>
          <w:szCs w:val="24"/>
        </w:rPr>
        <w:t>第</w:t>
      </w:r>
      <w:r>
        <w:rPr>
          <w:rFonts w:hint="eastAsia" w:ascii="宋体" w:hAnsi="宋体" w:cs="宋体"/>
          <w:sz w:val="24"/>
          <w:szCs w:val="24"/>
        </w:rPr>
        <w:t>四</w:t>
      </w:r>
      <w:r>
        <w:rPr>
          <w:rFonts w:ascii="宋体" w:hAnsi="宋体" w:cs="宋体"/>
          <w:sz w:val="24"/>
          <w:szCs w:val="24"/>
        </w:rPr>
        <w:t>届董事会审计委员会第二次会议</w:t>
      </w:r>
      <w:r>
        <w:rPr>
          <w:rFonts w:hint="eastAsia" w:asciiTheme="minorEastAsia" w:hAnsiTheme="minorEastAsia" w:eastAsiaTheme="minorEastAsia"/>
          <w:bCs/>
          <w:sz w:val="24"/>
          <w:szCs w:val="24"/>
        </w:rPr>
        <w:t>和第四届董事会第二次会议审议通过，独立董事发表了同意的独立意见</w:t>
      </w:r>
    </w:p>
    <w:p>
      <w:pPr>
        <w:pStyle w:val="17"/>
        <w:numPr>
          <w:ilvl w:val="0"/>
          <w:numId w:val="2"/>
        </w:numPr>
        <w:adjustRightInd w:val="0"/>
        <w:snapToGrid w:val="0"/>
        <w:spacing w:line="560" w:lineRule="exact"/>
        <w:ind w:firstLineChars="0"/>
        <w:rPr>
          <w:rFonts w:ascii="仿宋" w:hAnsi="仿宋" w:eastAsia="仿宋_GB2312"/>
          <w:color w:val="000000"/>
          <w:sz w:val="30"/>
          <w:szCs w:val="30"/>
        </w:rPr>
      </w:pPr>
      <w:r>
        <w:rPr>
          <w:rFonts w:hint="eastAsia" w:asciiTheme="minorEastAsia" w:hAnsiTheme="minorEastAsia" w:eastAsiaTheme="minorEastAsia"/>
          <w:bCs/>
          <w:sz w:val="24"/>
          <w:szCs w:val="24"/>
        </w:rPr>
        <w:t>特别</w:t>
      </w:r>
      <w:r>
        <w:rPr>
          <w:rFonts w:asciiTheme="minorEastAsia" w:hAnsiTheme="minorEastAsia" w:eastAsiaTheme="minorEastAsia"/>
          <w:bCs/>
          <w:sz w:val="24"/>
          <w:szCs w:val="24"/>
        </w:rPr>
        <w:t>风险提示</w:t>
      </w:r>
      <w:r>
        <w:rPr>
          <w:rFonts w:hint="eastAsia" w:asciiTheme="minorEastAsia" w:hAnsiTheme="minorEastAsia" w:eastAsiaTheme="minorEastAsia"/>
          <w:bCs/>
          <w:sz w:val="24"/>
          <w:szCs w:val="24"/>
        </w:rPr>
        <w:t>：</w:t>
      </w:r>
      <w:r>
        <w:rPr>
          <w:rFonts w:hint="eastAsia" w:ascii="宋体" w:hAnsi="宋体" w:cs="宋体"/>
          <w:color w:val="000000"/>
          <w:kern w:val="0"/>
          <w:sz w:val="24"/>
          <w:szCs w:val="24"/>
        </w:rPr>
        <w:t>公司开展外汇套期保值业务遵循锁定汇率风险、套期保值的原则，不做投机性、套利性的交易操作，但外汇套期保值业务也会存在汇率波动、内部控制、交易违约等风险，敬请广大投资者充分关注投资风险</w:t>
      </w:r>
    </w:p>
    <w:p>
      <w:pPr>
        <w:autoSpaceDE w:val="0"/>
        <w:autoSpaceDN w:val="0"/>
        <w:adjustRightInd w:val="0"/>
        <w:snapToGrid w:val="0"/>
        <w:spacing w:line="560" w:lineRule="exact"/>
        <w:ind w:firstLine="480" w:firstLineChars="200"/>
        <w:rPr>
          <w:rFonts w:ascii="宋体" w:hAnsi="宋体"/>
          <w:sz w:val="24"/>
          <w:szCs w:val="24"/>
        </w:rPr>
      </w:pPr>
      <w:r>
        <w:rPr>
          <w:rFonts w:hint="eastAsia" w:ascii="宋体" w:hAnsi="宋体"/>
          <w:sz w:val="24"/>
          <w:szCs w:val="24"/>
        </w:rPr>
        <w:t>重庆望变电气（集团）股份有限公司（以下简称“公司”）于2024年1月1</w:t>
      </w:r>
      <w:r>
        <w:rPr>
          <w:rFonts w:hint="eastAsia" w:ascii="宋体" w:hAnsi="宋体"/>
          <w:sz w:val="24"/>
          <w:szCs w:val="24"/>
          <w:lang w:val="en-US" w:eastAsia="zh-CN"/>
        </w:rPr>
        <w:t>8</w:t>
      </w:r>
      <w:r>
        <w:rPr>
          <w:rFonts w:hint="eastAsia" w:ascii="宋体" w:hAnsi="宋体"/>
          <w:sz w:val="24"/>
          <w:szCs w:val="24"/>
        </w:rPr>
        <w:t>日召开</w:t>
      </w:r>
      <w:r>
        <w:rPr>
          <w:rFonts w:ascii="宋体" w:hAnsi="宋体" w:eastAsia="宋体" w:cs="宋体"/>
          <w:sz w:val="24"/>
          <w:szCs w:val="24"/>
        </w:rPr>
        <w:t>第</w:t>
      </w:r>
      <w:r>
        <w:rPr>
          <w:rFonts w:hint="eastAsia" w:ascii="宋体" w:hAnsi="宋体" w:eastAsia="宋体" w:cs="宋体"/>
          <w:sz w:val="24"/>
          <w:szCs w:val="24"/>
        </w:rPr>
        <w:t>四</w:t>
      </w:r>
      <w:r>
        <w:rPr>
          <w:rFonts w:ascii="宋体" w:hAnsi="宋体" w:eastAsia="宋体" w:cs="宋体"/>
          <w:sz w:val="24"/>
          <w:szCs w:val="24"/>
        </w:rPr>
        <w:t>届董事会审计委员会第二次会议</w:t>
      </w:r>
      <w:r>
        <w:rPr>
          <w:rFonts w:hint="eastAsia" w:asciiTheme="minorEastAsia" w:hAnsiTheme="minorEastAsia"/>
          <w:bCs/>
          <w:sz w:val="24"/>
          <w:szCs w:val="24"/>
        </w:rPr>
        <w:t>和</w:t>
      </w:r>
      <w:r>
        <w:rPr>
          <w:rFonts w:hint="eastAsia" w:ascii="宋体" w:hAnsi="宋体"/>
          <w:sz w:val="24"/>
          <w:szCs w:val="24"/>
        </w:rPr>
        <w:t>第四届董事会第二次会议审议通过《关于开展外汇套期保值业务的议案》及其附件《关于开展外汇套期保值业务的可行性分析报告》，同意公司及子公司根据生产经营需要开展外汇套期保值业务，现将有关事项公告如下：</w:t>
      </w:r>
    </w:p>
    <w:p>
      <w:pPr>
        <w:adjustRightInd w:val="0"/>
        <w:snapToGrid w:val="0"/>
        <w:spacing w:line="560" w:lineRule="exact"/>
        <w:ind w:firstLine="482" w:firstLineChars="200"/>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一、交易情况概述</w:t>
      </w:r>
    </w:p>
    <w:p>
      <w:pPr>
        <w:adjustRightInd w:val="0"/>
        <w:snapToGrid w:val="0"/>
        <w:spacing w:line="560" w:lineRule="exact"/>
        <w:ind w:firstLine="482" w:firstLineChars="200"/>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（一）交易目的</w:t>
      </w:r>
    </w:p>
    <w:p>
      <w:pPr>
        <w:adjustRightInd w:val="0"/>
        <w:snapToGrid w:val="0"/>
        <w:spacing w:line="560" w:lineRule="exact"/>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公司及子公司出口业务主要采用美元等外币结算，为有效规避公司及子公司开展相关业务所产生外币收付汇结算等外币汇率大幅波动风险，提高外汇资金使用效率，合理规避汇率风险，公司及子公司拟与银行机构开展外汇套期保值业务，以减少汇率波动对公司经营业绩的影响，满足公司稳健经营的需求。</w:t>
      </w:r>
    </w:p>
    <w:p>
      <w:pPr>
        <w:adjustRightInd w:val="0"/>
        <w:snapToGrid w:val="0"/>
        <w:spacing w:line="560" w:lineRule="exact"/>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公司及子公司本次开展外汇套期保值业务以正常生产经营为基础，以规避防范汇率风险为目的，不进行单纯以盈利为目的的投机和套利交易。</w:t>
      </w:r>
    </w:p>
    <w:p>
      <w:pPr>
        <w:adjustRightInd w:val="0"/>
        <w:snapToGrid w:val="0"/>
        <w:spacing w:line="560" w:lineRule="exact"/>
        <w:ind w:firstLine="482" w:firstLineChars="200"/>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（二）交易金额</w:t>
      </w:r>
    </w:p>
    <w:p>
      <w:pPr>
        <w:adjustRightInd w:val="0"/>
        <w:snapToGrid w:val="0"/>
        <w:spacing w:line="560" w:lineRule="exact"/>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预计公司全年出口销售业务收汇和设备进口业务付汇总金额为不超过100,000万元或等值外币，公司计划在上述实际交易业务总额范围内开展外汇套期保值业务；套期保值业务标的交易额度不超过实际外汇业务发生总额的80%，单笔套期业务期限不超过6个月，计划使用保证金为不超过人民币5,000万元（授权期限以内任意时点保证金总额不超过5</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000万元）。</w:t>
      </w:r>
    </w:p>
    <w:p>
      <w:pPr>
        <w:adjustRightInd w:val="0"/>
        <w:snapToGrid w:val="0"/>
        <w:spacing w:line="560" w:lineRule="exact"/>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上述额度自2024年1月1日至2024年12月31日有效，在上述额度及期限范围内可以滚动使用，公司及子公司拟进行的外汇套期保值交易余额任一时点不超过上述额度。</w:t>
      </w:r>
    </w:p>
    <w:p>
      <w:pPr>
        <w:adjustRightInd w:val="0"/>
        <w:snapToGrid w:val="0"/>
        <w:spacing w:line="560" w:lineRule="exact"/>
        <w:ind w:firstLine="482" w:firstLineChars="200"/>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（三）资金来源</w:t>
      </w:r>
    </w:p>
    <w:p>
      <w:pPr>
        <w:adjustRightInd w:val="0"/>
        <w:snapToGrid w:val="0"/>
        <w:spacing w:line="560" w:lineRule="exact"/>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公司及下属子公司的自有资金，不涉及使用募集资金或银行信贷资金。</w:t>
      </w:r>
    </w:p>
    <w:p>
      <w:pPr>
        <w:adjustRightInd w:val="0"/>
        <w:snapToGrid w:val="0"/>
        <w:spacing w:line="560" w:lineRule="exact"/>
        <w:ind w:firstLine="482" w:firstLineChars="200"/>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（四）交易方式</w:t>
      </w:r>
    </w:p>
    <w:p>
      <w:pPr>
        <w:adjustRightInd w:val="0"/>
        <w:snapToGrid w:val="0"/>
        <w:spacing w:line="560" w:lineRule="exact"/>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公司拟开展的外汇套期保值业务只限于从事与公司生产经营所使用的主要结算货币相同的币种，主要外币币种为美元、欧元等。公司进行的外汇套期保值业务品种为远期结售汇。</w:t>
      </w:r>
    </w:p>
    <w:p>
      <w:pPr>
        <w:adjustRightInd w:val="0"/>
        <w:snapToGrid w:val="0"/>
        <w:spacing w:line="560" w:lineRule="exact"/>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公司拟开展的外汇套期保值业务的交易对手或平台为国家外汇管理局和中国人民银行批准、具有外汇衍生品交易业务经营资格的银行等金融机构。</w:t>
      </w:r>
    </w:p>
    <w:p>
      <w:pPr>
        <w:adjustRightInd w:val="0"/>
        <w:snapToGrid w:val="0"/>
        <w:spacing w:line="560" w:lineRule="exact"/>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公司与金融机构签订远期结售汇合约，约定未来购汇或结汇的外汇币种、金额、期限及汇率，到期时按照该合约约定的币种、金额、汇率办理购汇或结汇业务，从而锁定当期购汇或结汇的成本及收入。</w:t>
      </w:r>
    </w:p>
    <w:p>
      <w:pPr>
        <w:adjustRightInd w:val="0"/>
        <w:snapToGrid w:val="0"/>
        <w:spacing w:line="560" w:lineRule="exact"/>
        <w:ind w:firstLine="482" w:firstLineChars="200"/>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（五）交易期限</w:t>
      </w:r>
    </w:p>
    <w:p>
      <w:pPr>
        <w:adjustRightInd w:val="0"/>
        <w:snapToGrid w:val="0"/>
        <w:spacing w:line="560" w:lineRule="exact"/>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上述额度自2024年1月1日至2024年12月31日有效。</w:t>
      </w:r>
    </w:p>
    <w:p>
      <w:pPr>
        <w:adjustRightInd w:val="0"/>
        <w:snapToGrid w:val="0"/>
        <w:spacing w:line="560" w:lineRule="exact"/>
        <w:ind w:firstLine="482" w:firstLineChars="200"/>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（六）授权</w:t>
      </w:r>
    </w:p>
    <w:p>
      <w:pPr>
        <w:adjustRightInd w:val="0"/>
        <w:snapToGrid w:val="0"/>
        <w:spacing w:line="560" w:lineRule="exact"/>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鉴于外汇套期保值业务与公司的生产经营密切相关，公司董事会授权公司总经理在授权额度内审批日常外汇套期保值业务方案及签署外汇套期保值业务相关合同，并由财务部门为日常执行机构，负责与远期结售汇业务相关计划制订、资金筹集、业务操作及使用监督，对控股子公司的远期结售汇业务进行督导，行使外汇套期保值业务具体执行职责。授权期限自2024年1月1日至2024年12月31日有效。</w:t>
      </w:r>
    </w:p>
    <w:p>
      <w:pPr>
        <w:adjustRightInd w:val="0"/>
        <w:snapToGrid w:val="0"/>
        <w:spacing w:line="560" w:lineRule="exact"/>
        <w:ind w:firstLine="482" w:firstLineChars="200"/>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二、审议程序</w:t>
      </w:r>
    </w:p>
    <w:p>
      <w:pPr>
        <w:adjustRightInd w:val="0"/>
        <w:snapToGrid w:val="0"/>
        <w:spacing w:line="560" w:lineRule="exact"/>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公司于2</w:t>
      </w:r>
      <w:r>
        <w:rPr>
          <w:rFonts w:ascii="宋体" w:hAnsi="宋体" w:eastAsia="宋体" w:cs="宋体"/>
          <w:color w:val="000000"/>
          <w:kern w:val="0"/>
          <w:sz w:val="24"/>
          <w:szCs w:val="24"/>
        </w:rPr>
        <w:t>02</w:t>
      </w:r>
      <w:r>
        <w:rPr>
          <w:rFonts w:hint="eastAsia" w:ascii="宋体" w:hAnsi="宋体" w:eastAsia="宋体" w:cs="宋体"/>
          <w:color w:val="000000"/>
          <w:kern w:val="0"/>
          <w:sz w:val="24"/>
          <w:szCs w:val="24"/>
        </w:rPr>
        <w:t>4年1月1</w:t>
      </w:r>
      <w:r>
        <w:rPr>
          <w:rFonts w:hint="eastAsia" w:ascii="宋体" w:hAnsi="宋体" w:eastAsia="宋体" w:cs="宋体"/>
          <w:color w:val="000000"/>
          <w:kern w:val="0"/>
          <w:sz w:val="24"/>
          <w:szCs w:val="24"/>
          <w:lang w:val="en-US" w:eastAsia="zh-CN"/>
        </w:rPr>
        <w:t>8</w:t>
      </w:r>
      <w:r>
        <w:rPr>
          <w:rFonts w:hint="eastAsia" w:ascii="宋体" w:hAnsi="宋体" w:eastAsia="宋体" w:cs="宋体"/>
          <w:color w:val="000000"/>
          <w:kern w:val="0"/>
          <w:sz w:val="24"/>
          <w:szCs w:val="24"/>
        </w:rPr>
        <w:t>日召开</w:t>
      </w:r>
      <w:r>
        <w:rPr>
          <w:rFonts w:ascii="宋体" w:hAnsi="宋体" w:eastAsia="宋体" w:cs="宋体"/>
          <w:sz w:val="24"/>
          <w:szCs w:val="24"/>
        </w:rPr>
        <w:t>第</w:t>
      </w:r>
      <w:r>
        <w:rPr>
          <w:rFonts w:hint="eastAsia" w:ascii="宋体" w:hAnsi="宋体" w:eastAsia="宋体" w:cs="宋体"/>
          <w:sz w:val="24"/>
          <w:szCs w:val="24"/>
        </w:rPr>
        <w:t>四</w:t>
      </w:r>
      <w:r>
        <w:rPr>
          <w:rFonts w:ascii="宋体" w:hAnsi="宋体" w:eastAsia="宋体" w:cs="宋体"/>
          <w:sz w:val="24"/>
          <w:szCs w:val="24"/>
        </w:rPr>
        <w:t>届董事会审计委员会第二次会议</w:t>
      </w:r>
      <w:r>
        <w:rPr>
          <w:rFonts w:hint="eastAsia" w:ascii="宋体" w:hAnsi="宋体" w:eastAsia="宋体" w:cs="宋体"/>
          <w:sz w:val="24"/>
          <w:szCs w:val="24"/>
        </w:rPr>
        <w:t>和</w:t>
      </w:r>
      <w:r>
        <w:rPr>
          <w:rFonts w:hint="eastAsia" w:ascii="宋体" w:hAnsi="宋体" w:eastAsia="宋体" w:cs="宋体"/>
          <w:color w:val="000000"/>
          <w:kern w:val="0"/>
          <w:sz w:val="24"/>
          <w:szCs w:val="24"/>
        </w:rPr>
        <w:t>第四届董事会第二次会议，审议通过《</w:t>
      </w:r>
      <w:r>
        <w:rPr>
          <w:rFonts w:hint="eastAsia" w:ascii="宋体" w:hAnsi="宋体"/>
          <w:sz w:val="24"/>
          <w:szCs w:val="24"/>
        </w:rPr>
        <w:t>关于开展外汇套期保值业务的议案</w:t>
      </w:r>
      <w:r>
        <w:rPr>
          <w:rFonts w:hint="eastAsia" w:ascii="宋体" w:hAnsi="宋体" w:eastAsia="宋体" w:cs="宋体"/>
          <w:color w:val="000000"/>
          <w:kern w:val="0"/>
          <w:sz w:val="24"/>
          <w:szCs w:val="24"/>
        </w:rPr>
        <w:t>》，</w:t>
      </w:r>
      <w:r>
        <w:rPr>
          <w:rFonts w:hint="eastAsia" w:ascii="宋体" w:hAnsi="宋体"/>
          <w:sz w:val="24"/>
          <w:szCs w:val="24"/>
        </w:rPr>
        <w:t>同意公司编制的《关于开展外汇套期保值业务的可行性分析报告》；同意公司及子公司根据生产经营需要开展外汇套期保值业务，预计公司全年出口销售业务收汇和设备进口业务付汇总金额为不超过100,000万元或等值外币，公司计划在上述实际交易业务总额范围内开展外汇套期保值业务；套期保值业务标的交易额度不超过实际外汇业务发生总额的80%。公司独立董事对</w:t>
      </w:r>
      <w:r>
        <w:rPr>
          <w:rFonts w:hint="eastAsia" w:ascii="宋体" w:hAnsi="宋体" w:eastAsia="宋体" w:cs="宋体"/>
          <w:color w:val="000000"/>
          <w:kern w:val="0"/>
          <w:sz w:val="24"/>
          <w:szCs w:val="24"/>
        </w:rPr>
        <w:t>《</w:t>
      </w:r>
      <w:r>
        <w:rPr>
          <w:rFonts w:hint="eastAsia" w:ascii="宋体" w:hAnsi="宋体"/>
          <w:sz w:val="24"/>
          <w:szCs w:val="24"/>
        </w:rPr>
        <w:t>关于开展外汇套期保值业务的议案</w:t>
      </w:r>
      <w:r>
        <w:rPr>
          <w:rFonts w:hint="eastAsia" w:ascii="宋体" w:hAnsi="宋体" w:eastAsia="宋体" w:cs="宋体"/>
          <w:color w:val="000000"/>
          <w:kern w:val="0"/>
          <w:sz w:val="24"/>
          <w:szCs w:val="24"/>
        </w:rPr>
        <w:t>》和</w:t>
      </w:r>
      <w:r>
        <w:rPr>
          <w:rFonts w:hint="eastAsia" w:ascii="宋体" w:hAnsi="宋体"/>
          <w:sz w:val="24"/>
          <w:szCs w:val="24"/>
        </w:rPr>
        <w:t>《关于开展外汇套期保值业务的可行性分析报告》发表了同意的独立意见，本议案无需提交公司股东大会审议。</w:t>
      </w:r>
    </w:p>
    <w:p>
      <w:pPr>
        <w:adjustRightInd w:val="0"/>
        <w:snapToGrid w:val="0"/>
        <w:spacing w:line="560" w:lineRule="exact"/>
        <w:ind w:firstLine="482" w:firstLineChars="200"/>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三、交易风险分析及风控措施</w:t>
      </w:r>
    </w:p>
    <w:p>
      <w:pPr>
        <w:adjustRightInd w:val="0"/>
        <w:snapToGrid w:val="0"/>
        <w:spacing w:line="560" w:lineRule="exact"/>
        <w:ind w:firstLine="482" w:firstLineChars="200"/>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（一）本次开展远期外汇交易业务的风险</w:t>
      </w:r>
    </w:p>
    <w:p>
      <w:pPr>
        <w:adjustRightInd w:val="0"/>
        <w:snapToGrid w:val="0"/>
        <w:spacing w:line="560" w:lineRule="exact"/>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公司开展外汇套期保值业务遵循锁定汇率风险、套期保值的原则，不做投机性、套利性的交易操作，在签订合约时严格按照公司付款（回款）期限和付款（回款）金额进行交易。外汇套期保值业务可以在汇率发生大幅波动时，降低汇率波动对公司的影响，但同时外汇套期保值业务也会存在一定风险：</w:t>
      </w:r>
    </w:p>
    <w:p>
      <w:pPr>
        <w:adjustRightInd w:val="0"/>
        <w:snapToGrid w:val="0"/>
        <w:spacing w:line="560" w:lineRule="exact"/>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1、汇率波动风险：在汇率行情变动较大的情况下，银行结售汇汇率报价可能低于公司对客户（供应商）报价汇率，使公司无法按照报价汇率进行锁定，造成汇兑损失。在外汇汇率波动较大时，公司判断汇率大幅波动方向与外汇套期保值合约方向不一致时，将造成汇兑损失。</w:t>
      </w:r>
    </w:p>
    <w:p>
      <w:pPr>
        <w:adjustRightInd w:val="0"/>
        <w:snapToGrid w:val="0"/>
        <w:spacing w:line="560" w:lineRule="exact"/>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2、内部控制风险：外汇套期保值业务专业性较强，复杂程度较高，可能会由于内控制度不完善而造成风险。</w:t>
      </w:r>
    </w:p>
    <w:p>
      <w:pPr>
        <w:adjustRightInd w:val="0"/>
        <w:snapToGrid w:val="0"/>
        <w:spacing w:line="560" w:lineRule="exact"/>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3、客户违约风险：客户应收账款发生逾期，货款无法在约定的回款期内收回，会造成延期交割导致公司损失。</w:t>
      </w:r>
    </w:p>
    <w:p>
      <w:pPr>
        <w:adjustRightInd w:val="0"/>
        <w:snapToGrid w:val="0"/>
        <w:spacing w:line="560" w:lineRule="exact"/>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4、交易违约风险：外汇套期保值交易对手出现违约，不能按照约定支付公司套期保值盈利从而无法对冲公司实际的汇兑损失，将造成公司损失。</w:t>
      </w:r>
    </w:p>
    <w:p>
      <w:pPr>
        <w:adjustRightInd w:val="0"/>
        <w:snapToGrid w:val="0"/>
        <w:spacing w:line="560" w:lineRule="exact"/>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5、法律风险：因相关法律发生变化或交易对手违反相关法律制度可能造成合约无法正常执行而给公司带来损失。</w:t>
      </w:r>
    </w:p>
    <w:p>
      <w:pPr>
        <w:adjustRightInd w:val="0"/>
        <w:snapToGrid w:val="0"/>
        <w:spacing w:line="560" w:lineRule="exact"/>
        <w:ind w:firstLine="482" w:firstLineChars="200"/>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（二）采取的风险控制措施</w:t>
      </w:r>
    </w:p>
    <w:p>
      <w:pPr>
        <w:adjustRightInd w:val="0"/>
        <w:snapToGrid w:val="0"/>
        <w:spacing w:line="560" w:lineRule="exact"/>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1、公司完善了《远期结售汇业务内部控制制度》，该制度就公司外汇套期保值业务额度、品种范围、审批权限、内部审核流程、责任部门及责任人、信息隔离措施、内部风险报告制度及风险处理程序等做出了明确规定，该制度符合监管部门的有关要求，能满足实际操作的需要，所制定的风险控制措施是切实有效的。</w:t>
      </w:r>
    </w:p>
    <w:p>
      <w:pPr>
        <w:adjustRightInd w:val="0"/>
        <w:snapToGrid w:val="0"/>
        <w:spacing w:line="560" w:lineRule="exact"/>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2、为避免内部控制风险，公司财务部门负责统一管理外汇套期保值业务。所有的外汇交易行为均以正常生产经营为基础，以具体经营业务为依托，不得进行投机和套利交易，并严格按照《远期结售汇业务内部控制制度》的规定进行业务操作，有效地保证制度的执行。</w:t>
      </w:r>
    </w:p>
    <w:p>
      <w:pPr>
        <w:adjustRightInd w:val="0"/>
        <w:snapToGrid w:val="0"/>
        <w:spacing w:line="560" w:lineRule="exact"/>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3、当公司外汇套期保值业务出现重大风险或可能出现重大风险的，财务部门应提交分析报告和解决方案，并随时跟踪业务进展情况；董事会应立即商讨应对措施，综合运用风险规避、风险降低、风险分担和风险承受等应对策略，提出切实可行的解决措施，实现对风险的有效控制。</w:t>
      </w:r>
    </w:p>
    <w:p>
      <w:pPr>
        <w:adjustRightInd w:val="0"/>
        <w:snapToGrid w:val="0"/>
        <w:spacing w:line="560" w:lineRule="exact"/>
        <w:ind w:firstLine="482" w:firstLineChars="200"/>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四、交易对公司的影响及相关会计处理</w:t>
      </w:r>
    </w:p>
    <w:p>
      <w:pPr>
        <w:adjustRightInd w:val="0"/>
        <w:snapToGrid w:val="0"/>
        <w:spacing w:line="560" w:lineRule="exact"/>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公司及子公司开展外汇套期保值业务能够有效规避和防范外汇市场风险，防止汇率大幅波动对公司生产经营造成不利影响，提高外汇资金使用效率，合理降低财务费用。</w:t>
      </w:r>
    </w:p>
    <w:p>
      <w:pPr>
        <w:adjustRightInd w:val="0"/>
        <w:snapToGrid w:val="0"/>
        <w:spacing w:line="560" w:lineRule="exact"/>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公司及子公司根据财政部《企业会计准则第22号—金融工具确认和计量》《企业会计准则第24号—套期会计》《企业会计准则第37号—金融工具列报》等相关规定及其指南，对拟开展的外汇套期保值业务进行相应的核算处理，反映资产负债表及损益表相关项目。</w:t>
      </w:r>
    </w:p>
    <w:p>
      <w:pPr>
        <w:adjustRightInd w:val="0"/>
        <w:snapToGrid w:val="0"/>
        <w:spacing w:line="560" w:lineRule="exact"/>
        <w:ind w:right="480" w:firstLine="482" w:firstLineChars="200"/>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五、专项意见</w:t>
      </w:r>
    </w:p>
    <w:p>
      <w:pPr>
        <w:snapToGrid w:val="0"/>
        <w:spacing w:line="560" w:lineRule="exact"/>
        <w:ind w:firstLine="480" w:firstLineChars="200"/>
      </w:pPr>
      <w:r>
        <w:rPr>
          <w:rFonts w:hint="eastAsia" w:ascii="宋体" w:hAnsi="宋体" w:eastAsia="宋体"/>
          <w:color w:val="000000"/>
          <w:sz w:val="24"/>
          <w:szCs w:val="24"/>
        </w:rPr>
        <w:t>独立董事认为：公司开展外汇套期保值业务是为了有效规避公司及子公司开展相关业务所产生外币收付汇结算等外币汇率大幅波动风险，提高外汇资金使用效率，合理规避汇率风险，实现稳健经营，不存在损害公司和全体股东利益的情形，且针对可能存在的风险，</w:t>
      </w:r>
      <w:r>
        <w:rPr>
          <w:rFonts w:hint="eastAsia" w:ascii="宋体" w:hAnsi="宋体" w:eastAsia="宋体"/>
          <w:color w:val="000000"/>
          <w:sz w:val="24"/>
          <w:szCs w:val="24"/>
          <w:lang w:val="en-US" w:eastAsia="zh-CN"/>
        </w:rPr>
        <w:t>完善</w:t>
      </w:r>
      <w:r>
        <w:rPr>
          <w:rFonts w:hint="eastAsia" w:ascii="宋体" w:hAnsi="宋体" w:eastAsia="宋体"/>
          <w:color w:val="000000"/>
          <w:sz w:val="24"/>
          <w:szCs w:val="24"/>
        </w:rPr>
        <w:t>了《远期结售汇业务内部控制制度》，建立健全了远期结售汇业务的组织机构、工作机制、业务流程及风险控制措施，形成了较为完整的风险管理体系，同意公司</w:t>
      </w:r>
      <w:r>
        <w:rPr>
          <w:rFonts w:hint="eastAsia" w:ascii="宋体" w:hAnsi="宋体" w:eastAsia="宋体" w:cs="宋体"/>
          <w:color w:val="000000"/>
          <w:kern w:val="0"/>
          <w:sz w:val="24"/>
          <w:szCs w:val="24"/>
        </w:rPr>
        <w:t>《</w:t>
      </w:r>
      <w:r>
        <w:rPr>
          <w:rFonts w:hint="eastAsia" w:ascii="宋体" w:hAnsi="宋体"/>
          <w:sz w:val="24"/>
          <w:szCs w:val="24"/>
        </w:rPr>
        <w:t>关于开展外汇套期保值业务的议案</w:t>
      </w:r>
      <w:r>
        <w:rPr>
          <w:rFonts w:hint="eastAsia" w:ascii="宋体" w:hAnsi="宋体" w:eastAsia="宋体" w:cs="宋体"/>
          <w:color w:val="000000"/>
          <w:kern w:val="0"/>
          <w:sz w:val="24"/>
          <w:szCs w:val="24"/>
        </w:rPr>
        <w:t>》</w:t>
      </w:r>
      <w:r>
        <w:rPr>
          <w:rFonts w:hint="eastAsia" w:ascii="宋体" w:hAnsi="宋体" w:eastAsia="宋体"/>
          <w:color w:val="000000"/>
          <w:sz w:val="24"/>
          <w:szCs w:val="24"/>
        </w:rPr>
        <w:t>和公司编制的《关于开展外汇套期保值业务的可行性分析报告》。</w:t>
      </w:r>
    </w:p>
    <w:p>
      <w:pPr>
        <w:adjustRightInd w:val="0"/>
        <w:snapToGrid w:val="0"/>
        <w:spacing w:line="560" w:lineRule="exact"/>
        <w:ind w:firstLine="480" w:firstLineChars="200"/>
        <w:rPr>
          <w:rFonts w:ascii="宋体" w:hAnsi="宋体" w:eastAsia="宋体"/>
          <w:color w:val="000000"/>
          <w:sz w:val="24"/>
          <w:szCs w:val="24"/>
          <w:highlight w:val="yellow"/>
        </w:rPr>
      </w:pPr>
      <w:r>
        <w:rPr>
          <w:rFonts w:hint="eastAsia" w:ascii="宋体" w:hAnsi="宋体" w:eastAsia="宋体"/>
          <w:color w:val="000000"/>
          <w:sz w:val="24"/>
          <w:szCs w:val="24"/>
        </w:rPr>
        <w:t>保荐机构意见：</w:t>
      </w:r>
      <w:bookmarkStart w:id="0" w:name="_GoBack"/>
      <w:r>
        <w:rPr>
          <w:rFonts w:hint="eastAsia" w:ascii="宋体" w:hAnsi="宋体" w:eastAsia="宋体"/>
          <w:color w:val="000000"/>
          <w:sz w:val="24"/>
          <w:szCs w:val="24"/>
          <w:highlight w:val="none"/>
        </w:rPr>
        <w:t>经核查，公司本次开展的外汇套期保值业务有助于公司规避外汇市场的风险，防范汇率波动对公司经营业绩造成不利影响，提高外汇资金使用效率，合理降低财务费用，不存在损害公司和中小股东利益的情形。公司开展外汇套期保值业务的事项已经公司董事会审计委员会、董事会审议通过，独立董事发表了明确同意的独立意见，该事项符合有关法律、法规和《公司章程》等规范性文件的规定，且履行了必要的审批程序。综上，保荐机构对公司此次开展外汇套期保值业务事项无异议。</w:t>
      </w:r>
      <w:bookmarkEnd w:id="0"/>
    </w:p>
    <w:p>
      <w:pPr>
        <w:adjustRightInd w:val="0"/>
        <w:snapToGrid w:val="0"/>
        <w:spacing w:line="560" w:lineRule="exact"/>
        <w:ind w:firstLine="480" w:firstLineChars="200"/>
        <w:rPr>
          <w:rFonts w:ascii="宋体" w:hAnsi="宋体" w:eastAsia="宋体"/>
          <w:color w:val="000000"/>
          <w:sz w:val="24"/>
          <w:szCs w:val="24"/>
        </w:rPr>
      </w:pPr>
    </w:p>
    <w:p>
      <w:pPr>
        <w:adjustRightInd w:val="0"/>
        <w:snapToGrid w:val="0"/>
        <w:spacing w:line="560" w:lineRule="exact"/>
        <w:ind w:firstLine="480" w:firstLineChars="200"/>
        <w:rPr>
          <w:rFonts w:ascii="宋体" w:hAnsi="宋体" w:eastAsia="宋体"/>
          <w:color w:val="000000"/>
          <w:sz w:val="24"/>
          <w:szCs w:val="24"/>
        </w:rPr>
      </w:pPr>
      <w:r>
        <w:rPr>
          <w:rFonts w:hint="eastAsia" w:ascii="宋体" w:hAnsi="宋体" w:eastAsia="宋体"/>
          <w:color w:val="000000"/>
          <w:sz w:val="24"/>
          <w:szCs w:val="24"/>
        </w:rPr>
        <w:t>特此公告。</w:t>
      </w:r>
    </w:p>
    <w:p>
      <w:pPr>
        <w:adjustRightInd w:val="0"/>
        <w:snapToGrid w:val="0"/>
        <w:spacing w:line="560" w:lineRule="exact"/>
        <w:ind w:firstLine="480" w:firstLineChars="200"/>
        <w:rPr>
          <w:rFonts w:ascii="宋体" w:hAnsi="宋体" w:eastAsia="宋体"/>
          <w:color w:val="000000"/>
          <w:sz w:val="24"/>
          <w:szCs w:val="24"/>
        </w:rPr>
      </w:pPr>
    </w:p>
    <w:p>
      <w:pPr>
        <w:adjustRightInd w:val="0"/>
        <w:snapToGrid w:val="0"/>
        <w:spacing w:line="560" w:lineRule="exact"/>
        <w:ind w:firstLine="480" w:firstLineChars="200"/>
        <w:jc w:val="right"/>
        <w:rPr>
          <w:rFonts w:ascii="宋体" w:hAnsi="宋体" w:eastAsia="宋体"/>
          <w:color w:val="000000"/>
          <w:sz w:val="24"/>
          <w:szCs w:val="24"/>
        </w:rPr>
      </w:pPr>
      <w:r>
        <w:rPr>
          <w:rFonts w:hint="eastAsia" w:ascii="宋体" w:hAnsi="宋体" w:eastAsia="宋体" w:cs="宋体"/>
          <w:color w:val="000000"/>
          <w:kern w:val="0"/>
          <w:sz w:val="24"/>
          <w:szCs w:val="24"/>
        </w:rPr>
        <w:t>重庆望变电气（集团）</w:t>
      </w:r>
      <w:r>
        <w:rPr>
          <w:rFonts w:hint="eastAsia" w:ascii="宋体" w:hAnsi="宋体" w:eastAsia="宋体" w:cs="仿宋_GB2312"/>
          <w:color w:val="000000"/>
          <w:sz w:val="24"/>
          <w:szCs w:val="24"/>
        </w:rPr>
        <w:t>股</w:t>
      </w:r>
      <w:r>
        <w:rPr>
          <w:rFonts w:hint="eastAsia" w:ascii="宋体" w:hAnsi="宋体" w:eastAsia="宋体"/>
          <w:color w:val="000000"/>
          <w:sz w:val="24"/>
          <w:szCs w:val="24"/>
        </w:rPr>
        <w:t>份有限公司董事会</w:t>
      </w:r>
    </w:p>
    <w:p>
      <w:pPr>
        <w:adjustRightInd w:val="0"/>
        <w:snapToGrid w:val="0"/>
        <w:spacing w:line="560" w:lineRule="exact"/>
        <w:ind w:firstLine="480" w:firstLineChars="200"/>
        <w:jc w:val="right"/>
        <w:rPr>
          <w:rFonts w:ascii="宋体" w:hAnsi="宋体" w:eastAsia="宋体"/>
          <w:color w:val="000000"/>
          <w:sz w:val="24"/>
          <w:szCs w:val="24"/>
        </w:rPr>
      </w:pPr>
      <w:r>
        <w:rPr>
          <w:rFonts w:ascii="宋体" w:hAnsi="宋体" w:eastAsia="宋体"/>
          <w:color w:val="000000"/>
          <w:sz w:val="24"/>
          <w:szCs w:val="24"/>
        </w:rPr>
        <w:t>202</w:t>
      </w:r>
      <w:r>
        <w:rPr>
          <w:rFonts w:hint="eastAsia" w:ascii="宋体" w:hAnsi="宋体" w:eastAsia="宋体"/>
          <w:color w:val="000000"/>
          <w:sz w:val="24"/>
          <w:szCs w:val="24"/>
        </w:rPr>
        <w:t>4年1月</w:t>
      </w:r>
      <w:r>
        <w:rPr>
          <w:rFonts w:hint="eastAsia" w:ascii="宋体" w:hAnsi="宋体" w:eastAsia="宋体"/>
          <w:color w:val="000000"/>
          <w:sz w:val="24"/>
          <w:szCs w:val="24"/>
          <w:lang w:val="en-US" w:eastAsia="zh-CN"/>
        </w:rPr>
        <w:t>22</w:t>
      </w:r>
      <w:r>
        <w:rPr>
          <w:rFonts w:hint="eastAsia" w:ascii="宋体" w:hAnsi="宋体" w:eastAsia="宋体"/>
          <w:color w:val="000000"/>
          <w:sz w:val="24"/>
          <w:szCs w:val="24"/>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1207842"/>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CD7E0F"/>
    <w:multiLevelType w:val="multilevel"/>
    <w:tmpl w:val="28CD7E0F"/>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
    <w:nsid w:val="74646B16"/>
    <w:multiLevelType w:val="multilevel"/>
    <w:tmpl w:val="74646B16"/>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zZmRmZDMxMjkwMDE2NTk0ZWQ1ZWYwMzRmYjVhNmUifQ=="/>
  </w:docVars>
  <w:rsids>
    <w:rsidRoot w:val="521827E2"/>
    <w:rsid w:val="00010BC9"/>
    <w:rsid w:val="0003670A"/>
    <w:rsid w:val="000378C7"/>
    <w:rsid w:val="00064FE8"/>
    <w:rsid w:val="00076EFD"/>
    <w:rsid w:val="0008555B"/>
    <w:rsid w:val="000A40E4"/>
    <w:rsid w:val="000B1A1F"/>
    <w:rsid w:val="000B3854"/>
    <w:rsid w:val="000C72A9"/>
    <w:rsid w:val="000D3DA9"/>
    <w:rsid w:val="000D409C"/>
    <w:rsid w:val="00123266"/>
    <w:rsid w:val="001254C4"/>
    <w:rsid w:val="00140439"/>
    <w:rsid w:val="0014777F"/>
    <w:rsid w:val="001507FC"/>
    <w:rsid w:val="0016249D"/>
    <w:rsid w:val="001723E5"/>
    <w:rsid w:val="00187296"/>
    <w:rsid w:val="00192BD0"/>
    <w:rsid w:val="001A727A"/>
    <w:rsid w:val="001C1ED6"/>
    <w:rsid w:val="001D06CF"/>
    <w:rsid w:val="001D4E14"/>
    <w:rsid w:val="001D51B9"/>
    <w:rsid w:val="00201DED"/>
    <w:rsid w:val="00207B64"/>
    <w:rsid w:val="00225FE6"/>
    <w:rsid w:val="00252550"/>
    <w:rsid w:val="00277255"/>
    <w:rsid w:val="002B229C"/>
    <w:rsid w:val="003112C9"/>
    <w:rsid w:val="003505CE"/>
    <w:rsid w:val="00351429"/>
    <w:rsid w:val="003541EB"/>
    <w:rsid w:val="003571E3"/>
    <w:rsid w:val="0038615B"/>
    <w:rsid w:val="00391A1B"/>
    <w:rsid w:val="003E38F1"/>
    <w:rsid w:val="003F1451"/>
    <w:rsid w:val="004256AE"/>
    <w:rsid w:val="004315C5"/>
    <w:rsid w:val="004432AC"/>
    <w:rsid w:val="00464AFC"/>
    <w:rsid w:val="004A21C8"/>
    <w:rsid w:val="004A790E"/>
    <w:rsid w:val="004B5841"/>
    <w:rsid w:val="004D041E"/>
    <w:rsid w:val="004D0E8E"/>
    <w:rsid w:val="004F172D"/>
    <w:rsid w:val="00522BE2"/>
    <w:rsid w:val="00527454"/>
    <w:rsid w:val="0053579F"/>
    <w:rsid w:val="005429C2"/>
    <w:rsid w:val="0055216A"/>
    <w:rsid w:val="005750AA"/>
    <w:rsid w:val="00575F03"/>
    <w:rsid w:val="005A15BF"/>
    <w:rsid w:val="005A2954"/>
    <w:rsid w:val="005B7B64"/>
    <w:rsid w:val="005F57F9"/>
    <w:rsid w:val="006150E2"/>
    <w:rsid w:val="00636BAE"/>
    <w:rsid w:val="006704CD"/>
    <w:rsid w:val="00672360"/>
    <w:rsid w:val="00684FFB"/>
    <w:rsid w:val="006A3328"/>
    <w:rsid w:val="006A773E"/>
    <w:rsid w:val="006E4DD1"/>
    <w:rsid w:val="006F3EE0"/>
    <w:rsid w:val="00726F44"/>
    <w:rsid w:val="00732B9D"/>
    <w:rsid w:val="00773B85"/>
    <w:rsid w:val="0078004A"/>
    <w:rsid w:val="00794722"/>
    <w:rsid w:val="007A61FA"/>
    <w:rsid w:val="007B073D"/>
    <w:rsid w:val="007B1916"/>
    <w:rsid w:val="007C3FFA"/>
    <w:rsid w:val="007E572E"/>
    <w:rsid w:val="007F703D"/>
    <w:rsid w:val="007F7EDC"/>
    <w:rsid w:val="008162CF"/>
    <w:rsid w:val="008320FC"/>
    <w:rsid w:val="0084121D"/>
    <w:rsid w:val="0084422E"/>
    <w:rsid w:val="00854FC4"/>
    <w:rsid w:val="00856E6D"/>
    <w:rsid w:val="008A5E36"/>
    <w:rsid w:val="008C6616"/>
    <w:rsid w:val="0090186C"/>
    <w:rsid w:val="00915D39"/>
    <w:rsid w:val="00923C08"/>
    <w:rsid w:val="00927963"/>
    <w:rsid w:val="00947C32"/>
    <w:rsid w:val="009679A2"/>
    <w:rsid w:val="00992126"/>
    <w:rsid w:val="00996912"/>
    <w:rsid w:val="009B0668"/>
    <w:rsid w:val="009B47DE"/>
    <w:rsid w:val="009D1A30"/>
    <w:rsid w:val="009E3152"/>
    <w:rsid w:val="009E3407"/>
    <w:rsid w:val="00A01CB8"/>
    <w:rsid w:val="00A05D77"/>
    <w:rsid w:val="00A12C39"/>
    <w:rsid w:val="00A35EE7"/>
    <w:rsid w:val="00A41695"/>
    <w:rsid w:val="00A51C23"/>
    <w:rsid w:val="00A53142"/>
    <w:rsid w:val="00A5357E"/>
    <w:rsid w:val="00A57119"/>
    <w:rsid w:val="00A81E75"/>
    <w:rsid w:val="00A823F8"/>
    <w:rsid w:val="00A844C5"/>
    <w:rsid w:val="00AC3419"/>
    <w:rsid w:val="00AE1430"/>
    <w:rsid w:val="00AF2A0A"/>
    <w:rsid w:val="00B016E7"/>
    <w:rsid w:val="00B13254"/>
    <w:rsid w:val="00B211E4"/>
    <w:rsid w:val="00B3614E"/>
    <w:rsid w:val="00B61EEE"/>
    <w:rsid w:val="00B9137C"/>
    <w:rsid w:val="00BA49C4"/>
    <w:rsid w:val="00BB61B6"/>
    <w:rsid w:val="00BC233A"/>
    <w:rsid w:val="00BD3997"/>
    <w:rsid w:val="00BE7D13"/>
    <w:rsid w:val="00BF7BDB"/>
    <w:rsid w:val="00C009B6"/>
    <w:rsid w:val="00C47186"/>
    <w:rsid w:val="00C56BA2"/>
    <w:rsid w:val="00C7508F"/>
    <w:rsid w:val="00CD08C9"/>
    <w:rsid w:val="00CF4977"/>
    <w:rsid w:val="00D25F85"/>
    <w:rsid w:val="00D4059C"/>
    <w:rsid w:val="00D45861"/>
    <w:rsid w:val="00D46F41"/>
    <w:rsid w:val="00D51C6B"/>
    <w:rsid w:val="00D65BA4"/>
    <w:rsid w:val="00D8189C"/>
    <w:rsid w:val="00D82F0E"/>
    <w:rsid w:val="00DB744D"/>
    <w:rsid w:val="00DC78D5"/>
    <w:rsid w:val="00DD4D18"/>
    <w:rsid w:val="00DD62E6"/>
    <w:rsid w:val="00DF73E8"/>
    <w:rsid w:val="00E25F07"/>
    <w:rsid w:val="00E301F1"/>
    <w:rsid w:val="00E558AE"/>
    <w:rsid w:val="00E667EA"/>
    <w:rsid w:val="00E746B0"/>
    <w:rsid w:val="00E818E9"/>
    <w:rsid w:val="00E82A34"/>
    <w:rsid w:val="00E95F43"/>
    <w:rsid w:val="00EC496E"/>
    <w:rsid w:val="00EE084C"/>
    <w:rsid w:val="00F01CA5"/>
    <w:rsid w:val="00F0268C"/>
    <w:rsid w:val="00F06BC4"/>
    <w:rsid w:val="00F36086"/>
    <w:rsid w:val="00F54E0B"/>
    <w:rsid w:val="00F670DD"/>
    <w:rsid w:val="00F70648"/>
    <w:rsid w:val="00FC17CB"/>
    <w:rsid w:val="00FD0FAD"/>
    <w:rsid w:val="00FE6306"/>
    <w:rsid w:val="00FF7741"/>
    <w:rsid w:val="0329020F"/>
    <w:rsid w:val="04980375"/>
    <w:rsid w:val="04AA33B1"/>
    <w:rsid w:val="09756E61"/>
    <w:rsid w:val="097B4B5C"/>
    <w:rsid w:val="09D93D68"/>
    <w:rsid w:val="0F3269B3"/>
    <w:rsid w:val="12671F57"/>
    <w:rsid w:val="166A747C"/>
    <w:rsid w:val="17D36DC8"/>
    <w:rsid w:val="1A9A01F1"/>
    <w:rsid w:val="1B6709BF"/>
    <w:rsid w:val="1C337BBB"/>
    <w:rsid w:val="20185698"/>
    <w:rsid w:val="20475CB7"/>
    <w:rsid w:val="21115F11"/>
    <w:rsid w:val="26C3517C"/>
    <w:rsid w:val="27BD77B9"/>
    <w:rsid w:val="27E52BFD"/>
    <w:rsid w:val="2B3F7B88"/>
    <w:rsid w:val="35B55AA7"/>
    <w:rsid w:val="3B9A1A42"/>
    <w:rsid w:val="3F0B416F"/>
    <w:rsid w:val="41040125"/>
    <w:rsid w:val="424209FB"/>
    <w:rsid w:val="4E5A6D6F"/>
    <w:rsid w:val="507D1A17"/>
    <w:rsid w:val="50CE5B55"/>
    <w:rsid w:val="51245590"/>
    <w:rsid w:val="5150387B"/>
    <w:rsid w:val="521827E2"/>
    <w:rsid w:val="54CA7B2B"/>
    <w:rsid w:val="56B50904"/>
    <w:rsid w:val="56F2369C"/>
    <w:rsid w:val="58CE0E5C"/>
    <w:rsid w:val="5F857DC3"/>
    <w:rsid w:val="5F895B49"/>
    <w:rsid w:val="617B54FB"/>
    <w:rsid w:val="62334A02"/>
    <w:rsid w:val="6C726189"/>
    <w:rsid w:val="6C8C53CB"/>
    <w:rsid w:val="6F4A7AF0"/>
    <w:rsid w:val="71374B14"/>
    <w:rsid w:val="71472673"/>
    <w:rsid w:val="71E91A60"/>
    <w:rsid w:val="75CE58C9"/>
    <w:rsid w:val="76CF6F4E"/>
    <w:rsid w:val="77191054"/>
    <w:rsid w:val="77D11EA6"/>
    <w:rsid w:val="7AAC2F40"/>
    <w:rsid w:val="7C1E2F09"/>
    <w:rsid w:val="ADB71D02"/>
    <w:rsid w:val="CCD97B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annotation text"/>
    <w:basedOn w:val="1"/>
    <w:link w:val="19"/>
    <w:autoRedefine/>
    <w:qFormat/>
    <w:uiPriority w:val="0"/>
    <w:pPr>
      <w:jc w:val="left"/>
    </w:pPr>
  </w:style>
  <w:style w:type="paragraph" w:styleId="4">
    <w:name w:val="Balloon Text"/>
    <w:basedOn w:val="1"/>
    <w:link w:val="18"/>
    <w:autoRedefine/>
    <w:qFormat/>
    <w:uiPriority w:val="0"/>
    <w:rPr>
      <w:sz w:val="18"/>
      <w:szCs w:val="18"/>
    </w:rPr>
  </w:style>
  <w:style w:type="paragraph" w:styleId="5">
    <w:name w:val="footer"/>
    <w:basedOn w:val="1"/>
    <w:link w:val="16"/>
    <w:autoRedefine/>
    <w:qFormat/>
    <w:uiPriority w:val="99"/>
    <w:pPr>
      <w:tabs>
        <w:tab w:val="center" w:pos="4153"/>
        <w:tab w:val="right" w:pos="8306"/>
      </w:tabs>
      <w:snapToGrid w:val="0"/>
      <w:jc w:val="left"/>
    </w:pPr>
    <w:rPr>
      <w:sz w:val="18"/>
      <w:szCs w:val="18"/>
    </w:rPr>
  </w:style>
  <w:style w:type="paragraph" w:styleId="6">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footnote text"/>
    <w:basedOn w:val="1"/>
    <w:autoRedefine/>
    <w:semiHidden/>
    <w:unhideWhenUsed/>
    <w:qFormat/>
    <w:uiPriority w:val="0"/>
    <w:pPr>
      <w:snapToGrid w:val="0"/>
      <w:jc w:val="left"/>
    </w:pPr>
    <w:rPr>
      <w:sz w:val="18"/>
    </w:rPr>
  </w:style>
  <w:style w:type="paragraph" w:styleId="8">
    <w:name w:val="Title"/>
    <w:basedOn w:val="1"/>
    <w:next w:val="1"/>
    <w:autoRedefine/>
    <w:qFormat/>
    <w:uiPriority w:val="10"/>
    <w:pPr>
      <w:spacing w:before="240" w:after="60"/>
      <w:jc w:val="center"/>
      <w:outlineLvl w:val="0"/>
    </w:pPr>
    <w:rPr>
      <w:rFonts w:eastAsia="宋体" w:asciiTheme="majorHAnsi" w:hAnsiTheme="majorHAnsi" w:cstheme="majorBidi"/>
      <w:b/>
      <w:bCs/>
      <w:sz w:val="30"/>
      <w:szCs w:val="32"/>
    </w:rPr>
  </w:style>
  <w:style w:type="paragraph" w:styleId="9">
    <w:name w:val="annotation subject"/>
    <w:basedOn w:val="3"/>
    <w:next w:val="3"/>
    <w:link w:val="20"/>
    <w:autoRedefine/>
    <w:qFormat/>
    <w:uiPriority w:val="0"/>
    <w:rPr>
      <w:b/>
      <w:bCs/>
    </w:rPr>
  </w:style>
  <w:style w:type="character" w:styleId="12">
    <w:name w:val="Hyperlink"/>
    <w:basedOn w:val="11"/>
    <w:autoRedefine/>
    <w:unhideWhenUsed/>
    <w:qFormat/>
    <w:uiPriority w:val="0"/>
    <w:rPr>
      <w:color w:val="0563C1" w:themeColor="hyperlink"/>
      <w:u w:val="single"/>
      <w14:textFill>
        <w14:solidFill>
          <w14:schemeClr w14:val="hlink"/>
        </w14:solidFill>
      </w14:textFill>
    </w:rPr>
  </w:style>
  <w:style w:type="character" w:styleId="13">
    <w:name w:val="annotation reference"/>
    <w:basedOn w:val="11"/>
    <w:autoRedefine/>
    <w:qFormat/>
    <w:uiPriority w:val="0"/>
    <w:rPr>
      <w:sz w:val="21"/>
      <w:szCs w:val="21"/>
    </w:rPr>
  </w:style>
  <w:style w:type="character" w:styleId="14">
    <w:name w:val="footnote reference"/>
    <w:basedOn w:val="11"/>
    <w:autoRedefine/>
    <w:semiHidden/>
    <w:unhideWhenUsed/>
    <w:qFormat/>
    <w:uiPriority w:val="0"/>
    <w:rPr>
      <w:vertAlign w:val="superscript"/>
    </w:rPr>
  </w:style>
  <w:style w:type="character" w:customStyle="1" w:styleId="15">
    <w:name w:val="页眉 字符"/>
    <w:basedOn w:val="11"/>
    <w:link w:val="6"/>
    <w:autoRedefine/>
    <w:qFormat/>
    <w:uiPriority w:val="0"/>
    <w:rPr>
      <w:kern w:val="2"/>
      <w:sz w:val="18"/>
      <w:szCs w:val="18"/>
    </w:rPr>
  </w:style>
  <w:style w:type="character" w:customStyle="1" w:styleId="16">
    <w:name w:val="页脚 字符"/>
    <w:basedOn w:val="11"/>
    <w:link w:val="5"/>
    <w:autoRedefine/>
    <w:qFormat/>
    <w:uiPriority w:val="99"/>
    <w:rPr>
      <w:kern w:val="2"/>
      <w:sz w:val="18"/>
      <w:szCs w:val="18"/>
    </w:rPr>
  </w:style>
  <w:style w:type="paragraph" w:styleId="17">
    <w:name w:val="List Paragraph"/>
    <w:basedOn w:val="1"/>
    <w:autoRedefine/>
    <w:qFormat/>
    <w:uiPriority w:val="34"/>
    <w:pPr>
      <w:ind w:firstLine="420" w:firstLineChars="200"/>
    </w:pPr>
    <w:rPr>
      <w:rFonts w:ascii="Calibri" w:hAnsi="Calibri" w:eastAsia="宋体" w:cs="Times New Roman"/>
    </w:rPr>
  </w:style>
  <w:style w:type="character" w:customStyle="1" w:styleId="18">
    <w:name w:val="批注框文本 字符"/>
    <w:basedOn w:val="11"/>
    <w:link w:val="4"/>
    <w:autoRedefine/>
    <w:qFormat/>
    <w:uiPriority w:val="0"/>
    <w:rPr>
      <w:kern w:val="2"/>
      <w:sz w:val="18"/>
      <w:szCs w:val="18"/>
    </w:rPr>
  </w:style>
  <w:style w:type="character" w:customStyle="1" w:styleId="19">
    <w:name w:val="批注文字 字符"/>
    <w:basedOn w:val="11"/>
    <w:link w:val="3"/>
    <w:autoRedefine/>
    <w:qFormat/>
    <w:uiPriority w:val="0"/>
    <w:rPr>
      <w:kern w:val="2"/>
      <w:sz w:val="21"/>
      <w:szCs w:val="22"/>
    </w:rPr>
  </w:style>
  <w:style w:type="character" w:customStyle="1" w:styleId="20">
    <w:name w:val="批注主题 字符"/>
    <w:basedOn w:val="19"/>
    <w:link w:val="9"/>
    <w:autoRedefine/>
    <w:qFormat/>
    <w:uiPriority w:val="0"/>
    <w:rPr>
      <w:b/>
      <w:bCs/>
      <w:kern w:val="2"/>
      <w:sz w:val="21"/>
      <w:szCs w:val="22"/>
    </w:rPr>
  </w:style>
  <w:style w:type="paragraph" w:customStyle="1" w:styleId="21">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2">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3">
    <w:name w:val="Revision"/>
    <w:autoRedefine/>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541</Words>
  <Characters>3089</Characters>
  <Lines>25</Lines>
  <Paragraphs>7</Paragraphs>
  <TotalTime>2</TotalTime>
  <ScaleCrop>false</ScaleCrop>
  <LinksUpToDate>false</LinksUpToDate>
  <CharactersWithSpaces>3623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2022-08-18T22:47:00Z</dcterms:created>
  <dc:creator>BJB-ZB-03</dc:creator>
  <cp:lastModifiedBy>Y.    Miss</cp:lastModifiedBy>
  <dcterms:modified xsi:type="dcterms:W3CDTF">2024-01-20T11:51:28Z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C2D57EBF54D5405684854D4890BEE3BE_13</vt:lpwstr>
  </property>
</Properties>
</file>